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B9190" w14:textId="12A0EA7C" w:rsidR="00D8574B" w:rsidRPr="00057363" w:rsidRDefault="00D8574B" w:rsidP="009A74DA">
      <w:pPr>
        <w:spacing w:after="0" w:line="240" w:lineRule="auto"/>
        <w:jc w:val="center"/>
        <w:rPr>
          <w:rFonts w:ascii="Times New Roman" w:eastAsia="Times New Roman" w:hAnsi="Times New Roman"/>
          <w:b/>
          <w:bCs/>
          <w:sz w:val="24"/>
          <w:szCs w:val="24"/>
        </w:rPr>
      </w:pPr>
      <w:r w:rsidRPr="00057363">
        <w:rPr>
          <w:rFonts w:ascii="Times New Roman" w:eastAsia="Times New Roman" w:hAnsi="Times New Roman" w:cs="Times New Roman"/>
          <w:b/>
          <w:sz w:val="24"/>
          <w:szCs w:val="24"/>
          <w:lang w:eastAsia="lv-LV"/>
        </w:rPr>
        <w:t>Ministru kabineta noteikumu projekta „</w:t>
      </w:r>
      <w:r w:rsidRPr="00057363">
        <w:rPr>
          <w:rFonts w:ascii="Times New Roman" w:hAnsi="Times New Roman" w:cs="Times New Roman"/>
          <w:sz w:val="24"/>
          <w:szCs w:val="24"/>
        </w:rPr>
        <w:t xml:space="preserve"> </w:t>
      </w:r>
      <w:r w:rsidR="00057363" w:rsidRPr="00057363">
        <w:rPr>
          <w:rFonts w:ascii="Times New Roman" w:eastAsia="Times New Roman" w:hAnsi="Times New Roman"/>
          <w:b/>
          <w:bCs/>
          <w:sz w:val="24"/>
          <w:szCs w:val="24"/>
        </w:rPr>
        <w:t>Noteikumi par valsts sociālo pabalstu Černobiļas atomelektrostacijas avārijas seku likvidēšanas dalībniekiem un mirušo Černobiļas atomelektrostacijas avārijas seku likvidēšanas dalībnieku ģimenēm</w:t>
      </w:r>
      <w:r w:rsidRPr="00057363">
        <w:rPr>
          <w:rFonts w:ascii="Times New Roman" w:eastAsia="Times New Roman" w:hAnsi="Times New Roman" w:cs="Times New Roman"/>
          <w:b/>
          <w:sz w:val="24"/>
          <w:szCs w:val="24"/>
          <w:lang w:eastAsia="lv-LV"/>
        </w:rPr>
        <w:t>” sākotnējās ietekmes novērtējuma ziņojums (anotācija)</w:t>
      </w:r>
    </w:p>
    <w:p w14:paraId="4A3243D2" w14:textId="77777777" w:rsidR="00E1259F" w:rsidRPr="00FB65E1" w:rsidRDefault="00E1259F" w:rsidP="009A74DA">
      <w:pPr>
        <w:spacing w:after="0" w:line="240" w:lineRule="auto"/>
        <w:jc w:val="center"/>
        <w:rPr>
          <w:rFonts w:ascii="Times New Roman" w:eastAsia="Times New Roman" w:hAnsi="Times New Roman" w:cs="Times New Roman"/>
          <w:b/>
          <w:sz w:val="24"/>
          <w:szCs w:val="24"/>
          <w:lang w:eastAsia="lv-LV"/>
        </w:rPr>
      </w:pPr>
    </w:p>
    <w:tbl>
      <w:tblPr>
        <w:tblW w:w="515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0"/>
        <w:gridCol w:w="6391"/>
      </w:tblGrid>
      <w:tr w:rsidR="00FB65E1" w:rsidRPr="00FB65E1" w14:paraId="12EEDCCC" w14:textId="77777777" w:rsidTr="0025460B">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11E82C0E" w14:textId="77777777" w:rsidR="00495F81" w:rsidRPr="00FB65E1" w:rsidRDefault="00495F81" w:rsidP="009A74DA">
            <w:pPr>
              <w:spacing w:after="0" w:line="240" w:lineRule="auto"/>
              <w:rPr>
                <w:rFonts w:ascii="Times New Roman" w:eastAsia="Times New Roman" w:hAnsi="Times New Roman" w:cs="Times New Roman"/>
                <w:b/>
                <w:bCs/>
                <w:iCs/>
                <w:sz w:val="24"/>
                <w:szCs w:val="24"/>
                <w:lang w:val="sv-SE"/>
              </w:rPr>
            </w:pPr>
            <w:r w:rsidRPr="00FB65E1">
              <w:rPr>
                <w:rFonts w:ascii="Times New Roman" w:eastAsia="Times New Roman" w:hAnsi="Times New Roman" w:cs="Times New Roman"/>
                <w:b/>
                <w:bCs/>
                <w:iCs/>
                <w:sz w:val="24"/>
                <w:szCs w:val="24"/>
                <w:lang w:val="sv-SE"/>
              </w:rPr>
              <w:t>Tiesību akta projekta anotācijas kopsavilkums</w:t>
            </w:r>
          </w:p>
        </w:tc>
      </w:tr>
      <w:tr w:rsidR="00FB65E1" w:rsidRPr="00FB65E1" w14:paraId="7F9E01C2" w14:textId="77777777" w:rsidTr="00E1259F">
        <w:trPr>
          <w:tblCellSpacing w:w="15" w:type="dxa"/>
        </w:trPr>
        <w:tc>
          <w:tcPr>
            <w:tcW w:w="1560" w:type="pct"/>
            <w:tcBorders>
              <w:top w:val="outset" w:sz="6" w:space="0" w:color="auto"/>
              <w:left w:val="outset" w:sz="6" w:space="0" w:color="auto"/>
              <w:bottom w:val="outset" w:sz="6" w:space="0" w:color="auto"/>
              <w:right w:val="outset" w:sz="6" w:space="0" w:color="auto"/>
            </w:tcBorders>
            <w:hideMark/>
          </w:tcPr>
          <w:p w14:paraId="70992B10" w14:textId="77777777" w:rsidR="00495F81" w:rsidRPr="00FB65E1" w:rsidRDefault="00495F81" w:rsidP="009A74DA">
            <w:pPr>
              <w:spacing w:after="0" w:line="240" w:lineRule="auto"/>
              <w:rPr>
                <w:rFonts w:ascii="Times New Roman" w:eastAsia="Times New Roman" w:hAnsi="Times New Roman" w:cs="Times New Roman"/>
                <w:iCs/>
                <w:sz w:val="24"/>
                <w:szCs w:val="24"/>
                <w:lang w:val="sv-SE"/>
              </w:rPr>
            </w:pPr>
            <w:r w:rsidRPr="00FB65E1">
              <w:rPr>
                <w:rFonts w:ascii="Times New Roman" w:eastAsia="Times New Roman" w:hAnsi="Times New Roman" w:cs="Times New Roman"/>
                <w:iCs/>
                <w:sz w:val="24"/>
                <w:szCs w:val="24"/>
                <w:lang w:val="sv-SE"/>
              </w:rPr>
              <w:t xml:space="preserve">Mērķis, risinājums un projekta spēkā stāšanās laiks </w:t>
            </w:r>
          </w:p>
        </w:tc>
        <w:tc>
          <w:tcPr>
            <w:tcW w:w="3392" w:type="pct"/>
            <w:tcBorders>
              <w:top w:val="outset" w:sz="6" w:space="0" w:color="auto"/>
              <w:left w:val="outset" w:sz="6" w:space="0" w:color="auto"/>
              <w:bottom w:val="outset" w:sz="6" w:space="0" w:color="auto"/>
              <w:right w:val="outset" w:sz="6" w:space="0" w:color="auto"/>
            </w:tcBorders>
          </w:tcPr>
          <w:p w14:paraId="1FEDE4A9" w14:textId="43E6414B" w:rsidR="00057363" w:rsidRDefault="00B21A65" w:rsidP="009A74DA">
            <w:pPr>
              <w:spacing w:after="0" w:line="240" w:lineRule="auto"/>
              <w:jc w:val="both"/>
              <w:rPr>
                <w:rFonts w:ascii="Times New Roman" w:hAnsi="Times New Roman" w:cs="Times New Roman"/>
                <w:sz w:val="24"/>
                <w:szCs w:val="24"/>
              </w:rPr>
            </w:pPr>
            <w:r w:rsidRPr="00FB65E1">
              <w:rPr>
                <w:rFonts w:ascii="Times New Roman" w:hAnsi="Times New Roman" w:cs="Times New Roman"/>
                <w:sz w:val="24"/>
                <w:szCs w:val="24"/>
              </w:rPr>
              <w:t xml:space="preserve">Ministru kabineta noteikumu projekta </w:t>
            </w:r>
            <w:r w:rsidR="00CF23FC">
              <w:rPr>
                <w:rFonts w:ascii="Times New Roman" w:hAnsi="Times New Roman" w:cs="Times New Roman"/>
                <w:sz w:val="24"/>
                <w:szCs w:val="24"/>
              </w:rPr>
              <w:t>“</w:t>
            </w:r>
            <w:r w:rsidR="00057363" w:rsidRPr="00057363">
              <w:rPr>
                <w:rFonts w:ascii="Times New Roman" w:eastAsia="Times New Roman" w:hAnsi="Times New Roman" w:cs="Times New Roman"/>
                <w:iCs/>
                <w:noProof/>
                <w:sz w:val="24"/>
                <w:szCs w:val="24"/>
                <w:lang w:eastAsia="lv-LV"/>
              </w:rPr>
              <w:t>Noteikumi par valsts sociālo pabalstu Černobiļas atomelektrostacijas avārijas seku likvidēšanas dalībniekiem un mirušo Černobiļas atomelektrostacijas avārijas seku likvidēšanas dalībnieku ģimenēm</w:t>
            </w:r>
            <w:r w:rsidRPr="00FB65E1">
              <w:rPr>
                <w:rFonts w:ascii="Times New Roman" w:eastAsia="Times New Roman" w:hAnsi="Times New Roman" w:cs="Times New Roman"/>
                <w:iCs/>
                <w:noProof/>
                <w:sz w:val="24"/>
                <w:szCs w:val="24"/>
                <w:lang w:eastAsia="lv-LV"/>
              </w:rPr>
              <w:t>”</w:t>
            </w:r>
            <w:r w:rsidRPr="00FB65E1">
              <w:rPr>
                <w:rFonts w:ascii="Times New Roman" w:hAnsi="Times New Roman" w:cs="Times New Roman"/>
                <w:sz w:val="24"/>
                <w:szCs w:val="24"/>
              </w:rPr>
              <w:t xml:space="preserve"> (turpmāk – noteikumu projekts) mērķis ir</w:t>
            </w:r>
            <w:r w:rsidR="00057363">
              <w:rPr>
                <w:rFonts w:ascii="Times New Roman" w:hAnsi="Times New Roman" w:cs="Times New Roman"/>
                <w:sz w:val="24"/>
                <w:szCs w:val="24"/>
              </w:rPr>
              <w:t xml:space="preserve"> noteikt </w:t>
            </w:r>
            <w:r w:rsidR="00057363">
              <w:t xml:space="preserve"> </w:t>
            </w:r>
            <w:r w:rsidR="00057363" w:rsidRPr="00057363">
              <w:rPr>
                <w:rFonts w:ascii="Times New Roman" w:hAnsi="Times New Roman" w:cs="Times New Roman"/>
                <w:sz w:val="24"/>
                <w:szCs w:val="24"/>
              </w:rPr>
              <w:t xml:space="preserve">Černobiļas atomelektrostacijas </w:t>
            </w:r>
            <w:r w:rsidR="00057363">
              <w:rPr>
                <w:rFonts w:ascii="Times New Roman" w:hAnsi="Times New Roman" w:cs="Times New Roman"/>
                <w:sz w:val="24"/>
                <w:szCs w:val="24"/>
              </w:rPr>
              <w:t xml:space="preserve">(turpmāk – ČAES) </w:t>
            </w:r>
            <w:r w:rsidR="00057363" w:rsidRPr="00057363">
              <w:rPr>
                <w:rFonts w:ascii="Times New Roman" w:hAnsi="Times New Roman" w:cs="Times New Roman"/>
                <w:sz w:val="24"/>
                <w:szCs w:val="24"/>
              </w:rPr>
              <w:t xml:space="preserve">avārijas seku likvidēšanas dalībniekiem un mirušo </w:t>
            </w:r>
            <w:r w:rsidR="00BD011B">
              <w:rPr>
                <w:rFonts w:ascii="Times New Roman" w:hAnsi="Times New Roman" w:cs="Times New Roman"/>
                <w:sz w:val="24"/>
                <w:szCs w:val="24"/>
              </w:rPr>
              <w:t xml:space="preserve">ČAES </w:t>
            </w:r>
            <w:r w:rsidR="00057363" w:rsidRPr="00057363">
              <w:rPr>
                <w:rFonts w:ascii="Times New Roman" w:hAnsi="Times New Roman" w:cs="Times New Roman"/>
                <w:sz w:val="24"/>
                <w:szCs w:val="24"/>
              </w:rPr>
              <w:t>dalībnieku ģimenēm izmaksājamā valsts sociālā pabalst</w:t>
            </w:r>
            <w:r w:rsidR="00057363">
              <w:rPr>
                <w:rFonts w:ascii="Times New Roman" w:hAnsi="Times New Roman" w:cs="Times New Roman"/>
                <w:sz w:val="24"/>
                <w:szCs w:val="24"/>
              </w:rPr>
              <w:t xml:space="preserve">a (turpmāk – </w:t>
            </w:r>
            <w:r w:rsidR="00F20168" w:rsidRPr="00A23AAE">
              <w:rPr>
                <w:rFonts w:ascii="Times New Roman" w:hAnsi="Times New Roman" w:cs="Times New Roman"/>
                <w:sz w:val="24"/>
                <w:szCs w:val="24"/>
                <w:shd w:val="clear" w:color="auto" w:fill="FFFFFF"/>
              </w:rPr>
              <w:t>valsts sociālais pabalst</w:t>
            </w:r>
            <w:r w:rsidR="00F20168">
              <w:rPr>
                <w:rFonts w:ascii="Times New Roman" w:hAnsi="Times New Roman" w:cs="Times New Roman"/>
                <w:sz w:val="24"/>
                <w:szCs w:val="24"/>
                <w:shd w:val="clear" w:color="auto" w:fill="FFFFFF"/>
              </w:rPr>
              <w:t>u</w:t>
            </w:r>
            <w:r w:rsidR="00057363">
              <w:rPr>
                <w:rFonts w:ascii="Times New Roman" w:hAnsi="Times New Roman" w:cs="Times New Roman"/>
                <w:sz w:val="24"/>
                <w:szCs w:val="24"/>
              </w:rPr>
              <w:t>) piešķiršanas un izmaksas kārtību</w:t>
            </w:r>
            <w:r w:rsidR="004960F0">
              <w:rPr>
                <w:rFonts w:ascii="Times New Roman" w:hAnsi="Times New Roman" w:cs="Times New Roman"/>
                <w:sz w:val="24"/>
                <w:szCs w:val="24"/>
              </w:rPr>
              <w:t>.</w:t>
            </w:r>
          </w:p>
          <w:p w14:paraId="6DD2F99A" w14:textId="77777777" w:rsidR="00057363" w:rsidRDefault="00057363" w:rsidP="009A74DA">
            <w:pPr>
              <w:spacing w:after="0" w:line="240" w:lineRule="auto"/>
              <w:jc w:val="both"/>
              <w:rPr>
                <w:rFonts w:ascii="Times New Roman" w:hAnsi="Times New Roman" w:cs="Times New Roman"/>
                <w:sz w:val="24"/>
                <w:szCs w:val="24"/>
              </w:rPr>
            </w:pPr>
          </w:p>
          <w:p w14:paraId="4AB43D3C" w14:textId="3193532B" w:rsidR="00495F81" w:rsidRPr="00FB65E1" w:rsidRDefault="004B54C0" w:rsidP="009A74DA">
            <w:pPr>
              <w:spacing w:after="0" w:line="240" w:lineRule="auto"/>
              <w:jc w:val="both"/>
              <w:rPr>
                <w:rFonts w:ascii="Times New Roman" w:hAnsi="Times New Roman" w:cs="Times New Roman"/>
                <w:sz w:val="24"/>
                <w:szCs w:val="24"/>
              </w:rPr>
            </w:pPr>
            <w:r w:rsidRPr="00FB65E1">
              <w:rPr>
                <w:rFonts w:ascii="Times New Roman" w:eastAsia="Times New Roman" w:hAnsi="Times New Roman" w:cs="Times New Roman"/>
                <w:iCs/>
                <w:noProof/>
                <w:sz w:val="24"/>
                <w:szCs w:val="24"/>
                <w:lang w:eastAsia="lv-LV"/>
              </w:rPr>
              <w:t xml:space="preserve">Noteikumu </w:t>
            </w:r>
            <w:r w:rsidR="00495F81" w:rsidRPr="00FB65E1">
              <w:rPr>
                <w:rFonts w:ascii="Times New Roman" w:eastAsia="Times New Roman" w:hAnsi="Times New Roman" w:cs="Times New Roman"/>
                <w:iCs/>
                <w:noProof/>
                <w:sz w:val="24"/>
                <w:szCs w:val="24"/>
                <w:lang w:eastAsia="lv-LV"/>
              </w:rPr>
              <w:t xml:space="preserve">projekts stāsies spēkā </w:t>
            </w:r>
            <w:r w:rsidR="00711600" w:rsidRPr="00FB65E1">
              <w:rPr>
                <w:rFonts w:ascii="Times New Roman" w:eastAsia="Times New Roman" w:hAnsi="Times New Roman" w:cs="Times New Roman"/>
                <w:iCs/>
                <w:noProof/>
                <w:sz w:val="24"/>
                <w:szCs w:val="24"/>
                <w:lang w:eastAsia="lv-LV"/>
              </w:rPr>
              <w:t>202</w:t>
            </w:r>
            <w:r w:rsidR="00795B20">
              <w:rPr>
                <w:rFonts w:ascii="Times New Roman" w:eastAsia="Times New Roman" w:hAnsi="Times New Roman" w:cs="Times New Roman"/>
                <w:iCs/>
                <w:noProof/>
                <w:sz w:val="24"/>
                <w:szCs w:val="24"/>
                <w:lang w:eastAsia="lv-LV"/>
              </w:rPr>
              <w:t>1</w:t>
            </w:r>
            <w:r w:rsidR="00711600" w:rsidRPr="00FB65E1">
              <w:rPr>
                <w:rFonts w:ascii="Times New Roman" w:eastAsia="Times New Roman" w:hAnsi="Times New Roman" w:cs="Times New Roman"/>
                <w:iCs/>
                <w:noProof/>
                <w:sz w:val="24"/>
                <w:szCs w:val="24"/>
                <w:lang w:eastAsia="lv-LV"/>
              </w:rPr>
              <w:t>.gada 1.janvārī</w:t>
            </w:r>
            <w:r w:rsidR="006D6227" w:rsidRPr="00FB65E1">
              <w:rPr>
                <w:rFonts w:ascii="Times New Roman" w:eastAsia="Times New Roman" w:hAnsi="Times New Roman" w:cs="Times New Roman"/>
                <w:iCs/>
                <w:noProof/>
                <w:sz w:val="24"/>
                <w:szCs w:val="24"/>
                <w:lang w:eastAsia="lv-LV"/>
              </w:rPr>
              <w:t>.</w:t>
            </w:r>
          </w:p>
        </w:tc>
      </w:tr>
    </w:tbl>
    <w:p w14:paraId="6BB65CF2" w14:textId="77777777" w:rsidR="00495F81" w:rsidRPr="00FB65E1" w:rsidRDefault="00495F81" w:rsidP="009A74DA">
      <w:pPr>
        <w:spacing w:after="0" w:line="240" w:lineRule="auto"/>
        <w:rPr>
          <w:rFonts w:ascii="Times New Roman" w:eastAsia="Times New Roman" w:hAnsi="Times New Roman" w:cs="Times New Roman"/>
          <w:iCs/>
          <w:noProof/>
          <w:sz w:val="24"/>
          <w:szCs w:val="24"/>
          <w:lang w:eastAsia="lv-LV"/>
        </w:rPr>
      </w:pPr>
      <w:r w:rsidRPr="00FB65E1">
        <w:rPr>
          <w:rFonts w:ascii="Times New Roman" w:eastAsia="Times New Roman" w:hAnsi="Times New Roman" w:cs="Times New Roman"/>
          <w:iCs/>
          <w:noProof/>
          <w:sz w:val="24"/>
          <w:szCs w:val="24"/>
          <w:lang w:eastAsia="lv-LV"/>
        </w:rPr>
        <w:t xml:space="preserve"> </w:t>
      </w:r>
    </w:p>
    <w:tbl>
      <w:tblPr>
        <w:tblW w:w="515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372"/>
      </w:tblGrid>
      <w:tr w:rsidR="00FB65E1" w:rsidRPr="00305D60" w14:paraId="209729C6" w14:textId="77777777" w:rsidTr="0025460B">
        <w:trPr>
          <w:tblCellSpacing w:w="15" w:type="dxa"/>
        </w:trPr>
        <w:tc>
          <w:tcPr>
            <w:tcW w:w="9281" w:type="dxa"/>
            <w:gridSpan w:val="3"/>
            <w:tcBorders>
              <w:top w:val="outset" w:sz="6" w:space="0" w:color="auto"/>
              <w:left w:val="outset" w:sz="6" w:space="0" w:color="auto"/>
              <w:bottom w:val="outset" w:sz="6" w:space="0" w:color="auto"/>
              <w:right w:val="outset" w:sz="6" w:space="0" w:color="auto"/>
            </w:tcBorders>
            <w:vAlign w:val="center"/>
            <w:hideMark/>
          </w:tcPr>
          <w:p w14:paraId="4E18984A" w14:textId="77777777" w:rsidR="00495F81" w:rsidRPr="00305D60" w:rsidRDefault="00495F81" w:rsidP="009A74DA">
            <w:pPr>
              <w:spacing w:after="0" w:line="240" w:lineRule="auto"/>
              <w:rPr>
                <w:rFonts w:ascii="Times New Roman" w:eastAsia="Times New Roman" w:hAnsi="Times New Roman" w:cs="Times New Roman"/>
                <w:b/>
                <w:bCs/>
                <w:iCs/>
                <w:noProof/>
                <w:sz w:val="24"/>
                <w:szCs w:val="24"/>
                <w:lang w:eastAsia="lv-LV"/>
              </w:rPr>
            </w:pPr>
            <w:r w:rsidRPr="00305D60">
              <w:rPr>
                <w:rFonts w:ascii="Times New Roman" w:eastAsia="Times New Roman" w:hAnsi="Times New Roman" w:cs="Times New Roman"/>
                <w:b/>
                <w:bCs/>
                <w:iCs/>
                <w:noProof/>
                <w:sz w:val="24"/>
                <w:szCs w:val="24"/>
                <w:lang w:eastAsia="lv-LV"/>
              </w:rPr>
              <w:t>I. Tiesību akta projekta izstrādes nepieciešamība</w:t>
            </w:r>
          </w:p>
        </w:tc>
      </w:tr>
      <w:tr w:rsidR="00FB65E1" w:rsidRPr="00305D60" w14:paraId="358AC3E6" w14:textId="77777777" w:rsidTr="00F20168">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622A5111" w14:textId="77777777" w:rsidR="00495F81" w:rsidRPr="00305D60" w:rsidRDefault="00495F81" w:rsidP="009A74DA">
            <w:pPr>
              <w:spacing w:after="0" w:line="240" w:lineRule="auto"/>
              <w:rPr>
                <w:rFonts w:ascii="Times New Roman" w:eastAsia="Times New Roman" w:hAnsi="Times New Roman" w:cs="Times New Roman"/>
                <w:iCs/>
                <w:noProof/>
                <w:sz w:val="24"/>
                <w:szCs w:val="24"/>
                <w:lang w:eastAsia="lv-LV"/>
              </w:rPr>
            </w:pPr>
            <w:r w:rsidRPr="00305D60">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14:paraId="0C74E59A" w14:textId="77777777" w:rsidR="00495F81" w:rsidRPr="00305D60" w:rsidRDefault="00495F81" w:rsidP="009A74DA">
            <w:pPr>
              <w:spacing w:after="0" w:line="240" w:lineRule="auto"/>
              <w:rPr>
                <w:rFonts w:ascii="Times New Roman" w:eastAsia="Times New Roman" w:hAnsi="Times New Roman" w:cs="Times New Roman"/>
                <w:iCs/>
                <w:noProof/>
                <w:sz w:val="24"/>
                <w:szCs w:val="24"/>
                <w:lang w:eastAsia="lv-LV"/>
              </w:rPr>
            </w:pPr>
            <w:r w:rsidRPr="00305D60">
              <w:rPr>
                <w:rFonts w:ascii="Times New Roman" w:eastAsia="Times New Roman" w:hAnsi="Times New Roman" w:cs="Times New Roman"/>
                <w:iCs/>
                <w:noProof/>
                <w:sz w:val="24"/>
                <w:szCs w:val="24"/>
                <w:lang w:eastAsia="lv-LV"/>
              </w:rPr>
              <w:t>Pamatojums</w:t>
            </w:r>
          </w:p>
        </w:tc>
        <w:tc>
          <w:tcPr>
            <w:tcW w:w="6327" w:type="dxa"/>
            <w:tcBorders>
              <w:top w:val="outset" w:sz="6" w:space="0" w:color="auto"/>
              <w:left w:val="outset" w:sz="6" w:space="0" w:color="auto"/>
              <w:bottom w:val="outset" w:sz="6" w:space="0" w:color="auto"/>
              <w:right w:val="outset" w:sz="6" w:space="0" w:color="auto"/>
            </w:tcBorders>
            <w:hideMark/>
          </w:tcPr>
          <w:p w14:paraId="67F4F853" w14:textId="48339C51" w:rsidR="00E345A6" w:rsidRPr="00305D60" w:rsidRDefault="00E345A6" w:rsidP="009A74DA">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305D60">
              <w:rPr>
                <w:rFonts w:ascii="Times New Roman" w:eastAsia="Times New Roman" w:hAnsi="Times New Roman" w:cs="Times New Roman"/>
                <w:sz w:val="24"/>
                <w:szCs w:val="24"/>
                <w:lang w:eastAsia="lv-LV"/>
              </w:rPr>
              <w:t>Ministru kabineta 2020.</w:t>
            </w:r>
            <w:r w:rsidR="00D454D5">
              <w:rPr>
                <w:rFonts w:ascii="Times New Roman" w:eastAsia="Times New Roman" w:hAnsi="Times New Roman" w:cs="Times New Roman"/>
                <w:sz w:val="24"/>
                <w:szCs w:val="24"/>
                <w:lang w:eastAsia="lv-LV"/>
              </w:rPr>
              <w:t> </w:t>
            </w:r>
            <w:r w:rsidRPr="00305D60">
              <w:rPr>
                <w:rFonts w:ascii="Times New Roman" w:eastAsia="Times New Roman" w:hAnsi="Times New Roman" w:cs="Times New Roman"/>
                <w:sz w:val="24"/>
                <w:szCs w:val="24"/>
                <w:lang w:eastAsia="lv-LV"/>
              </w:rPr>
              <w:t>gada 22.</w:t>
            </w:r>
            <w:r w:rsidR="00D454D5">
              <w:rPr>
                <w:rFonts w:ascii="Times New Roman" w:eastAsia="Times New Roman" w:hAnsi="Times New Roman" w:cs="Times New Roman"/>
                <w:sz w:val="24"/>
                <w:szCs w:val="24"/>
                <w:lang w:eastAsia="lv-LV"/>
              </w:rPr>
              <w:t> </w:t>
            </w:r>
            <w:r w:rsidRPr="00305D60">
              <w:rPr>
                <w:rFonts w:ascii="Times New Roman" w:eastAsia="Times New Roman" w:hAnsi="Times New Roman" w:cs="Times New Roman"/>
                <w:sz w:val="24"/>
                <w:szCs w:val="24"/>
                <w:lang w:eastAsia="lv-LV"/>
              </w:rPr>
              <w:t>septembra protokola Nr.</w:t>
            </w:r>
            <w:r w:rsidR="00D454D5">
              <w:rPr>
                <w:rFonts w:ascii="Times New Roman" w:eastAsia="Times New Roman" w:hAnsi="Times New Roman" w:cs="Times New Roman"/>
                <w:sz w:val="24"/>
                <w:szCs w:val="24"/>
                <w:lang w:eastAsia="lv-LV"/>
              </w:rPr>
              <w:t> </w:t>
            </w:r>
            <w:r w:rsidRPr="00305D60">
              <w:rPr>
                <w:rFonts w:ascii="Times New Roman" w:eastAsia="Times New Roman" w:hAnsi="Times New Roman" w:cs="Times New Roman"/>
                <w:sz w:val="24"/>
                <w:szCs w:val="24"/>
                <w:lang w:eastAsia="lv-LV"/>
              </w:rPr>
              <w:t xml:space="preserve">55 </w:t>
            </w:r>
            <w:bookmarkStart w:id="0" w:name="38"/>
            <w:r w:rsidRPr="00305D60">
              <w:rPr>
                <w:rFonts w:ascii="Times New Roman" w:eastAsia="Times New Roman" w:hAnsi="Times New Roman" w:cs="Times New Roman"/>
                <w:sz w:val="24"/>
                <w:szCs w:val="24"/>
                <w:lang w:eastAsia="lv-LV"/>
              </w:rPr>
              <w:t>38.</w:t>
            </w:r>
            <w:r w:rsidR="00D454D5">
              <w:rPr>
                <w:rFonts w:ascii="Times New Roman" w:eastAsia="Times New Roman" w:hAnsi="Times New Roman" w:cs="Times New Roman"/>
                <w:sz w:val="24"/>
                <w:szCs w:val="24"/>
                <w:lang w:eastAsia="lv-LV"/>
              </w:rPr>
              <w:t> </w:t>
            </w:r>
            <w:r w:rsidRPr="00305D60">
              <w:rPr>
                <w:rFonts w:ascii="Times New Roman" w:eastAsia="Times New Roman" w:hAnsi="Times New Roman" w:cs="Times New Roman"/>
                <w:sz w:val="24"/>
                <w:szCs w:val="24"/>
                <w:lang w:eastAsia="lv-LV"/>
              </w:rPr>
              <w:t>§</w:t>
            </w:r>
            <w:bookmarkEnd w:id="0"/>
            <w:r w:rsidRPr="00305D60">
              <w:rPr>
                <w:rFonts w:ascii="Times New Roman" w:eastAsia="Times New Roman" w:hAnsi="Times New Roman" w:cs="Times New Roman"/>
                <w:sz w:val="24"/>
                <w:szCs w:val="24"/>
                <w:lang w:eastAsia="lv-LV"/>
              </w:rPr>
              <w:t xml:space="preserve"> 31.punkts</w:t>
            </w:r>
            <w:r w:rsidR="005F5779" w:rsidRPr="00305D60">
              <w:rPr>
                <w:rFonts w:ascii="Times New Roman" w:eastAsia="Times New Roman" w:hAnsi="Times New Roman" w:cs="Times New Roman"/>
                <w:sz w:val="24"/>
                <w:szCs w:val="24"/>
                <w:lang w:eastAsia="lv-LV"/>
              </w:rPr>
              <w:t xml:space="preserve">, kas nosaka </w:t>
            </w:r>
            <w:r w:rsidR="002D3F78" w:rsidRPr="00305D60">
              <w:rPr>
                <w:rFonts w:ascii="Times New Roman" w:eastAsia="Times New Roman" w:hAnsi="Times New Roman" w:cs="Times New Roman"/>
                <w:sz w:val="24"/>
                <w:szCs w:val="24"/>
                <w:lang w:eastAsia="lv-LV"/>
              </w:rPr>
              <w:t>“L</w:t>
            </w:r>
            <w:r w:rsidR="002D3F78" w:rsidRPr="00305D60">
              <w:rPr>
                <w:rFonts w:ascii="Times New Roman" w:hAnsi="Times New Roman" w:cs="Times New Roman"/>
                <w:color w:val="2A2A2A"/>
                <w:sz w:val="24"/>
                <w:szCs w:val="24"/>
                <w:shd w:val="clear" w:color="auto" w:fill="FFFFFF"/>
              </w:rPr>
              <w:t xml:space="preserve">abklājības ministrijai mēneša laikā pēc šī </w:t>
            </w:r>
            <w:proofErr w:type="spellStart"/>
            <w:r w:rsidR="002D3F78" w:rsidRPr="00305D60">
              <w:rPr>
                <w:rFonts w:ascii="Times New Roman" w:hAnsi="Times New Roman" w:cs="Times New Roman"/>
                <w:color w:val="2A2A2A"/>
                <w:sz w:val="24"/>
                <w:szCs w:val="24"/>
                <w:shd w:val="clear" w:color="auto" w:fill="FFFFFF"/>
              </w:rPr>
              <w:t>protokollēmuma</w:t>
            </w:r>
            <w:proofErr w:type="spellEnd"/>
            <w:r w:rsidR="002D3F78" w:rsidRPr="00305D60">
              <w:rPr>
                <w:rFonts w:ascii="Times New Roman" w:hAnsi="Times New Roman" w:cs="Times New Roman"/>
                <w:color w:val="2A2A2A"/>
                <w:sz w:val="24"/>
                <w:szCs w:val="24"/>
                <w:shd w:val="clear" w:color="auto" w:fill="FFFFFF"/>
              </w:rPr>
              <w:t xml:space="preserve"> 30.punktā minēto likumu pieņemšanas Saeimā sagatavot grozījumus ar šī </w:t>
            </w:r>
            <w:proofErr w:type="spellStart"/>
            <w:r w:rsidR="002D3F78" w:rsidRPr="00305D60">
              <w:rPr>
                <w:rFonts w:ascii="Times New Roman" w:hAnsi="Times New Roman" w:cs="Times New Roman"/>
                <w:color w:val="2A2A2A"/>
                <w:sz w:val="24"/>
                <w:szCs w:val="24"/>
                <w:shd w:val="clear" w:color="auto" w:fill="FFFFFF"/>
              </w:rPr>
              <w:t>protokollēmuma</w:t>
            </w:r>
            <w:proofErr w:type="spellEnd"/>
            <w:r w:rsidR="002D3F78" w:rsidRPr="00305D60">
              <w:rPr>
                <w:rFonts w:ascii="Times New Roman" w:hAnsi="Times New Roman" w:cs="Times New Roman"/>
                <w:color w:val="2A2A2A"/>
                <w:sz w:val="24"/>
                <w:szCs w:val="24"/>
                <w:shd w:val="clear" w:color="auto" w:fill="FFFFFF"/>
              </w:rPr>
              <w:t xml:space="preserve"> 30.punktā minēto likumu saistītajos normatīvajos aktos un iesniegt izskatīšanai Ministru kabinetā kā Ministru kabineta lietu</w:t>
            </w:r>
            <w:r w:rsidR="002D3F78" w:rsidRPr="00305D60">
              <w:rPr>
                <w:rFonts w:ascii="Times New Roman" w:eastAsia="Times New Roman" w:hAnsi="Times New Roman" w:cs="Times New Roman"/>
                <w:sz w:val="24"/>
                <w:szCs w:val="24"/>
                <w:lang w:eastAsia="lv-LV"/>
              </w:rPr>
              <w:t>”</w:t>
            </w:r>
            <w:r w:rsidR="00692ED9" w:rsidRPr="00305D60">
              <w:rPr>
                <w:rFonts w:ascii="Times New Roman" w:eastAsia="Times New Roman" w:hAnsi="Times New Roman" w:cs="Times New Roman"/>
                <w:sz w:val="24"/>
                <w:szCs w:val="24"/>
                <w:lang w:eastAsia="lv-LV"/>
              </w:rPr>
              <w:t>.</w:t>
            </w:r>
            <w:r w:rsidR="002D3F78" w:rsidRPr="00305D60" w:rsidDel="002D3F78">
              <w:rPr>
                <w:rFonts w:ascii="Times New Roman" w:eastAsia="Times New Roman" w:hAnsi="Times New Roman" w:cs="Times New Roman"/>
                <w:sz w:val="24"/>
                <w:szCs w:val="24"/>
                <w:lang w:eastAsia="lv-LV"/>
              </w:rPr>
              <w:t xml:space="preserve"> </w:t>
            </w:r>
          </w:p>
          <w:p w14:paraId="7B98F20D" w14:textId="76C0516E" w:rsidR="00495F81" w:rsidRPr="00305D60" w:rsidRDefault="00795B20" w:rsidP="009A74DA">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305D60">
              <w:rPr>
                <w:rFonts w:ascii="Times New Roman" w:eastAsia="Times New Roman" w:hAnsi="Times New Roman" w:cs="Times New Roman"/>
                <w:sz w:val="24"/>
                <w:szCs w:val="24"/>
                <w:lang w:eastAsia="lv-LV"/>
              </w:rPr>
              <w:t>Likum</w:t>
            </w:r>
            <w:r w:rsidR="00CF23FC">
              <w:rPr>
                <w:rFonts w:ascii="Times New Roman" w:eastAsia="Times New Roman" w:hAnsi="Times New Roman" w:cs="Times New Roman"/>
                <w:sz w:val="24"/>
                <w:szCs w:val="24"/>
                <w:lang w:eastAsia="lv-LV"/>
              </w:rPr>
              <w:t>projekti</w:t>
            </w:r>
            <w:r w:rsidRPr="00305D60">
              <w:rPr>
                <w:rFonts w:ascii="Times New Roman" w:eastAsia="Times New Roman" w:hAnsi="Times New Roman" w:cs="Times New Roman"/>
                <w:sz w:val="24"/>
                <w:szCs w:val="24"/>
                <w:lang w:eastAsia="lv-LV"/>
              </w:rPr>
              <w:t xml:space="preserve"> “</w:t>
            </w:r>
            <w:r w:rsidR="00E345A6" w:rsidRPr="00305D60">
              <w:rPr>
                <w:rFonts w:ascii="Times New Roman" w:eastAsia="Times New Roman" w:hAnsi="Times New Roman" w:cs="Times New Roman"/>
                <w:sz w:val="24"/>
                <w:szCs w:val="24"/>
                <w:lang w:eastAsia="lv-LV"/>
              </w:rPr>
              <w:t>Grozījumi Valsts sociālo pabalstu likumā</w:t>
            </w:r>
            <w:r w:rsidRPr="00305D60">
              <w:rPr>
                <w:rFonts w:ascii="Times New Roman" w:eastAsia="Times New Roman" w:hAnsi="Times New Roman" w:cs="Times New Roman"/>
                <w:sz w:val="24"/>
                <w:szCs w:val="24"/>
                <w:lang w:eastAsia="lv-LV"/>
              </w:rPr>
              <w:t>”</w:t>
            </w:r>
            <w:r w:rsidR="002B4957" w:rsidRPr="00305D60">
              <w:rPr>
                <w:rFonts w:ascii="Times New Roman" w:eastAsia="Times New Roman" w:hAnsi="Times New Roman" w:cs="Times New Roman"/>
                <w:sz w:val="24"/>
                <w:szCs w:val="24"/>
                <w:lang w:eastAsia="lv-LV"/>
              </w:rPr>
              <w:t xml:space="preserve">, </w:t>
            </w:r>
            <w:r w:rsidRPr="00305D60">
              <w:rPr>
                <w:rFonts w:ascii="Times New Roman" w:eastAsia="Times New Roman" w:hAnsi="Times New Roman" w:cs="Times New Roman"/>
                <w:sz w:val="24"/>
                <w:szCs w:val="24"/>
                <w:lang w:eastAsia="lv-LV"/>
              </w:rPr>
              <w:t xml:space="preserve">“Grozījumi </w:t>
            </w:r>
            <w:r w:rsidR="00E345A6" w:rsidRPr="00305D60">
              <w:rPr>
                <w:rFonts w:ascii="Times New Roman" w:eastAsia="Times New Roman" w:hAnsi="Times New Roman" w:cs="Times New Roman"/>
                <w:sz w:val="24"/>
                <w:szCs w:val="24"/>
                <w:lang w:eastAsia="lv-LV"/>
              </w:rPr>
              <w:t xml:space="preserve">likumā </w:t>
            </w:r>
            <w:r w:rsidRPr="00305D60">
              <w:rPr>
                <w:rFonts w:ascii="Times New Roman" w:eastAsia="Times New Roman" w:hAnsi="Times New Roman" w:cs="Times New Roman"/>
                <w:sz w:val="24"/>
                <w:szCs w:val="24"/>
                <w:lang w:eastAsia="lv-LV"/>
              </w:rPr>
              <w:t>“</w:t>
            </w:r>
            <w:r w:rsidR="00E345A6" w:rsidRPr="00305D60">
              <w:rPr>
                <w:rFonts w:ascii="Times New Roman" w:eastAsia="Times New Roman" w:hAnsi="Times New Roman" w:cs="Times New Roman"/>
                <w:sz w:val="24"/>
                <w:szCs w:val="24"/>
                <w:lang w:eastAsia="lv-LV"/>
              </w:rPr>
              <w:t>Par sociālo drošību</w:t>
            </w:r>
            <w:r w:rsidR="002B4957" w:rsidRPr="00305D60">
              <w:rPr>
                <w:rFonts w:ascii="Times New Roman" w:eastAsia="Times New Roman" w:hAnsi="Times New Roman" w:cs="Times New Roman"/>
                <w:sz w:val="24"/>
                <w:szCs w:val="24"/>
                <w:lang w:eastAsia="lv-LV"/>
              </w:rPr>
              <w:t>”, “</w:t>
            </w:r>
            <w:r w:rsidR="00464F30" w:rsidRPr="00464F30">
              <w:rPr>
                <w:rFonts w:ascii="Times New Roman" w:hAnsi="Times New Roman" w:cs="Times New Roman"/>
                <w:bCs/>
                <w:sz w:val="24"/>
                <w:szCs w:val="24"/>
                <w:shd w:val="clear" w:color="auto" w:fill="FFFFFF"/>
              </w:rPr>
              <w:t>Černobiļas atomelektrostacijas avārijas seku likvidēšanas dalībnieku un Černobiļas atomelektrostacijas avārijas rezultātā cietušo personu sociālās aizsardzības likum</w:t>
            </w:r>
            <w:r w:rsidR="00464F30">
              <w:rPr>
                <w:rFonts w:ascii="Times New Roman" w:hAnsi="Times New Roman" w:cs="Times New Roman"/>
                <w:bCs/>
                <w:sz w:val="24"/>
                <w:szCs w:val="24"/>
                <w:shd w:val="clear" w:color="auto" w:fill="FFFFFF"/>
              </w:rPr>
              <w:t>ā</w:t>
            </w:r>
            <w:r w:rsidR="002B4957" w:rsidRPr="00305D60">
              <w:rPr>
                <w:rFonts w:ascii="Times New Roman" w:eastAsia="Times New Roman" w:hAnsi="Times New Roman" w:cs="Times New Roman"/>
                <w:sz w:val="24"/>
                <w:szCs w:val="24"/>
                <w:lang w:eastAsia="lv-LV"/>
              </w:rPr>
              <w:t>”,</w:t>
            </w:r>
            <w:r w:rsidR="00E345A6" w:rsidRPr="00305D60">
              <w:rPr>
                <w:rFonts w:ascii="Times New Roman" w:eastAsia="Times New Roman" w:hAnsi="Times New Roman" w:cs="Times New Roman"/>
                <w:sz w:val="24"/>
                <w:szCs w:val="24"/>
                <w:lang w:eastAsia="lv-LV"/>
              </w:rPr>
              <w:t xml:space="preserve"> kas pieņemti Saeimā</w:t>
            </w:r>
            <w:r w:rsidR="00CF23FC">
              <w:rPr>
                <w:rFonts w:ascii="Times New Roman" w:eastAsia="Times New Roman" w:hAnsi="Times New Roman" w:cs="Times New Roman"/>
                <w:sz w:val="24"/>
                <w:szCs w:val="24"/>
                <w:lang w:eastAsia="lv-LV"/>
              </w:rPr>
              <w:t xml:space="preserve"> otrajā, galīgajā lasījumā</w:t>
            </w:r>
            <w:r w:rsidR="00E345A6" w:rsidRPr="00305D60">
              <w:rPr>
                <w:rFonts w:ascii="Times New Roman" w:eastAsia="Times New Roman" w:hAnsi="Times New Roman" w:cs="Times New Roman"/>
                <w:sz w:val="24"/>
                <w:szCs w:val="24"/>
                <w:lang w:eastAsia="lv-LV"/>
              </w:rPr>
              <w:t xml:space="preserve"> </w:t>
            </w:r>
            <w:r w:rsidR="00E345A6" w:rsidRPr="00861D96">
              <w:rPr>
                <w:rFonts w:ascii="Times New Roman" w:eastAsia="Times New Roman" w:hAnsi="Times New Roman" w:cs="Times New Roman"/>
                <w:sz w:val="24"/>
                <w:szCs w:val="24"/>
                <w:lang w:eastAsia="lv-LV"/>
              </w:rPr>
              <w:t>2020. gada 2</w:t>
            </w:r>
            <w:r w:rsidR="00861D96" w:rsidRPr="00861D96">
              <w:rPr>
                <w:rFonts w:ascii="Times New Roman" w:eastAsia="Times New Roman" w:hAnsi="Times New Roman" w:cs="Times New Roman"/>
                <w:sz w:val="24"/>
                <w:szCs w:val="24"/>
                <w:lang w:eastAsia="lv-LV"/>
              </w:rPr>
              <w:t>4</w:t>
            </w:r>
            <w:r w:rsidR="00E345A6" w:rsidRPr="00861D96">
              <w:rPr>
                <w:rFonts w:ascii="Times New Roman" w:eastAsia="Times New Roman" w:hAnsi="Times New Roman" w:cs="Times New Roman"/>
                <w:sz w:val="24"/>
                <w:szCs w:val="24"/>
                <w:lang w:eastAsia="lv-LV"/>
              </w:rPr>
              <w:t>. novembrī.</w:t>
            </w:r>
          </w:p>
        </w:tc>
      </w:tr>
      <w:tr w:rsidR="00F20168" w:rsidRPr="00305D60" w14:paraId="466C7944" w14:textId="77777777" w:rsidTr="00F20168">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278A2D0B" w14:textId="77777777" w:rsidR="00F20168" w:rsidRPr="00305D60" w:rsidRDefault="00F20168" w:rsidP="009A74DA">
            <w:pPr>
              <w:spacing w:after="0" w:line="240" w:lineRule="auto"/>
              <w:rPr>
                <w:rFonts w:ascii="Times New Roman" w:eastAsia="Times New Roman" w:hAnsi="Times New Roman" w:cs="Times New Roman"/>
                <w:iCs/>
                <w:noProof/>
                <w:sz w:val="24"/>
                <w:szCs w:val="24"/>
                <w:lang w:eastAsia="lv-LV"/>
              </w:rPr>
            </w:pPr>
            <w:r w:rsidRPr="00305D60">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14:paraId="7AEEB457" w14:textId="77777777" w:rsidR="00F20168" w:rsidRPr="00305D60" w:rsidRDefault="00F20168" w:rsidP="009A74DA">
            <w:pPr>
              <w:spacing w:after="0" w:line="240" w:lineRule="auto"/>
              <w:rPr>
                <w:rFonts w:ascii="Times New Roman" w:eastAsia="Times New Roman" w:hAnsi="Times New Roman" w:cs="Times New Roman"/>
                <w:iCs/>
                <w:noProof/>
                <w:sz w:val="24"/>
                <w:szCs w:val="24"/>
                <w:lang w:eastAsia="lv-LV"/>
              </w:rPr>
            </w:pPr>
            <w:r w:rsidRPr="00305D60">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14:paraId="32897A66" w14:textId="77777777" w:rsidR="00F20168" w:rsidRPr="00305D60" w:rsidRDefault="00F20168" w:rsidP="009A74DA">
            <w:pPr>
              <w:spacing w:after="0" w:line="240" w:lineRule="auto"/>
              <w:rPr>
                <w:rFonts w:ascii="Times New Roman" w:eastAsia="Times New Roman" w:hAnsi="Times New Roman" w:cs="Times New Roman"/>
                <w:sz w:val="24"/>
                <w:szCs w:val="24"/>
                <w:lang w:eastAsia="lv-LV"/>
              </w:rPr>
            </w:pPr>
          </w:p>
          <w:p w14:paraId="5F295A38" w14:textId="77777777" w:rsidR="00F20168" w:rsidRPr="00305D60" w:rsidRDefault="00F20168" w:rsidP="009A74DA">
            <w:pPr>
              <w:spacing w:after="0" w:line="240" w:lineRule="auto"/>
              <w:rPr>
                <w:rFonts w:ascii="Times New Roman" w:eastAsia="Times New Roman" w:hAnsi="Times New Roman" w:cs="Times New Roman"/>
                <w:sz w:val="24"/>
                <w:szCs w:val="24"/>
                <w:lang w:eastAsia="lv-LV"/>
              </w:rPr>
            </w:pPr>
          </w:p>
          <w:p w14:paraId="5076F4E7" w14:textId="77777777" w:rsidR="00F20168" w:rsidRPr="00305D60" w:rsidRDefault="00F20168" w:rsidP="009A74DA">
            <w:pPr>
              <w:spacing w:after="0" w:line="240" w:lineRule="auto"/>
              <w:rPr>
                <w:rFonts w:ascii="Times New Roman" w:eastAsia="Times New Roman" w:hAnsi="Times New Roman" w:cs="Times New Roman"/>
                <w:sz w:val="24"/>
                <w:szCs w:val="24"/>
                <w:lang w:eastAsia="lv-LV"/>
              </w:rPr>
            </w:pPr>
          </w:p>
          <w:p w14:paraId="7E9E2498" w14:textId="77777777" w:rsidR="00F20168" w:rsidRPr="00305D60" w:rsidRDefault="00F20168" w:rsidP="009A74DA">
            <w:pPr>
              <w:spacing w:after="0" w:line="240" w:lineRule="auto"/>
              <w:rPr>
                <w:rFonts w:ascii="Times New Roman" w:eastAsia="Times New Roman" w:hAnsi="Times New Roman" w:cs="Times New Roman"/>
                <w:sz w:val="24"/>
                <w:szCs w:val="24"/>
                <w:lang w:eastAsia="lv-LV"/>
              </w:rPr>
            </w:pPr>
          </w:p>
          <w:p w14:paraId="13EEE3E4" w14:textId="77777777" w:rsidR="00F20168" w:rsidRPr="00305D60" w:rsidRDefault="00F20168" w:rsidP="009A74DA">
            <w:pPr>
              <w:spacing w:after="0" w:line="240" w:lineRule="auto"/>
              <w:rPr>
                <w:rFonts w:ascii="Times New Roman" w:eastAsia="Times New Roman" w:hAnsi="Times New Roman" w:cs="Times New Roman"/>
                <w:sz w:val="24"/>
                <w:szCs w:val="24"/>
                <w:lang w:eastAsia="lv-LV"/>
              </w:rPr>
            </w:pPr>
          </w:p>
          <w:p w14:paraId="4EA9614B" w14:textId="77777777" w:rsidR="00F20168" w:rsidRPr="00305D60" w:rsidRDefault="00F20168" w:rsidP="009A74DA">
            <w:pPr>
              <w:spacing w:after="0" w:line="240" w:lineRule="auto"/>
              <w:rPr>
                <w:rFonts w:ascii="Times New Roman" w:eastAsia="Times New Roman" w:hAnsi="Times New Roman" w:cs="Times New Roman"/>
                <w:sz w:val="24"/>
                <w:szCs w:val="24"/>
                <w:lang w:eastAsia="lv-LV"/>
              </w:rPr>
            </w:pPr>
          </w:p>
          <w:p w14:paraId="53064E51" w14:textId="77777777" w:rsidR="00F20168" w:rsidRPr="00305D60" w:rsidRDefault="00F20168" w:rsidP="009A74DA">
            <w:pPr>
              <w:spacing w:after="0" w:line="240" w:lineRule="auto"/>
              <w:rPr>
                <w:rFonts w:ascii="Times New Roman" w:eastAsia="Times New Roman" w:hAnsi="Times New Roman" w:cs="Times New Roman"/>
                <w:sz w:val="24"/>
                <w:szCs w:val="24"/>
                <w:lang w:eastAsia="lv-LV"/>
              </w:rPr>
            </w:pPr>
          </w:p>
          <w:p w14:paraId="33F74BA0" w14:textId="77777777" w:rsidR="00F20168" w:rsidRPr="00305D60" w:rsidRDefault="00F20168" w:rsidP="009A74DA">
            <w:pPr>
              <w:spacing w:after="0" w:line="240" w:lineRule="auto"/>
              <w:rPr>
                <w:rFonts w:ascii="Times New Roman" w:eastAsia="Times New Roman" w:hAnsi="Times New Roman" w:cs="Times New Roman"/>
                <w:sz w:val="24"/>
                <w:szCs w:val="24"/>
                <w:lang w:eastAsia="lv-LV"/>
              </w:rPr>
            </w:pPr>
          </w:p>
          <w:p w14:paraId="311CF691" w14:textId="77777777" w:rsidR="00F20168" w:rsidRPr="00305D60" w:rsidRDefault="00F20168" w:rsidP="009A74DA">
            <w:pPr>
              <w:spacing w:after="0" w:line="240" w:lineRule="auto"/>
              <w:rPr>
                <w:rFonts w:ascii="Times New Roman" w:eastAsia="Times New Roman" w:hAnsi="Times New Roman" w:cs="Times New Roman"/>
                <w:sz w:val="24"/>
                <w:szCs w:val="24"/>
                <w:lang w:eastAsia="lv-LV"/>
              </w:rPr>
            </w:pPr>
          </w:p>
          <w:p w14:paraId="3F2BF06B" w14:textId="77777777" w:rsidR="00F20168" w:rsidRPr="00305D60" w:rsidRDefault="00F20168" w:rsidP="009A74DA">
            <w:pPr>
              <w:spacing w:after="0" w:line="240" w:lineRule="auto"/>
              <w:rPr>
                <w:rFonts w:ascii="Times New Roman" w:eastAsia="Times New Roman" w:hAnsi="Times New Roman" w:cs="Times New Roman"/>
                <w:sz w:val="24"/>
                <w:szCs w:val="24"/>
                <w:lang w:eastAsia="lv-LV"/>
              </w:rPr>
            </w:pPr>
          </w:p>
          <w:p w14:paraId="13B30740" w14:textId="77777777" w:rsidR="00F20168" w:rsidRPr="00305D60" w:rsidRDefault="00F20168" w:rsidP="009A74DA">
            <w:pPr>
              <w:spacing w:after="0" w:line="240" w:lineRule="auto"/>
              <w:rPr>
                <w:rFonts w:ascii="Times New Roman" w:eastAsia="Times New Roman" w:hAnsi="Times New Roman" w:cs="Times New Roman"/>
                <w:sz w:val="24"/>
                <w:szCs w:val="24"/>
                <w:lang w:eastAsia="lv-LV"/>
              </w:rPr>
            </w:pPr>
          </w:p>
          <w:p w14:paraId="5629D593" w14:textId="77777777" w:rsidR="00F20168" w:rsidRPr="00305D60" w:rsidRDefault="00F20168" w:rsidP="009A74DA">
            <w:pPr>
              <w:spacing w:after="0" w:line="240" w:lineRule="auto"/>
              <w:rPr>
                <w:rFonts w:ascii="Times New Roman" w:eastAsia="Times New Roman" w:hAnsi="Times New Roman" w:cs="Times New Roman"/>
                <w:sz w:val="24"/>
                <w:szCs w:val="24"/>
                <w:lang w:eastAsia="lv-LV"/>
              </w:rPr>
            </w:pPr>
          </w:p>
          <w:p w14:paraId="1DF35281" w14:textId="77777777" w:rsidR="00F20168" w:rsidRPr="00305D60" w:rsidRDefault="00F20168" w:rsidP="009A74DA">
            <w:pPr>
              <w:spacing w:after="0" w:line="240" w:lineRule="auto"/>
              <w:rPr>
                <w:rFonts w:ascii="Times New Roman" w:eastAsia="Times New Roman" w:hAnsi="Times New Roman" w:cs="Times New Roman"/>
                <w:sz w:val="24"/>
                <w:szCs w:val="24"/>
                <w:lang w:eastAsia="lv-LV"/>
              </w:rPr>
            </w:pPr>
          </w:p>
          <w:p w14:paraId="1AB0DA22" w14:textId="77777777" w:rsidR="00F20168" w:rsidRPr="00305D60" w:rsidRDefault="00F20168" w:rsidP="009A74DA">
            <w:pPr>
              <w:spacing w:after="0" w:line="240" w:lineRule="auto"/>
              <w:rPr>
                <w:rFonts w:ascii="Times New Roman" w:eastAsia="Times New Roman" w:hAnsi="Times New Roman" w:cs="Times New Roman"/>
                <w:sz w:val="24"/>
                <w:szCs w:val="24"/>
                <w:lang w:eastAsia="lv-LV"/>
              </w:rPr>
            </w:pPr>
          </w:p>
          <w:p w14:paraId="0DAD17D5" w14:textId="77777777" w:rsidR="00F20168" w:rsidRPr="00305D60" w:rsidRDefault="00F20168" w:rsidP="009A74DA">
            <w:pPr>
              <w:spacing w:after="0" w:line="240" w:lineRule="auto"/>
              <w:rPr>
                <w:rFonts w:ascii="Times New Roman" w:eastAsia="Times New Roman" w:hAnsi="Times New Roman" w:cs="Times New Roman"/>
                <w:sz w:val="24"/>
                <w:szCs w:val="24"/>
                <w:lang w:eastAsia="lv-LV"/>
              </w:rPr>
            </w:pPr>
          </w:p>
          <w:p w14:paraId="4477F2D0" w14:textId="77777777" w:rsidR="00F20168" w:rsidRPr="00305D60" w:rsidRDefault="00F20168" w:rsidP="009A74DA">
            <w:pPr>
              <w:tabs>
                <w:tab w:val="left" w:pos="570"/>
              </w:tabs>
              <w:spacing w:after="0" w:line="240" w:lineRule="auto"/>
              <w:rPr>
                <w:rFonts w:ascii="Times New Roman" w:eastAsia="Times New Roman" w:hAnsi="Times New Roman" w:cs="Times New Roman"/>
                <w:sz w:val="24"/>
                <w:szCs w:val="24"/>
                <w:lang w:eastAsia="lv-LV"/>
              </w:rPr>
            </w:pPr>
            <w:r w:rsidRPr="00305D60">
              <w:rPr>
                <w:rFonts w:ascii="Times New Roman" w:eastAsia="Times New Roman" w:hAnsi="Times New Roman" w:cs="Times New Roman"/>
                <w:sz w:val="24"/>
                <w:szCs w:val="24"/>
                <w:lang w:eastAsia="lv-LV"/>
              </w:rPr>
              <w:tab/>
            </w:r>
          </w:p>
          <w:p w14:paraId="48AAE463" w14:textId="77777777" w:rsidR="00F20168" w:rsidRPr="00305D60" w:rsidRDefault="00F20168" w:rsidP="009A74DA">
            <w:pPr>
              <w:tabs>
                <w:tab w:val="left" w:pos="570"/>
              </w:tabs>
              <w:spacing w:after="0" w:line="240" w:lineRule="auto"/>
              <w:rPr>
                <w:rFonts w:ascii="Times New Roman" w:eastAsia="Times New Roman" w:hAnsi="Times New Roman" w:cs="Times New Roman"/>
                <w:sz w:val="24"/>
                <w:szCs w:val="24"/>
                <w:lang w:eastAsia="lv-LV"/>
              </w:rPr>
            </w:pPr>
            <w:r w:rsidRPr="00305D60">
              <w:rPr>
                <w:rFonts w:ascii="Times New Roman" w:eastAsia="Times New Roman" w:hAnsi="Times New Roman" w:cs="Times New Roman"/>
                <w:sz w:val="24"/>
                <w:szCs w:val="24"/>
                <w:lang w:eastAsia="lv-LV"/>
              </w:rPr>
              <w:tab/>
            </w:r>
          </w:p>
        </w:tc>
        <w:tc>
          <w:tcPr>
            <w:tcW w:w="6327" w:type="dxa"/>
            <w:tcBorders>
              <w:top w:val="outset" w:sz="6" w:space="0" w:color="auto"/>
              <w:left w:val="outset" w:sz="6" w:space="0" w:color="auto"/>
              <w:bottom w:val="outset" w:sz="6" w:space="0" w:color="auto"/>
              <w:right w:val="outset" w:sz="6" w:space="0" w:color="auto"/>
            </w:tcBorders>
          </w:tcPr>
          <w:p w14:paraId="106CE21B" w14:textId="33A18AF3" w:rsidR="008E645B" w:rsidRDefault="00086EED" w:rsidP="009A74DA">
            <w:pPr>
              <w:tabs>
                <w:tab w:val="left" w:pos="567"/>
              </w:tabs>
              <w:spacing w:after="0" w:line="240" w:lineRule="auto"/>
              <w:contextualSpacing/>
              <w:jc w:val="both"/>
              <w:rPr>
                <w:rFonts w:ascii="Times New Roman" w:hAnsi="Times New Roman" w:cs="Times New Roman"/>
                <w:sz w:val="24"/>
                <w:szCs w:val="24"/>
                <w:shd w:val="clear" w:color="auto" w:fill="FFFFFF"/>
              </w:rPr>
            </w:pPr>
            <w:r w:rsidRPr="00464F30">
              <w:rPr>
                <w:rFonts w:ascii="Times New Roman" w:hAnsi="Times New Roman" w:cs="Times New Roman"/>
                <w:bCs/>
                <w:sz w:val="24"/>
                <w:szCs w:val="24"/>
                <w:shd w:val="clear" w:color="auto" w:fill="FFFFFF"/>
              </w:rPr>
              <w:lastRenderedPageBreak/>
              <w:t>Černobiļas atomelektrostacijas avārijas seku likvidēšanas dalībnieku un Černobiļas atomelektrostacijas avārijas rezultātā cietušo personu sociālās aizsardzības likum</w:t>
            </w:r>
            <w:r>
              <w:rPr>
                <w:rFonts w:ascii="Times New Roman" w:hAnsi="Times New Roman" w:cs="Times New Roman"/>
                <w:bCs/>
                <w:sz w:val="24"/>
                <w:szCs w:val="24"/>
                <w:shd w:val="clear" w:color="auto" w:fill="FFFFFF"/>
              </w:rPr>
              <w:t>ā</w:t>
            </w:r>
            <w:r>
              <w:rPr>
                <w:rFonts w:ascii="Times New Roman" w:eastAsia="Times New Roman" w:hAnsi="Times New Roman" w:cs="Times New Roman"/>
                <w:sz w:val="24"/>
                <w:szCs w:val="24"/>
                <w:lang w:eastAsia="lv-LV"/>
              </w:rPr>
              <w:t xml:space="preserve"> </w:t>
            </w:r>
            <w:r w:rsidR="008E645B">
              <w:rPr>
                <w:rFonts w:ascii="Times New Roman" w:eastAsia="Times New Roman" w:hAnsi="Times New Roman" w:cs="Times New Roman"/>
                <w:sz w:val="24"/>
                <w:szCs w:val="24"/>
                <w:lang w:eastAsia="lv-LV"/>
              </w:rPr>
              <w:t xml:space="preserve">(turpmāk – ČAES likums) </w:t>
            </w:r>
            <w:r w:rsidR="00F20168" w:rsidRPr="00305D60">
              <w:rPr>
                <w:rFonts w:ascii="Times New Roman" w:eastAsia="Times New Roman" w:hAnsi="Times New Roman" w:cs="Times New Roman"/>
                <w:sz w:val="24"/>
                <w:szCs w:val="24"/>
                <w:lang w:eastAsia="lv-LV"/>
              </w:rPr>
              <w:t>nosaka, ka ČAES avārijas seku likvidēšanas dalībniekam</w:t>
            </w:r>
            <w:r w:rsidR="00CF23FC">
              <w:rPr>
                <w:rFonts w:ascii="Times New Roman" w:eastAsia="Times New Roman" w:hAnsi="Times New Roman" w:cs="Times New Roman"/>
                <w:sz w:val="24"/>
                <w:szCs w:val="24"/>
                <w:lang w:eastAsia="lv-LV"/>
              </w:rPr>
              <w:t>,</w:t>
            </w:r>
            <w:r w:rsidR="00F20168" w:rsidRPr="00305D60">
              <w:rPr>
                <w:rFonts w:ascii="Times New Roman" w:eastAsia="Times New Roman" w:hAnsi="Times New Roman" w:cs="Times New Roman"/>
                <w:sz w:val="24"/>
                <w:szCs w:val="24"/>
                <w:lang w:eastAsia="lv-LV"/>
              </w:rPr>
              <w:t xml:space="preserve"> ja viņam ir noteikta invaliditātes cēloņsakarība ar Černobiļas atomelektrostacijas avārijas seku likvidēšanas darbu veikšanu un viņa nāves gadījumā ČAES avārijas seku likvidēšanas dalībnieku ģimenei, ir tiesības uz </w:t>
            </w:r>
            <w:r w:rsidR="00F20168" w:rsidRPr="00305D60">
              <w:rPr>
                <w:rFonts w:ascii="Times New Roman" w:hAnsi="Times New Roman" w:cs="Times New Roman"/>
                <w:sz w:val="24"/>
                <w:szCs w:val="24"/>
                <w:shd w:val="clear" w:color="auto" w:fill="FFFFFF"/>
              </w:rPr>
              <w:t>valsts sociālais pabalstu</w:t>
            </w:r>
            <w:r w:rsidR="008E645B">
              <w:rPr>
                <w:rFonts w:ascii="Times New Roman" w:hAnsi="Times New Roman" w:cs="Times New Roman"/>
                <w:sz w:val="24"/>
                <w:szCs w:val="24"/>
                <w:shd w:val="clear" w:color="auto" w:fill="FFFFFF"/>
              </w:rPr>
              <w:t>.</w:t>
            </w:r>
          </w:p>
          <w:p w14:paraId="533D72EC" w14:textId="77777777" w:rsidR="008E645B" w:rsidRDefault="008E645B" w:rsidP="009A74DA">
            <w:pPr>
              <w:tabs>
                <w:tab w:val="left" w:pos="567"/>
              </w:tabs>
              <w:spacing w:after="0" w:line="240" w:lineRule="auto"/>
              <w:contextualSpacing/>
              <w:jc w:val="both"/>
              <w:rPr>
                <w:rFonts w:ascii="Times New Roman" w:hAnsi="Times New Roman" w:cs="Times New Roman"/>
                <w:sz w:val="24"/>
                <w:szCs w:val="24"/>
                <w:shd w:val="clear" w:color="auto" w:fill="FFFFFF"/>
              </w:rPr>
            </w:pPr>
          </w:p>
          <w:p w14:paraId="5F6E7D6E" w14:textId="6CE43E57" w:rsidR="008E645B" w:rsidRDefault="00CF23FC" w:rsidP="009A74DA">
            <w:pPr>
              <w:tabs>
                <w:tab w:val="left" w:pos="567"/>
              </w:tabs>
              <w:spacing w:after="0" w:line="240" w:lineRule="auto"/>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shd w:val="clear" w:color="auto" w:fill="FFFFFF"/>
              </w:rPr>
              <w:t>Likumprojekts (</w:t>
            </w:r>
            <w:r w:rsidRPr="00CF23FC">
              <w:rPr>
                <w:rFonts w:ascii="Times New Roman" w:hAnsi="Times New Roman" w:cs="Times New Roman"/>
                <w:sz w:val="24"/>
                <w:szCs w:val="24"/>
                <w:shd w:val="clear" w:color="auto" w:fill="FFFFFF"/>
              </w:rPr>
              <w:t>816/Lp13</w:t>
            </w:r>
            <w:r>
              <w:rPr>
                <w:rFonts w:ascii="Times New Roman" w:hAnsi="Times New Roman" w:cs="Times New Roman"/>
                <w:sz w:val="24"/>
                <w:szCs w:val="24"/>
                <w:shd w:val="clear" w:color="auto" w:fill="FFFFFF"/>
              </w:rPr>
              <w:t>) “</w:t>
            </w:r>
            <w:r w:rsidR="008E645B">
              <w:rPr>
                <w:rFonts w:ascii="Times New Roman" w:hAnsi="Times New Roman" w:cs="Times New Roman"/>
                <w:sz w:val="24"/>
                <w:szCs w:val="24"/>
                <w:shd w:val="clear" w:color="auto" w:fill="FFFFFF"/>
              </w:rPr>
              <w:t>Grozījumi</w:t>
            </w:r>
            <w:r w:rsidR="008E645B" w:rsidRPr="008E645B">
              <w:rPr>
                <w:rFonts w:ascii="Times New Roman" w:hAnsi="Times New Roman" w:cs="Times New Roman"/>
                <w:sz w:val="24"/>
                <w:szCs w:val="24"/>
                <w:shd w:val="clear" w:color="auto" w:fill="FFFFFF"/>
              </w:rPr>
              <w:t xml:space="preserve"> </w:t>
            </w:r>
            <w:r w:rsidR="00007F94" w:rsidRPr="00464F30">
              <w:rPr>
                <w:rFonts w:ascii="Times New Roman" w:hAnsi="Times New Roman" w:cs="Times New Roman"/>
                <w:bCs/>
                <w:sz w:val="24"/>
                <w:szCs w:val="24"/>
                <w:shd w:val="clear" w:color="auto" w:fill="FFFFFF"/>
              </w:rPr>
              <w:t>Černobiļas atomelektrostacijas avārijas seku likvidēšanas dalībnieku un Černobiļas atomelektrostacijas avārijas rezultātā cietušo personu sociālās aizsardzības likum</w:t>
            </w:r>
            <w:r w:rsidR="00007F94">
              <w:rPr>
                <w:rFonts w:ascii="Times New Roman" w:hAnsi="Times New Roman" w:cs="Times New Roman"/>
                <w:bCs/>
                <w:sz w:val="24"/>
                <w:szCs w:val="24"/>
                <w:shd w:val="clear" w:color="auto" w:fill="FFFFFF"/>
              </w:rPr>
              <w:t>ā</w:t>
            </w:r>
            <w:r w:rsidR="008E645B" w:rsidRPr="008E645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8E645B" w:rsidRPr="008E645B">
              <w:rPr>
                <w:rFonts w:ascii="Times New Roman" w:hAnsi="Times New Roman" w:cs="Times New Roman"/>
                <w:sz w:val="24"/>
                <w:szCs w:val="24"/>
                <w:shd w:val="clear" w:color="auto" w:fill="FFFFFF"/>
              </w:rPr>
              <w:t xml:space="preserve">(turpmāk </w:t>
            </w:r>
            <w:r w:rsidR="003225A5">
              <w:rPr>
                <w:rFonts w:ascii="Times New Roman" w:hAnsi="Times New Roman" w:cs="Times New Roman"/>
                <w:sz w:val="24"/>
                <w:szCs w:val="24"/>
                <w:shd w:val="clear" w:color="auto" w:fill="FFFFFF"/>
              </w:rPr>
              <w:t>–</w:t>
            </w:r>
            <w:r w:rsidR="008E645B" w:rsidRPr="008E645B">
              <w:rPr>
                <w:rFonts w:ascii="Times New Roman" w:hAnsi="Times New Roman" w:cs="Times New Roman"/>
                <w:sz w:val="24"/>
                <w:szCs w:val="24"/>
                <w:shd w:val="clear" w:color="auto" w:fill="FFFFFF"/>
              </w:rPr>
              <w:t xml:space="preserve"> ČAES likuma </w:t>
            </w:r>
            <w:r w:rsidR="008E645B" w:rsidRPr="008E645B">
              <w:rPr>
                <w:rFonts w:ascii="Times New Roman" w:hAnsi="Times New Roman" w:cs="Times New Roman"/>
                <w:sz w:val="24"/>
                <w:szCs w:val="24"/>
                <w:shd w:val="clear" w:color="auto" w:fill="FFFFFF"/>
              </w:rPr>
              <w:lastRenderedPageBreak/>
              <w:t>grozījumi)</w:t>
            </w:r>
            <w:r w:rsidR="008E645B">
              <w:rPr>
                <w:rFonts w:ascii="Times New Roman" w:hAnsi="Times New Roman" w:cs="Times New Roman"/>
                <w:sz w:val="24"/>
                <w:szCs w:val="24"/>
                <w:shd w:val="clear" w:color="auto" w:fill="FFFFFF"/>
              </w:rPr>
              <w:t xml:space="preserve">, kas pieņemti Saeimā </w:t>
            </w:r>
            <w:r w:rsidR="008E645B" w:rsidRPr="00861D96">
              <w:rPr>
                <w:rFonts w:ascii="Times New Roman" w:hAnsi="Times New Roman" w:cs="Times New Roman"/>
                <w:sz w:val="24"/>
                <w:szCs w:val="24"/>
                <w:shd w:val="clear" w:color="auto" w:fill="FFFFFF"/>
              </w:rPr>
              <w:t>2020.gada 2</w:t>
            </w:r>
            <w:r w:rsidR="00861D96" w:rsidRPr="00861D96">
              <w:rPr>
                <w:rFonts w:ascii="Times New Roman" w:hAnsi="Times New Roman" w:cs="Times New Roman"/>
                <w:sz w:val="24"/>
                <w:szCs w:val="24"/>
                <w:shd w:val="clear" w:color="auto" w:fill="FFFFFF"/>
              </w:rPr>
              <w:t>4</w:t>
            </w:r>
            <w:r w:rsidR="008E645B" w:rsidRPr="00861D96">
              <w:rPr>
                <w:rFonts w:ascii="Times New Roman" w:hAnsi="Times New Roman" w:cs="Times New Roman"/>
                <w:sz w:val="24"/>
                <w:szCs w:val="24"/>
                <w:shd w:val="clear" w:color="auto" w:fill="FFFFFF"/>
              </w:rPr>
              <w:t>.novembrī</w:t>
            </w:r>
            <w:r w:rsidR="008E645B">
              <w:rPr>
                <w:rFonts w:ascii="Times New Roman" w:hAnsi="Times New Roman" w:cs="Times New Roman"/>
                <w:sz w:val="24"/>
                <w:szCs w:val="24"/>
                <w:shd w:val="clear" w:color="auto" w:fill="FFFFFF"/>
              </w:rPr>
              <w:t xml:space="preserve">, nosaka, ka </w:t>
            </w:r>
            <w:r w:rsidR="008E645B" w:rsidRPr="008E645B">
              <w:rPr>
                <w:rFonts w:ascii="Times New Roman" w:hAnsi="Times New Roman" w:cs="Times New Roman"/>
                <w:sz w:val="24"/>
                <w:szCs w:val="24"/>
                <w:shd w:val="clear" w:color="auto" w:fill="FFFFFF"/>
              </w:rPr>
              <w:t>11.panta otrā</w:t>
            </w:r>
            <w:r w:rsidR="008E645B">
              <w:rPr>
                <w:rFonts w:ascii="Times New Roman" w:hAnsi="Times New Roman" w:cs="Times New Roman"/>
                <w:sz w:val="24"/>
                <w:szCs w:val="24"/>
                <w:shd w:val="clear" w:color="auto" w:fill="FFFFFF"/>
              </w:rPr>
              <w:t xml:space="preserve"> daļa tiek izteikta jaunā redakcijā, proti, nosakot, ka “Ministru kabinets nosaka pabalsta piešķiršanas un izmaksas kārtību”. </w:t>
            </w:r>
            <w:r w:rsidR="008E645B">
              <w:rPr>
                <w:rFonts w:ascii="Times New Roman" w:eastAsia="Times New Roman" w:hAnsi="Times New Roman" w:cs="Times New Roman"/>
                <w:sz w:val="24"/>
                <w:szCs w:val="24"/>
                <w:lang w:eastAsia="lv-LV"/>
              </w:rPr>
              <w:t xml:space="preserve">Tādējādi </w:t>
            </w:r>
            <w:r w:rsidR="008E645B" w:rsidRPr="00305D60">
              <w:rPr>
                <w:rFonts w:ascii="Times New Roman" w:eastAsia="Times New Roman" w:hAnsi="Times New Roman" w:cs="Times New Roman"/>
                <w:sz w:val="24"/>
                <w:szCs w:val="24"/>
                <w:lang w:eastAsia="lv-LV"/>
              </w:rPr>
              <w:t>ir zudis deleģējums Ministru kabinetam noteikt pabalsta apmēru</w:t>
            </w:r>
            <w:r w:rsidR="00C91538">
              <w:rPr>
                <w:rFonts w:ascii="Times New Roman" w:eastAsia="Times New Roman" w:hAnsi="Times New Roman" w:cs="Times New Roman"/>
                <w:sz w:val="24"/>
                <w:szCs w:val="24"/>
                <w:lang w:eastAsia="lv-LV"/>
              </w:rPr>
              <w:t xml:space="preserve"> un pārskatīšanas kārtību</w:t>
            </w:r>
            <w:r w:rsidR="008E645B">
              <w:rPr>
                <w:rFonts w:ascii="Times New Roman" w:eastAsia="Times New Roman" w:hAnsi="Times New Roman" w:cs="Times New Roman"/>
                <w:sz w:val="24"/>
                <w:szCs w:val="24"/>
                <w:lang w:eastAsia="lv-LV"/>
              </w:rPr>
              <w:t>, ņemot vērā, ka ČAES likuma grozījumi nosaka</w:t>
            </w:r>
            <w:r w:rsidR="00D92677">
              <w:rPr>
                <w:rFonts w:ascii="Times New Roman" w:eastAsia="Times New Roman" w:hAnsi="Times New Roman" w:cs="Times New Roman"/>
                <w:sz w:val="24"/>
                <w:szCs w:val="24"/>
                <w:lang w:eastAsia="lv-LV"/>
              </w:rPr>
              <w:t xml:space="preserve"> </w:t>
            </w:r>
            <w:r w:rsidR="00D92677">
              <w:rPr>
                <w:rFonts w:ascii="Times New Roman" w:hAnsi="Times New Roman" w:cs="Times New Roman"/>
                <w:sz w:val="24"/>
                <w:szCs w:val="24"/>
                <w:shd w:val="clear" w:color="auto" w:fill="FFFFFF"/>
              </w:rPr>
              <w:t>(11.panta ceturtā daļa)</w:t>
            </w:r>
            <w:r w:rsidR="008E645B">
              <w:rPr>
                <w:rFonts w:ascii="Times New Roman" w:eastAsia="Times New Roman" w:hAnsi="Times New Roman" w:cs="Times New Roman"/>
                <w:sz w:val="24"/>
                <w:szCs w:val="24"/>
                <w:lang w:eastAsia="lv-LV"/>
              </w:rPr>
              <w:t xml:space="preserve">, ka no 2021.gada 1.janvāra valsts sociālais pabalsts </w:t>
            </w:r>
            <w:r w:rsidR="008E645B" w:rsidRPr="00305D60">
              <w:rPr>
                <w:rFonts w:ascii="Times New Roman" w:hAnsi="Times New Roman" w:cs="Times New Roman"/>
                <w:sz w:val="24"/>
                <w:szCs w:val="24"/>
                <w:shd w:val="clear" w:color="auto" w:fill="FFFFFF"/>
              </w:rPr>
              <w:t>ir valsts sociālā nodrošinājuma pabalsta apmērā, kāds tas ir noteikts Valsts sociālo pabalstu likuma 13.panta pirmās daļas 1.punktā minētajām personām</w:t>
            </w:r>
            <w:r w:rsidR="003C0777">
              <w:rPr>
                <w:rFonts w:ascii="Times New Roman" w:hAnsi="Times New Roman" w:cs="Times New Roman"/>
                <w:sz w:val="24"/>
                <w:szCs w:val="24"/>
                <w:shd w:val="clear" w:color="auto" w:fill="FFFFFF"/>
              </w:rPr>
              <w:t xml:space="preserve"> </w:t>
            </w:r>
            <w:r w:rsidR="00C91538">
              <w:rPr>
                <w:rFonts w:ascii="Times New Roman" w:hAnsi="Times New Roman" w:cs="Times New Roman"/>
                <w:sz w:val="24"/>
                <w:szCs w:val="24"/>
                <w:shd w:val="clear" w:color="auto" w:fill="FFFFFF"/>
              </w:rPr>
              <w:t>un tā pārskatīšana notiek atbilstoši likumā “Par sociālo drošību” noteiktajai minimālo ienākumu sliekšņu pārskatīšanas kārtībai</w:t>
            </w:r>
            <w:r w:rsidR="008E645B" w:rsidRPr="00305D60">
              <w:rPr>
                <w:rFonts w:ascii="Times New Roman" w:hAnsi="Times New Roman" w:cs="Times New Roman"/>
                <w:sz w:val="24"/>
                <w:szCs w:val="24"/>
                <w:shd w:val="clear" w:color="auto" w:fill="FFFFFF"/>
              </w:rPr>
              <w:t>.</w:t>
            </w:r>
            <w:r w:rsidR="008E645B">
              <w:rPr>
                <w:rFonts w:ascii="Times New Roman" w:eastAsia="Times New Roman" w:hAnsi="Times New Roman" w:cs="Times New Roman"/>
                <w:sz w:val="24"/>
                <w:szCs w:val="24"/>
                <w:lang w:eastAsia="lv-LV"/>
              </w:rPr>
              <w:t xml:space="preserve"> </w:t>
            </w:r>
            <w:r w:rsidR="008E645B" w:rsidRPr="00305D60">
              <w:rPr>
                <w:rFonts w:ascii="Times New Roman" w:eastAsia="Times New Roman" w:hAnsi="Times New Roman" w:cs="Times New Roman"/>
                <w:sz w:val="24"/>
                <w:szCs w:val="24"/>
                <w:lang w:eastAsia="lv-LV"/>
              </w:rPr>
              <w:t>Tas nozīmē, ka līdzšinējie</w:t>
            </w:r>
            <w:r w:rsidR="008E645B" w:rsidRPr="00305D60">
              <w:rPr>
                <w:rFonts w:ascii="Times New Roman" w:hAnsi="Times New Roman" w:cs="Times New Roman"/>
                <w:sz w:val="24"/>
                <w:szCs w:val="24"/>
              </w:rPr>
              <w:t xml:space="preserve"> </w:t>
            </w:r>
            <w:r w:rsidR="008E645B" w:rsidRPr="00305D60">
              <w:rPr>
                <w:rFonts w:ascii="Times New Roman" w:eastAsia="Times New Roman" w:hAnsi="Times New Roman" w:cs="Times New Roman"/>
                <w:sz w:val="24"/>
                <w:szCs w:val="24"/>
                <w:lang w:eastAsia="lv-LV"/>
              </w:rPr>
              <w:t>Ministru kabineta 2010.gada 30.novembra noteikumi Nr.1077 “Noteikumi par valsts sociālo pabalstu Černobiļas atomelektrostacijas avārijas seku likvidēšanas dalībniekiem un mirušo Černobiļas atomelektrostacijas avārijas seku likvidēšanas dalībnieku ģimenēm” zaudē spēku un ir nepieciešams izstrādāt jaunus noteikumus, kas nosaka pabalsta piešķiršanas un izmaksas kārtību.</w:t>
            </w:r>
          </w:p>
          <w:p w14:paraId="0A358BD7" w14:textId="43425F31" w:rsidR="008E645B" w:rsidRDefault="008E645B" w:rsidP="009A74DA">
            <w:pPr>
              <w:tabs>
                <w:tab w:val="left" w:pos="567"/>
              </w:tabs>
              <w:spacing w:after="0" w:line="240" w:lineRule="auto"/>
              <w:contextualSpacing/>
              <w:jc w:val="both"/>
              <w:rPr>
                <w:rFonts w:ascii="Times New Roman" w:eastAsia="Times New Roman" w:hAnsi="Times New Roman" w:cs="Times New Roman"/>
                <w:sz w:val="24"/>
                <w:szCs w:val="24"/>
                <w:lang w:eastAsia="lv-LV"/>
              </w:rPr>
            </w:pPr>
          </w:p>
          <w:p w14:paraId="22065D7C" w14:textId="072DD544" w:rsidR="008E645B" w:rsidRDefault="008E645B" w:rsidP="009A74DA">
            <w:pPr>
              <w:tabs>
                <w:tab w:val="left" w:pos="567"/>
              </w:tabs>
              <w:spacing w:after="0" w:line="240" w:lineRule="auto"/>
              <w:contextualSpacing/>
              <w:jc w:val="both"/>
              <w:rPr>
                <w:rFonts w:ascii="Times New Roman" w:hAnsi="Times New Roman" w:cs="Times New Roman"/>
                <w:sz w:val="24"/>
                <w:szCs w:val="24"/>
              </w:rPr>
            </w:pPr>
            <w:r w:rsidRPr="00A23AAE">
              <w:rPr>
                <w:rFonts w:ascii="Times New Roman" w:hAnsi="Times New Roman" w:cs="Times New Roman"/>
                <w:sz w:val="24"/>
                <w:szCs w:val="24"/>
              </w:rPr>
              <w:t>Ņemot vērā, ka atbilstoši grozījumiem likumā Par sociālo drošību</w:t>
            </w:r>
            <w:r w:rsidR="00AF20A3">
              <w:rPr>
                <w:rFonts w:ascii="Times New Roman" w:hAnsi="Times New Roman" w:cs="Times New Roman"/>
                <w:sz w:val="24"/>
                <w:szCs w:val="24"/>
              </w:rPr>
              <w:t xml:space="preserve"> (817/Lp13)</w:t>
            </w:r>
            <w:r w:rsidRPr="00A23AAE">
              <w:rPr>
                <w:rFonts w:ascii="Times New Roman" w:hAnsi="Times New Roman" w:cs="Times New Roman"/>
                <w:sz w:val="24"/>
                <w:szCs w:val="24"/>
              </w:rPr>
              <w:t xml:space="preserve"> un </w:t>
            </w:r>
            <w:r>
              <w:rPr>
                <w:rFonts w:ascii="Times New Roman" w:hAnsi="Times New Roman" w:cs="Times New Roman"/>
                <w:sz w:val="24"/>
                <w:szCs w:val="24"/>
              </w:rPr>
              <w:t xml:space="preserve">grozījumiem </w:t>
            </w:r>
            <w:r w:rsidRPr="00A23AAE">
              <w:rPr>
                <w:rFonts w:ascii="Times New Roman" w:hAnsi="Times New Roman" w:cs="Times New Roman"/>
                <w:sz w:val="24"/>
                <w:szCs w:val="24"/>
              </w:rPr>
              <w:t>Valsts sociālo pabalstu likumā</w:t>
            </w:r>
            <w:r w:rsidR="00AF20A3">
              <w:rPr>
                <w:rFonts w:ascii="Times New Roman" w:hAnsi="Times New Roman" w:cs="Times New Roman"/>
                <w:sz w:val="24"/>
                <w:szCs w:val="24"/>
              </w:rPr>
              <w:t xml:space="preserve"> (826/Lp13)</w:t>
            </w:r>
            <w:r w:rsidRPr="00A23AAE">
              <w:rPr>
                <w:rFonts w:ascii="Times New Roman" w:hAnsi="Times New Roman" w:cs="Times New Roman"/>
                <w:sz w:val="24"/>
                <w:szCs w:val="24"/>
              </w:rPr>
              <w:t xml:space="preserve"> (</w:t>
            </w:r>
            <w:r w:rsidRPr="00861D96">
              <w:rPr>
                <w:rFonts w:ascii="Times New Roman" w:hAnsi="Times New Roman" w:cs="Times New Roman"/>
                <w:sz w:val="24"/>
                <w:szCs w:val="24"/>
              </w:rPr>
              <w:t xml:space="preserve">pieņemti Saeimā </w:t>
            </w:r>
            <w:r w:rsidR="00AF20A3" w:rsidRPr="00861D96">
              <w:rPr>
                <w:rFonts w:ascii="Times New Roman" w:hAnsi="Times New Roman" w:cs="Times New Roman"/>
                <w:sz w:val="24"/>
                <w:szCs w:val="24"/>
              </w:rPr>
              <w:t>otrajā, galīgajā</w:t>
            </w:r>
            <w:r w:rsidRPr="00861D96">
              <w:rPr>
                <w:rFonts w:ascii="Times New Roman" w:hAnsi="Times New Roman" w:cs="Times New Roman"/>
                <w:sz w:val="24"/>
                <w:szCs w:val="24"/>
              </w:rPr>
              <w:t xml:space="preserve"> lasījumā 2020. gada 2</w:t>
            </w:r>
            <w:r w:rsidR="00861D96" w:rsidRPr="00861D96">
              <w:rPr>
                <w:rFonts w:ascii="Times New Roman" w:hAnsi="Times New Roman" w:cs="Times New Roman"/>
                <w:sz w:val="24"/>
                <w:szCs w:val="24"/>
              </w:rPr>
              <w:t>4</w:t>
            </w:r>
            <w:r w:rsidRPr="00861D96">
              <w:rPr>
                <w:rFonts w:ascii="Times New Roman" w:hAnsi="Times New Roman" w:cs="Times New Roman"/>
                <w:sz w:val="24"/>
                <w:szCs w:val="24"/>
              </w:rPr>
              <w:t>.novembrī)</w:t>
            </w:r>
            <w:r w:rsidRPr="00A23AAE">
              <w:rPr>
                <w:rFonts w:ascii="Times New Roman" w:hAnsi="Times New Roman" w:cs="Times New Roman"/>
                <w:sz w:val="24"/>
                <w:szCs w:val="24"/>
              </w:rPr>
              <w:t xml:space="preserve"> tiek noteikta minimālo ienākumu sliekšņu pārskatīšana</w:t>
            </w:r>
            <w:r>
              <w:rPr>
                <w:rFonts w:ascii="Times New Roman" w:hAnsi="Times New Roman" w:cs="Times New Roman"/>
                <w:sz w:val="24"/>
                <w:szCs w:val="24"/>
              </w:rPr>
              <w:t>s kārtība</w:t>
            </w:r>
            <w:r w:rsidRPr="00A23AAE">
              <w:rPr>
                <w:rFonts w:ascii="Times New Roman" w:hAnsi="Times New Roman" w:cs="Times New Roman"/>
                <w:sz w:val="24"/>
                <w:szCs w:val="24"/>
              </w:rPr>
              <w:t xml:space="preserve"> (t</w:t>
            </w:r>
            <w:r>
              <w:rPr>
                <w:rFonts w:ascii="Times New Roman" w:hAnsi="Times New Roman" w:cs="Times New Roman"/>
                <w:sz w:val="24"/>
                <w:szCs w:val="24"/>
              </w:rPr>
              <w:t>.s</w:t>
            </w:r>
            <w:r w:rsidRPr="00A23AAE">
              <w:rPr>
                <w:rFonts w:ascii="Times New Roman" w:hAnsi="Times New Roman" w:cs="Times New Roman"/>
                <w:sz w:val="24"/>
                <w:szCs w:val="24"/>
              </w:rPr>
              <w:t xml:space="preserve">k. valsts sociālā nodrošinājuma pabalsta pārskatīšanas kārtība), tad valsts sociālā pabalsta </w:t>
            </w:r>
            <w:r w:rsidR="00AF20A3" w:rsidRPr="00305D60">
              <w:rPr>
                <w:rFonts w:ascii="Times New Roman" w:eastAsia="Times New Roman" w:hAnsi="Times New Roman" w:cs="Times New Roman"/>
                <w:sz w:val="24"/>
                <w:szCs w:val="24"/>
                <w:lang w:eastAsia="lv-LV"/>
              </w:rPr>
              <w:t>ČAES avārijas seku likvidēšanas dalībniek</w:t>
            </w:r>
            <w:r w:rsidR="00AF20A3">
              <w:rPr>
                <w:rFonts w:ascii="Times New Roman" w:eastAsia="Times New Roman" w:hAnsi="Times New Roman" w:cs="Times New Roman"/>
                <w:sz w:val="24"/>
                <w:szCs w:val="24"/>
                <w:lang w:eastAsia="lv-LV"/>
              </w:rPr>
              <w:t>iem</w:t>
            </w:r>
            <w:r w:rsidR="00AF20A3" w:rsidRPr="00A23AAE">
              <w:rPr>
                <w:rFonts w:ascii="Times New Roman" w:hAnsi="Times New Roman" w:cs="Times New Roman"/>
                <w:sz w:val="24"/>
                <w:szCs w:val="24"/>
              </w:rPr>
              <w:t xml:space="preserve"> </w:t>
            </w:r>
            <w:r w:rsidRPr="00A23AAE">
              <w:rPr>
                <w:rFonts w:ascii="Times New Roman" w:hAnsi="Times New Roman" w:cs="Times New Roman"/>
                <w:sz w:val="24"/>
                <w:szCs w:val="24"/>
              </w:rPr>
              <w:t>pārskatīšana notiks vienlaikus ar valsts sociālā nodrošinājuma pabalsta</w:t>
            </w:r>
            <w:r>
              <w:rPr>
                <w:rFonts w:ascii="Times New Roman" w:hAnsi="Times New Roman" w:cs="Times New Roman"/>
                <w:sz w:val="24"/>
                <w:szCs w:val="24"/>
              </w:rPr>
              <w:t xml:space="preserve"> un pārējo minimālo ienākumu sliekšņu</w:t>
            </w:r>
            <w:r w:rsidRPr="00A23AAE">
              <w:rPr>
                <w:rFonts w:ascii="Times New Roman" w:hAnsi="Times New Roman" w:cs="Times New Roman"/>
                <w:sz w:val="24"/>
                <w:szCs w:val="24"/>
              </w:rPr>
              <w:t xml:space="preserve"> pārskatīšanu</w:t>
            </w:r>
            <w:r>
              <w:rPr>
                <w:rFonts w:ascii="Times New Roman" w:hAnsi="Times New Roman" w:cs="Times New Roman"/>
                <w:sz w:val="24"/>
                <w:szCs w:val="24"/>
              </w:rPr>
              <w:t>, tādējādi atsevišķā normatīvā aktā nav nepieciešams noteikt valsts sociālā pabalsta pārskatīšanas kārtību.</w:t>
            </w:r>
          </w:p>
          <w:p w14:paraId="045B566B" w14:textId="3F0F00A2" w:rsidR="00B30312" w:rsidRDefault="00B30312" w:rsidP="009A74DA">
            <w:pPr>
              <w:tabs>
                <w:tab w:val="left" w:pos="567"/>
              </w:tabs>
              <w:spacing w:after="0" w:line="240" w:lineRule="auto"/>
              <w:contextualSpacing/>
              <w:jc w:val="both"/>
              <w:rPr>
                <w:rFonts w:ascii="Times New Roman" w:hAnsi="Times New Roman" w:cs="Times New Roman"/>
                <w:sz w:val="24"/>
                <w:szCs w:val="24"/>
              </w:rPr>
            </w:pPr>
          </w:p>
          <w:p w14:paraId="7FB7C010" w14:textId="66C2AB45" w:rsidR="00CD4DBC" w:rsidRPr="003008B0" w:rsidRDefault="00311874" w:rsidP="009A74DA">
            <w:pPr>
              <w:tabs>
                <w:tab w:val="left" w:pos="567"/>
              </w:tabs>
              <w:spacing w:after="0" w:line="240" w:lineRule="auto"/>
              <w:contextualSpacing/>
              <w:jc w:val="both"/>
              <w:rPr>
                <w:rFonts w:ascii="Times New Roman" w:hAnsi="Times New Roman" w:cs="Times New Roman"/>
                <w:sz w:val="24"/>
                <w:szCs w:val="24"/>
              </w:rPr>
            </w:pPr>
            <w:r w:rsidRPr="009A6A87">
              <w:rPr>
                <w:rFonts w:ascii="Times New Roman" w:hAnsi="Times New Roman" w:cs="Times New Roman"/>
                <w:sz w:val="24"/>
                <w:szCs w:val="24"/>
              </w:rPr>
              <w:t xml:space="preserve">Saskaņā ar </w:t>
            </w:r>
            <w:r w:rsidR="006E6730" w:rsidRPr="009A6A87">
              <w:rPr>
                <w:rFonts w:ascii="Times New Roman" w:hAnsi="Times New Roman" w:cs="Times New Roman"/>
                <w:sz w:val="24"/>
                <w:szCs w:val="24"/>
                <w:lang w:eastAsia="lv-LV"/>
              </w:rPr>
              <w:t>VSAA</w:t>
            </w:r>
            <w:r w:rsidRPr="009A6A87">
              <w:rPr>
                <w:rFonts w:ascii="Times New Roman" w:hAnsi="Times New Roman" w:cs="Times New Roman"/>
                <w:sz w:val="24"/>
                <w:szCs w:val="24"/>
                <w:lang w:eastAsia="lv-LV"/>
              </w:rPr>
              <w:t xml:space="preserve"> un Izglītības un zinātnes ministrijas</w:t>
            </w:r>
            <w:r w:rsidR="00B6603B">
              <w:rPr>
                <w:rFonts w:ascii="Times New Roman" w:hAnsi="Times New Roman" w:cs="Times New Roman"/>
                <w:sz w:val="24"/>
                <w:szCs w:val="24"/>
                <w:lang w:eastAsia="lv-LV"/>
              </w:rPr>
              <w:t xml:space="preserve"> (IZM)</w:t>
            </w:r>
            <w:r w:rsidRPr="009A6A87">
              <w:rPr>
                <w:rFonts w:ascii="Times New Roman" w:hAnsi="Times New Roman" w:cs="Times New Roman"/>
                <w:sz w:val="24"/>
                <w:szCs w:val="24"/>
                <w:lang w:eastAsia="lv-LV"/>
              </w:rPr>
              <w:t>  2018.gada 21.marta starpresoru vienošanos „</w:t>
            </w:r>
            <w:r w:rsidRPr="009A6A87">
              <w:rPr>
                <w:rFonts w:ascii="Times New Roman" w:hAnsi="Times New Roman" w:cs="Times New Roman"/>
                <w:sz w:val="24"/>
                <w:szCs w:val="24"/>
              </w:rPr>
              <w:t>Par informācijas apmaiņu starp Izglītības un zinātnes ministriju un Valsts sociālās apdrošināšanas aģentūru</w:t>
            </w:r>
            <w:r w:rsidRPr="009A6A87">
              <w:rPr>
                <w:rFonts w:ascii="Times New Roman" w:hAnsi="Times New Roman" w:cs="Times New Roman"/>
                <w:sz w:val="24"/>
                <w:szCs w:val="24"/>
                <w:lang w:eastAsia="lv-LV"/>
              </w:rPr>
              <w:t>” informāciju no IZM, tai skaitā arī par mācībām augstākajās mācību iestādēs</w:t>
            </w:r>
            <w:r w:rsidR="008D5CF4" w:rsidRPr="009A6A87">
              <w:rPr>
                <w:rFonts w:ascii="Times New Roman" w:hAnsi="Times New Roman" w:cs="Times New Roman"/>
                <w:sz w:val="24"/>
                <w:szCs w:val="24"/>
                <w:lang w:eastAsia="lv-LV"/>
              </w:rPr>
              <w:t>,</w:t>
            </w:r>
            <w:r w:rsidRPr="009A6A87">
              <w:rPr>
                <w:rFonts w:ascii="Times New Roman" w:hAnsi="Times New Roman" w:cs="Times New Roman"/>
                <w:sz w:val="24"/>
                <w:szCs w:val="24"/>
                <w:lang w:eastAsia="lv-LV"/>
              </w:rPr>
              <w:t xml:space="preserve"> </w:t>
            </w:r>
            <w:r w:rsidR="001F6F36" w:rsidRPr="009A6A87">
              <w:rPr>
                <w:rFonts w:ascii="Times New Roman" w:hAnsi="Times New Roman" w:cs="Times New Roman"/>
                <w:sz w:val="24"/>
                <w:szCs w:val="24"/>
                <w:lang w:eastAsia="lv-LV"/>
              </w:rPr>
              <w:t xml:space="preserve">VSAA </w:t>
            </w:r>
            <w:r w:rsidRPr="009A6A87">
              <w:rPr>
                <w:rFonts w:ascii="Times New Roman" w:hAnsi="Times New Roman" w:cs="Times New Roman"/>
                <w:sz w:val="24"/>
                <w:szCs w:val="24"/>
                <w:lang w:eastAsia="lv-LV"/>
              </w:rPr>
              <w:t>saņem vienu reizi nedēļā</w:t>
            </w:r>
            <w:r w:rsidR="00CD4DBC" w:rsidRPr="009A6A87">
              <w:rPr>
                <w:rFonts w:ascii="Times New Roman" w:hAnsi="Times New Roman" w:cs="Times New Roman"/>
                <w:sz w:val="24"/>
                <w:szCs w:val="24"/>
              </w:rPr>
              <w:t>.</w:t>
            </w:r>
            <w:r w:rsidR="006E6730" w:rsidRPr="009A6A87">
              <w:rPr>
                <w:rFonts w:ascii="Times New Roman" w:hAnsi="Times New Roman" w:cs="Times New Roman"/>
                <w:sz w:val="24"/>
                <w:szCs w:val="24"/>
              </w:rPr>
              <w:t xml:space="preserve"> Līdz ar to noteikumu projekts vairs neparedz personām pēc 18 gadu vecuma, kuras studē Latvijas augstākajās izglītības iestādēs, </w:t>
            </w:r>
            <w:r w:rsidR="008438D1" w:rsidRPr="009A6A87">
              <w:rPr>
                <w:rFonts w:ascii="Times New Roman" w:hAnsi="Times New Roman" w:cs="Times New Roman"/>
                <w:sz w:val="24"/>
                <w:szCs w:val="24"/>
              </w:rPr>
              <w:t>iesniegt izziņu no augstākās izglītības iestādes, kas apliecina</w:t>
            </w:r>
            <w:r w:rsidR="008438D1">
              <w:rPr>
                <w:rFonts w:ascii="Times New Roman" w:hAnsi="Times New Roman" w:cs="Times New Roman"/>
                <w:sz w:val="24"/>
                <w:szCs w:val="24"/>
              </w:rPr>
              <w:t>,</w:t>
            </w:r>
            <w:r w:rsidR="008438D1" w:rsidRPr="009A6A87">
              <w:rPr>
                <w:rFonts w:ascii="Times New Roman" w:hAnsi="Times New Roman" w:cs="Times New Roman"/>
                <w:sz w:val="24"/>
                <w:szCs w:val="24"/>
              </w:rPr>
              <w:t xml:space="preserve"> </w:t>
            </w:r>
            <w:r w:rsidR="006E6730" w:rsidRPr="009A6A87">
              <w:rPr>
                <w:rFonts w:ascii="Times New Roman" w:hAnsi="Times New Roman" w:cs="Times New Roman"/>
                <w:sz w:val="24"/>
                <w:szCs w:val="24"/>
              </w:rPr>
              <w:t>ka persona iegūst izglītību attiecīgajā izglītības iestādē.</w:t>
            </w:r>
          </w:p>
          <w:p w14:paraId="644ABB75" w14:textId="065A6CB9" w:rsidR="008E645B" w:rsidRDefault="008E645B" w:rsidP="009A74DA">
            <w:pPr>
              <w:tabs>
                <w:tab w:val="left" w:pos="567"/>
              </w:tabs>
              <w:spacing w:after="0" w:line="240" w:lineRule="auto"/>
              <w:contextualSpacing/>
              <w:jc w:val="both"/>
              <w:rPr>
                <w:rFonts w:ascii="Times New Roman" w:eastAsia="Times New Roman" w:hAnsi="Times New Roman" w:cs="Times New Roman"/>
                <w:sz w:val="24"/>
                <w:szCs w:val="24"/>
                <w:lang w:eastAsia="lv-LV"/>
              </w:rPr>
            </w:pPr>
          </w:p>
          <w:p w14:paraId="78348074" w14:textId="3CA84178" w:rsidR="00670DEA" w:rsidRPr="00AD54A9" w:rsidRDefault="00AD54A9" w:rsidP="009A74DA">
            <w:pPr>
              <w:tabs>
                <w:tab w:val="left" w:pos="567"/>
              </w:tabs>
              <w:spacing w:after="0" w:line="240" w:lineRule="auto"/>
              <w:contextualSpacing/>
              <w:jc w:val="both"/>
              <w:rPr>
                <w:rFonts w:ascii="Times New Roman" w:eastAsia="Times New Roman" w:hAnsi="Times New Roman" w:cs="Times New Roman"/>
                <w:sz w:val="24"/>
                <w:szCs w:val="24"/>
                <w:lang w:eastAsia="lv-LV"/>
              </w:rPr>
            </w:pPr>
            <w:r w:rsidRPr="00AD54A9">
              <w:rPr>
                <w:rFonts w:ascii="Times New Roman" w:hAnsi="Times New Roman" w:cs="Times New Roman"/>
                <w:sz w:val="24"/>
                <w:szCs w:val="24"/>
              </w:rPr>
              <w:t xml:space="preserve">Citi jautājumi, kas saistīti ar </w:t>
            </w:r>
            <w:r>
              <w:rPr>
                <w:rFonts w:ascii="Times New Roman" w:eastAsia="Times New Roman" w:hAnsi="Times New Roman" w:cs="Times New Roman"/>
                <w:sz w:val="24"/>
                <w:szCs w:val="24"/>
                <w:lang w:eastAsia="lv-LV"/>
              </w:rPr>
              <w:t>ČAES valsts sociālā</w:t>
            </w:r>
            <w:r w:rsidRPr="00AD54A9">
              <w:rPr>
                <w:rFonts w:ascii="Times New Roman" w:hAnsi="Times New Roman" w:cs="Times New Roman"/>
                <w:sz w:val="24"/>
                <w:szCs w:val="24"/>
              </w:rPr>
              <w:t xml:space="preserve"> pabalsta saņemšanu, pieprasīšan</w:t>
            </w:r>
            <w:r>
              <w:rPr>
                <w:rFonts w:ascii="Times New Roman" w:hAnsi="Times New Roman" w:cs="Times New Roman"/>
                <w:sz w:val="24"/>
                <w:szCs w:val="24"/>
              </w:rPr>
              <w:t>u</w:t>
            </w:r>
            <w:r w:rsidRPr="00AD54A9">
              <w:rPr>
                <w:rFonts w:ascii="Times New Roman" w:hAnsi="Times New Roman" w:cs="Times New Roman"/>
                <w:sz w:val="24"/>
                <w:szCs w:val="24"/>
              </w:rPr>
              <w:t>,</w:t>
            </w:r>
            <w:r>
              <w:rPr>
                <w:rFonts w:ascii="Times New Roman" w:hAnsi="Times New Roman" w:cs="Times New Roman"/>
                <w:sz w:val="24"/>
                <w:szCs w:val="24"/>
              </w:rPr>
              <w:t xml:space="preserve"> izmaksas kārtību</w:t>
            </w:r>
            <w:r w:rsidRPr="00AD54A9">
              <w:rPr>
                <w:rFonts w:ascii="Times New Roman" w:hAnsi="Times New Roman" w:cs="Times New Roman"/>
                <w:sz w:val="24"/>
                <w:szCs w:val="24"/>
              </w:rPr>
              <w:t>, noteikti Valsts sociālo pabalstu likuma 17., 18., 19., 22.pantā un 20.</w:t>
            </w:r>
            <w:r w:rsidR="00F9537C">
              <w:rPr>
                <w:rFonts w:ascii="Times New Roman" w:hAnsi="Times New Roman" w:cs="Times New Roman"/>
                <w:sz w:val="24"/>
                <w:szCs w:val="24"/>
              </w:rPr>
              <w:t>panta</w:t>
            </w:r>
            <w:r w:rsidRPr="00AD54A9">
              <w:rPr>
                <w:rFonts w:ascii="Times New Roman" w:hAnsi="Times New Roman" w:cs="Times New Roman"/>
                <w:sz w:val="24"/>
                <w:szCs w:val="24"/>
              </w:rPr>
              <w:t xml:space="preserve"> pirmajā daļā.</w:t>
            </w:r>
          </w:p>
          <w:p w14:paraId="7580FF19" w14:textId="77777777" w:rsidR="00AD54A9" w:rsidRDefault="00AD54A9" w:rsidP="009A74DA">
            <w:pPr>
              <w:tabs>
                <w:tab w:val="left" w:pos="567"/>
              </w:tabs>
              <w:spacing w:after="0" w:line="240" w:lineRule="auto"/>
              <w:contextualSpacing/>
              <w:jc w:val="both"/>
              <w:rPr>
                <w:rFonts w:ascii="Times New Roman" w:eastAsia="Times New Roman" w:hAnsi="Times New Roman" w:cs="Times New Roman"/>
                <w:sz w:val="24"/>
                <w:szCs w:val="24"/>
                <w:lang w:eastAsia="lv-LV"/>
              </w:rPr>
            </w:pPr>
          </w:p>
          <w:p w14:paraId="435C7677" w14:textId="6BAD6177" w:rsidR="00564471" w:rsidRDefault="003C0777" w:rsidP="009A74DA">
            <w:pPr>
              <w:tabs>
                <w:tab w:val="left" w:pos="567"/>
              </w:tabs>
              <w:spacing w:after="0" w:line="240" w:lineRule="auto"/>
              <w:contextualSpacing/>
              <w:jc w:val="both"/>
              <w:rPr>
                <w:rFonts w:ascii="Times New Roman" w:eastAsia="Times New Roman" w:hAnsi="Times New Roman" w:cs="Times New Roman"/>
                <w:sz w:val="24"/>
                <w:szCs w:val="24"/>
                <w:lang w:eastAsia="lv-LV"/>
              </w:rPr>
            </w:pPr>
            <w:r w:rsidRPr="00E721A0">
              <w:rPr>
                <w:rFonts w:ascii="Times New Roman" w:eastAsia="Times New Roman" w:hAnsi="Times New Roman" w:cs="Times New Roman"/>
                <w:sz w:val="24"/>
                <w:szCs w:val="24"/>
                <w:lang w:eastAsia="lv-LV"/>
              </w:rPr>
              <w:lastRenderedPageBreak/>
              <w:t>Līdz ar to Noteikumu projekts no 2021.gada 1.janvāra paredz</w:t>
            </w:r>
            <w:r w:rsidR="006C238E" w:rsidRPr="00E721A0">
              <w:rPr>
                <w:rFonts w:ascii="Times New Roman" w:eastAsia="Times New Roman" w:hAnsi="Times New Roman" w:cs="Times New Roman"/>
                <w:sz w:val="24"/>
                <w:szCs w:val="24"/>
                <w:lang w:eastAsia="lv-LV"/>
              </w:rPr>
              <w:t xml:space="preserve"> noteikt kārtību, kā </w:t>
            </w:r>
            <w:r w:rsidR="00AF20A3" w:rsidRPr="00A23AAE">
              <w:rPr>
                <w:rFonts w:ascii="Times New Roman" w:hAnsi="Times New Roman" w:cs="Times New Roman"/>
                <w:sz w:val="24"/>
                <w:szCs w:val="24"/>
              </w:rPr>
              <w:t>valsts sociāl</w:t>
            </w:r>
            <w:r w:rsidR="00AF20A3">
              <w:rPr>
                <w:rFonts w:ascii="Times New Roman" w:hAnsi="Times New Roman" w:cs="Times New Roman"/>
                <w:sz w:val="24"/>
                <w:szCs w:val="24"/>
              </w:rPr>
              <w:t xml:space="preserve">ais </w:t>
            </w:r>
            <w:r w:rsidR="00AF20A3" w:rsidRPr="00A23AAE">
              <w:rPr>
                <w:rFonts w:ascii="Times New Roman" w:hAnsi="Times New Roman" w:cs="Times New Roman"/>
                <w:sz w:val="24"/>
                <w:szCs w:val="24"/>
              </w:rPr>
              <w:t>pabalst</w:t>
            </w:r>
            <w:r w:rsidR="00AF20A3">
              <w:rPr>
                <w:rFonts w:ascii="Times New Roman" w:hAnsi="Times New Roman" w:cs="Times New Roman"/>
                <w:sz w:val="24"/>
                <w:szCs w:val="24"/>
              </w:rPr>
              <w:t>s</w:t>
            </w:r>
            <w:r w:rsidR="00AF20A3" w:rsidRPr="00E721A0">
              <w:rPr>
                <w:rFonts w:ascii="Times New Roman" w:eastAsia="Times New Roman" w:hAnsi="Times New Roman" w:cs="Times New Roman"/>
                <w:sz w:val="24"/>
                <w:szCs w:val="24"/>
                <w:lang w:eastAsia="lv-LV"/>
              </w:rPr>
              <w:t xml:space="preserve"> </w:t>
            </w:r>
            <w:r w:rsidR="006C238E" w:rsidRPr="00E721A0">
              <w:rPr>
                <w:rFonts w:ascii="Times New Roman" w:eastAsia="Times New Roman" w:hAnsi="Times New Roman" w:cs="Times New Roman"/>
                <w:sz w:val="24"/>
                <w:szCs w:val="24"/>
                <w:lang w:eastAsia="lv-LV"/>
              </w:rPr>
              <w:t>tiek pieprasīts</w:t>
            </w:r>
            <w:r w:rsidR="00AF20A3">
              <w:rPr>
                <w:rFonts w:ascii="Times New Roman" w:eastAsia="Times New Roman" w:hAnsi="Times New Roman" w:cs="Times New Roman"/>
                <w:sz w:val="24"/>
                <w:szCs w:val="24"/>
                <w:lang w:eastAsia="lv-LV"/>
              </w:rPr>
              <w:t xml:space="preserve"> </w:t>
            </w:r>
            <w:r w:rsidR="006C238E" w:rsidRPr="00E721A0">
              <w:rPr>
                <w:rFonts w:ascii="Times New Roman" w:eastAsia="Times New Roman" w:hAnsi="Times New Roman" w:cs="Times New Roman"/>
                <w:sz w:val="24"/>
                <w:szCs w:val="24"/>
                <w:lang w:eastAsia="lv-LV"/>
              </w:rPr>
              <w:t>(t.sk. iesniedzam</w:t>
            </w:r>
            <w:r w:rsidR="00631DA1" w:rsidRPr="00E721A0">
              <w:rPr>
                <w:rFonts w:ascii="Times New Roman" w:eastAsia="Times New Roman" w:hAnsi="Times New Roman" w:cs="Times New Roman"/>
                <w:sz w:val="24"/>
                <w:szCs w:val="24"/>
                <w:lang w:eastAsia="lv-LV"/>
              </w:rPr>
              <w:t>o dokumentu klāsts)</w:t>
            </w:r>
            <w:r w:rsidR="00894F97">
              <w:rPr>
                <w:rFonts w:ascii="Times New Roman" w:eastAsia="Times New Roman" w:hAnsi="Times New Roman" w:cs="Times New Roman"/>
                <w:sz w:val="24"/>
                <w:szCs w:val="24"/>
                <w:lang w:eastAsia="lv-LV"/>
              </w:rPr>
              <w:t xml:space="preserve">, </w:t>
            </w:r>
            <w:r w:rsidR="00D92677">
              <w:rPr>
                <w:rFonts w:ascii="Times New Roman" w:eastAsia="Times New Roman" w:hAnsi="Times New Roman" w:cs="Times New Roman"/>
                <w:sz w:val="24"/>
                <w:szCs w:val="24"/>
                <w:lang w:eastAsia="lv-LV"/>
              </w:rPr>
              <w:t xml:space="preserve">personu loku, kurām uz šo pabalstu ir tiesības, </w:t>
            </w:r>
            <w:r w:rsidR="00894F97">
              <w:rPr>
                <w:rFonts w:ascii="Times New Roman" w:eastAsia="Times New Roman" w:hAnsi="Times New Roman" w:cs="Times New Roman"/>
                <w:sz w:val="24"/>
                <w:szCs w:val="24"/>
                <w:lang w:eastAsia="lv-LV"/>
              </w:rPr>
              <w:t>valsts sociālā pabalsta izmaksas kārtību,</w:t>
            </w:r>
            <w:r w:rsidR="0002421B">
              <w:rPr>
                <w:rFonts w:ascii="Times New Roman" w:eastAsia="Times New Roman" w:hAnsi="Times New Roman" w:cs="Times New Roman"/>
                <w:sz w:val="24"/>
                <w:szCs w:val="24"/>
                <w:lang w:eastAsia="lv-LV"/>
              </w:rPr>
              <w:t xml:space="preserve"> nosacījumus, kad valsts sociālā pabalsta izmaksa ir pārtraucama,  </w:t>
            </w:r>
            <w:r w:rsidR="00894F97" w:rsidRPr="0002421B">
              <w:rPr>
                <w:rFonts w:ascii="Times New Roman" w:eastAsia="Times New Roman" w:hAnsi="Times New Roman" w:cs="Times New Roman"/>
                <w:sz w:val="24"/>
                <w:szCs w:val="24"/>
                <w:lang w:eastAsia="lv-LV"/>
              </w:rPr>
              <w:t>Valsts sociālās apdrošināšanas aģentūra</w:t>
            </w:r>
            <w:r w:rsidR="0002421B" w:rsidRPr="0002421B">
              <w:rPr>
                <w:rFonts w:ascii="Times New Roman" w:eastAsia="Times New Roman" w:hAnsi="Times New Roman" w:cs="Times New Roman"/>
                <w:sz w:val="24"/>
                <w:szCs w:val="24"/>
                <w:lang w:eastAsia="lv-LV"/>
              </w:rPr>
              <w:t>s</w:t>
            </w:r>
            <w:r w:rsidR="00894F97" w:rsidRPr="0002421B">
              <w:rPr>
                <w:rFonts w:ascii="Times New Roman" w:eastAsia="Times New Roman" w:hAnsi="Times New Roman" w:cs="Times New Roman"/>
                <w:sz w:val="24"/>
                <w:szCs w:val="24"/>
                <w:lang w:eastAsia="lv-LV"/>
              </w:rPr>
              <w:t xml:space="preserve"> (turpmāk – VSAA)  pieņemto </w:t>
            </w:r>
            <w:r w:rsidR="00894F97" w:rsidRPr="0002421B">
              <w:rPr>
                <w:rFonts w:ascii="Times New Roman" w:hAnsi="Times New Roman" w:cs="Times New Roman"/>
                <w:sz w:val="24"/>
                <w:szCs w:val="24"/>
              </w:rPr>
              <w:t xml:space="preserve">lēmumu </w:t>
            </w:r>
            <w:r w:rsidR="00894F97" w:rsidRPr="0002421B">
              <w:rPr>
                <w:rFonts w:ascii="Times New Roman" w:eastAsia="Times New Roman" w:hAnsi="Times New Roman" w:cs="Times New Roman"/>
                <w:sz w:val="24"/>
                <w:szCs w:val="24"/>
                <w:lang w:eastAsia="lv-LV"/>
              </w:rPr>
              <w:t>apstrīdēšanas un pārsūdzēšanas kārtību.</w:t>
            </w:r>
          </w:p>
          <w:p w14:paraId="206E2DDF" w14:textId="3DE28E91" w:rsidR="00116E20" w:rsidRDefault="00116E20" w:rsidP="009A74DA">
            <w:pPr>
              <w:tabs>
                <w:tab w:val="left" w:pos="567"/>
              </w:tabs>
              <w:spacing w:after="0" w:line="240" w:lineRule="auto"/>
              <w:contextualSpacing/>
              <w:jc w:val="both"/>
              <w:rPr>
                <w:rFonts w:ascii="Times New Roman" w:eastAsia="Times New Roman" w:hAnsi="Times New Roman" w:cs="Times New Roman"/>
                <w:sz w:val="24"/>
                <w:szCs w:val="24"/>
                <w:lang w:eastAsia="lv-LV"/>
              </w:rPr>
            </w:pPr>
          </w:p>
          <w:p w14:paraId="26A94298" w14:textId="204B6E8A" w:rsidR="00F20168" w:rsidRPr="00E721A0" w:rsidRDefault="00116E20" w:rsidP="009A74DA">
            <w:pPr>
              <w:tabs>
                <w:tab w:val="left" w:pos="567"/>
              </w:tabs>
              <w:spacing w:after="0" w:line="240" w:lineRule="auto"/>
              <w:contextualSpacing/>
              <w:jc w:val="both"/>
              <w:rPr>
                <w:rFonts w:ascii="Times New Roman" w:eastAsia="Times New Roman" w:hAnsi="Times New Roman" w:cs="Times New Roman"/>
                <w:sz w:val="24"/>
                <w:szCs w:val="24"/>
                <w:lang w:eastAsia="lv-LV"/>
              </w:rPr>
            </w:pPr>
            <w:r w:rsidRPr="009A6A87">
              <w:rPr>
                <w:rFonts w:ascii="Times New Roman" w:eastAsia="Times New Roman" w:hAnsi="Times New Roman" w:cs="Times New Roman"/>
                <w:sz w:val="24"/>
                <w:szCs w:val="24"/>
                <w:lang w:eastAsia="lv-LV"/>
              </w:rPr>
              <w:t>Noteikts, ka noteikumu projekts stāsies spēkā 2021.gada 1.janvārī vienlaikus ar Likuma grozījumu stāšanos spēkā, un par spēku zaudējušiem tiek atzīti MK noteikumi Nr.1077.</w:t>
            </w:r>
          </w:p>
        </w:tc>
      </w:tr>
      <w:tr w:rsidR="00FB65E1" w:rsidRPr="00305D60" w14:paraId="75668386" w14:textId="77777777" w:rsidTr="00F20168">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4A74FA72" w14:textId="77777777" w:rsidR="00495F81" w:rsidRPr="00305D60" w:rsidRDefault="00495F81" w:rsidP="009A74DA">
            <w:pPr>
              <w:spacing w:after="0" w:line="240" w:lineRule="auto"/>
              <w:rPr>
                <w:rFonts w:ascii="Times New Roman" w:eastAsia="Times New Roman" w:hAnsi="Times New Roman" w:cs="Times New Roman"/>
                <w:iCs/>
                <w:noProof/>
                <w:sz w:val="24"/>
                <w:szCs w:val="24"/>
                <w:lang w:eastAsia="lv-LV"/>
              </w:rPr>
            </w:pPr>
            <w:r w:rsidRPr="00305D60">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14:paraId="04B8D1F7" w14:textId="77777777" w:rsidR="00495F81" w:rsidRPr="00305D60" w:rsidRDefault="00495F81" w:rsidP="009A74DA">
            <w:pPr>
              <w:spacing w:after="0" w:line="240" w:lineRule="auto"/>
              <w:rPr>
                <w:rFonts w:ascii="Times New Roman" w:eastAsia="Times New Roman" w:hAnsi="Times New Roman" w:cs="Times New Roman"/>
                <w:iCs/>
                <w:noProof/>
                <w:sz w:val="24"/>
                <w:szCs w:val="24"/>
                <w:lang w:eastAsia="lv-LV"/>
              </w:rPr>
            </w:pPr>
            <w:r w:rsidRPr="00305D60">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327" w:type="dxa"/>
            <w:tcBorders>
              <w:top w:val="outset" w:sz="6" w:space="0" w:color="auto"/>
              <w:left w:val="outset" w:sz="6" w:space="0" w:color="auto"/>
              <w:bottom w:val="outset" w:sz="6" w:space="0" w:color="auto"/>
              <w:right w:val="outset" w:sz="6" w:space="0" w:color="auto"/>
            </w:tcBorders>
          </w:tcPr>
          <w:p w14:paraId="415BAF72" w14:textId="4DBB4AB1" w:rsidR="00495F81" w:rsidRPr="00305D60" w:rsidRDefault="00292FF8" w:rsidP="009A74DA">
            <w:pPr>
              <w:spacing w:after="0" w:line="240" w:lineRule="auto"/>
              <w:rPr>
                <w:rFonts w:ascii="Times New Roman" w:eastAsia="Times New Roman" w:hAnsi="Times New Roman" w:cs="Times New Roman"/>
                <w:iCs/>
                <w:noProof/>
                <w:sz w:val="24"/>
                <w:szCs w:val="24"/>
                <w:lang w:eastAsia="lv-LV"/>
              </w:rPr>
            </w:pPr>
            <w:r w:rsidRPr="00305D60">
              <w:rPr>
                <w:rFonts w:ascii="Times New Roman" w:eastAsia="Times New Roman" w:hAnsi="Times New Roman" w:cs="Times New Roman"/>
                <w:iCs/>
                <w:noProof/>
                <w:sz w:val="24"/>
                <w:szCs w:val="24"/>
                <w:lang w:eastAsia="lv-LV"/>
              </w:rPr>
              <w:t>Noteikumu projekts saskaņots ar VSAA.</w:t>
            </w:r>
          </w:p>
        </w:tc>
      </w:tr>
      <w:tr w:rsidR="00495F81" w:rsidRPr="00316DBA" w14:paraId="170463E0" w14:textId="77777777" w:rsidTr="00F20168">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78D0A715" w14:textId="77777777" w:rsidR="00495F81" w:rsidRPr="00316DBA" w:rsidRDefault="00495F81" w:rsidP="009A74DA">
            <w:pPr>
              <w:spacing w:after="0" w:line="240" w:lineRule="auto"/>
              <w:jc w:val="both"/>
              <w:rPr>
                <w:rFonts w:ascii="Times New Roman" w:eastAsia="Times New Roman" w:hAnsi="Times New Roman" w:cs="Times New Roman"/>
                <w:iCs/>
                <w:noProof/>
                <w:sz w:val="24"/>
                <w:szCs w:val="24"/>
                <w:lang w:eastAsia="lv-LV"/>
              </w:rPr>
            </w:pPr>
            <w:r w:rsidRPr="00316DBA">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14:paraId="77A6D71F" w14:textId="77777777" w:rsidR="00495F81" w:rsidRPr="00316DBA" w:rsidRDefault="00495F81" w:rsidP="009A74DA">
            <w:pPr>
              <w:spacing w:after="0" w:line="240" w:lineRule="auto"/>
              <w:jc w:val="both"/>
              <w:rPr>
                <w:rFonts w:ascii="Times New Roman" w:eastAsia="Times New Roman" w:hAnsi="Times New Roman" w:cs="Times New Roman"/>
                <w:iCs/>
                <w:noProof/>
                <w:sz w:val="24"/>
                <w:szCs w:val="24"/>
                <w:lang w:eastAsia="lv-LV"/>
              </w:rPr>
            </w:pPr>
            <w:r w:rsidRPr="00316DBA">
              <w:rPr>
                <w:rFonts w:ascii="Times New Roman" w:eastAsia="Times New Roman" w:hAnsi="Times New Roman" w:cs="Times New Roman"/>
                <w:iCs/>
                <w:noProof/>
                <w:sz w:val="24"/>
                <w:szCs w:val="24"/>
                <w:lang w:eastAsia="lv-LV"/>
              </w:rPr>
              <w:t>Cita informācija</w:t>
            </w:r>
          </w:p>
        </w:tc>
        <w:tc>
          <w:tcPr>
            <w:tcW w:w="6327" w:type="dxa"/>
            <w:tcBorders>
              <w:top w:val="outset" w:sz="6" w:space="0" w:color="auto"/>
              <w:left w:val="outset" w:sz="6" w:space="0" w:color="auto"/>
              <w:bottom w:val="outset" w:sz="6" w:space="0" w:color="auto"/>
              <w:right w:val="outset" w:sz="6" w:space="0" w:color="auto"/>
            </w:tcBorders>
            <w:hideMark/>
          </w:tcPr>
          <w:p w14:paraId="5697C243" w14:textId="4B5E1DB0" w:rsidR="00495F81" w:rsidRPr="00316DBA" w:rsidRDefault="008271DA" w:rsidP="009A74DA">
            <w:pPr>
              <w:spacing w:after="0" w:line="240" w:lineRule="auto"/>
              <w:jc w:val="both"/>
              <w:rPr>
                <w:rFonts w:ascii="Times New Roman" w:eastAsia="Times New Roman" w:hAnsi="Times New Roman" w:cs="Times New Roman"/>
                <w:iCs/>
                <w:noProof/>
                <w:sz w:val="24"/>
                <w:szCs w:val="24"/>
                <w:lang w:eastAsia="lv-LV"/>
              </w:rPr>
            </w:pPr>
            <w:r w:rsidRPr="00316DBA">
              <w:rPr>
                <w:rFonts w:ascii="Times New Roman" w:hAnsi="Times New Roman" w:cs="Times New Roman"/>
                <w:sz w:val="24"/>
                <w:szCs w:val="24"/>
              </w:rPr>
              <w:t>Grozījumi ČAES likumā paredz, ka</w:t>
            </w:r>
            <w:r w:rsidR="00894F97" w:rsidRPr="00316DBA">
              <w:rPr>
                <w:rFonts w:ascii="Times New Roman" w:hAnsi="Times New Roman" w:cs="Times New Roman"/>
                <w:sz w:val="24"/>
                <w:szCs w:val="24"/>
              </w:rPr>
              <w:t xml:space="preserve">, lai nodrošinātu </w:t>
            </w:r>
            <w:r w:rsidRPr="00316DBA">
              <w:rPr>
                <w:rFonts w:ascii="Times New Roman" w:hAnsi="Times New Roman" w:cs="Times New Roman"/>
                <w:sz w:val="24"/>
                <w:szCs w:val="24"/>
              </w:rPr>
              <w:t xml:space="preserve">valsts sociālā </w:t>
            </w:r>
            <w:r w:rsidR="00894F97" w:rsidRPr="00316DBA">
              <w:rPr>
                <w:rFonts w:ascii="Times New Roman" w:hAnsi="Times New Roman" w:cs="Times New Roman"/>
                <w:sz w:val="24"/>
                <w:szCs w:val="24"/>
              </w:rPr>
              <w:t xml:space="preserve">pabalsta izmaksu </w:t>
            </w:r>
            <w:r w:rsidRPr="00316DBA">
              <w:rPr>
                <w:rFonts w:ascii="Times New Roman" w:hAnsi="Times New Roman" w:cs="Times New Roman"/>
                <w:sz w:val="24"/>
                <w:szCs w:val="24"/>
              </w:rPr>
              <w:t xml:space="preserve">jaunajā apmērā </w:t>
            </w:r>
            <w:r w:rsidR="00894F97" w:rsidRPr="00316DBA">
              <w:rPr>
                <w:rFonts w:ascii="Times New Roman" w:hAnsi="Times New Roman" w:cs="Times New Roman"/>
                <w:sz w:val="24"/>
                <w:szCs w:val="24"/>
              </w:rPr>
              <w:t>(</w:t>
            </w:r>
            <w:r w:rsidR="00894F97" w:rsidRPr="00316DBA">
              <w:rPr>
                <w:rFonts w:ascii="Times New Roman" w:hAnsi="Times New Roman" w:cs="Times New Roman"/>
                <w:sz w:val="24"/>
                <w:szCs w:val="24"/>
                <w:shd w:val="clear" w:color="auto" w:fill="FFFFFF"/>
              </w:rPr>
              <w:t xml:space="preserve">valsts sociālā nodrošinājuma pabalsta apmērā, kāds tas ir noteikts Valsts sociālo pabalstu likuma 13.panta pirmās daļas 1.punktā minētajām personām – 109 </w:t>
            </w:r>
            <w:proofErr w:type="spellStart"/>
            <w:r w:rsidR="00894F97" w:rsidRPr="00316DBA">
              <w:rPr>
                <w:rFonts w:ascii="Times New Roman" w:hAnsi="Times New Roman" w:cs="Times New Roman"/>
                <w:sz w:val="24"/>
                <w:szCs w:val="24"/>
                <w:shd w:val="clear" w:color="auto" w:fill="FFFFFF"/>
              </w:rPr>
              <w:t>euro</w:t>
            </w:r>
            <w:proofErr w:type="spellEnd"/>
            <w:r w:rsidR="00894F97" w:rsidRPr="00316DBA">
              <w:rPr>
                <w:rFonts w:ascii="Times New Roman" w:hAnsi="Times New Roman" w:cs="Times New Roman"/>
                <w:sz w:val="24"/>
                <w:szCs w:val="24"/>
                <w:shd w:val="clear" w:color="auto" w:fill="FFFFFF"/>
              </w:rPr>
              <w:t xml:space="preserve">), </w:t>
            </w:r>
            <w:r w:rsidRPr="00316DBA">
              <w:rPr>
                <w:rFonts w:ascii="Times New Roman" w:hAnsi="Times New Roman" w:cs="Times New Roman"/>
                <w:sz w:val="24"/>
                <w:szCs w:val="24"/>
                <w:shd w:val="clear" w:color="auto" w:fill="FFFFFF"/>
              </w:rPr>
              <w:t xml:space="preserve">VSAA ir nepieciešams veikt izmaiņas informācijas sistēmā (IS), kam ir nepieciešams laiks.  Līdz ar to </w:t>
            </w:r>
            <w:r w:rsidR="00894F97" w:rsidRPr="00316DBA">
              <w:rPr>
                <w:rFonts w:ascii="Times New Roman" w:hAnsi="Times New Roman" w:cs="Times New Roman"/>
                <w:sz w:val="24"/>
                <w:szCs w:val="24"/>
                <w:shd w:val="clear" w:color="auto" w:fill="FFFFFF"/>
              </w:rPr>
              <w:t xml:space="preserve">grozījumi ČAES likumā </w:t>
            </w:r>
            <w:r w:rsidRPr="00316DBA">
              <w:rPr>
                <w:rFonts w:ascii="Times New Roman" w:hAnsi="Times New Roman" w:cs="Times New Roman"/>
                <w:sz w:val="24"/>
                <w:szCs w:val="24"/>
                <w:shd w:val="clear" w:color="auto" w:fill="FFFFFF"/>
              </w:rPr>
              <w:t>paredz</w:t>
            </w:r>
            <w:r w:rsidR="00316DBA">
              <w:rPr>
                <w:rFonts w:ascii="Times New Roman" w:hAnsi="Times New Roman" w:cs="Times New Roman"/>
                <w:sz w:val="24"/>
                <w:szCs w:val="24"/>
                <w:shd w:val="clear" w:color="auto" w:fill="FFFFFF"/>
              </w:rPr>
              <w:t xml:space="preserve"> </w:t>
            </w:r>
            <w:r w:rsidR="00316DBA" w:rsidRPr="009A6A87">
              <w:rPr>
                <w:rFonts w:ascii="Times New Roman" w:hAnsi="Times New Roman" w:cs="Times New Roman"/>
                <w:sz w:val="24"/>
                <w:szCs w:val="24"/>
                <w:shd w:val="clear" w:color="auto" w:fill="FFFFFF"/>
              </w:rPr>
              <w:t>(pārejas noteikumu 11.punkts</w:t>
            </w:r>
            <w:r w:rsidR="00316DBA" w:rsidRPr="00316DBA">
              <w:rPr>
                <w:rFonts w:ascii="Times New Roman" w:hAnsi="Times New Roman" w:cs="Times New Roman"/>
                <w:sz w:val="24"/>
                <w:szCs w:val="24"/>
                <w:shd w:val="clear" w:color="auto" w:fill="FFFFFF"/>
              </w:rPr>
              <w:t>)</w:t>
            </w:r>
            <w:r w:rsidRPr="00316DBA">
              <w:rPr>
                <w:rFonts w:ascii="Times New Roman" w:hAnsi="Times New Roman" w:cs="Times New Roman"/>
                <w:sz w:val="24"/>
                <w:szCs w:val="24"/>
                <w:shd w:val="clear" w:color="auto" w:fill="FFFFFF"/>
              </w:rPr>
              <w:t>, ka no 2021.gada 1.janvāra līdz 2021.gada 30.aprīlim valsts sociāl</w:t>
            </w:r>
            <w:r w:rsidR="008438D1">
              <w:rPr>
                <w:rFonts w:ascii="Times New Roman" w:hAnsi="Times New Roman" w:cs="Times New Roman"/>
                <w:sz w:val="24"/>
                <w:szCs w:val="24"/>
                <w:shd w:val="clear" w:color="auto" w:fill="FFFFFF"/>
              </w:rPr>
              <w:t>o</w:t>
            </w:r>
            <w:r w:rsidRPr="00316DBA">
              <w:rPr>
                <w:rFonts w:ascii="Times New Roman" w:hAnsi="Times New Roman" w:cs="Times New Roman"/>
                <w:sz w:val="24"/>
                <w:szCs w:val="24"/>
                <w:shd w:val="clear" w:color="auto" w:fill="FFFFFF"/>
              </w:rPr>
              <w:t xml:space="preserve"> pabalstu piešķirs un izmaksās tādā apmērā, kā to noteica normatīvais regulējums līdz 2020.gada 31.decembrim</w:t>
            </w:r>
            <w:r w:rsidR="00316DBA">
              <w:rPr>
                <w:rFonts w:ascii="Times New Roman" w:hAnsi="Times New Roman" w:cs="Times New Roman"/>
                <w:sz w:val="24"/>
                <w:szCs w:val="24"/>
                <w:shd w:val="clear" w:color="auto" w:fill="FFFFFF"/>
              </w:rPr>
              <w:t xml:space="preserve"> (proti, 100 </w:t>
            </w:r>
            <w:proofErr w:type="spellStart"/>
            <w:r w:rsidR="00316DBA" w:rsidRPr="00316DBA">
              <w:rPr>
                <w:rFonts w:ascii="Times New Roman" w:hAnsi="Times New Roman" w:cs="Times New Roman"/>
                <w:i/>
                <w:iCs/>
                <w:sz w:val="24"/>
                <w:szCs w:val="24"/>
                <w:shd w:val="clear" w:color="auto" w:fill="FFFFFF"/>
              </w:rPr>
              <w:t>euro</w:t>
            </w:r>
            <w:proofErr w:type="spellEnd"/>
            <w:r w:rsidR="00316DBA">
              <w:rPr>
                <w:rFonts w:ascii="Times New Roman" w:hAnsi="Times New Roman" w:cs="Times New Roman"/>
                <w:sz w:val="24"/>
                <w:szCs w:val="24"/>
                <w:shd w:val="clear" w:color="auto" w:fill="FFFFFF"/>
              </w:rPr>
              <w:t xml:space="preserve"> apmērā)</w:t>
            </w:r>
            <w:r w:rsidRPr="00316DBA">
              <w:rPr>
                <w:rFonts w:ascii="Times New Roman" w:hAnsi="Times New Roman" w:cs="Times New Roman"/>
                <w:sz w:val="24"/>
                <w:szCs w:val="24"/>
                <w:shd w:val="clear" w:color="auto" w:fill="FFFFFF"/>
              </w:rPr>
              <w:t>, savukārt pārrēķinu un valsts sociālā pabalsta starpības izmaksu par periodu no 1.janvāra līdz 30.aprīlim VSAA nodrošinās līdz 2021.gada 1.jūnijam.</w:t>
            </w:r>
          </w:p>
        </w:tc>
      </w:tr>
    </w:tbl>
    <w:p w14:paraId="0108E2AE" w14:textId="21E82B9D" w:rsidR="00E1259F" w:rsidRPr="00FB65E1" w:rsidRDefault="00E1259F" w:rsidP="009A74DA">
      <w:pPr>
        <w:spacing w:after="0" w:line="240" w:lineRule="auto"/>
        <w:rPr>
          <w:rFonts w:ascii="Times New Roman" w:eastAsia="Times New Roman" w:hAnsi="Times New Roman" w:cs="Times New Roman"/>
          <w:iCs/>
          <w:noProof/>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2387"/>
        <w:gridCol w:w="6385"/>
      </w:tblGrid>
      <w:tr w:rsidR="00FB65E1" w:rsidRPr="00FB65E1" w14:paraId="7568D1E8" w14:textId="77777777" w:rsidTr="00292FF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903E4AF" w14:textId="77777777" w:rsidR="00495F81" w:rsidRPr="00FB65E1" w:rsidRDefault="00495F81" w:rsidP="009A74DA">
            <w:pPr>
              <w:spacing w:after="0" w:line="240" w:lineRule="auto"/>
              <w:rPr>
                <w:rFonts w:ascii="Times New Roman" w:eastAsia="Times New Roman" w:hAnsi="Times New Roman" w:cs="Times New Roman"/>
                <w:b/>
                <w:bCs/>
                <w:iCs/>
                <w:noProof/>
                <w:sz w:val="24"/>
                <w:szCs w:val="24"/>
                <w:lang w:eastAsia="lv-LV"/>
              </w:rPr>
            </w:pPr>
            <w:r w:rsidRPr="00FB65E1">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512BE8" w:rsidRPr="00FB65E1" w14:paraId="261F5832" w14:textId="77777777" w:rsidTr="00512BE8">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5149A44C" w14:textId="77777777" w:rsidR="00512BE8" w:rsidRPr="00FB65E1" w:rsidRDefault="00512BE8" w:rsidP="009A74DA">
            <w:pPr>
              <w:spacing w:after="0" w:line="240" w:lineRule="auto"/>
              <w:rPr>
                <w:rFonts w:ascii="Times New Roman" w:eastAsia="Times New Roman" w:hAnsi="Times New Roman" w:cs="Times New Roman"/>
                <w:iCs/>
                <w:noProof/>
                <w:sz w:val="24"/>
                <w:szCs w:val="24"/>
                <w:lang w:eastAsia="lv-LV"/>
              </w:rPr>
            </w:pPr>
            <w:r w:rsidRPr="00FB65E1">
              <w:rPr>
                <w:rFonts w:ascii="Times New Roman" w:eastAsia="Times New Roman" w:hAnsi="Times New Roman" w:cs="Times New Roman"/>
                <w:iCs/>
                <w:noProof/>
                <w:sz w:val="24"/>
                <w:szCs w:val="24"/>
                <w:lang w:eastAsia="lv-LV"/>
              </w:rPr>
              <w:t>1.</w:t>
            </w:r>
          </w:p>
        </w:tc>
        <w:tc>
          <w:tcPr>
            <w:tcW w:w="1269" w:type="pct"/>
            <w:tcBorders>
              <w:top w:val="outset" w:sz="6" w:space="0" w:color="auto"/>
              <w:left w:val="outset" w:sz="6" w:space="0" w:color="auto"/>
              <w:bottom w:val="outset" w:sz="6" w:space="0" w:color="auto"/>
              <w:right w:val="outset" w:sz="6" w:space="0" w:color="auto"/>
            </w:tcBorders>
            <w:hideMark/>
          </w:tcPr>
          <w:p w14:paraId="1130CA8F" w14:textId="77777777" w:rsidR="00512BE8" w:rsidRPr="00FB65E1" w:rsidRDefault="00512BE8" w:rsidP="009A74DA">
            <w:pPr>
              <w:spacing w:after="0" w:line="240" w:lineRule="auto"/>
              <w:rPr>
                <w:rFonts w:ascii="Times New Roman" w:eastAsia="Times New Roman" w:hAnsi="Times New Roman" w:cs="Times New Roman"/>
                <w:iCs/>
                <w:noProof/>
                <w:sz w:val="24"/>
                <w:szCs w:val="24"/>
                <w:lang w:eastAsia="lv-LV"/>
              </w:rPr>
            </w:pPr>
            <w:r w:rsidRPr="00FB65E1">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81" w:type="pct"/>
            <w:tcBorders>
              <w:top w:val="outset" w:sz="6" w:space="0" w:color="auto"/>
              <w:left w:val="outset" w:sz="6" w:space="0" w:color="auto"/>
              <w:bottom w:val="outset" w:sz="6" w:space="0" w:color="auto"/>
              <w:right w:val="outset" w:sz="6" w:space="0" w:color="auto"/>
            </w:tcBorders>
          </w:tcPr>
          <w:p w14:paraId="01FBE342" w14:textId="77777777" w:rsidR="00512BE8" w:rsidRPr="00A23AAE" w:rsidRDefault="00512BE8" w:rsidP="009A74DA">
            <w:pPr>
              <w:spacing w:after="0" w:line="240" w:lineRule="auto"/>
              <w:jc w:val="both"/>
              <w:rPr>
                <w:rFonts w:ascii="Times New Roman" w:hAnsi="Times New Roman" w:cs="Times New Roman"/>
                <w:sz w:val="24"/>
                <w:szCs w:val="24"/>
                <w:shd w:val="clear" w:color="auto" w:fill="FFFFFF"/>
              </w:rPr>
            </w:pPr>
            <w:r w:rsidRPr="00A23AAE">
              <w:rPr>
                <w:rFonts w:ascii="Times New Roman" w:hAnsi="Times New Roman" w:cs="Times New Roman"/>
                <w:sz w:val="24"/>
                <w:szCs w:val="24"/>
                <w:shd w:val="clear" w:color="auto" w:fill="FFFFFF"/>
              </w:rPr>
              <w:t>ČAES seku likvidēšanas dalībnieki un mirušā ČAES avārijas seku likvidēšanas dalībnieka ģimene.</w:t>
            </w:r>
          </w:p>
          <w:p w14:paraId="374A0F6D" w14:textId="60056C0A" w:rsidR="00512BE8" w:rsidRPr="00A23AAE" w:rsidRDefault="00512BE8" w:rsidP="009A74DA">
            <w:pPr>
              <w:spacing w:after="0" w:line="240" w:lineRule="auto"/>
              <w:jc w:val="both"/>
              <w:rPr>
                <w:rFonts w:ascii="Times New Roman" w:hAnsi="Times New Roman" w:cs="Times New Roman"/>
                <w:sz w:val="24"/>
                <w:szCs w:val="24"/>
                <w:shd w:val="clear" w:color="auto" w:fill="FFFFFF"/>
              </w:rPr>
            </w:pPr>
            <w:r w:rsidRPr="00A23AAE">
              <w:rPr>
                <w:rFonts w:ascii="Times New Roman" w:eastAsia="Times New Roman" w:hAnsi="Times New Roman" w:cs="Times New Roman"/>
                <w:iCs/>
                <w:noProof/>
                <w:sz w:val="24"/>
                <w:szCs w:val="24"/>
                <w:lang w:eastAsia="lv-LV"/>
              </w:rPr>
              <w:t xml:space="preserve">Saskaņā ar VSAA datiem 2020.gada jūnijā ČAES pabalsts piešķirts 2975 </w:t>
            </w:r>
            <w:r w:rsidRPr="00A23AAE">
              <w:rPr>
                <w:rFonts w:ascii="Times New Roman" w:hAnsi="Times New Roman" w:cs="Times New Roman"/>
                <w:sz w:val="24"/>
                <w:szCs w:val="24"/>
                <w:shd w:val="clear" w:color="auto" w:fill="FFFFFF"/>
              </w:rPr>
              <w:t>ČAES seku likvidēšanas dalībniekiem</w:t>
            </w:r>
            <w:r w:rsidR="00AF20A3">
              <w:rPr>
                <w:rFonts w:ascii="Times New Roman" w:hAnsi="Times New Roman" w:cs="Times New Roman"/>
                <w:sz w:val="24"/>
                <w:szCs w:val="24"/>
                <w:shd w:val="clear" w:color="auto" w:fill="FFFFFF"/>
              </w:rPr>
              <w:t xml:space="preserve"> (sadalījumu pa invaliditātes grupām skatīt tabulā zemāk)</w:t>
            </w:r>
            <w:r w:rsidRPr="00A23AAE">
              <w:rPr>
                <w:rFonts w:ascii="Times New Roman" w:hAnsi="Times New Roman" w:cs="Times New Roman"/>
                <w:sz w:val="24"/>
                <w:szCs w:val="24"/>
                <w:shd w:val="clear" w:color="auto" w:fill="FFFFFF"/>
              </w:rPr>
              <w:t xml:space="preserve"> un</w:t>
            </w:r>
            <w:r w:rsidRPr="00A23AAE">
              <w:rPr>
                <w:rFonts w:ascii="Times New Roman" w:eastAsia="Times New Roman" w:hAnsi="Times New Roman" w:cs="Times New Roman"/>
                <w:iCs/>
                <w:noProof/>
                <w:sz w:val="24"/>
                <w:szCs w:val="24"/>
                <w:lang w:eastAsia="lv-LV"/>
              </w:rPr>
              <w:t xml:space="preserve"> 146 </w:t>
            </w:r>
            <w:r w:rsidRPr="00A23AAE">
              <w:rPr>
                <w:rFonts w:ascii="Times New Roman" w:hAnsi="Times New Roman" w:cs="Times New Roman"/>
                <w:sz w:val="24"/>
                <w:szCs w:val="24"/>
                <w:shd w:val="clear" w:color="auto" w:fill="FFFFFF"/>
              </w:rPr>
              <w:t>mirušā ČAES avārijas seku likvidēšanas dalībnieka ģimenes locekļiem.</w:t>
            </w:r>
          </w:p>
          <w:p w14:paraId="2F3EA823" w14:textId="77777777" w:rsidR="00512BE8" w:rsidRPr="00A23AAE" w:rsidRDefault="00512BE8" w:rsidP="009A74DA">
            <w:pPr>
              <w:spacing w:after="0" w:line="240" w:lineRule="auto"/>
              <w:jc w:val="both"/>
              <w:rPr>
                <w:rFonts w:ascii="Times New Roman" w:hAnsi="Times New Roman" w:cs="Times New Roman"/>
                <w:sz w:val="24"/>
                <w:szCs w:val="24"/>
                <w:shd w:val="clear" w:color="auto" w:fill="FFFFFF"/>
              </w:rPr>
            </w:pPr>
          </w:p>
          <w:tbl>
            <w:tblPr>
              <w:tblW w:w="0" w:type="auto"/>
              <w:tblInd w:w="605" w:type="dxa"/>
              <w:tblCellMar>
                <w:left w:w="0" w:type="dxa"/>
                <w:right w:w="0" w:type="dxa"/>
              </w:tblCellMar>
              <w:tblLook w:val="04A0" w:firstRow="1" w:lastRow="0" w:firstColumn="1" w:lastColumn="0" w:noHBand="0" w:noVBand="1"/>
            </w:tblPr>
            <w:tblGrid>
              <w:gridCol w:w="1725"/>
              <w:gridCol w:w="2200"/>
            </w:tblGrid>
            <w:tr w:rsidR="00512BE8" w:rsidRPr="00A23AAE" w14:paraId="0CB6B3A3" w14:textId="77777777" w:rsidTr="00456D44">
              <w:trPr>
                <w:trHeight w:val="675"/>
              </w:trPr>
              <w:tc>
                <w:tcPr>
                  <w:tcW w:w="1725" w:type="dxa"/>
                  <w:tcBorders>
                    <w:top w:val="single" w:sz="8" w:space="0" w:color="DDDDDD"/>
                    <w:left w:val="single" w:sz="8" w:space="0" w:color="DDDDDD"/>
                    <w:bottom w:val="single" w:sz="8" w:space="0" w:color="DDDDDD"/>
                    <w:right w:val="single" w:sz="8" w:space="0" w:color="DDDDDD"/>
                  </w:tcBorders>
                  <w:shd w:val="clear" w:color="auto" w:fill="F7F7F7"/>
                  <w:vAlign w:val="center"/>
                  <w:hideMark/>
                </w:tcPr>
                <w:p w14:paraId="11C50189" w14:textId="77777777" w:rsidR="00512BE8" w:rsidRPr="00A23AAE" w:rsidRDefault="00512BE8" w:rsidP="009A74DA">
                  <w:pPr>
                    <w:spacing w:after="0" w:line="240" w:lineRule="auto"/>
                    <w:jc w:val="center"/>
                    <w:rPr>
                      <w:rFonts w:ascii="Times New Roman" w:hAnsi="Times New Roman" w:cs="Times New Roman"/>
                      <w:color w:val="333333"/>
                      <w:lang w:eastAsia="lv-LV"/>
                    </w:rPr>
                  </w:pPr>
                  <w:r w:rsidRPr="00A23AAE">
                    <w:rPr>
                      <w:rFonts w:ascii="Times New Roman" w:hAnsi="Times New Roman" w:cs="Times New Roman"/>
                      <w:color w:val="333333"/>
                      <w:lang w:eastAsia="lv-LV"/>
                    </w:rPr>
                    <w:t>Invaliditātes</w:t>
                  </w:r>
                  <w:r w:rsidRPr="00A23AAE">
                    <w:rPr>
                      <w:rFonts w:ascii="Times New Roman" w:hAnsi="Times New Roman" w:cs="Times New Roman"/>
                      <w:color w:val="333333"/>
                      <w:lang w:eastAsia="lv-LV"/>
                    </w:rPr>
                    <w:br/>
                    <w:t>grupa</w:t>
                  </w:r>
                </w:p>
              </w:tc>
              <w:tc>
                <w:tcPr>
                  <w:tcW w:w="2200" w:type="dxa"/>
                  <w:tcBorders>
                    <w:top w:val="single" w:sz="8" w:space="0" w:color="DDDDDD"/>
                    <w:left w:val="nil"/>
                    <w:bottom w:val="single" w:sz="8" w:space="0" w:color="DDDDDD"/>
                    <w:right w:val="single" w:sz="8" w:space="0" w:color="DDDDDD"/>
                  </w:tcBorders>
                  <w:shd w:val="clear" w:color="auto" w:fill="F7F7F7"/>
                  <w:vAlign w:val="center"/>
                  <w:hideMark/>
                </w:tcPr>
                <w:p w14:paraId="4DD8AECC" w14:textId="77777777" w:rsidR="00512BE8" w:rsidRPr="00A23AAE" w:rsidRDefault="00512BE8" w:rsidP="009A74DA">
                  <w:pPr>
                    <w:spacing w:after="0" w:line="240" w:lineRule="auto"/>
                    <w:jc w:val="center"/>
                    <w:rPr>
                      <w:rFonts w:ascii="Times New Roman" w:hAnsi="Times New Roman" w:cs="Times New Roman"/>
                      <w:color w:val="333333"/>
                      <w:lang w:eastAsia="lv-LV"/>
                    </w:rPr>
                  </w:pPr>
                  <w:r w:rsidRPr="00A23AAE">
                    <w:rPr>
                      <w:rFonts w:ascii="Times New Roman" w:hAnsi="Times New Roman" w:cs="Times New Roman"/>
                      <w:color w:val="333333"/>
                      <w:lang w:eastAsia="lv-LV"/>
                    </w:rPr>
                    <w:t>ČAES seku likvidēšanas dalībnieku skaits</w:t>
                  </w:r>
                </w:p>
              </w:tc>
            </w:tr>
            <w:tr w:rsidR="00512BE8" w:rsidRPr="00A23AAE" w14:paraId="2DE72D33" w14:textId="77777777" w:rsidTr="00456D44">
              <w:trPr>
                <w:trHeight w:val="390"/>
              </w:trPr>
              <w:tc>
                <w:tcPr>
                  <w:tcW w:w="1725" w:type="dxa"/>
                  <w:tcBorders>
                    <w:top w:val="nil"/>
                    <w:left w:val="single" w:sz="8" w:space="0" w:color="DDDDDD"/>
                    <w:bottom w:val="single" w:sz="8" w:space="0" w:color="DDDDDD"/>
                    <w:right w:val="single" w:sz="8" w:space="0" w:color="DDDDDD"/>
                  </w:tcBorders>
                  <w:shd w:val="clear" w:color="auto" w:fill="FFFFFF"/>
                  <w:vAlign w:val="center"/>
                  <w:hideMark/>
                </w:tcPr>
                <w:p w14:paraId="58161A6D" w14:textId="77777777" w:rsidR="00512BE8" w:rsidRPr="00A23AAE" w:rsidRDefault="00512BE8" w:rsidP="009A74DA">
                  <w:pPr>
                    <w:spacing w:after="0" w:line="240" w:lineRule="auto"/>
                    <w:jc w:val="center"/>
                    <w:rPr>
                      <w:rFonts w:ascii="Times New Roman" w:hAnsi="Times New Roman" w:cs="Times New Roman"/>
                      <w:b/>
                      <w:color w:val="333333"/>
                      <w:sz w:val="20"/>
                      <w:szCs w:val="20"/>
                      <w:lang w:eastAsia="lv-LV"/>
                    </w:rPr>
                  </w:pPr>
                  <w:r w:rsidRPr="00A23AAE">
                    <w:rPr>
                      <w:rFonts w:ascii="Times New Roman" w:hAnsi="Times New Roman" w:cs="Times New Roman"/>
                      <w:b/>
                      <w:color w:val="333333"/>
                      <w:sz w:val="20"/>
                      <w:szCs w:val="20"/>
                      <w:lang w:eastAsia="lv-LV"/>
                    </w:rPr>
                    <w:t>I</w:t>
                  </w:r>
                </w:p>
              </w:tc>
              <w:tc>
                <w:tcPr>
                  <w:tcW w:w="2200" w:type="dxa"/>
                  <w:tcBorders>
                    <w:top w:val="nil"/>
                    <w:left w:val="nil"/>
                    <w:bottom w:val="single" w:sz="8" w:space="0" w:color="DDDDDD"/>
                    <w:right w:val="single" w:sz="8" w:space="0" w:color="DDDDDD"/>
                  </w:tcBorders>
                  <w:shd w:val="clear" w:color="auto" w:fill="FFFFFF"/>
                  <w:vAlign w:val="center"/>
                  <w:hideMark/>
                </w:tcPr>
                <w:p w14:paraId="6300B9DD" w14:textId="77777777" w:rsidR="00512BE8" w:rsidRPr="00A23AAE" w:rsidRDefault="00512BE8" w:rsidP="009A74DA">
                  <w:pPr>
                    <w:spacing w:after="0" w:line="240" w:lineRule="auto"/>
                    <w:jc w:val="center"/>
                    <w:rPr>
                      <w:rFonts w:ascii="Times New Roman" w:hAnsi="Times New Roman" w:cs="Times New Roman"/>
                      <w:color w:val="333333"/>
                      <w:lang w:eastAsia="lv-LV"/>
                    </w:rPr>
                  </w:pPr>
                  <w:r w:rsidRPr="00A23AAE">
                    <w:rPr>
                      <w:rFonts w:ascii="Times New Roman" w:hAnsi="Times New Roman" w:cs="Times New Roman"/>
                      <w:color w:val="333333"/>
                      <w:lang w:eastAsia="lv-LV"/>
                    </w:rPr>
                    <w:t>107</w:t>
                  </w:r>
                </w:p>
              </w:tc>
            </w:tr>
            <w:tr w:rsidR="00512BE8" w:rsidRPr="00A23AAE" w14:paraId="0B9E6D6E" w14:textId="77777777" w:rsidTr="00456D44">
              <w:trPr>
                <w:trHeight w:val="390"/>
              </w:trPr>
              <w:tc>
                <w:tcPr>
                  <w:tcW w:w="1725" w:type="dxa"/>
                  <w:tcBorders>
                    <w:top w:val="nil"/>
                    <w:left w:val="single" w:sz="8" w:space="0" w:color="DDDDDD"/>
                    <w:bottom w:val="single" w:sz="8" w:space="0" w:color="DDDDDD"/>
                    <w:right w:val="single" w:sz="8" w:space="0" w:color="DDDDDD"/>
                  </w:tcBorders>
                  <w:shd w:val="clear" w:color="auto" w:fill="FFFFFF"/>
                  <w:vAlign w:val="center"/>
                  <w:hideMark/>
                </w:tcPr>
                <w:p w14:paraId="18BDD62C" w14:textId="77777777" w:rsidR="00512BE8" w:rsidRPr="00A23AAE" w:rsidRDefault="00512BE8" w:rsidP="009A74DA">
                  <w:pPr>
                    <w:spacing w:after="0" w:line="240" w:lineRule="auto"/>
                    <w:jc w:val="center"/>
                    <w:rPr>
                      <w:rFonts w:ascii="Times New Roman" w:hAnsi="Times New Roman" w:cs="Times New Roman"/>
                      <w:b/>
                      <w:color w:val="333333"/>
                      <w:sz w:val="20"/>
                      <w:szCs w:val="20"/>
                      <w:lang w:eastAsia="lv-LV"/>
                    </w:rPr>
                  </w:pPr>
                  <w:r w:rsidRPr="00A23AAE">
                    <w:rPr>
                      <w:rFonts w:ascii="Times New Roman" w:hAnsi="Times New Roman" w:cs="Times New Roman"/>
                      <w:b/>
                      <w:color w:val="333333"/>
                      <w:sz w:val="20"/>
                      <w:szCs w:val="20"/>
                      <w:lang w:eastAsia="lv-LV"/>
                    </w:rPr>
                    <w:t>II</w:t>
                  </w:r>
                </w:p>
              </w:tc>
              <w:tc>
                <w:tcPr>
                  <w:tcW w:w="2200" w:type="dxa"/>
                  <w:tcBorders>
                    <w:top w:val="nil"/>
                    <w:left w:val="nil"/>
                    <w:bottom w:val="single" w:sz="8" w:space="0" w:color="DDDDDD"/>
                    <w:right w:val="single" w:sz="8" w:space="0" w:color="DDDDDD"/>
                  </w:tcBorders>
                  <w:shd w:val="clear" w:color="auto" w:fill="FFFFFF"/>
                  <w:vAlign w:val="center"/>
                  <w:hideMark/>
                </w:tcPr>
                <w:p w14:paraId="45CE04E4" w14:textId="77777777" w:rsidR="00512BE8" w:rsidRPr="00A23AAE" w:rsidRDefault="00512BE8" w:rsidP="009A74DA">
                  <w:pPr>
                    <w:spacing w:after="0" w:line="240" w:lineRule="auto"/>
                    <w:jc w:val="center"/>
                    <w:rPr>
                      <w:rFonts w:ascii="Times New Roman" w:hAnsi="Times New Roman" w:cs="Times New Roman"/>
                      <w:color w:val="333333"/>
                      <w:lang w:eastAsia="lv-LV"/>
                    </w:rPr>
                  </w:pPr>
                  <w:r w:rsidRPr="00A23AAE">
                    <w:rPr>
                      <w:rFonts w:ascii="Times New Roman" w:hAnsi="Times New Roman" w:cs="Times New Roman"/>
                      <w:color w:val="333333"/>
                      <w:lang w:eastAsia="lv-LV"/>
                    </w:rPr>
                    <w:t>1 248</w:t>
                  </w:r>
                </w:p>
              </w:tc>
            </w:tr>
            <w:tr w:rsidR="00512BE8" w:rsidRPr="00A23AAE" w14:paraId="68C53086" w14:textId="77777777" w:rsidTr="00456D44">
              <w:trPr>
                <w:trHeight w:val="390"/>
              </w:trPr>
              <w:tc>
                <w:tcPr>
                  <w:tcW w:w="1725" w:type="dxa"/>
                  <w:tcBorders>
                    <w:top w:val="nil"/>
                    <w:left w:val="single" w:sz="8" w:space="0" w:color="DDDDDD"/>
                    <w:bottom w:val="single" w:sz="8" w:space="0" w:color="DDDDDD"/>
                    <w:right w:val="single" w:sz="8" w:space="0" w:color="DDDDDD"/>
                  </w:tcBorders>
                  <w:shd w:val="clear" w:color="auto" w:fill="FFFFFF"/>
                  <w:vAlign w:val="center"/>
                  <w:hideMark/>
                </w:tcPr>
                <w:p w14:paraId="57D8DD31" w14:textId="77777777" w:rsidR="00512BE8" w:rsidRPr="00A23AAE" w:rsidRDefault="00512BE8" w:rsidP="009A74DA">
                  <w:pPr>
                    <w:spacing w:after="0" w:line="240" w:lineRule="auto"/>
                    <w:jc w:val="center"/>
                    <w:rPr>
                      <w:rFonts w:ascii="Times New Roman" w:hAnsi="Times New Roman" w:cs="Times New Roman"/>
                      <w:b/>
                      <w:color w:val="333333"/>
                      <w:sz w:val="20"/>
                      <w:szCs w:val="20"/>
                      <w:lang w:eastAsia="lv-LV"/>
                    </w:rPr>
                  </w:pPr>
                  <w:r w:rsidRPr="00A23AAE">
                    <w:rPr>
                      <w:rFonts w:ascii="Times New Roman" w:hAnsi="Times New Roman" w:cs="Times New Roman"/>
                      <w:b/>
                      <w:color w:val="333333"/>
                      <w:sz w:val="20"/>
                      <w:szCs w:val="20"/>
                      <w:lang w:eastAsia="lv-LV"/>
                    </w:rPr>
                    <w:t>III</w:t>
                  </w:r>
                </w:p>
              </w:tc>
              <w:tc>
                <w:tcPr>
                  <w:tcW w:w="2200" w:type="dxa"/>
                  <w:tcBorders>
                    <w:top w:val="nil"/>
                    <w:left w:val="nil"/>
                    <w:bottom w:val="single" w:sz="8" w:space="0" w:color="DDDDDD"/>
                    <w:right w:val="single" w:sz="8" w:space="0" w:color="DDDDDD"/>
                  </w:tcBorders>
                  <w:shd w:val="clear" w:color="auto" w:fill="FFFFFF"/>
                  <w:vAlign w:val="center"/>
                  <w:hideMark/>
                </w:tcPr>
                <w:p w14:paraId="35AA7E89" w14:textId="77777777" w:rsidR="00512BE8" w:rsidRPr="00A23AAE" w:rsidRDefault="00512BE8" w:rsidP="009A74DA">
                  <w:pPr>
                    <w:spacing w:after="0" w:line="240" w:lineRule="auto"/>
                    <w:jc w:val="center"/>
                    <w:rPr>
                      <w:rFonts w:ascii="Times New Roman" w:hAnsi="Times New Roman" w:cs="Times New Roman"/>
                      <w:color w:val="333333"/>
                      <w:lang w:eastAsia="lv-LV"/>
                    </w:rPr>
                  </w:pPr>
                  <w:r w:rsidRPr="00A23AAE">
                    <w:rPr>
                      <w:rFonts w:ascii="Times New Roman" w:hAnsi="Times New Roman" w:cs="Times New Roman"/>
                      <w:color w:val="333333"/>
                      <w:lang w:eastAsia="lv-LV"/>
                    </w:rPr>
                    <w:t>1 620</w:t>
                  </w:r>
                </w:p>
              </w:tc>
            </w:tr>
            <w:tr w:rsidR="00512BE8" w:rsidRPr="00A23AAE" w14:paraId="670629C6" w14:textId="77777777" w:rsidTr="00456D44">
              <w:trPr>
                <w:trHeight w:val="390"/>
              </w:trPr>
              <w:tc>
                <w:tcPr>
                  <w:tcW w:w="1725" w:type="dxa"/>
                  <w:tcBorders>
                    <w:top w:val="nil"/>
                    <w:left w:val="single" w:sz="8" w:space="0" w:color="DDDDDD"/>
                    <w:bottom w:val="single" w:sz="8" w:space="0" w:color="DDDDDD"/>
                    <w:right w:val="single" w:sz="8" w:space="0" w:color="DDDDDD"/>
                  </w:tcBorders>
                  <w:shd w:val="clear" w:color="auto" w:fill="FFFFFF"/>
                  <w:vAlign w:val="center"/>
                  <w:hideMark/>
                </w:tcPr>
                <w:p w14:paraId="6FE36DF4" w14:textId="77777777" w:rsidR="00512BE8" w:rsidRPr="00A23AAE" w:rsidRDefault="00512BE8" w:rsidP="009A74DA">
                  <w:pPr>
                    <w:spacing w:after="0" w:line="240" w:lineRule="auto"/>
                    <w:jc w:val="center"/>
                    <w:rPr>
                      <w:rFonts w:ascii="Times New Roman" w:hAnsi="Times New Roman" w:cs="Times New Roman"/>
                      <w:b/>
                      <w:bCs/>
                      <w:color w:val="333333"/>
                      <w:lang w:eastAsia="lv-LV"/>
                    </w:rPr>
                  </w:pPr>
                  <w:r w:rsidRPr="00A23AAE">
                    <w:rPr>
                      <w:rFonts w:ascii="Times New Roman" w:hAnsi="Times New Roman" w:cs="Times New Roman"/>
                      <w:b/>
                      <w:bCs/>
                      <w:color w:val="333333"/>
                      <w:lang w:eastAsia="lv-LV"/>
                    </w:rPr>
                    <w:t>Kopā</w:t>
                  </w:r>
                </w:p>
              </w:tc>
              <w:tc>
                <w:tcPr>
                  <w:tcW w:w="2200" w:type="dxa"/>
                  <w:tcBorders>
                    <w:top w:val="nil"/>
                    <w:left w:val="nil"/>
                    <w:bottom w:val="single" w:sz="8" w:space="0" w:color="DDDDDD"/>
                    <w:right w:val="single" w:sz="8" w:space="0" w:color="DDDDDD"/>
                  </w:tcBorders>
                  <w:shd w:val="clear" w:color="auto" w:fill="FFFFFF"/>
                  <w:vAlign w:val="center"/>
                  <w:hideMark/>
                </w:tcPr>
                <w:p w14:paraId="02FE0B5A" w14:textId="77777777" w:rsidR="00512BE8" w:rsidRPr="00A23AAE" w:rsidRDefault="00512BE8" w:rsidP="009A74DA">
                  <w:pPr>
                    <w:spacing w:after="0" w:line="240" w:lineRule="auto"/>
                    <w:jc w:val="center"/>
                    <w:rPr>
                      <w:rFonts w:ascii="Times New Roman" w:hAnsi="Times New Roman" w:cs="Times New Roman"/>
                      <w:b/>
                      <w:bCs/>
                      <w:color w:val="333333"/>
                      <w:lang w:eastAsia="lv-LV"/>
                    </w:rPr>
                  </w:pPr>
                  <w:r w:rsidRPr="00A23AAE">
                    <w:rPr>
                      <w:rFonts w:ascii="Times New Roman" w:hAnsi="Times New Roman" w:cs="Times New Roman"/>
                      <w:b/>
                      <w:bCs/>
                      <w:color w:val="333333"/>
                      <w:lang w:eastAsia="lv-LV"/>
                    </w:rPr>
                    <w:t>2 975</w:t>
                  </w:r>
                </w:p>
              </w:tc>
            </w:tr>
          </w:tbl>
          <w:p w14:paraId="4249D93A" w14:textId="4DAF0B25" w:rsidR="00512BE8" w:rsidRPr="00FB65E1" w:rsidRDefault="00512BE8" w:rsidP="009A74DA">
            <w:pPr>
              <w:spacing w:after="0" w:line="240" w:lineRule="auto"/>
              <w:jc w:val="both"/>
              <w:rPr>
                <w:rFonts w:ascii="Times New Roman" w:eastAsia="Times New Roman" w:hAnsi="Times New Roman" w:cs="Times New Roman"/>
                <w:iCs/>
                <w:noProof/>
                <w:sz w:val="24"/>
                <w:szCs w:val="24"/>
                <w:lang w:eastAsia="lv-LV"/>
              </w:rPr>
            </w:pPr>
          </w:p>
        </w:tc>
      </w:tr>
      <w:tr w:rsidR="00512BE8" w:rsidRPr="00FB65E1" w14:paraId="5D84662A" w14:textId="77777777" w:rsidTr="00512BE8">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1B872CA4" w14:textId="77777777" w:rsidR="00512BE8" w:rsidRPr="00FB65E1" w:rsidRDefault="00512BE8" w:rsidP="009A74DA">
            <w:pPr>
              <w:spacing w:after="0" w:line="240" w:lineRule="auto"/>
              <w:rPr>
                <w:rFonts w:ascii="Times New Roman" w:eastAsia="Times New Roman" w:hAnsi="Times New Roman" w:cs="Times New Roman"/>
                <w:iCs/>
                <w:noProof/>
                <w:sz w:val="24"/>
                <w:szCs w:val="24"/>
                <w:lang w:eastAsia="lv-LV"/>
              </w:rPr>
            </w:pPr>
            <w:r w:rsidRPr="00FB65E1">
              <w:rPr>
                <w:rFonts w:ascii="Times New Roman" w:eastAsia="Times New Roman" w:hAnsi="Times New Roman" w:cs="Times New Roman"/>
                <w:iCs/>
                <w:noProof/>
                <w:sz w:val="24"/>
                <w:szCs w:val="24"/>
                <w:lang w:eastAsia="lv-LV"/>
              </w:rPr>
              <w:lastRenderedPageBreak/>
              <w:t>2.</w:t>
            </w:r>
          </w:p>
        </w:tc>
        <w:tc>
          <w:tcPr>
            <w:tcW w:w="1269" w:type="pct"/>
            <w:tcBorders>
              <w:top w:val="outset" w:sz="6" w:space="0" w:color="auto"/>
              <w:left w:val="outset" w:sz="6" w:space="0" w:color="auto"/>
              <w:bottom w:val="outset" w:sz="6" w:space="0" w:color="auto"/>
              <w:right w:val="outset" w:sz="6" w:space="0" w:color="auto"/>
            </w:tcBorders>
            <w:hideMark/>
          </w:tcPr>
          <w:p w14:paraId="7E71B3E9" w14:textId="22B1C29F" w:rsidR="00512BE8" w:rsidRPr="00FB65E1" w:rsidRDefault="00512BE8" w:rsidP="009A74DA">
            <w:pPr>
              <w:spacing w:after="0" w:line="240" w:lineRule="auto"/>
              <w:rPr>
                <w:rFonts w:ascii="Times New Roman" w:eastAsia="Times New Roman" w:hAnsi="Times New Roman" w:cs="Times New Roman"/>
                <w:iCs/>
                <w:noProof/>
                <w:sz w:val="24"/>
                <w:szCs w:val="24"/>
                <w:lang w:eastAsia="lv-LV"/>
              </w:rPr>
            </w:pPr>
            <w:r w:rsidRPr="00FB65E1">
              <w:rPr>
                <w:rFonts w:ascii="Times New Roman" w:eastAsia="Times New Roman" w:hAnsi="Times New Roman" w:cs="Times New Roman"/>
                <w:iCs/>
                <w:noProof/>
                <w:sz w:val="24"/>
                <w:szCs w:val="24"/>
                <w:lang w:eastAsia="lv-LV"/>
              </w:rPr>
              <w:t>Tiesiskā regulējuma ietekme uz tautsaimniecību un administratīvo slogu</w:t>
            </w:r>
          </w:p>
        </w:tc>
        <w:tc>
          <w:tcPr>
            <w:tcW w:w="3381" w:type="pct"/>
            <w:tcBorders>
              <w:top w:val="outset" w:sz="6" w:space="0" w:color="auto"/>
              <w:left w:val="outset" w:sz="6" w:space="0" w:color="auto"/>
              <w:bottom w:val="outset" w:sz="6" w:space="0" w:color="auto"/>
              <w:right w:val="outset" w:sz="6" w:space="0" w:color="auto"/>
            </w:tcBorders>
          </w:tcPr>
          <w:p w14:paraId="6B0FF059" w14:textId="35667129" w:rsidR="00512BE8" w:rsidRPr="00FB65E1" w:rsidRDefault="00512BE8" w:rsidP="009A74DA">
            <w:pPr>
              <w:spacing w:after="0" w:line="240" w:lineRule="auto"/>
              <w:jc w:val="both"/>
              <w:rPr>
                <w:rFonts w:ascii="Times New Roman" w:eastAsia="Times New Roman" w:hAnsi="Times New Roman" w:cs="Times New Roman"/>
                <w:sz w:val="24"/>
                <w:szCs w:val="24"/>
                <w:lang w:eastAsia="lv-LV"/>
              </w:rPr>
            </w:pPr>
            <w:r w:rsidRPr="00A23AAE">
              <w:rPr>
                <w:rFonts w:ascii="Times New Roman" w:eastAsia="Times New Roman" w:hAnsi="Times New Roman" w:cs="Times New Roman"/>
                <w:sz w:val="24"/>
                <w:szCs w:val="24"/>
                <w:lang w:eastAsia="lv-LV"/>
              </w:rPr>
              <w:t>Noteikumu projekts neparedz ieviest jaunas administratīvās procedūras. Sabiedrības grupām un iesaistītajām institūcijām projekta tiesiskais regulējums nemaina tiesības un pienākumus, kā arī veicamās darbības.</w:t>
            </w:r>
          </w:p>
        </w:tc>
      </w:tr>
      <w:tr w:rsidR="00512BE8" w:rsidRPr="00FB65E1" w14:paraId="0D282458" w14:textId="77777777" w:rsidTr="00512BE8">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3B503F63" w14:textId="77777777" w:rsidR="00512BE8" w:rsidRPr="00FB65E1" w:rsidRDefault="00512BE8" w:rsidP="009A74DA">
            <w:pPr>
              <w:spacing w:after="0" w:line="240" w:lineRule="auto"/>
              <w:rPr>
                <w:rFonts w:ascii="Times New Roman" w:eastAsia="Times New Roman" w:hAnsi="Times New Roman" w:cs="Times New Roman"/>
                <w:iCs/>
                <w:noProof/>
                <w:sz w:val="24"/>
                <w:szCs w:val="24"/>
                <w:lang w:eastAsia="lv-LV"/>
              </w:rPr>
            </w:pPr>
            <w:r w:rsidRPr="00FB65E1">
              <w:rPr>
                <w:rFonts w:ascii="Times New Roman" w:eastAsia="Times New Roman" w:hAnsi="Times New Roman" w:cs="Times New Roman"/>
                <w:iCs/>
                <w:noProof/>
                <w:sz w:val="24"/>
                <w:szCs w:val="24"/>
                <w:lang w:eastAsia="lv-LV"/>
              </w:rPr>
              <w:t>3.</w:t>
            </w:r>
          </w:p>
        </w:tc>
        <w:tc>
          <w:tcPr>
            <w:tcW w:w="1269" w:type="pct"/>
            <w:tcBorders>
              <w:top w:val="outset" w:sz="6" w:space="0" w:color="auto"/>
              <w:left w:val="outset" w:sz="6" w:space="0" w:color="auto"/>
              <w:bottom w:val="outset" w:sz="6" w:space="0" w:color="auto"/>
              <w:right w:val="outset" w:sz="6" w:space="0" w:color="auto"/>
            </w:tcBorders>
            <w:hideMark/>
          </w:tcPr>
          <w:p w14:paraId="109C828C" w14:textId="77777777" w:rsidR="00512BE8" w:rsidRPr="00FB65E1" w:rsidRDefault="00512BE8" w:rsidP="009A74DA">
            <w:pPr>
              <w:spacing w:after="0" w:line="240" w:lineRule="auto"/>
              <w:rPr>
                <w:rFonts w:ascii="Times New Roman" w:eastAsia="Times New Roman" w:hAnsi="Times New Roman" w:cs="Times New Roman"/>
                <w:iCs/>
                <w:noProof/>
                <w:sz w:val="24"/>
                <w:szCs w:val="24"/>
                <w:lang w:eastAsia="lv-LV"/>
              </w:rPr>
            </w:pPr>
            <w:r w:rsidRPr="00FB65E1">
              <w:rPr>
                <w:rFonts w:ascii="Times New Roman" w:eastAsia="Times New Roman" w:hAnsi="Times New Roman" w:cs="Times New Roman"/>
                <w:iCs/>
                <w:noProof/>
                <w:sz w:val="24"/>
                <w:szCs w:val="24"/>
                <w:lang w:eastAsia="lv-LV"/>
              </w:rPr>
              <w:t>Administratīvo izmaksu monetārs novērtējums</w:t>
            </w:r>
          </w:p>
        </w:tc>
        <w:tc>
          <w:tcPr>
            <w:tcW w:w="3381" w:type="pct"/>
            <w:tcBorders>
              <w:top w:val="outset" w:sz="6" w:space="0" w:color="auto"/>
              <w:left w:val="outset" w:sz="6" w:space="0" w:color="auto"/>
              <w:bottom w:val="outset" w:sz="6" w:space="0" w:color="auto"/>
              <w:right w:val="outset" w:sz="6" w:space="0" w:color="auto"/>
            </w:tcBorders>
            <w:hideMark/>
          </w:tcPr>
          <w:p w14:paraId="5F48F692" w14:textId="24EDF000" w:rsidR="00512BE8" w:rsidRPr="00FB65E1" w:rsidRDefault="00512BE8" w:rsidP="009A74DA">
            <w:pPr>
              <w:spacing w:after="0" w:line="240" w:lineRule="auto"/>
              <w:jc w:val="both"/>
              <w:rPr>
                <w:rFonts w:ascii="Times New Roman" w:eastAsia="Times New Roman" w:hAnsi="Times New Roman" w:cs="Times New Roman"/>
                <w:iCs/>
                <w:noProof/>
                <w:sz w:val="24"/>
                <w:szCs w:val="24"/>
                <w:lang w:eastAsia="lv-LV"/>
              </w:rPr>
            </w:pPr>
            <w:r w:rsidRPr="00FB65E1">
              <w:rPr>
                <w:rFonts w:ascii="Times New Roman" w:eastAsia="Times New Roman" w:hAnsi="Times New Roman" w:cs="Times New Roman"/>
                <w:iCs/>
                <w:sz w:val="24"/>
                <w:szCs w:val="24"/>
                <w:lang w:eastAsia="lv-LV"/>
              </w:rPr>
              <w:t>Noteikumu projekts nerada papildu ietekmi uz administratīvajām izmaksām.</w:t>
            </w:r>
          </w:p>
        </w:tc>
      </w:tr>
      <w:tr w:rsidR="00512BE8" w:rsidRPr="00FB65E1" w14:paraId="1AD3DCD9" w14:textId="77777777" w:rsidTr="00512BE8">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58070D9F" w14:textId="77777777" w:rsidR="00512BE8" w:rsidRPr="00FB65E1" w:rsidRDefault="00512BE8" w:rsidP="009A74DA">
            <w:pPr>
              <w:spacing w:after="0" w:line="240" w:lineRule="auto"/>
              <w:rPr>
                <w:rFonts w:ascii="Times New Roman" w:eastAsia="Times New Roman" w:hAnsi="Times New Roman" w:cs="Times New Roman"/>
                <w:iCs/>
                <w:noProof/>
                <w:sz w:val="24"/>
                <w:szCs w:val="24"/>
                <w:lang w:eastAsia="lv-LV"/>
              </w:rPr>
            </w:pPr>
            <w:r w:rsidRPr="00FB65E1">
              <w:rPr>
                <w:rFonts w:ascii="Times New Roman" w:eastAsia="Times New Roman" w:hAnsi="Times New Roman" w:cs="Times New Roman"/>
                <w:iCs/>
                <w:noProof/>
                <w:sz w:val="24"/>
                <w:szCs w:val="24"/>
                <w:lang w:eastAsia="lv-LV"/>
              </w:rPr>
              <w:t>4.</w:t>
            </w:r>
          </w:p>
        </w:tc>
        <w:tc>
          <w:tcPr>
            <w:tcW w:w="1269" w:type="pct"/>
            <w:tcBorders>
              <w:top w:val="outset" w:sz="6" w:space="0" w:color="auto"/>
              <w:left w:val="outset" w:sz="6" w:space="0" w:color="auto"/>
              <w:bottom w:val="outset" w:sz="6" w:space="0" w:color="auto"/>
              <w:right w:val="outset" w:sz="6" w:space="0" w:color="auto"/>
            </w:tcBorders>
            <w:hideMark/>
          </w:tcPr>
          <w:p w14:paraId="21A27BCF" w14:textId="77777777" w:rsidR="00512BE8" w:rsidRPr="00FB65E1" w:rsidRDefault="00512BE8" w:rsidP="009A74DA">
            <w:pPr>
              <w:spacing w:after="0" w:line="240" w:lineRule="auto"/>
              <w:rPr>
                <w:rFonts w:ascii="Times New Roman" w:eastAsia="Times New Roman" w:hAnsi="Times New Roman" w:cs="Times New Roman"/>
                <w:iCs/>
                <w:noProof/>
                <w:sz w:val="24"/>
                <w:szCs w:val="24"/>
                <w:lang w:eastAsia="lv-LV"/>
              </w:rPr>
            </w:pPr>
            <w:r w:rsidRPr="00FB65E1">
              <w:rPr>
                <w:rFonts w:ascii="Times New Roman" w:eastAsia="Times New Roman" w:hAnsi="Times New Roman" w:cs="Times New Roman"/>
                <w:iCs/>
                <w:noProof/>
                <w:sz w:val="24"/>
                <w:szCs w:val="24"/>
                <w:lang w:eastAsia="lv-LV"/>
              </w:rPr>
              <w:t>Atbilstības izmaksu monetārs novērtējums</w:t>
            </w:r>
          </w:p>
        </w:tc>
        <w:tc>
          <w:tcPr>
            <w:tcW w:w="3381" w:type="pct"/>
            <w:tcBorders>
              <w:top w:val="outset" w:sz="6" w:space="0" w:color="auto"/>
              <w:left w:val="outset" w:sz="6" w:space="0" w:color="auto"/>
              <w:bottom w:val="outset" w:sz="6" w:space="0" w:color="auto"/>
              <w:right w:val="outset" w:sz="6" w:space="0" w:color="auto"/>
            </w:tcBorders>
            <w:hideMark/>
          </w:tcPr>
          <w:p w14:paraId="71746F04" w14:textId="0FCA51E2" w:rsidR="00512BE8" w:rsidRPr="00FB65E1" w:rsidRDefault="00512BE8" w:rsidP="009A74DA">
            <w:pPr>
              <w:spacing w:after="0" w:line="240" w:lineRule="auto"/>
              <w:rPr>
                <w:rFonts w:ascii="Times New Roman" w:eastAsia="Times New Roman" w:hAnsi="Times New Roman" w:cs="Times New Roman"/>
                <w:iCs/>
                <w:noProof/>
                <w:sz w:val="24"/>
                <w:szCs w:val="24"/>
                <w:lang w:eastAsia="lv-LV"/>
              </w:rPr>
            </w:pPr>
            <w:r w:rsidRPr="00FB65E1">
              <w:rPr>
                <w:rFonts w:ascii="Times New Roman" w:eastAsia="Times New Roman" w:hAnsi="Times New Roman" w:cs="Times New Roman"/>
                <w:iCs/>
                <w:sz w:val="24"/>
                <w:szCs w:val="24"/>
                <w:lang w:eastAsia="lv-LV"/>
              </w:rPr>
              <w:t>Nav</w:t>
            </w:r>
          </w:p>
        </w:tc>
      </w:tr>
      <w:tr w:rsidR="00512BE8" w:rsidRPr="00FB65E1" w14:paraId="7DFE98FE" w14:textId="77777777" w:rsidTr="00512BE8">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4CCC35FE" w14:textId="77777777" w:rsidR="00512BE8" w:rsidRPr="00FB65E1" w:rsidRDefault="00512BE8" w:rsidP="009A74DA">
            <w:pPr>
              <w:spacing w:after="0" w:line="240" w:lineRule="auto"/>
              <w:rPr>
                <w:rFonts w:ascii="Times New Roman" w:eastAsia="Times New Roman" w:hAnsi="Times New Roman" w:cs="Times New Roman"/>
                <w:iCs/>
                <w:noProof/>
                <w:sz w:val="24"/>
                <w:szCs w:val="24"/>
                <w:lang w:eastAsia="lv-LV"/>
              </w:rPr>
            </w:pPr>
            <w:r w:rsidRPr="00FB65E1">
              <w:rPr>
                <w:rFonts w:ascii="Times New Roman" w:eastAsia="Times New Roman" w:hAnsi="Times New Roman" w:cs="Times New Roman"/>
                <w:iCs/>
                <w:noProof/>
                <w:sz w:val="24"/>
                <w:szCs w:val="24"/>
                <w:lang w:eastAsia="lv-LV"/>
              </w:rPr>
              <w:t>5.</w:t>
            </w:r>
          </w:p>
        </w:tc>
        <w:tc>
          <w:tcPr>
            <w:tcW w:w="1269" w:type="pct"/>
            <w:tcBorders>
              <w:top w:val="outset" w:sz="6" w:space="0" w:color="auto"/>
              <w:left w:val="outset" w:sz="6" w:space="0" w:color="auto"/>
              <w:bottom w:val="outset" w:sz="6" w:space="0" w:color="auto"/>
              <w:right w:val="outset" w:sz="6" w:space="0" w:color="auto"/>
            </w:tcBorders>
            <w:hideMark/>
          </w:tcPr>
          <w:p w14:paraId="51401DD9" w14:textId="77777777" w:rsidR="00512BE8" w:rsidRPr="00FB65E1" w:rsidRDefault="00512BE8" w:rsidP="009A74DA">
            <w:pPr>
              <w:spacing w:after="0" w:line="240" w:lineRule="auto"/>
              <w:rPr>
                <w:rFonts w:ascii="Times New Roman" w:eastAsia="Times New Roman" w:hAnsi="Times New Roman" w:cs="Times New Roman"/>
                <w:iCs/>
                <w:noProof/>
                <w:sz w:val="24"/>
                <w:szCs w:val="24"/>
                <w:lang w:eastAsia="lv-LV"/>
              </w:rPr>
            </w:pPr>
            <w:r w:rsidRPr="00FB65E1">
              <w:rPr>
                <w:rFonts w:ascii="Times New Roman" w:eastAsia="Times New Roman" w:hAnsi="Times New Roman" w:cs="Times New Roman"/>
                <w:iCs/>
                <w:noProof/>
                <w:sz w:val="24"/>
                <w:szCs w:val="24"/>
                <w:lang w:eastAsia="lv-LV"/>
              </w:rPr>
              <w:t>Cita informācija</w:t>
            </w:r>
          </w:p>
        </w:tc>
        <w:tc>
          <w:tcPr>
            <w:tcW w:w="3381" w:type="pct"/>
            <w:tcBorders>
              <w:top w:val="outset" w:sz="6" w:space="0" w:color="auto"/>
              <w:left w:val="outset" w:sz="6" w:space="0" w:color="auto"/>
              <w:bottom w:val="outset" w:sz="6" w:space="0" w:color="auto"/>
              <w:right w:val="outset" w:sz="6" w:space="0" w:color="auto"/>
            </w:tcBorders>
            <w:hideMark/>
          </w:tcPr>
          <w:p w14:paraId="23C6001A" w14:textId="1A7BDFF0" w:rsidR="00512BE8" w:rsidRPr="00FB65E1" w:rsidRDefault="00512BE8" w:rsidP="009A74DA">
            <w:pPr>
              <w:spacing w:after="0" w:line="240" w:lineRule="auto"/>
              <w:rPr>
                <w:rFonts w:ascii="Times New Roman" w:eastAsia="Times New Roman" w:hAnsi="Times New Roman" w:cs="Times New Roman"/>
                <w:iCs/>
                <w:noProof/>
                <w:sz w:val="24"/>
                <w:szCs w:val="24"/>
                <w:lang w:eastAsia="lv-LV"/>
              </w:rPr>
            </w:pPr>
            <w:r w:rsidRPr="00FB65E1">
              <w:rPr>
                <w:rFonts w:ascii="Times New Roman" w:eastAsia="Times New Roman" w:hAnsi="Times New Roman" w:cs="Times New Roman"/>
                <w:iCs/>
                <w:sz w:val="24"/>
                <w:szCs w:val="24"/>
                <w:lang w:eastAsia="lv-LV"/>
              </w:rPr>
              <w:t>Nav</w:t>
            </w:r>
          </w:p>
        </w:tc>
      </w:tr>
    </w:tbl>
    <w:p w14:paraId="2B404747" w14:textId="01840DE4" w:rsidR="00495F81" w:rsidRPr="00FB65E1" w:rsidRDefault="00495F81" w:rsidP="009A74DA">
      <w:pPr>
        <w:pStyle w:val="Quote"/>
        <w:spacing w:after="0" w:line="240" w:lineRule="auto"/>
        <w:rPr>
          <w:rFonts w:ascii="Times New Roman" w:eastAsia="Times New Roman" w:hAnsi="Times New Roman" w:cs="Times New Roman"/>
          <w:iCs w:val="0"/>
          <w:noProof/>
          <w:color w:val="auto"/>
          <w:sz w:val="24"/>
          <w:szCs w:val="24"/>
          <w:lang w:eastAsia="lv-LV"/>
        </w:rPr>
      </w:pPr>
    </w:p>
    <w:p w14:paraId="6DD3F9A2" w14:textId="77777777" w:rsidR="00180FA4" w:rsidRPr="00FB65E1" w:rsidRDefault="00180FA4" w:rsidP="009A74DA">
      <w:pPr>
        <w:spacing w:after="0" w:line="240" w:lineRule="auto"/>
        <w:rPr>
          <w:rFonts w:ascii="Times New Roman" w:eastAsia="Times New Roman" w:hAnsi="Times New Roman" w:cs="Times New Roman"/>
          <w:iCs/>
          <w:noProof/>
          <w:sz w:val="24"/>
          <w:szCs w:val="24"/>
          <w:lang w:eastAsia="lv-LV"/>
        </w:rPr>
      </w:pPr>
    </w:p>
    <w:tbl>
      <w:tblPr>
        <w:tblpPr w:leftFromText="180" w:rightFromText="180" w:vertAnchor="text" w:tblpXSpec="right" w:tblpY="1"/>
        <w:tblOverlap w:val="never"/>
        <w:tblW w:w="499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39"/>
        <w:gridCol w:w="926"/>
        <w:gridCol w:w="996"/>
        <w:gridCol w:w="1041"/>
        <w:gridCol w:w="1125"/>
        <w:gridCol w:w="1127"/>
        <w:gridCol w:w="1127"/>
        <w:gridCol w:w="1175"/>
      </w:tblGrid>
      <w:tr w:rsidR="00544462" w:rsidRPr="00A23AAE" w14:paraId="3AA56188" w14:textId="77777777" w:rsidTr="004569F0">
        <w:trPr>
          <w:trHeight w:val="227"/>
        </w:trPr>
        <w:tc>
          <w:tcPr>
            <w:tcW w:w="5000" w:type="pct"/>
            <w:gridSpan w:val="8"/>
            <w:vAlign w:val="center"/>
          </w:tcPr>
          <w:p w14:paraId="68C0E248" w14:textId="77777777" w:rsidR="00544462" w:rsidRPr="00A23AAE" w:rsidRDefault="00544462" w:rsidP="009A74DA">
            <w:pPr>
              <w:spacing w:after="0" w:line="240" w:lineRule="auto"/>
              <w:ind w:right="71"/>
              <w:jc w:val="center"/>
              <w:rPr>
                <w:rFonts w:ascii="Times New Roman" w:eastAsia="Times New Roman" w:hAnsi="Times New Roman" w:cs="Times New Roman"/>
                <w:b/>
                <w:bCs/>
                <w:iCs/>
                <w:sz w:val="24"/>
                <w:szCs w:val="24"/>
                <w:lang w:eastAsia="lv-LV"/>
              </w:rPr>
            </w:pPr>
            <w:r w:rsidRPr="00A23AAE">
              <w:rPr>
                <w:rFonts w:ascii="Times New Roman" w:eastAsia="Times New Roman" w:hAnsi="Times New Roman" w:cs="Times New Roman"/>
                <w:b/>
                <w:bCs/>
                <w:iCs/>
                <w:sz w:val="24"/>
                <w:szCs w:val="24"/>
                <w:lang w:eastAsia="lv-LV"/>
              </w:rPr>
              <w:t>III. Tiesību akta projekta ietekme uz valsts budžetu un pašvaldību budžetiem</w:t>
            </w:r>
          </w:p>
          <w:p w14:paraId="4AB5C723" w14:textId="77777777" w:rsidR="00544462" w:rsidRPr="00A23AAE" w:rsidRDefault="00544462" w:rsidP="009A74DA">
            <w:pPr>
              <w:spacing w:after="0" w:line="240" w:lineRule="auto"/>
              <w:ind w:right="71"/>
              <w:jc w:val="center"/>
              <w:rPr>
                <w:rFonts w:ascii="Times New Roman" w:eastAsia="Calibri" w:hAnsi="Times New Roman" w:cs="Times New Roman"/>
                <w:sz w:val="24"/>
                <w:szCs w:val="24"/>
                <w:lang w:eastAsia="lv-LV"/>
              </w:rPr>
            </w:pPr>
          </w:p>
        </w:tc>
      </w:tr>
      <w:tr w:rsidR="00544462" w:rsidRPr="00A23AAE" w14:paraId="6237C067" w14:textId="77777777" w:rsidTr="004569F0">
        <w:trPr>
          <w:trHeight w:val="227"/>
        </w:trPr>
        <w:tc>
          <w:tcPr>
            <w:tcW w:w="850" w:type="pct"/>
            <w:vMerge w:val="restart"/>
            <w:vAlign w:val="center"/>
          </w:tcPr>
          <w:p w14:paraId="759B73BF" w14:textId="77777777" w:rsidR="00544462" w:rsidRPr="00A23AAE" w:rsidRDefault="00544462" w:rsidP="009A74DA">
            <w:pPr>
              <w:spacing w:after="0" w:line="240" w:lineRule="auto"/>
              <w:ind w:right="71"/>
              <w:jc w:val="center"/>
              <w:rPr>
                <w:rFonts w:ascii="Times New Roman" w:eastAsia="Calibri" w:hAnsi="Times New Roman" w:cs="Times New Roman"/>
                <w:b/>
                <w:sz w:val="18"/>
                <w:szCs w:val="18"/>
                <w:lang w:eastAsia="lv-LV"/>
              </w:rPr>
            </w:pPr>
            <w:r w:rsidRPr="00A23AAE">
              <w:rPr>
                <w:rFonts w:ascii="Times New Roman" w:eastAsia="Calibri" w:hAnsi="Times New Roman" w:cs="Times New Roman"/>
                <w:b/>
                <w:sz w:val="18"/>
                <w:szCs w:val="18"/>
                <w:lang w:eastAsia="lv-LV"/>
              </w:rPr>
              <w:t>Rādītāji</w:t>
            </w:r>
          </w:p>
        </w:tc>
        <w:tc>
          <w:tcPr>
            <w:tcW w:w="1061" w:type="pct"/>
            <w:gridSpan w:val="2"/>
            <w:vMerge w:val="restart"/>
            <w:vAlign w:val="center"/>
          </w:tcPr>
          <w:p w14:paraId="67B46251" w14:textId="77777777" w:rsidR="00544462" w:rsidRPr="00A23AAE" w:rsidRDefault="00544462" w:rsidP="009A74DA">
            <w:pPr>
              <w:spacing w:after="0" w:line="240" w:lineRule="auto"/>
              <w:ind w:right="71"/>
              <w:jc w:val="center"/>
              <w:rPr>
                <w:rFonts w:ascii="Times New Roman" w:eastAsia="Calibri" w:hAnsi="Times New Roman" w:cs="Times New Roman"/>
                <w:b/>
                <w:sz w:val="18"/>
                <w:szCs w:val="18"/>
                <w:lang w:eastAsia="lv-LV"/>
              </w:rPr>
            </w:pPr>
            <w:r w:rsidRPr="00A23AAE">
              <w:rPr>
                <w:rFonts w:ascii="Times New Roman" w:eastAsia="Calibri" w:hAnsi="Times New Roman" w:cs="Times New Roman"/>
                <w:b/>
                <w:sz w:val="18"/>
                <w:szCs w:val="18"/>
                <w:lang w:eastAsia="lv-LV"/>
              </w:rPr>
              <w:t>2020.gads</w:t>
            </w:r>
          </w:p>
        </w:tc>
        <w:tc>
          <w:tcPr>
            <w:tcW w:w="3089" w:type="pct"/>
            <w:gridSpan w:val="5"/>
          </w:tcPr>
          <w:p w14:paraId="0E2CA80D" w14:textId="77777777" w:rsidR="00544462" w:rsidRPr="00A23AAE" w:rsidRDefault="00544462" w:rsidP="009A74DA">
            <w:pPr>
              <w:spacing w:after="0" w:line="240" w:lineRule="auto"/>
              <w:ind w:right="71"/>
              <w:jc w:val="center"/>
              <w:rPr>
                <w:rFonts w:ascii="Times New Roman" w:eastAsia="Calibri" w:hAnsi="Times New Roman" w:cs="Times New Roman"/>
                <w:sz w:val="18"/>
                <w:szCs w:val="18"/>
                <w:lang w:eastAsia="lv-LV"/>
              </w:rPr>
            </w:pPr>
            <w:r w:rsidRPr="00A23AAE">
              <w:rPr>
                <w:rFonts w:ascii="Times New Roman" w:eastAsia="Calibri" w:hAnsi="Times New Roman" w:cs="Times New Roman"/>
                <w:sz w:val="18"/>
                <w:szCs w:val="18"/>
                <w:lang w:eastAsia="lv-LV"/>
              </w:rPr>
              <w:t>Turpmākie trīs gadi (</w:t>
            </w:r>
            <w:proofErr w:type="spellStart"/>
            <w:r w:rsidRPr="00A23AAE">
              <w:rPr>
                <w:rFonts w:ascii="Times New Roman" w:eastAsia="Calibri" w:hAnsi="Times New Roman" w:cs="Times New Roman"/>
                <w:i/>
                <w:sz w:val="18"/>
                <w:szCs w:val="18"/>
                <w:lang w:eastAsia="lv-LV"/>
              </w:rPr>
              <w:t>euro</w:t>
            </w:r>
            <w:proofErr w:type="spellEnd"/>
            <w:r w:rsidRPr="00A23AAE">
              <w:rPr>
                <w:rFonts w:ascii="Times New Roman" w:eastAsia="Calibri" w:hAnsi="Times New Roman" w:cs="Times New Roman"/>
                <w:sz w:val="18"/>
                <w:szCs w:val="18"/>
                <w:lang w:eastAsia="lv-LV"/>
              </w:rPr>
              <w:t>)</w:t>
            </w:r>
          </w:p>
        </w:tc>
      </w:tr>
      <w:tr w:rsidR="00544462" w:rsidRPr="00A23AAE" w14:paraId="79FDE0C2" w14:textId="77777777" w:rsidTr="004569F0">
        <w:trPr>
          <w:trHeight w:val="227"/>
        </w:trPr>
        <w:tc>
          <w:tcPr>
            <w:tcW w:w="850" w:type="pct"/>
            <w:vMerge/>
            <w:vAlign w:val="center"/>
          </w:tcPr>
          <w:p w14:paraId="0FDD2CC7" w14:textId="77777777" w:rsidR="00544462" w:rsidRPr="00A23AAE" w:rsidRDefault="00544462" w:rsidP="009A74DA">
            <w:pPr>
              <w:spacing w:after="0" w:line="240" w:lineRule="auto"/>
              <w:ind w:right="71"/>
              <w:jc w:val="center"/>
              <w:rPr>
                <w:rFonts w:ascii="Times New Roman" w:eastAsia="Calibri" w:hAnsi="Times New Roman" w:cs="Times New Roman"/>
                <w:b/>
                <w:i/>
                <w:sz w:val="18"/>
                <w:szCs w:val="18"/>
                <w:lang w:eastAsia="lv-LV"/>
              </w:rPr>
            </w:pPr>
          </w:p>
        </w:tc>
        <w:tc>
          <w:tcPr>
            <w:tcW w:w="1061" w:type="pct"/>
            <w:gridSpan w:val="2"/>
            <w:vMerge/>
            <w:vAlign w:val="center"/>
          </w:tcPr>
          <w:p w14:paraId="330B7D59" w14:textId="77777777" w:rsidR="00544462" w:rsidRPr="00A23AAE" w:rsidRDefault="00544462" w:rsidP="009A74DA">
            <w:pPr>
              <w:spacing w:after="0" w:line="240" w:lineRule="auto"/>
              <w:ind w:right="71"/>
              <w:jc w:val="center"/>
              <w:rPr>
                <w:rFonts w:ascii="Times New Roman" w:eastAsia="Calibri" w:hAnsi="Times New Roman" w:cs="Times New Roman"/>
                <w:b/>
                <w:i/>
                <w:sz w:val="18"/>
                <w:szCs w:val="18"/>
                <w:lang w:eastAsia="lv-LV"/>
              </w:rPr>
            </w:pPr>
          </w:p>
        </w:tc>
        <w:tc>
          <w:tcPr>
            <w:tcW w:w="1196" w:type="pct"/>
            <w:gridSpan w:val="2"/>
            <w:vAlign w:val="center"/>
          </w:tcPr>
          <w:p w14:paraId="5AD49BDE" w14:textId="77777777" w:rsidR="00544462" w:rsidRPr="00A23AAE" w:rsidRDefault="00544462" w:rsidP="009A74DA">
            <w:pPr>
              <w:spacing w:after="0" w:line="240" w:lineRule="auto"/>
              <w:ind w:right="71"/>
              <w:jc w:val="center"/>
              <w:rPr>
                <w:rFonts w:ascii="Times New Roman" w:eastAsia="Calibri" w:hAnsi="Times New Roman" w:cs="Times New Roman"/>
                <w:b/>
                <w:bCs/>
                <w:sz w:val="18"/>
                <w:szCs w:val="18"/>
                <w:lang w:eastAsia="lv-LV"/>
              </w:rPr>
            </w:pPr>
            <w:r w:rsidRPr="00A23AAE">
              <w:rPr>
                <w:rFonts w:ascii="Times New Roman" w:eastAsia="Calibri" w:hAnsi="Times New Roman" w:cs="Times New Roman"/>
                <w:b/>
                <w:bCs/>
                <w:sz w:val="18"/>
                <w:szCs w:val="18"/>
                <w:lang w:eastAsia="lv-LV"/>
              </w:rPr>
              <w:t>2021</w:t>
            </w:r>
          </w:p>
        </w:tc>
        <w:tc>
          <w:tcPr>
            <w:tcW w:w="1244" w:type="pct"/>
            <w:gridSpan w:val="2"/>
            <w:vAlign w:val="center"/>
          </w:tcPr>
          <w:p w14:paraId="296C7A01" w14:textId="77777777" w:rsidR="00544462" w:rsidRPr="00A23AAE" w:rsidRDefault="00544462" w:rsidP="009A74DA">
            <w:pPr>
              <w:spacing w:after="0" w:line="240" w:lineRule="auto"/>
              <w:ind w:right="71"/>
              <w:jc w:val="center"/>
              <w:rPr>
                <w:rFonts w:ascii="Times New Roman" w:eastAsia="Calibri" w:hAnsi="Times New Roman" w:cs="Times New Roman"/>
                <w:b/>
                <w:bCs/>
                <w:sz w:val="18"/>
                <w:szCs w:val="18"/>
                <w:lang w:eastAsia="lv-LV"/>
              </w:rPr>
            </w:pPr>
            <w:r w:rsidRPr="00A23AAE">
              <w:rPr>
                <w:rFonts w:ascii="Times New Roman" w:eastAsia="Calibri" w:hAnsi="Times New Roman" w:cs="Times New Roman"/>
                <w:b/>
                <w:bCs/>
                <w:sz w:val="18"/>
                <w:szCs w:val="18"/>
                <w:lang w:eastAsia="lv-LV"/>
              </w:rPr>
              <w:t>2022</w:t>
            </w:r>
          </w:p>
        </w:tc>
        <w:tc>
          <w:tcPr>
            <w:tcW w:w="649" w:type="pct"/>
            <w:vAlign w:val="center"/>
          </w:tcPr>
          <w:p w14:paraId="4191307C" w14:textId="77777777" w:rsidR="00544462" w:rsidRPr="00A23AAE" w:rsidRDefault="00544462" w:rsidP="009A74DA">
            <w:pPr>
              <w:spacing w:after="0" w:line="240" w:lineRule="auto"/>
              <w:ind w:right="71"/>
              <w:jc w:val="center"/>
              <w:rPr>
                <w:rFonts w:ascii="Times New Roman" w:eastAsia="Calibri" w:hAnsi="Times New Roman" w:cs="Times New Roman"/>
                <w:b/>
                <w:i/>
                <w:sz w:val="18"/>
                <w:szCs w:val="18"/>
                <w:lang w:eastAsia="lv-LV"/>
              </w:rPr>
            </w:pPr>
            <w:r w:rsidRPr="00A23AAE">
              <w:rPr>
                <w:rFonts w:ascii="Times New Roman" w:eastAsia="Calibri" w:hAnsi="Times New Roman" w:cs="Times New Roman"/>
                <w:b/>
                <w:bCs/>
                <w:sz w:val="18"/>
                <w:szCs w:val="18"/>
                <w:lang w:eastAsia="lv-LV"/>
              </w:rPr>
              <w:t>2023</w:t>
            </w:r>
          </w:p>
        </w:tc>
      </w:tr>
      <w:tr w:rsidR="00544462" w:rsidRPr="00A23AAE" w14:paraId="7E390036" w14:textId="77777777" w:rsidTr="004569F0">
        <w:trPr>
          <w:trHeight w:val="227"/>
        </w:trPr>
        <w:tc>
          <w:tcPr>
            <w:tcW w:w="850" w:type="pct"/>
            <w:vMerge/>
            <w:vAlign w:val="center"/>
          </w:tcPr>
          <w:p w14:paraId="1BA458E8" w14:textId="77777777" w:rsidR="00544462" w:rsidRPr="00A23AAE" w:rsidRDefault="00544462" w:rsidP="009A74DA">
            <w:pPr>
              <w:spacing w:after="0" w:line="240" w:lineRule="auto"/>
              <w:ind w:right="71"/>
              <w:jc w:val="center"/>
              <w:rPr>
                <w:rFonts w:ascii="Times New Roman" w:eastAsia="Calibri" w:hAnsi="Times New Roman" w:cs="Times New Roman"/>
                <w:b/>
                <w:i/>
                <w:sz w:val="18"/>
                <w:szCs w:val="18"/>
                <w:lang w:eastAsia="lv-LV"/>
              </w:rPr>
            </w:pPr>
          </w:p>
        </w:tc>
        <w:tc>
          <w:tcPr>
            <w:tcW w:w="511" w:type="pct"/>
          </w:tcPr>
          <w:p w14:paraId="0AF37B73" w14:textId="77777777" w:rsidR="00544462" w:rsidRPr="00A23AAE" w:rsidRDefault="00544462" w:rsidP="009A74DA">
            <w:pPr>
              <w:spacing w:after="0" w:line="240" w:lineRule="auto"/>
              <w:ind w:right="71"/>
              <w:jc w:val="center"/>
              <w:rPr>
                <w:rFonts w:ascii="Times New Roman" w:eastAsia="Calibri" w:hAnsi="Times New Roman" w:cs="Times New Roman"/>
                <w:b/>
                <w:i/>
                <w:sz w:val="18"/>
                <w:szCs w:val="18"/>
                <w:lang w:eastAsia="lv-LV"/>
              </w:rPr>
            </w:pPr>
            <w:r w:rsidRPr="00A23AAE">
              <w:rPr>
                <w:rFonts w:ascii="Times New Roman" w:eastAsia="Calibri" w:hAnsi="Times New Roman" w:cs="Times New Roman"/>
                <w:sz w:val="18"/>
                <w:szCs w:val="18"/>
              </w:rPr>
              <w:t>saskaņā ar valsts budžetu kārtējam gadam</w:t>
            </w:r>
          </w:p>
        </w:tc>
        <w:tc>
          <w:tcPr>
            <w:tcW w:w="550" w:type="pct"/>
          </w:tcPr>
          <w:p w14:paraId="39D3A2F9" w14:textId="77777777" w:rsidR="00544462" w:rsidRPr="00A23AAE" w:rsidRDefault="00544462" w:rsidP="009A74DA">
            <w:pPr>
              <w:spacing w:after="0" w:line="240" w:lineRule="auto"/>
              <w:ind w:right="71"/>
              <w:jc w:val="center"/>
              <w:rPr>
                <w:rFonts w:ascii="Times New Roman" w:eastAsia="Calibri" w:hAnsi="Times New Roman" w:cs="Times New Roman"/>
                <w:b/>
                <w:i/>
                <w:sz w:val="18"/>
                <w:szCs w:val="18"/>
                <w:lang w:eastAsia="lv-LV"/>
              </w:rPr>
            </w:pPr>
            <w:r w:rsidRPr="00A23AAE">
              <w:rPr>
                <w:rFonts w:ascii="Times New Roman" w:eastAsia="Calibri" w:hAnsi="Times New Roman" w:cs="Times New Roman"/>
                <w:sz w:val="18"/>
                <w:szCs w:val="18"/>
              </w:rPr>
              <w:t>izmaiņas kārtējā gadā, salīdzinot ar valsts budžetu kārtējam gadam</w:t>
            </w:r>
          </w:p>
        </w:tc>
        <w:tc>
          <w:tcPr>
            <w:tcW w:w="575" w:type="pct"/>
          </w:tcPr>
          <w:p w14:paraId="07200D24" w14:textId="77777777" w:rsidR="00544462" w:rsidRPr="00A23AAE" w:rsidRDefault="00544462" w:rsidP="009A74DA">
            <w:pPr>
              <w:spacing w:after="0" w:line="240" w:lineRule="auto"/>
              <w:ind w:right="71"/>
              <w:jc w:val="center"/>
              <w:rPr>
                <w:rFonts w:ascii="Times New Roman" w:eastAsia="Calibri" w:hAnsi="Times New Roman" w:cs="Times New Roman"/>
                <w:b/>
                <w:i/>
                <w:sz w:val="18"/>
                <w:szCs w:val="18"/>
                <w:lang w:eastAsia="lv-LV"/>
              </w:rPr>
            </w:pPr>
            <w:r w:rsidRPr="00A23AAE">
              <w:rPr>
                <w:rFonts w:ascii="Times New Roman" w:eastAsia="Calibri" w:hAnsi="Times New Roman" w:cs="Times New Roman"/>
                <w:sz w:val="18"/>
                <w:szCs w:val="18"/>
              </w:rPr>
              <w:t>saskaņā ar vidēja termiņa budžeta ietvaru</w:t>
            </w:r>
          </w:p>
        </w:tc>
        <w:tc>
          <w:tcPr>
            <w:tcW w:w="621" w:type="pct"/>
          </w:tcPr>
          <w:p w14:paraId="73A4DA05" w14:textId="77777777" w:rsidR="00544462" w:rsidRPr="00A23AAE" w:rsidRDefault="00544462" w:rsidP="009A74DA">
            <w:pPr>
              <w:spacing w:after="0" w:line="240" w:lineRule="auto"/>
              <w:ind w:right="71"/>
              <w:jc w:val="center"/>
              <w:rPr>
                <w:rFonts w:ascii="Times New Roman" w:eastAsia="Calibri" w:hAnsi="Times New Roman" w:cs="Times New Roman"/>
                <w:sz w:val="18"/>
                <w:szCs w:val="18"/>
                <w:lang w:eastAsia="lv-LV"/>
              </w:rPr>
            </w:pPr>
            <w:r w:rsidRPr="00A23AAE">
              <w:rPr>
                <w:rFonts w:ascii="Times New Roman" w:eastAsia="Calibri" w:hAnsi="Times New Roman" w:cs="Times New Roman"/>
                <w:sz w:val="18"/>
                <w:szCs w:val="18"/>
              </w:rPr>
              <w:t>izmaiņas, salīdzinot ar vidēja termiņa budžeta ietvaru 2021. gadam</w:t>
            </w:r>
          </w:p>
        </w:tc>
        <w:tc>
          <w:tcPr>
            <w:tcW w:w="622" w:type="pct"/>
          </w:tcPr>
          <w:p w14:paraId="164CD7A6" w14:textId="77777777" w:rsidR="00544462" w:rsidRPr="00A23AAE" w:rsidRDefault="00544462" w:rsidP="009A74DA">
            <w:pPr>
              <w:spacing w:after="0" w:line="240" w:lineRule="auto"/>
              <w:ind w:right="71"/>
              <w:jc w:val="center"/>
              <w:rPr>
                <w:rFonts w:ascii="Times New Roman" w:eastAsia="Calibri" w:hAnsi="Times New Roman" w:cs="Times New Roman"/>
                <w:b/>
                <w:i/>
                <w:sz w:val="18"/>
                <w:szCs w:val="18"/>
                <w:lang w:eastAsia="lv-LV"/>
              </w:rPr>
            </w:pPr>
            <w:r w:rsidRPr="00A23AAE">
              <w:rPr>
                <w:rFonts w:ascii="Times New Roman" w:eastAsia="Calibri" w:hAnsi="Times New Roman" w:cs="Times New Roman"/>
                <w:sz w:val="18"/>
                <w:szCs w:val="18"/>
              </w:rPr>
              <w:t>saskaņā ar vidēja termiņa budžeta ietvaru</w:t>
            </w:r>
          </w:p>
        </w:tc>
        <w:tc>
          <w:tcPr>
            <w:tcW w:w="622" w:type="pct"/>
          </w:tcPr>
          <w:p w14:paraId="1CF9A917" w14:textId="77777777" w:rsidR="00544462" w:rsidRPr="00A23AAE" w:rsidRDefault="00544462" w:rsidP="009A74DA">
            <w:pPr>
              <w:spacing w:after="0" w:line="240" w:lineRule="auto"/>
              <w:ind w:right="71"/>
              <w:jc w:val="center"/>
              <w:rPr>
                <w:rFonts w:ascii="Times New Roman" w:eastAsia="Calibri" w:hAnsi="Times New Roman" w:cs="Times New Roman"/>
                <w:sz w:val="18"/>
                <w:szCs w:val="18"/>
                <w:lang w:eastAsia="lv-LV"/>
              </w:rPr>
            </w:pPr>
            <w:r w:rsidRPr="00A23AAE">
              <w:rPr>
                <w:rFonts w:ascii="Times New Roman" w:eastAsia="Calibri" w:hAnsi="Times New Roman" w:cs="Times New Roman"/>
                <w:sz w:val="18"/>
                <w:szCs w:val="18"/>
              </w:rPr>
              <w:t>izmaiņas, salīdzinot ar vidēja termiņa budžeta ietvaru 2022. gadam</w:t>
            </w:r>
          </w:p>
        </w:tc>
        <w:tc>
          <w:tcPr>
            <w:tcW w:w="649" w:type="pct"/>
          </w:tcPr>
          <w:p w14:paraId="30D88A28" w14:textId="77777777" w:rsidR="00544462" w:rsidRPr="00A23AAE" w:rsidRDefault="00544462" w:rsidP="009A74DA">
            <w:pPr>
              <w:spacing w:after="0" w:line="240" w:lineRule="auto"/>
              <w:ind w:right="71"/>
              <w:jc w:val="center"/>
              <w:rPr>
                <w:rFonts w:ascii="Times New Roman" w:eastAsia="Calibri" w:hAnsi="Times New Roman" w:cs="Times New Roman"/>
                <w:b/>
                <w:i/>
                <w:sz w:val="18"/>
                <w:szCs w:val="18"/>
                <w:lang w:eastAsia="lv-LV"/>
              </w:rPr>
            </w:pPr>
            <w:r w:rsidRPr="00A23AAE">
              <w:rPr>
                <w:rFonts w:ascii="Times New Roman" w:eastAsia="Calibri" w:hAnsi="Times New Roman" w:cs="Times New Roman"/>
                <w:sz w:val="18"/>
                <w:szCs w:val="18"/>
              </w:rPr>
              <w:t>izmaiņas, salīdzinot ar vidēja termiņa budžeta ietvaru 2022.gadam</w:t>
            </w:r>
          </w:p>
        </w:tc>
      </w:tr>
      <w:tr w:rsidR="00544462" w:rsidRPr="00A23AAE" w14:paraId="7B6C06BB" w14:textId="77777777" w:rsidTr="004569F0">
        <w:trPr>
          <w:trHeight w:val="227"/>
        </w:trPr>
        <w:tc>
          <w:tcPr>
            <w:tcW w:w="850" w:type="pct"/>
            <w:vAlign w:val="center"/>
          </w:tcPr>
          <w:p w14:paraId="6BCA1618" w14:textId="77777777" w:rsidR="00544462" w:rsidRPr="00A23AAE" w:rsidRDefault="00544462" w:rsidP="009A74DA">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1</w:t>
            </w:r>
          </w:p>
        </w:tc>
        <w:tc>
          <w:tcPr>
            <w:tcW w:w="511" w:type="pct"/>
            <w:vAlign w:val="center"/>
          </w:tcPr>
          <w:p w14:paraId="42BE87F0" w14:textId="77777777" w:rsidR="00544462" w:rsidRPr="00A23AAE" w:rsidRDefault="00544462" w:rsidP="009A74DA">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2</w:t>
            </w:r>
          </w:p>
        </w:tc>
        <w:tc>
          <w:tcPr>
            <w:tcW w:w="550" w:type="pct"/>
            <w:vAlign w:val="center"/>
          </w:tcPr>
          <w:p w14:paraId="2271C759" w14:textId="77777777" w:rsidR="00544462" w:rsidRPr="00A23AAE" w:rsidRDefault="00544462" w:rsidP="009A74DA">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3</w:t>
            </w:r>
          </w:p>
        </w:tc>
        <w:tc>
          <w:tcPr>
            <w:tcW w:w="575" w:type="pct"/>
            <w:vAlign w:val="center"/>
          </w:tcPr>
          <w:p w14:paraId="01F96DEA" w14:textId="77777777" w:rsidR="00544462" w:rsidRPr="00A23AAE" w:rsidRDefault="00544462" w:rsidP="009A74DA">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4</w:t>
            </w:r>
          </w:p>
        </w:tc>
        <w:tc>
          <w:tcPr>
            <w:tcW w:w="621" w:type="pct"/>
          </w:tcPr>
          <w:p w14:paraId="58FA4F8C" w14:textId="77777777" w:rsidR="00544462" w:rsidRPr="00A23AAE" w:rsidRDefault="00544462" w:rsidP="009A74DA">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5</w:t>
            </w:r>
          </w:p>
        </w:tc>
        <w:tc>
          <w:tcPr>
            <w:tcW w:w="622" w:type="pct"/>
            <w:vAlign w:val="center"/>
          </w:tcPr>
          <w:p w14:paraId="15CA87C7" w14:textId="77777777" w:rsidR="00544462" w:rsidRPr="00A23AAE" w:rsidRDefault="00544462" w:rsidP="009A74DA">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6</w:t>
            </w:r>
          </w:p>
        </w:tc>
        <w:tc>
          <w:tcPr>
            <w:tcW w:w="622" w:type="pct"/>
          </w:tcPr>
          <w:p w14:paraId="15C7A693" w14:textId="77777777" w:rsidR="00544462" w:rsidRPr="00A23AAE" w:rsidRDefault="00544462" w:rsidP="009A74DA">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7</w:t>
            </w:r>
          </w:p>
        </w:tc>
        <w:tc>
          <w:tcPr>
            <w:tcW w:w="649" w:type="pct"/>
            <w:vAlign w:val="center"/>
          </w:tcPr>
          <w:p w14:paraId="274E219B" w14:textId="77777777" w:rsidR="00544462" w:rsidRPr="00A23AAE" w:rsidRDefault="00544462" w:rsidP="009A74DA">
            <w:pPr>
              <w:spacing w:after="0" w:line="240" w:lineRule="auto"/>
              <w:ind w:right="71"/>
              <w:jc w:val="center"/>
              <w:rPr>
                <w:rFonts w:ascii="Times New Roman" w:eastAsia="Calibri" w:hAnsi="Times New Roman" w:cs="Times New Roman"/>
                <w:bCs/>
                <w:sz w:val="18"/>
                <w:szCs w:val="18"/>
                <w:lang w:eastAsia="lv-LV"/>
              </w:rPr>
            </w:pPr>
            <w:r w:rsidRPr="00A23AAE">
              <w:rPr>
                <w:rFonts w:ascii="Times New Roman" w:eastAsia="Calibri" w:hAnsi="Times New Roman" w:cs="Times New Roman"/>
                <w:bCs/>
                <w:sz w:val="18"/>
                <w:szCs w:val="18"/>
                <w:lang w:eastAsia="lv-LV"/>
              </w:rPr>
              <w:t>8</w:t>
            </w:r>
          </w:p>
        </w:tc>
      </w:tr>
      <w:tr w:rsidR="00544462" w:rsidRPr="00A23AAE" w14:paraId="6A954530" w14:textId="77777777" w:rsidTr="004569F0">
        <w:trPr>
          <w:trHeight w:val="456"/>
        </w:trPr>
        <w:tc>
          <w:tcPr>
            <w:tcW w:w="850" w:type="pct"/>
            <w:shd w:val="clear" w:color="auto" w:fill="BFBFBF" w:themeFill="background1" w:themeFillShade="BF"/>
          </w:tcPr>
          <w:p w14:paraId="7A4B2273" w14:textId="77777777" w:rsidR="00544462" w:rsidRPr="00A23AAE" w:rsidRDefault="00544462" w:rsidP="009A74DA">
            <w:pPr>
              <w:spacing w:after="0" w:line="240" w:lineRule="auto"/>
              <w:ind w:right="71"/>
              <w:jc w:val="both"/>
              <w:rPr>
                <w:rFonts w:ascii="Times New Roman" w:eastAsia="Calibri" w:hAnsi="Times New Roman" w:cs="Times New Roman"/>
                <w:i/>
                <w:sz w:val="18"/>
                <w:szCs w:val="18"/>
                <w:lang w:eastAsia="lv-LV"/>
              </w:rPr>
            </w:pPr>
            <w:r w:rsidRPr="00A23AAE">
              <w:rPr>
                <w:rFonts w:ascii="Times New Roman" w:eastAsia="Calibri" w:hAnsi="Times New Roman" w:cs="Times New Roman"/>
                <w:sz w:val="18"/>
                <w:szCs w:val="18"/>
                <w:lang w:eastAsia="lv-LV"/>
              </w:rPr>
              <w:t>1. Budžeta ieņēmumi:</w:t>
            </w:r>
          </w:p>
        </w:tc>
        <w:tc>
          <w:tcPr>
            <w:tcW w:w="511" w:type="pct"/>
            <w:shd w:val="clear" w:color="auto" w:fill="BFBFBF" w:themeFill="background1" w:themeFillShade="BF"/>
            <w:vAlign w:val="center"/>
          </w:tcPr>
          <w:p w14:paraId="2F7592FC"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550" w:type="pct"/>
            <w:shd w:val="clear" w:color="auto" w:fill="BFBFBF" w:themeFill="background1" w:themeFillShade="BF"/>
            <w:vAlign w:val="center"/>
          </w:tcPr>
          <w:p w14:paraId="4C94951A"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75" w:type="pct"/>
            <w:shd w:val="clear" w:color="auto" w:fill="BFBFBF" w:themeFill="background1" w:themeFillShade="BF"/>
            <w:vAlign w:val="center"/>
          </w:tcPr>
          <w:p w14:paraId="7B28F230"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621" w:type="pct"/>
            <w:shd w:val="clear" w:color="auto" w:fill="BFBFBF" w:themeFill="background1" w:themeFillShade="BF"/>
            <w:vAlign w:val="center"/>
          </w:tcPr>
          <w:p w14:paraId="6CE02348" w14:textId="77777777" w:rsidR="00544462" w:rsidRPr="00A23AAE" w:rsidDel="009136B7"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2" w:type="pct"/>
            <w:shd w:val="clear" w:color="auto" w:fill="BFBFBF" w:themeFill="background1" w:themeFillShade="BF"/>
            <w:vAlign w:val="center"/>
          </w:tcPr>
          <w:p w14:paraId="6DB66722"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622" w:type="pct"/>
            <w:shd w:val="clear" w:color="auto" w:fill="BFBFBF" w:themeFill="background1" w:themeFillShade="BF"/>
            <w:vAlign w:val="center"/>
          </w:tcPr>
          <w:p w14:paraId="099F6570" w14:textId="77777777" w:rsidR="00544462" w:rsidRPr="00A23AAE" w:rsidDel="009136B7"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49" w:type="pct"/>
            <w:shd w:val="clear" w:color="auto" w:fill="BFBFBF" w:themeFill="background1" w:themeFillShade="BF"/>
            <w:vAlign w:val="center"/>
          </w:tcPr>
          <w:p w14:paraId="43032452"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544462" w:rsidRPr="00A23AAE" w14:paraId="183E28A6" w14:textId="77777777" w:rsidTr="004569F0">
        <w:trPr>
          <w:trHeight w:val="1437"/>
        </w:trPr>
        <w:tc>
          <w:tcPr>
            <w:tcW w:w="850" w:type="pct"/>
          </w:tcPr>
          <w:p w14:paraId="7B8C35C0" w14:textId="77777777" w:rsidR="00544462" w:rsidRPr="00A23AAE" w:rsidRDefault="00544462" w:rsidP="009A74DA">
            <w:pPr>
              <w:spacing w:after="0" w:line="240" w:lineRule="auto"/>
              <w:ind w:right="74"/>
              <w:jc w:val="both"/>
              <w:rPr>
                <w:rFonts w:ascii="Times New Roman" w:eastAsia="Calibri" w:hAnsi="Times New Roman" w:cs="Times New Roman"/>
                <w:i/>
                <w:sz w:val="18"/>
                <w:szCs w:val="18"/>
              </w:rPr>
            </w:pPr>
            <w:r w:rsidRPr="00A23AAE">
              <w:rPr>
                <w:rFonts w:ascii="Times New Roman" w:eastAsia="Calibri" w:hAnsi="Times New Roman" w:cs="Times New Roman"/>
                <w:sz w:val="18"/>
                <w:szCs w:val="18"/>
              </w:rPr>
              <w:t>1.1. valsts pamatbudžet, tai skaitā ieņēmumi no maksas pakalpojumiem un citi pašu ieņēmumi</w:t>
            </w:r>
          </w:p>
        </w:tc>
        <w:tc>
          <w:tcPr>
            <w:tcW w:w="511" w:type="pct"/>
            <w:vAlign w:val="center"/>
          </w:tcPr>
          <w:p w14:paraId="4CF6F57E"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50" w:type="pct"/>
            <w:vAlign w:val="center"/>
          </w:tcPr>
          <w:p w14:paraId="3934CE99"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75" w:type="pct"/>
            <w:vAlign w:val="center"/>
          </w:tcPr>
          <w:p w14:paraId="39E685AB"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1" w:type="pct"/>
            <w:vAlign w:val="center"/>
          </w:tcPr>
          <w:p w14:paraId="5BA2D2E7" w14:textId="77777777" w:rsidR="00544462" w:rsidRPr="00A23AAE" w:rsidDel="009136B7"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2" w:type="pct"/>
            <w:vAlign w:val="center"/>
          </w:tcPr>
          <w:p w14:paraId="1081C355"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2" w:type="pct"/>
            <w:vAlign w:val="center"/>
          </w:tcPr>
          <w:p w14:paraId="5D2F5E6E" w14:textId="77777777" w:rsidR="00544462" w:rsidRPr="00A23AAE" w:rsidDel="009136B7"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49" w:type="pct"/>
            <w:vAlign w:val="center"/>
          </w:tcPr>
          <w:p w14:paraId="7D4697E5"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544462" w:rsidRPr="00A23AAE" w14:paraId="449D9EC2" w14:textId="77777777" w:rsidTr="004569F0">
        <w:trPr>
          <w:trHeight w:val="683"/>
        </w:trPr>
        <w:tc>
          <w:tcPr>
            <w:tcW w:w="850" w:type="pct"/>
          </w:tcPr>
          <w:p w14:paraId="23AA36E8" w14:textId="77777777" w:rsidR="00544462" w:rsidRPr="00A23AAE" w:rsidRDefault="00544462" w:rsidP="009A74DA">
            <w:pPr>
              <w:spacing w:after="0" w:line="240" w:lineRule="auto"/>
              <w:ind w:right="71"/>
              <w:jc w:val="both"/>
              <w:rPr>
                <w:rFonts w:ascii="Times New Roman" w:eastAsia="Calibri" w:hAnsi="Times New Roman" w:cs="Times New Roman"/>
                <w:i/>
                <w:sz w:val="18"/>
                <w:szCs w:val="18"/>
                <w:lang w:eastAsia="lv-LV"/>
              </w:rPr>
            </w:pPr>
            <w:r w:rsidRPr="00A23AAE">
              <w:rPr>
                <w:rFonts w:ascii="Times New Roman" w:eastAsia="Calibri" w:hAnsi="Times New Roman" w:cs="Times New Roman"/>
                <w:sz w:val="18"/>
                <w:szCs w:val="18"/>
                <w:lang w:eastAsia="lv-LV"/>
              </w:rPr>
              <w:t>1.2. valsts speciālais budžets</w:t>
            </w:r>
          </w:p>
        </w:tc>
        <w:tc>
          <w:tcPr>
            <w:tcW w:w="511" w:type="pct"/>
            <w:vAlign w:val="center"/>
          </w:tcPr>
          <w:p w14:paraId="54092A83"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50" w:type="pct"/>
            <w:vAlign w:val="center"/>
          </w:tcPr>
          <w:p w14:paraId="7EB0C152"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75" w:type="pct"/>
            <w:vAlign w:val="center"/>
          </w:tcPr>
          <w:p w14:paraId="5DF56FE8"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1" w:type="pct"/>
            <w:vAlign w:val="center"/>
          </w:tcPr>
          <w:p w14:paraId="2BD300B5"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2" w:type="pct"/>
            <w:vAlign w:val="center"/>
          </w:tcPr>
          <w:p w14:paraId="58CEE908"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2" w:type="pct"/>
            <w:vAlign w:val="center"/>
          </w:tcPr>
          <w:p w14:paraId="14CECA79"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49" w:type="pct"/>
            <w:vAlign w:val="center"/>
          </w:tcPr>
          <w:p w14:paraId="5C3A5361"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544462" w:rsidRPr="00A23AAE" w14:paraId="2B7CA798" w14:textId="77777777" w:rsidTr="004569F0">
        <w:trPr>
          <w:trHeight w:val="456"/>
        </w:trPr>
        <w:tc>
          <w:tcPr>
            <w:tcW w:w="850" w:type="pct"/>
          </w:tcPr>
          <w:p w14:paraId="6DE04F3E" w14:textId="77777777" w:rsidR="00544462" w:rsidRPr="00A23AAE" w:rsidRDefault="00544462" w:rsidP="009A74DA">
            <w:pPr>
              <w:spacing w:after="0" w:line="240" w:lineRule="auto"/>
              <w:ind w:right="71"/>
              <w:jc w:val="both"/>
              <w:rPr>
                <w:rFonts w:ascii="Times New Roman" w:eastAsia="Calibri" w:hAnsi="Times New Roman" w:cs="Times New Roman"/>
                <w:i/>
                <w:sz w:val="18"/>
                <w:szCs w:val="18"/>
                <w:lang w:eastAsia="lv-LV"/>
              </w:rPr>
            </w:pPr>
            <w:r w:rsidRPr="00A23AAE">
              <w:rPr>
                <w:rFonts w:ascii="Times New Roman" w:eastAsia="Calibri" w:hAnsi="Times New Roman" w:cs="Times New Roman"/>
                <w:sz w:val="18"/>
                <w:szCs w:val="18"/>
                <w:lang w:eastAsia="lv-LV"/>
              </w:rPr>
              <w:t>1.3. pašvaldību budžets</w:t>
            </w:r>
          </w:p>
        </w:tc>
        <w:tc>
          <w:tcPr>
            <w:tcW w:w="511" w:type="pct"/>
            <w:vAlign w:val="center"/>
          </w:tcPr>
          <w:p w14:paraId="514CE466"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50" w:type="pct"/>
            <w:vAlign w:val="center"/>
          </w:tcPr>
          <w:p w14:paraId="0DE30608"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75" w:type="pct"/>
            <w:vAlign w:val="center"/>
          </w:tcPr>
          <w:p w14:paraId="596B26BD"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1" w:type="pct"/>
            <w:vAlign w:val="center"/>
          </w:tcPr>
          <w:p w14:paraId="7EBA0596" w14:textId="77777777" w:rsidR="00544462" w:rsidRPr="00A23AAE" w:rsidRDefault="00544462" w:rsidP="009A74DA">
            <w:pPr>
              <w:spacing w:after="0" w:line="240" w:lineRule="auto"/>
              <w:ind w:right="71"/>
              <w:jc w:val="center"/>
              <w:rPr>
                <w:rFonts w:ascii="Times New Roman" w:eastAsia="Calibri" w:hAnsi="Times New Roman" w:cs="Times New Roman"/>
                <w:iCs/>
                <w:sz w:val="16"/>
                <w:szCs w:val="16"/>
              </w:rPr>
            </w:pPr>
            <w:r w:rsidRPr="00A23AAE">
              <w:rPr>
                <w:rFonts w:ascii="Times New Roman" w:eastAsia="Calibri" w:hAnsi="Times New Roman" w:cs="Times New Roman"/>
                <w:iCs/>
                <w:sz w:val="16"/>
                <w:szCs w:val="16"/>
              </w:rPr>
              <w:t>0</w:t>
            </w:r>
          </w:p>
        </w:tc>
        <w:tc>
          <w:tcPr>
            <w:tcW w:w="622" w:type="pct"/>
            <w:vAlign w:val="center"/>
          </w:tcPr>
          <w:p w14:paraId="41753F08"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2" w:type="pct"/>
            <w:vAlign w:val="center"/>
          </w:tcPr>
          <w:p w14:paraId="49FFF357" w14:textId="77777777" w:rsidR="00544462" w:rsidRPr="00A23AAE" w:rsidRDefault="00544462" w:rsidP="009A74DA">
            <w:pPr>
              <w:spacing w:after="0" w:line="240" w:lineRule="auto"/>
              <w:ind w:right="71"/>
              <w:jc w:val="center"/>
              <w:rPr>
                <w:rFonts w:ascii="Times New Roman" w:eastAsia="Calibri" w:hAnsi="Times New Roman" w:cs="Times New Roman"/>
                <w:iCs/>
                <w:sz w:val="16"/>
                <w:szCs w:val="16"/>
              </w:rPr>
            </w:pPr>
            <w:r w:rsidRPr="00A23AAE">
              <w:rPr>
                <w:rFonts w:ascii="Times New Roman" w:eastAsia="Calibri" w:hAnsi="Times New Roman" w:cs="Times New Roman"/>
                <w:iCs/>
                <w:sz w:val="16"/>
                <w:szCs w:val="16"/>
              </w:rPr>
              <w:t>0</w:t>
            </w:r>
          </w:p>
        </w:tc>
        <w:tc>
          <w:tcPr>
            <w:tcW w:w="649" w:type="pct"/>
            <w:vAlign w:val="center"/>
          </w:tcPr>
          <w:p w14:paraId="7B273DD9"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544462" w:rsidRPr="00A23AAE" w14:paraId="6464FD54" w14:textId="77777777" w:rsidTr="004569F0">
        <w:trPr>
          <w:trHeight w:val="444"/>
        </w:trPr>
        <w:tc>
          <w:tcPr>
            <w:tcW w:w="850" w:type="pct"/>
            <w:shd w:val="clear" w:color="auto" w:fill="BFBFBF" w:themeFill="background1" w:themeFillShade="BF"/>
          </w:tcPr>
          <w:p w14:paraId="68362C23" w14:textId="77777777" w:rsidR="00544462" w:rsidRPr="00A23AAE" w:rsidRDefault="00544462" w:rsidP="009A74DA">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2. Budžeta izdevumi:</w:t>
            </w:r>
          </w:p>
        </w:tc>
        <w:tc>
          <w:tcPr>
            <w:tcW w:w="511" w:type="pct"/>
            <w:shd w:val="clear" w:color="auto" w:fill="BFBFBF" w:themeFill="background1" w:themeFillShade="BF"/>
            <w:vAlign w:val="center"/>
          </w:tcPr>
          <w:p w14:paraId="01482438"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550" w:type="pct"/>
            <w:shd w:val="clear" w:color="auto" w:fill="BFBFBF" w:themeFill="background1" w:themeFillShade="BF"/>
            <w:vAlign w:val="center"/>
          </w:tcPr>
          <w:p w14:paraId="47A2223B"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75" w:type="pct"/>
            <w:shd w:val="clear" w:color="auto" w:fill="BFBFBF" w:themeFill="background1" w:themeFillShade="BF"/>
            <w:vAlign w:val="center"/>
          </w:tcPr>
          <w:p w14:paraId="3207F984"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621" w:type="pct"/>
            <w:shd w:val="clear" w:color="auto" w:fill="BFBFBF" w:themeFill="background1" w:themeFillShade="BF"/>
            <w:vAlign w:val="center"/>
          </w:tcPr>
          <w:p w14:paraId="76FC1836"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2" w:type="pct"/>
            <w:shd w:val="clear" w:color="auto" w:fill="BFBFBF" w:themeFill="background1" w:themeFillShade="BF"/>
            <w:vAlign w:val="center"/>
          </w:tcPr>
          <w:p w14:paraId="4039D8F6"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622" w:type="pct"/>
            <w:shd w:val="clear" w:color="auto" w:fill="BFBFBF" w:themeFill="background1" w:themeFillShade="BF"/>
            <w:vAlign w:val="center"/>
          </w:tcPr>
          <w:p w14:paraId="06452D43"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49" w:type="pct"/>
            <w:shd w:val="clear" w:color="auto" w:fill="BFBFBF" w:themeFill="background1" w:themeFillShade="BF"/>
            <w:vAlign w:val="center"/>
          </w:tcPr>
          <w:p w14:paraId="26E6194A"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544462" w:rsidRPr="00A23AAE" w14:paraId="6CE24E06" w14:textId="77777777" w:rsidTr="004569F0">
        <w:trPr>
          <w:trHeight w:val="456"/>
        </w:trPr>
        <w:tc>
          <w:tcPr>
            <w:tcW w:w="850" w:type="pct"/>
          </w:tcPr>
          <w:p w14:paraId="11576A5E" w14:textId="77777777" w:rsidR="00544462" w:rsidRPr="00A23AAE" w:rsidRDefault="00544462" w:rsidP="009A74DA">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2.1. valsts pamatbudžets</w:t>
            </w:r>
          </w:p>
          <w:p w14:paraId="61984C5F" w14:textId="77777777" w:rsidR="00544462" w:rsidRPr="00A23AAE" w:rsidRDefault="00544462" w:rsidP="009A74DA">
            <w:pPr>
              <w:spacing w:after="0" w:line="240" w:lineRule="auto"/>
              <w:ind w:right="71"/>
              <w:rPr>
                <w:rFonts w:ascii="Times New Roman" w:eastAsia="Calibri" w:hAnsi="Times New Roman" w:cs="Times New Roman"/>
                <w:sz w:val="18"/>
                <w:szCs w:val="18"/>
              </w:rPr>
            </w:pPr>
          </w:p>
        </w:tc>
        <w:tc>
          <w:tcPr>
            <w:tcW w:w="511" w:type="pct"/>
            <w:vAlign w:val="center"/>
          </w:tcPr>
          <w:p w14:paraId="2AB6C981"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50" w:type="pct"/>
            <w:vAlign w:val="center"/>
          </w:tcPr>
          <w:p w14:paraId="415D3068"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75" w:type="pct"/>
            <w:vAlign w:val="center"/>
          </w:tcPr>
          <w:p w14:paraId="2F16D7C1"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1" w:type="pct"/>
            <w:vAlign w:val="center"/>
          </w:tcPr>
          <w:p w14:paraId="1A5FD604"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2" w:type="pct"/>
            <w:vAlign w:val="center"/>
          </w:tcPr>
          <w:p w14:paraId="69A21531"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2" w:type="pct"/>
            <w:vAlign w:val="center"/>
          </w:tcPr>
          <w:p w14:paraId="0A13EC6B"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49" w:type="pct"/>
            <w:vAlign w:val="center"/>
          </w:tcPr>
          <w:p w14:paraId="396182C3"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544462" w:rsidRPr="00A23AAE" w14:paraId="47937632" w14:textId="77777777" w:rsidTr="004569F0">
        <w:trPr>
          <w:trHeight w:val="683"/>
        </w:trPr>
        <w:tc>
          <w:tcPr>
            <w:tcW w:w="850" w:type="pct"/>
          </w:tcPr>
          <w:p w14:paraId="40D83E8E" w14:textId="77777777" w:rsidR="00544462" w:rsidRPr="00A23AAE" w:rsidRDefault="00544462" w:rsidP="009A74DA">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2.2. valsts speciālais budžets</w:t>
            </w:r>
          </w:p>
        </w:tc>
        <w:tc>
          <w:tcPr>
            <w:tcW w:w="511" w:type="pct"/>
            <w:vAlign w:val="center"/>
          </w:tcPr>
          <w:p w14:paraId="42E4A986"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50" w:type="pct"/>
            <w:vAlign w:val="center"/>
          </w:tcPr>
          <w:p w14:paraId="59484EA6"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75" w:type="pct"/>
            <w:vAlign w:val="center"/>
          </w:tcPr>
          <w:p w14:paraId="45FE0F65"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1" w:type="pct"/>
            <w:vAlign w:val="center"/>
          </w:tcPr>
          <w:p w14:paraId="3EA16E68"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2" w:type="pct"/>
            <w:vAlign w:val="center"/>
          </w:tcPr>
          <w:p w14:paraId="52156804"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2" w:type="pct"/>
            <w:vAlign w:val="center"/>
          </w:tcPr>
          <w:p w14:paraId="1A44524C"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49" w:type="pct"/>
            <w:vAlign w:val="center"/>
          </w:tcPr>
          <w:p w14:paraId="4A15F637"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544462" w:rsidRPr="00A23AAE" w14:paraId="15529983" w14:textId="77777777" w:rsidTr="004569F0">
        <w:trPr>
          <w:trHeight w:val="456"/>
        </w:trPr>
        <w:tc>
          <w:tcPr>
            <w:tcW w:w="850" w:type="pct"/>
          </w:tcPr>
          <w:p w14:paraId="7F2A2A50" w14:textId="77777777" w:rsidR="00544462" w:rsidRPr="00A23AAE" w:rsidRDefault="00544462" w:rsidP="009A74DA">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 xml:space="preserve">2.3. pašvaldību budžets </w:t>
            </w:r>
          </w:p>
        </w:tc>
        <w:tc>
          <w:tcPr>
            <w:tcW w:w="511" w:type="pct"/>
            <w:vAlign w:val="center"/>
          </w:tcPr>
          <w:p w14:paraId="0FA62A37"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50" w:type="pct"/>
            <w:vAlign w:val="center"/>
          </w:tcPr>
          <w:p w14:paraId="74AE29DD"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75" w:type="pct"/>
            <w:vAlign w:val="center"/>
          </w:tcPr>
          <w:p w14:paraId="5888F1BA"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1" w:type="pct"/>
            <w:vAlign w:val="center"/>
          </w:tcPr>
          <w:p w14:paraId="18AE62E3" w14:textId="77777777" w:rsidR="00544462" w:rsidRPr="00A23AAE" w:rsidRDefault="00544462" w:rsidP="009A74DA">
            <w:pPr>
              <w:spacing w:after="0" w:line="240" w:lineRule="auto"/>
              <w:ind w:right="71"/>
              <w:jc w:val="center"/>
              <w:rPr>
                <w:rFonts w:ascii="Times New Roman" w:eastAsia="Calibri" w:hAnsi="Times New Roman" w:cs="Times New Roman"/>
                <w:iCs/>
                <w:sz w:val="16"/>
                <w:szCs w:val="16"/>
              </w:rPr>
            </w:pPr>
            <w:r w:rsidRPr="00A23AAE">
              <w:rPr>
                <w:rFonts w:ascii="Times New Roman" w:eastAsia="Calibri" w:hAnsi="Times New Roman" w:cs="Times New Roman"/>
                <w:iCs/>
                <w:sz w:val="16"/>
                <w:szCs w:val="16"/>
              </w:rPr>
              <w:t>0</w:t>
            </w:r>
          </w:p>
        </w:tc>
        <w:tc>
          <w:tcPr>
            <w:tcW w:w="622" w:type="pct"/>
            <w:vAlign w:val="center"/>
          </w:tcPr>
          <w:p w14:paraId="75144AAB"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2" w:type="pct"/>
            <w:vAlign w:val="center"/>
          </w:tcPr>
          <w:p w14:paraId="268188C5" w14:textId="77777777" w:rsidR="00544462" w:rsidRPr="00A23AAE" w:rsidRDefault="00544462" w:rsidP="009A74DA">
            <w:pPr>
              <w:spacing w:after="0" w:line="240" w:lineRule="auto"/>
              <w:ind w:right="71"/>
              <w:jc w:val="center"/>
              <w:rPr>
                <w:rFonts w:ascii="Times New Roman" w:eastAsia="Calibri" w:hAnsi="Times New Roman" w:cs="Times New Roman"/>
                <w:iCs/>
                <w:sz w:val="16"/>
                <w:szCs w:val="16"/>
              </w:rPr>
            </w:pPr>
            <w:r w:rsidRPr="00A23AAE">
              <w:rPr>
                <w:rFonts w:ascii="Times New Roman" w:eastAsia="Calibri" w:hAnsi="Times New Roman" w:cs="Times New Roman"/>
                <w:iCs/>
                <w:sz w:val="16"/>
                <w:szCs w:val="16"/>
              </w:rPr>
              <w:t>0</w:t>
            </w:r>
          </w:p>
        </w:tc>
        <w:tc>
          <w:tcPr>
            <w:tcW w:w="649" w:type="pct"/>
            <w:vAlign w:val="center"/>
          </w:tcPr>
          <w:p w14:paraId="5268B0C7"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544462" w:rsidRPr="00A23AAE" w14:paraId="1E11CCA4" w14:textId="77777777" w:rsidTr="004569F0">
        <w:trPr>
          <w:trHeight w:val="444"/>
        </w:trPr>
        <w:tc>
          <w:tcPr>
            <w:tcW w:w="850" w:type="pct"/>
            <w:shd w:val="clear" w:color="auto" w:fill="BFBFBF" w:themeFill="background1" w:themeFillShade="BF"/>
          </w:tcPr>
          <w:p w14:paraId="1CD7FA8D" w14:textId="77777777" w:rsidR="00544462" w:rsidRPr="00A23AAE" w:rsidRDefault="00544462" w:rsidP="009A74DA">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3. Finansiālā ietekme:</w:t>
            </w:r>
          </w:p>
        </w:tc>
        <w:tc>
          <w:tcPr>
            <w:tcW w:w="511" w:type="pct"/>
            <w:shd w:val="clear" w:color="auto" w:fill="BFBFBF" w:themeFill="background1" w:themeFillShade="BF"/>
            <w:vAlign w:val="center"/>
          </w:tcPr>
          <w:p w14:paraId="24B3C366"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550" w:type="pct"/>
            <w:shd w:val="clear" w:color="auto" w:fill="BFBFBF" w:themeFill="background1" w:themeFillShade="BF"/>
            <w:vAlign w:val="center"/>
          </w:tcPr>
          <w:p w14:paraId="1F5BE12B"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75" w:type="pct"/>
            <w:shd w:val="clear" w:color="auto" w:fill="BFBFBF" w:themeFill="background1" w:themeFillShade="BF"/>
            <w:vAlign w:val="center"/>
          </w:tcPr>
          <w:p w14:paraId="22DA028B"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621" w:type="pct"/>
            <w:shd w:val="clear" w:color="auto" w:fill="BFBFBF" w:themeFill="background1" w:themeFillShade="BF"/>
            <w:vAlign w:val="center"/>
          </w:tcPr>
          <w:p w14:paraId="20A052C2"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2" w:type="pct"/>
            <w:shd w:val="clear" w:color="auto" w:fill="BFBFBF" w:themeFill="background1" w:themeFillShade="BF"/>
            <w:vAlign w:val="center"/>
          </w:tcPr>
          <w:p w14:paraId="4193A229"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622" w:type="pct"/>
            <w:shd w:val="clear" w:color="auto" w:fill="BFBFBF" w:themeFill="background1" w:themeFillShade="BF"/>
            <w:vAlign w:val="center"/>
          </w:tcPr>
          <w:p w14:paraId="57C0D5E3"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49" w:type="pct"/>
            <w:shd w:val="clear" w:color="auto" w:fill="BFBFBF" w:themeFill="background1" w:themeFillShade="BF"/>
            <w:vAlign w:val="center"/>
          </w:tcPr>
          <w:p w14:paraId="1BDA3AE3"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544462" w:rsidRPr="00A23AAE" w14:paraId="42B8C88B" w14:textId="77777777" w:rsidTr="004569F0">
        <w:trPr>
          <w:trHeight w:val="456"/>
        </w:trPr>
        <w:tc>
          <w:tcPr>
            <w:tcW w:w="850" w:type="pct"/>
          </w:tcPr>
          <w:p w14:paraId="2BE46F92" w14:textId="77777777" w:rsidR="00544462" w:rsidRPr="00A23AAE" w:rsidRDefault="00544462" w:rsidP="009A74DA">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3.1. valsts pamatbudžets</w:t>
            </w:r>
          </w:p>
        </w:tc>
        <w:tc>
          <w:tcPr>
            <w:tcW w:w="511" w:type="pct"/>
            <w:vAlign w:val="center"/>
          </w:tcPr>
          <w:p w14:paraId="7598EC28"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50" w:type="pct"/>
            <w:vAlign w:val="center"/>
          </w:tcPr>
          <w:p w14:paraId="06A8BC9C"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75" w:type="pct"/>
            <w:vAlign w:val="center"/>
          </w:tcPr>
          <w:p w14:paraId="12586CBD"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1" w:type="pct"/>
            <w:vAlign w:val="center"/>
          </w:tcPr>
          <w:p w14:paraId="65504DBF"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iCs/>
                <w:sz w:val="16"/>
                <w:szCs w:val="16"/>
              </w:rPr>
              <w:t>0</w:t>
            </w:r>
          </w:p>
        </w:tc>
        <w:tc>
          <w:tcPr>
            <w:tcW w:w="622" w:type="pct"/>
            <w:vAlign w:val="center"/>
          </w:tcPr>
          <w:p w14:paraId="54C39657"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2" w:type="pct"/>
            <w:vAlign w:val="center"/>
          </w:tcPr>
          <w:p w14:paraId="6E6B6E68"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iCs/>
                <w:sz w:val="16"/>
                <w:szCs w:val="16"/>
              </w:rPr>
              <w:t>0</w:t>
            </w:r>
          </w:p>
        </w:tc>
        <w:tc>
          <w:tcPr>
            <w:tcW w:w="649" w:type="pct"/>
            <w:vAlign w:val="center"/>
          </w:tcPr>
          <w:p w14:paraId="2A776DB7"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544462" w:rsidRPr="00A23AAE" w14:paraId="49FF3F31" w14:textId="77777777" w:rsidTr="004569F0">
        <w:trPr>
          <w:trHeight w:val="456"/>
        </w:trPr>
        <w:tc>
          <w:tcPr>
            <w:tcW w:w="850" w:type="pct"/>
          </w:tcPr>
          <w:p w14:paraId="45F245C7" w14:textId="77777777" w:rsidR="00544462" w:rsidRPr="00A23AAE" w:rsidRDefault="00544462" w:rsidP="009A74DA">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3.2. speciālais budžets</w:t>
            </w:r>
          </w:p>
        </w:tc>
        <w:tc>
          <w:tcPr>
            <w:tcW w:w="511" w:type="pct"/>
            <w:vAlign w:val="center"/>
          </w:tcPr>
          <w:p w14:paraId="7A6BAF7E"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50" w:type="pct"/>
            <w:vAlign w:val="center"/>
          </w:tcPr>
          <w:p w14:paraId="10386A90"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75" w:type="pct"/>
          </w:tcPr>
          <w:p w14:paraId="5F5CDE78"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1" w:type="pct"/>
          </w:tcPr>
          <w:p w14:paraId="08CF785D"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2" w:type="pct"/>
          </w:tcPr>
          <w:p w14:paraId="1A49484D"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2" w:type="pct"/>
          </w:tcPr>
          <w:p w14:paraId="08677483"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49" w:type="pct"/>
          </w:tcPr>
          <w:p w14:paraId="03ED8475"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544462" w:rsidRPr="00A23AAE" w14:paraId="0188D20F" w14:textId="77777777" w:rsidTr="004569F0">
        <w:trPr>
          <w:trHeight w:val="456"/>
        </w:trPr>
        <w:tc>
          <w:tcPr>
            <w:tcW w:w="850" w:type="pct"/>
          </w:tcPr>
          <w:p w14:paraId="6028079A" w14:textId="77777777" w:rsidR="00544462" w:rsidRPr="00A23AAE" w:rsidRDefault="00544462" w:rsidP="009A74DA">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lastRenderedPageBreak/>
              <w:t xml:space="preserve">3.3. pašvaldību budžets </w:t>
            </w:r>
          </w:p>
        </w:tc>
        <w:tc>
          <w:tcPr>
            <w:tcW w:w="511" w:type="pct"/>
            <w:vAlign w:val="center"/>
          </w:tcPr>
          <w:p w14:paraId="7AB87FC0"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50" w:type="pct"/>
            <w:vAlign w:val="center"/>
          </w:tcPr>
          <w:p w14:paraId="1309DCAB"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75" w:type="pct"/>
          </w:tcPr>
          <w:p w14:paraId="7C633F98"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1" w:type="pct"/>
          </w:tcPr>
          <w:p w14:paraId="068BA242"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2" w:type="pct"/>
          </w:tcPr>
          <w:p w14:paraId="35DC7127"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2" w:type="pct"/>
          </w:tcPr>
          <w:p w14:paraId="64EDC154"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49" w:type="pct"/>
          </w:tcPr>
          <w:p w14:paraId="101E9D64"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544462" w:rsidRPr="00A23AAE" w14:paraId="1AE62FBE" w14:textId="77777777" w:rsidTr="004569F0">
        <w:trPr>
          <w:trHeight w:val="1224"/>
        </w:trPr>
        <w:tc>
          <w:tcPr>
            <w:tcW w:w="850" w:type="pct"/>
          </w:tcPr>
          <w:p w14:paraId="78EF3CEC" w14:textId="77777777" w:rsidR="00544462" w:rsidRPr="00A23AAE" w:rsidRDefault="00544462" w:rsidP="009A74DA">
            <w:pPr>
              <w:spacing w:after="0" w:line="240" w:lineRule="auto"/>
              <w:ind w:right="74"/>
              <w:rPr>
                <w:rFonts w:ascii="Times New Roman" w:eastAsia="Calibri" w:hAnsi="Times New Roman" w:cs="Times New Roman"/>
                <w:sz w:val="18"/>
                <w:szCs w:val="18"/>
              </w:rPr>
            </w:pPr>
            <w:r w:rsidRPr="00A23AAE">
              <w:rPr>
                <w:rFonts w:ascii="Times New Roman" w:eastAsia="Calibri" w:hAnsi="Times New Roman" w:cs="Times New Roman"/>
                <w:sz w:val="18"/>
                <w:szCs w:val="18"/>
              </w:rPr>
              <w:t>4. Finanšu līdzekļi papildu izde</w:t>
            </w:r>
            <w:r w:rsidRPr="00A23AAE">
              <w:rPr>
                <w:rFonts w:ascii="Times New Roman" w:eastAsia="Calibri" w:hAnsi="Times New Roman" w:cs="Times New Roman"/>
                <w:sz w:val="18"/>
                <w:szCs w:val="18"/>
              </w:rPr>
              <w:softHyphen/>
              <w:t>vumu finansēšanai (kompensējošu izdevumu samazinājumu norāda ar "+" zīmi)</w:t>
            </w:r>
          </w:p>
        </w:tc>
        <w:tc>
          <w:tcPr>
            <w:tcW w:w="511" w:type="pct"/>
            <w:vAlign w:val="center"/>
          </w:tcPr>
          <w:p w14:paraId="0D0121C6"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x</w:t>
            </w:r>
          </w:p>
          <w:p w14:paraId="7F79677E"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p>
        </w:tc>
        <w:tc>
          <w:tcPr>
            <w:tcW w:w="550" w:type="pct"/>
            <w:vAlign w:val="center"/>
          </w:tcPr>
          <w:p w14:paraId="6F84404F" w14:textId="77777777" w:rsidR="00544462" w:rsidRPr="00A23AAE" w:rsidRDefault="00544462" w:rsidP="009A74DA">
            <w:pPr>
              <w:spacing w:after="0" w:line="240" w:lineRule="auto"/>
              <w:ind w:right="74"/>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75" w:type="pct"/>
            <w:vAlign w:val="center"/>
          </w:tcPr>
          <w:p w14:paraId="3FA41A80"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x</w:t>
            </w:r>
          </w:p>
        </w:tc>
        <w:tc>
          <w:tcPr>
            <w:tcW w:w="621" w:type="pct"/>
            <w:vAlign w:val="center"/>
          </w:tcPr>
          <w:p w14:paraId="15996776"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2" w:type="pct"/>
            <w:vAlign w:val="center"/>
          </w:tcPr>
          <w:p w14:paraId="3922CDDE" w14:textId="6139B1AE" w:rsidR="00544462" w:rsidRPr="00A23AAE" w:rsidRDefault="00D149D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X</w:t>
            </w:r>
          </w:p>
        </w:tc>
        <w:tc>
          <w:tcPr>
            <w:tcW w:w="622" w:type="pct"/>
            <w:vAlign w:val="center"/>
          </w:tcPr>
          <w:p w14:paraId="074099BD"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49" w:type="pct"/>
            <w:vAlign w:val="center"/>
          </w:tcPr>
          <w:p w14:paraId="5456A434"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544462" w:rsidRPr="00A23AAE" w14:paraId="40BEA0D3" w14:textId="77777777" w:rsidTr="004569F0">
        <w:trPr>
          <w:trHeight w:val="683"/>
        </w:trPr>
        <w:tc>
          <w:tcPr>
            <w:tcW w:w="850" w:type="pct"/>
          </w:tcPr>
          <w:p w14:paraId="0BC23F21" w14:textId="77777777" w:rsidR="00544462" w:rsidRPr="00A23AAE" w:rsidRDefault="00544462" w:rsidP="009A74DA">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5. Precizēta finansiālā ietekme:</w:t>
            </w:r>
          </w:p>
        </w:tc>
        <w:tc>
          <w:tcPr>
            <w:tcW w:w="511" w:type="pct"/>
            <w:vMerge w:val="restart"/>
            <w:vAlign w:val="center"/>
          </w:tcPr>
          <w:p w14:paraId="35FC83D2"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x</w:t>
            </w:r>
          </w:p>
        </w:tc>
        <w:tc>
          <w:tcPr>
            <w:tcW w:w="550" w:type="pct"/>
            <w:vAlign w:val="center"/>
          </w:tcPr>
          <w:p w14:paraId="3359D6EC"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75" w:type="pct"/>
            <w:vMerge w:val="restart"/>
            <w:vAlign w:val="center"/>
          </w:tcPr>
          <w:p w14:paraId="1896E817"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x</w:t>
            </w:r>
          </w:p>
        </w:tc>
        <w:tc>
          <w:tcPr>
            <w:tcW w:w="621" w:type="pct"/>
            <w:vAlign w:val="center"/>
          </w:tcPr>
          <w:p w14:paraId="7052715A"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2" w:type="pct"/>
            <w:vMerge w:val="restart"/>
            <w:vAlign w:val="center"/>
          </w:tcPr>
          <w:p w14:paraId="25D36FF9" w14:textId="3C0F19C2" w:rsidR="00544462" w:rsidRPr="00A23AAE" w:rsidRDefault="00D149D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X</w:t>
            </w:r>
          </w:p>
        </w:tc>
        <w:tc>
          <w:tcPr>
            <w:tcW w:w="622" w:type="pct"/>
            <w:vAlign w:val="center"/>
          </w:tcPr>
          <w:p w14:paraId="3B7B7B0C"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49" w:type="pct"/>
            <w:vAlign w:val="center"/>
          </w:tcPr>
          <w:p w14:paraId="0B2C622A"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544462" w:rsidRPr="00A23AAE" w14:paraId="0AC46BD9" w14:textId="77777777" w:rsidTr="004569F0">
        <w:trPr>
          <w:trHeight w:val="456"/>
        </w:trPr>
        <w:tc>
          <w:tcPr>
            <w:tcW w:w="850" w:type="pct"/>
          </w:tcPr>
          <w:p w14:paraId="6C2CA800" w14:textId="77777777" w:rsidR="00544462" w:rsidRPr="00A23AAE" w:rsidRDefault="00544462" w:rsidP="009A74DA">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5.1. valsts pamatbudžets</w:t>
            </w:r>
          </w:p>
        </w:tc>
        <w:tc>
          <w:tcPr>
            <w:tcW w:w="511" w:type="pct"/>
            <w:vMerge/>
            <w:vAlign w:val="center"/>
          </w:tcPr>
          <w:p w14:paraId="0835F0AE"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lang w:eastAsia="lv-LV"/>
              </w:rPr>
            </w:pPr>
          </w:p>
        </w:tc>
        <w:tc>
          <w:tcPr>
            <w:tcW w:w="550" w:type="pct"/>
            <w:vAlign w:val="center"/>
          </w:tcPr>
          <w:p w14:paraId="185EED40"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75" w:type="pct"/>
            <w:vMerge/>
            <w:vAlign w:val="center"/>
          </w:tcPr>
          <w:p w14:paraId="0CC05FE8"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p>
        </w:tc>
        <w:tc>
          <w:tcPr>
            <w:tcW w:w="621" w:type="pct"/>
            <w:vAlign w:val="center"/>
          </w:tcPr>
          <w:p w14:paraId="4B2C0ED6"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2" w:type="pct"/>
            <w:vMerge/>
            <w:vAlign w:val="center"/>
          </w:tcPr>
          <w:p w14:paraId="7442137C"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p>
        </w:tc>
        <w:tc>
          <w:tcPr>
            <w:tcW w:w="622" w:type="pct"/>
            <w:vAlign w:val="center"/>
          </w:tcPr>
          <w:p w14:paraId="25F283E5"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49" w:type="pct"/>
            <w:vAlign w:val="center"/>
          </w:tcPr>
          <w:p w14:paraId="63BAA7CE"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544462" w:rsidRPr="00A23AAE" w14:paraId="275D0AE0" w14:textId="77777777" w:rsidTr="004569F0">
        <w:trPr>
          <w:trHeight w:val="456"/>
        </w:trPr>
        <w:tc>
          <w:tcPr>
            <w:tcW w:w="850" w:type="pct"/>
          </w:tcPr>
          <w:p w14:paraId="2C6A076D" w14:textId="77777777" w:rsidR="00544462" w:rsidRPr="00A23AAE" w:rsidRDefault="00544462" w:rsidP="009A74DA">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5.2. speciālais budžets</w:t>
            </w:r>
          </w:p>
        </w:tc>
        <w:tc>
          <w:tcPr>
            <w:tcW w:w="511" w:type="pct"/>
            <w:vMerge/>
            <w:vAlign w:val="center"/>
          </w:tcPr>
          <w:p w14:paraId="7AAB9EC9"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lang w:eastAsia="lv-LV"/>
              </w:rPr>
            </w:pPr>
          </w:p>
        </w:tc>
        <w:tc>
          <w:tcPr>
            <w:tcW w:w="550" w:type="pct"/>
            <w:vAlign w:val="center"/>
          </w:tcPr>
          <w:p w14:paraId="24F77C15"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75" w:type="pct"/>
            <w:vMerge/>
            <w:vAlign w:val="center"/>
          </w:tcPr>
          <w:p w14:paraId="455FFD3B"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p>
        </w:tc>
        <w:tc>
          <w:tcPr>
            <w:tcW w:w="621" w:type="pct"/>
            <w:vAlign w:val="center"/>
          </w:tcPr>
          <w:p w14:paraId="0E82A4D7"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2" w:type="pct"/>
            <w:vMerge/>
            <w:vAlign w:val="center"/>
          </w:tcPr>
          <w:p w14:paraId="44FA8EDE"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p>
        </w:tc>
        <w:tc>
          <w:tcPr>
            <w:tcW w:w="622" w:type="pct"/>
            <w:vAlign w:val="center"/>
          </w:tcPr>
          <w:p w14:paraId="5B47AE6B"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49" w:type="pct"/>
            <w:vAlign w:val="center"/>
          </w:tcPr>
          <w:p w14:paraId="67FB1B8E"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544462" w:rsidRPr="00A23AAE" w14:paraId="2973F276" w14:textId="77777777" w:rsidTr="004569F0">
        <w:trPr>
          <w:trHeight w:val="456"/>
        </w:trPr>
        <w:tc>
          <w:tcPr>
            <w:tcW w:w="850" w:type="pct"/>
          </w:tcPr>
          <w:p w14:paraId="3777099E" w14:textId="77777777" w:rsidR="00544462" w:rsidRPr="00A23AAE" w:rsidRDefault="00544462" w:rsidP="009A74DA">
            <w:pPr>
              <w:spacing w:after="0" w:line="240" w:lineRule="auto"/>
              <w:ind w:right="71"/>
              <w:rPr>
                <w:rFonts w:ascii="Times New Roman" w:eastAsia="Calibri" w:hAnsi="Times New Roman" w:cs="Times New Roman"/>
                <w:sz w:val="18"/>
                <w:szCs w:val="18"/>
              </w:rPr>
            </w:pPr>
            <w:r w:rsidRPr="00A23AAE">
              <w:rPr>
                <w:rFonts w:ascii="Times New Roman" w:eastAsia="Calibri" w:hAnsi="Times New Roman" w:cs="Times New Roman"/>
                <w:sz w:val="18"/>
                <w:szCs w:val="18"/>
              </w:rPr>
              <w:t xml:space="preserve">5.3. pašvaldību budžets </w:t>
            </w:r>
          </w:p>
        </w:tc>
        <w:tc>
          <w:tcPr>
            <w:tcW w:w="511" w:type="pct"/>
            <w:vMerge/>
            <w:vAlign w:val="center"/>
          </w:tcPr>
          <w:p w14:paraId="6CB8CEDC"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lang w:eastAsia="lv-LV"/>
              </w:rPr>
            </w:pPr>
          </w:p>
        </w:tc>
        <w:tc>
          <w:tcPr>
            <w:tcW w:w="550" w:type="pct"/>
            <w:vAlign w:val="center"/>
          </w:tcPr>
          <w:p w14:paraId="08E4AD4F"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575" w:type="pct"/>
            <w:vMerge/>
            <w:vAlign w:val="center"/>
          </w:tcPr>
          <w:p w14:paraId="47D96C04"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p>
        </w:tc>
        <w:tc>
          <w:tcPr>
            <w:tcW w:w="621" w:type="pct"/>
            <w:vAlign w:val="center"/>
          </w:tcPr>
          <w:p w14:paraId="7B11B7C1"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22" w:type="pct"/>
            <w:vMerge/>
            <w:vAlign w:val="center"/>
          </w:tcPr>
          <w:p w14:paraId="71C3734D"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p>
        </w:tc>
        <w:tc>
          <w:tcPr>
            <w:tcW w:w="622" w:type="pct"/>
            <w:vAlign w:val="center"/>
          </w:tcPr>
          <w:p w14:paraId="722B4B7A"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c>
          <w:tcPr>
            <w:tcW w:w="649" w:type="pct"/>
            <w:vAlign w:val="center"/>
          </w:tcPr>
          <w:p w14:paraId="01FB86ED" w14:textId="77777777" w:rsidR="00544462" w:rsidRPr="00A23AAE" w:rsidRDefault="00544462" w:rsidP="009A74DA">
            <w:pPr>
              <w:spacing w:after="0" w:line="240" w:lineRule="auto"/>
              <w:ind w:right="71"/>
              <w:jc w:val="center"/>
              <w:rPr>
                <w:rFonts w:ascii="Times New Roman" w:eastAsia="Calibri" w:hAnsi="Times New Roman" w:cs="Times New Roman"/>
                <w:sz w:val="16"/>
                <w:szCs w:val="16"/>
              </w:rPr>
            </w:pPr>
            <w:r w:rsidRPr="00A23AAE">
              <w:rPr>
                <w:rFonts w:ascii="Times New Roman" w:eastAsia="Calibri" w:hAnsi="Times New Roman" w:cs="Times New Roman"/>
                <w:sz w:val="16"/>
                <w:szCs w:val="16"/>
              </w:rPr>
              <w:t>0</w:t>
            </w:r>
          </w:p>
        </w:tc>
      </w:tr>
      <w:tr w:rsidR="00544462" w:rsidRPr="00A23AAE" w14:paraId="0FB2909D" w14:textId="77777777" w:rsidTr="004569F0">
        <w:trPr>
          <w:trHeight w:val="456"/>
        </w:trPr>
        <w:tc>
          <w:tcPr>
            <w:tcW w:w="5000" w:type="pct"/>
            <w:gridSpan w:val="8"/>
          </w:tcPr>
          <w:p w14:paraId="602973D5" w14:textId="77777777" w:rsidR="00544462" w:rsidRPr="00A23AAE" w:rsidRDefault="00544462" w:rsidP="009A74DA">
            <w:pPr>
              <w:spacing w:after="0" w:line="240" w:lineRule="auto"/>
              <w:ind w:right="71"/>
              <w:jc w:val="both"/>
              <w:rPr>
                <w:rFonts w:ascii="Times New Roman" w:eastAsia="Calibri" w:hAnsi="Times New Roman" w:cs="Times New Roman"/>
                <w:i/>
                <w:sz w:val="18"/>
                <w:szCs w:val="18"/>
              </w:rPr>
            </w:pPr>
            <w:r w:rsidRPr="00A23AAE">
              <w:rPr>
                <w:rFonts w:ascii="Times New Roman" w:eastAsia="Calibri" w:hAnsi="Times New Roman" w:cs="Times New Roman"/>
                <w:i/>
                <w:sz w:val="18"/>
                <w:szCs w:val="18"/>
              </w:rPr>
              <w:t>*</w:t>
            </w:r>
          </w:p>
          <w:p w14:paraId="314D907D" w14:textId="77777777" w:rsidR="00544462" w:rsidRPr="00A23AAE" w:rsidRDefault="00544462" w:rsidP="009A74DA">
            <w:pPr>
              <w:spacing w:after="0" w:line="240" w:lineRule="auto"/>
              <w:ind w:right="71"/>
              <w:jc w:val="both"/>
              <w:rPr>
                <w:rFonts w:ascii="Times New Roman" w:eastAsia="Calibri" w:hAnsi="Times New Roman" w:cs="Times New Roman"/>
                <w:i/>
                <w:sz w:val="18"/>
                <w:szCs w:val="18"/>
              </w:rPr>
            </w:pPr>
          </w:p>
          <w:p w14:paraId="07ACEAA6" w14:textId="77777777" w:rsidR="00544462" w:rsidRPr="00A23AAE" w:rsidRDefault="00544462" w:rsidP="009A74DA">
            <w:pPr>
              <w:spacing w:after="0" w:line="240" w:lineRule="auto"/>
              <w:ind w:right="71"/>
              <w:jc w:val="both"/>
              <w:rPr>
                <w:rFonts w:ascii="Times New Roman" w:eastAsia="Calibri" w:hAnsi="Times New Roman" w:cs="Times New Roman"/>
                <w:i/>
                <w:sz w:val="18"/>
                <w:szCs w:val="18"/>
              </w:rPr>
            </w:pPr>
          </w:p>
        </w:tc>
      </w:tr>
      <w:tr w:rsidR="00544462" w:rsidRPr="00A23AAE" w14:paraId="465089F8" w14:textId="77777777" w:rsidTr="004569F0">
        <w:trPr>
          <w:trHeight w:val="70"/>
        </w:trPr>
        <w:tc>
          <w:tcPr>
            <w:tcW w:w="850" w:type="pct"/>
          </w:tcPr>
          <w:p w14:paraId="50629440" w14:textId="77777777" w:rsidR="00544462" w:rsidRPr="00A23AAE" w:rsidRDefault="00544462" w:rsidP="009A74DA">
            <w:pPr>
              <w:spacing w:after="0" w:line="240" w:lineRule="auto"/>
              <w:ind w:right="71"/>
              <w:jc w:val="both"/>
              <w:rPr>
                <w:rFonts w:ascii="Times New Roman" w:eastAsia="Calibri" w:hAnsi="Times New Roman" w:cs="Times New Roman"/>
                <w:i/>
                <w:sz w:val="18"/>
                <w:szCs w:val="18"/>
              </w:rPr>
            </w:pPr>
            <w:r w:rsidRPr="00A23AAE">
              <w:rPr>
                <w:rFonts w:ascii="Times New Roman" w:eastAsia="Calibri" w:hAnsi="Times New Roman" w:cs="Times New Roman"/>
                <w:sz w:val="18"/>
                <w:szCs w:val="18"/>
              </w:rPr>
              <w:t>6. Detalizēts ieņēmumu un izdevu</w:t>
            </w:r>
            <w:r w:rsidRPr="00A23AAE">
              <w:rPr>
                <w:rFonts w:ascii="Times New Roman" w:eastAsia="Calibri" w:hAnsi="Times New Roman" w:cs="Times New Roman"/>
                <w:sz w:val="18"/>
                <w:szCs w:val="18"/>
              </w:rPr>
              <w:softHyphen/>
              <w:t>mu aprēķins (ja nepieciešams, detalizētu ieņēmumu un izdevumu aprēķinu var pievienot anotācijas pielikumā):</w:t>
            </w:r>
          </w:p>
        </w:tc>
        <w:tc>
          <w:tcPr>
            <w:tcW w:w="4150" w:type="pct"/>
            <w:gridSpan w:val="7"/>
            <w:vMerge w:val="restart"/>
          </w:tcPr>
          <w:p w14:paraId="70DE4472" w14:textId="77777777" w:rsidR="00544462" w:rsidRPr="00A23AAE" w:rsidRDefault="00544462" w:rsidP="009A74DA">
            <w:pPr>
              <w:tabs>
                <w:tab w:val="left" w:pos="4644"/>
              </w:tabs>
              <w:spacing w:after="0" w:line="240" w:lineRule="auto"/>
              <w:ind w:right="71"/>
              <w:jc w:val="both"/>
              <w:rPr>
                <w:rFonts w:ascii="Times New Roman" w:eastAsia="Calibri" w:hAnsi="Times New Roman" w:cs="Times New Roman"/>
                <w:iCs/>
                <w:sz w:val="18"/>
                <w:szCs w:val="18"/>
              </w:rPr>
            </w:pPr>
          </w:p>
          <w:p w14:paraId="19F4CA85" w14:textId="77777777" w:rsidR="00544462" w:rsidRPr="00A23AAE" w:rsidRDefault="00544462" w:rsidP="009A74DA">
            <w:pPr>
              <w:tabs>
                <w:tab w:val="left" w:pos="4644"/>
              </w:tabs>
              <w:spacing w:after="0" w:line="240" w:lineRule="auto"/>
              <w:ind w:right="71"/>
              <w:jc w:val="both"/>
              <w:rPr>
                <w:rFonts w:ascii="Times New Roman" w:eastAsia="Calibri" w:hAnsi="Times New Roman" w:cs="Times New Roman"/>
                <w:sz w:val="18"/>
                <w:szCs w:val="18"/>
              </w:rPr>
            </w:pPr>
            <w:r w:rsidRPr="00A23AAE">
              <w:rPr>
                <w:rFonts w:ascii="Times New Roman" w:eastAsia="Calibri" w:hAnsi="Times New Roman" w:cs="Times New Roman"/>
                <w:iCs/>
                <w:sz w:val="18"/>
                <w:szCs w:val="18"/>
              </w:rPr>
              <w:t>Izdevumu palielinājums, lai nodrošinātu</w:t>
            </w:r>
            <w:r w:rsidRPr="00A23AAE">
              <w:rPr>
                <w:rFonts w:ascii="Times New Roman" w:eastAsia="Calibri" w:hAnsi="Times New Roman" w:cs="Times New Roman"/>
                <w:i/>
                <w:iCs/>
                <w:sz w:val="18"/>
                <w:szCs w:val="18"/>
              </w:rPr>
              <w:t xml:space="preserve"> </w:t>
            </w:r>
            <w:r w:rsidRPr="00A23AAE">
              <w:rPr>
                <w:rFonts w:ascii="Times New Roman" w:eastAsia="Calibri" w:hAnsi="Times New Roman" w:cs="Times New Roman"/>
                <w:sz w:val="18"/>
                <w:szCs w:val="18"/>
              </w:rPr>
              <w:t>Valsts sociāl</w:t>
            </w:r>
            <w:r>
              <w:rPr>
                <w:rFonts w:ascii="Times New Roman" w:eastAsia="Calibri" w:hAnsi="Times New Roman" w:cs="Times New Roman"/>
                <w:sz w:val="18"/>
                <w:szCs w:val="18"/>
              </w:rPr>
              <w:t>ā</w:t>
            </w:r>
            <w:r w:rsidRPr="00A23AAE">
              <w:rPr>
                <w:rFonts w:ascii="Times New Roman" w:eastAsia="Calibri" w:hAnsi="Times New Roman" w:cs="Times New Roman"/>
                <w:sz w:val="18"/>
                <w:szCs w:val="18"/>
              </w:rPr>
              <w:t xml:space="preserve"> pabalsta Černobiļas atomelektrostacijas avārijas seku likvidēšanas dalībniekiem un mirušo Černobiļas atomelektrostacijas avārijas seku likvidēšanas dalībnieku ģimenēm paaugstināšanu, tiks veikti no LM pamatbudžeta apakšprogrammas 20.01.00 “Valsts sociālie pabalsti”.</w:t>
            </w:r>
          </w:p>
          <w:p w14:paraId="5F0A0297" w14:textId="77777777" w:rsidR="00544462" w:rsidRPr="00A23AAE" w:rsidRDefault="00544462" w:rsidP="009A74DA">
            <w:pPr>
              <w:tabs>
                <w:tab w:val="left" w:pos="4644"/>
              </w:tabs>
              <w:spacing w:after="0" w:line="240" w:lineRule="auto"/>
              <w:ind w:right="71"/>
              <w:jc w:val="both"/>
              <w:rPr>
                <w:rFonts w:ascii="Times New Roman" w:eastAsia="Calibri" w:hAnsi="Times New Roman" w:cs="Times New Roman"/>
                <w:iCs/>
                <w:sz w:val="18"/>
                <w:szCs w:val="18"/>
              </w:rPr>
            </w:pPr>
          </w:p>
          <w:tbl>
            <w:tblPr>
              <w:tblW w:w="7039" w:type="dxa"/>
              <w:tblLook w:val="04A0" w:firstRow="1" w:lastRow="0" w:firstColumn="1" w:lastColumn="0" w:noHBand="0" w:noVBand="1"/>
            </w:tblPr>
            <w:tblGrid>
              <w:gridCol w:w="1361"/>
              <w:gridCol w:w="556"/>
              <w:gridCol w:w="626"/>
              <w:gridCol w:w="653"/>
              <w:gridCol w:w="654"/>
              <w:gridCol w:w="653"/>
              <w:gridCol w:w="654"/>
              <w:gridCol w:w="653"/>
              <w:gridCol w:w="654"/>
              <w:gridCol w:w="653"/>
            </w:tblGrid>
            <w:tr w:rsidR="00544462" w:rsidRPr="00A23AAE" w14:paraId="4D005D82" w14:textId="77777777" w:rsidTr="004569F0">
              <w:trPr>
                <w:trHeight w:val="254"/>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2567D" w14:textId="77777777" w:rsidR="00544462" w:rsidRPr="00A23AAE" w:rsidRDefault="00544462" w:rsidP="009A74DA">
                  <w:pPr>
                    <w:framePr w:hSpace="180" w:wrap="around" w:vAnchor="text" w:hAnchor="text" w:xAlign="right" w:y="1"/>
                    <w:spacing w:after="0" w:line="240" w:lineRule="auto"/>
                    <w:suppressOverlap/>
                    <w:rPr>
                      <w:rFonts w:ascii="Times New Roman" w:eastAsia="Times New Roman" w:hAnsi="Times New Roman" w:cs="Times New Roman"/>
                      <w:sz w:val="14"/>
                      <w:szCs w:val="14"/>
                      <w:lang w:eastAsia="lv-LV"/>
                    </w:rPr>
                  </w:pPr>
                  <w:r w:rsidRPr="00A23AAE">
                    <w:rPr>
                      <w:rFonts w:ascii="Times New Roman" w:eastAsia="Times New Roman" w:hAnsi="Times New Roman" w:cs="Times New Roman"/>
                      <w:sz w:val="14"/>
                      <w:szCs w:val="14"/>
                      <w:lang w:eastAsia="lv-LV"/>
                    </w:rPr>
                    <w:t> </w:t>
                  </w:r>
                </w:p>
              </w:tc>
              <w:tc>
                <w:tcPr>
                  <w:tcW w:w="17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08CC803" w14:textId="77777777" w:rsidR="00544462" w:rsidRPr="00A23AAE" w:rsidRDefault="00544462" w:rsidP="009A74DA">
                  <w:pPr>
                    <w:framePr w:hSpace="180" w:wrap="around" w:vAnchor="text" w:hAnchor="text" w:xAlign="right" w:y="1"/>
                    <w:spacing w:after="0" w:line="240" w:lineRule="auto"/>
                    <w:suppressOverlap/>
                    <w:jc w:val="center"/>
                    <w:rPr>
                      <w:rFonts w:ascii="Times New Roman" w:eastAsia="Times New Roman" w:hAnsi="Times New Roman" w:cs="Times New Roman"/>
                      <w:b/>
                      <w:bCs/>
                      <w:sz w:val="14"/>
                      <w:szCs w:val="14"/>
                      <w:lang w:eastAsia="lv-LV"/>
                    </w:rPr>
                  </w:pPr>
                  <w:r w:rsidRPr="00A23AAE">
                    <w:rPr>
                      <w:rFonts w:ascii="Times New Roman" w:eastAsia="Times New Roman" w:hAnsi="Times New Roman" w:cs="Times New Roman"/>
                      <w:b/>
                      <w:bCs/>
                      <w:sz w:val="14"/>
                      <w:szCs w:val="14"/>
                      <w:lang w:eastAsia="lv-LV"/>
                    </w:rPr>
                    <w:t>2021</w:t>
                  </w:r>
                </w:p>
              </w:tc>
              <w:tc>
                <w:tcPr>
                  <w:tcW w:w="19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E1E351" w14:textId="77777777" w:rsidR="00544462" w:rsidRPr="00A23AAE" w:rsidRDefault="00544462" w:rsidP="009A74DA">
                  <w:pPr>
                    <w:framePr w:hSpace="180" w:wrap="around" w:vAnchor="text" w:hAnchor="text" w:xAlign="right" w:y="1"/>
                    <w:spacing w:after="0" w:line="240" w:lineRule="auto"/>
                    <w:suppressOverlap/>
                    <w:jc w:val="center"/>
                    <w:rPr>
                      <w:rFonts w:ascii="Times New Roman" w:eastAsia="Times New Roman" w:hAnsi="Times New Roman" w:cs="Times New Roman"/>
                      <w:b/>
                      <w:bCs/>
                      <w:sz w:val="14"/>
                      <w:szCs w:val="14"/>
                      <w:lang w:eastAsia="lv-LV"/>
                    </w:rPr>
                  </w:pPr>
                  <w:r w:rsidRPr="00A23AAE">
                    <w:rPr>
                      <w:rFonts w:ascii="Times New Roman" w:eastAsia="Times New Roman" w:hAnsi="Times New Roman" w:cs="Times New Roman"/>
                      <w:b/>
                      <w:bCs/>
                      <w:sz w:val="14"/>
                      <w:szCs w:val="14"/>
                      <w:lang w:eastAsia="lv-LV"/>
                    </w:rPr>
                    <w:t>2022</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BDA9E86" w14:textId="77777777" w:rsidR="00544462" w:rsidRPr="00A23AAE" w:rsidRDefault="00544462" w:rsidP="009A74DA">
                  <w:pPr>
                    <w:framePr w:hSpace="180" w:wrap="around" w:vAnchor="text" w:hAnchor="text" w:xAlign="right" w:y="1"/>
                    <w:spacing w:after="0" w:line="240" w:lineRule="auto"/>
                    <w:suppressOverlap/>
                    <w:jc w:val="center"/>
                    <w:rPr>
                      <w:rFonts w:ascii="Times New Roman" w:eastAsia="Times New Roman" w:hAnsi="Times New Roman" w:cs="Times New Roman"/>
                      <w:b/>
                      <w:bCs/>
                      <w:sz w:val="14"/>
                      <w:szCs w:val="14"/>
                      <w:lang w:eastAsia="lv-LV"/>
                    </w:rPr>
                  </w:pPr>
                  <w:r w:rsidRPr="00A23AAE">
                    <w:rPr>
                      <w:rFonts w:ascii="Times New Roman" w:eastAsia="Times New Roman" w:hAnsi="Times New Roman" w:cs="Times New Roman"/>
                      <w:b/>
                      <w:bCs/>
                      <w:sz w:val="14"/>
                      <w:szCs w:val="14"/>
                      <w:lang w:eastAsia="lv-LV"/>
                    </w:rPr>
                    <w:t>2023</w:t>
                  </w:r>
                </w:p>
              </w:tc>
            </w:tr>
            <w:tr w:rsidR="00544462" w:rsidRPr="00A23AAE" w14:paraId="3D80B9AD" w14:textId="77777777" w:rsidTr="004569F0">
              <w:trPr>
                <w:trHeight w:val="660"/>
              </w:trPr>
              <w:tc>
                <w:tcPr>
                  <w:tcW w:w="1361" w:type="dxa"/>
                  <w:tcBorders>
                    <w:top w:val="nil"/>
                    <w:left w:val="single" w:sz="4" w:space="0" w:color="auto"/>
                    <w:bottom w:val="single" w:sz="4" w:space="0" w:color="auto"/>
                    <w:right w:val="single" w:sz="4" w:space="0" w:color="auto"/>
                  </w:tcBorders>
                  <w:shd w:val="clear" w:color="auto" w:fill="auto"/>
                  <w:noWrap/>
                  <w:vAlign w:val="bottom"/>
                  <w:hideMark/>
                </w:tcPr>
                <w:p w14:paraId="22103479" w14:textId="77777777" w:rsidR="00544462" w:rsidRPr="00A23AAE" w:rsidRDefault="00544462" w:rsidP="009A74DA">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r w:rsidRPr="00A23AAE">
                    <w:rPr>
                      <w:rFonts w:ascii="Times New Roman" w:eastAsia="Times New Roman" w:hAnsi="Times New Roman" w:cs="Times New Roman"/>
                      <w:sz w:val="12"/>
                      <w:szCs w:val="12"/>
                      <w:lang w:eastAsia="lv-LV"/>
                    </w:rPr>
                    <w:t xml:space="preserve">Pasākums </w:t>
                  </w:r>
                  <w:r w:rsidRPr="00A23AAE">
                    <w:rPr>
                      <w:rFonts w:ascii="Times New Roman" w:hAnsi="Times New Roman" w:cs="Times New Roman"/>
                      <w:sz w:val="12"/>
                      <w:szCs w:val="12"/>
                    </w:rPr>
                    <w:t>atbalstam minimālā ienākuma līmeņa palielināšanai</w:t>
                  </w:r>
                </w:p>
              </w:tc>
              <w:tc>
                <w:tcPr>
                  <w:tcW w:w="551" w:type="dxa"/>
                  <w:tcBorders>
                    <w:top w:val="nil"/>
                    <w:left w:val="nil"/>
                    <w:bottom w:val="single" w:sz="4" w:space="0" w:color="auto"/>
                    <w:right w:val="single" w:sz="4" w:space="0" w:color="auto"/>
                  </w:tcBorders>
                  <w:shd w:val="clear" w:color="auto" w:fill="auto"/>
                  <w:vAlign w:val="bottom"/>
                  <w:hideMark/>
                </w:tcPr>
                <w:p w14:paraId="62B9BD2D" w14:textId="77777777" w:rsidR="00544462" w:rsidRPr="00A23AAE" w:rsidRDefault="00544462" w:rsidP="009A74DA">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r w:rsidRPr="00A23AAE">
                    <w:rPr>
                      <w:rFonts w:ascii="Times New Roman" w:eastAsia="Times New Roman" w:hAnsi="Times New Roman" w:cs="Times New Roman"/>
                      <w:sz w:val="12"/>
                      <w:szCs w:val="12"/>
                      <w:lang w:eastAsia="lv-LV"/>
                    </w:rPr>
                    <w:t>skaits, vid. mēnesī</w:t>
                  </w:r>
                </w:p>
              </w:tc>
              <w:tc>
                <w:tcPr>
                  <w:tcW w:w="553" w:type="dxa"/>
                  <w:tcBorders>
                    <w:top w:val="nil"/>
                    <w:left w:val="nil"/>
                    <w:bottom w:val="single" w:sz="4" w:space="0" w:color="auto"/>
                    <w:right w:val="single" w:sz="4" w:space="0" w:color="auto"/>
                  </w:tcBorders>
                  <w:shd w:val="clear" w:color="auto" w:fill="auto"/>
                  <w:vAlign w:val="bottom"/>
                  <w:hideMark/>
                </w:tcPr>
                <w:p w14:paraId="0A9B6289" w14:textId="77777777" w:rsidR="00544462" w:rsidRPr="00A23AAE" w:rsidRDefault="00544462" w:rsidP="009A74DA">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r w:rsidRPr="00A23AAE">
                    <w:rPr>
                      <w:rFonts w:ascii="Times New Roman" w:eastAsia="Times New Roman" w:hAnsi="Times New Roman" w:cs="Times New Roman"/>
                      <w:sz w:val="12"/>
                      <w:szCs w:val="12"/>
                      <w:lang w:eastAsia="lv-LV"/>
                    </w:rPr>
                    <w:t>vid.</w:t>
                  </w:r>
                </w:p>
                <w:p w14:paraId="061FC690" w14:textId="77777777" w:rsidR="00544462" w:rsidRPr="00A23AAE" w:rsidRDefault="00544462" w:rsidP="009A74DA">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r w:rsidRPr="00A23AAE">
                    <w:rPr>
                      <w:rFonts w:ascii="Times New Roman" w:eastAsia="Times New Roman" w:hAnsi="Times New Roman" w:cs="Times New Roman"/>
                      <w:sz w:val="12"/>
                      <w:szCs w:val="12"/>
                      <w:lang w:eastAsia="lv-LV"/>
                    </w:rPr>
                    <w:t xml:space="preserve">apmēra </w:t>
                  </w:r>
                  <w:proofErr w:type="spellStart"/>
                  <w:r w:rsidRPr="00A23AAE">
                    <w:rPr>
                      <w:rFonts w:ascii="Times New Roman" w:eastAsia="Times New Roman" w:hAnsi="Times New Roman" w:cs="Times New Roman"/>
                      <w:sz w:val="12"/>
                      <w:szCs w:val="12"/>
                      <w:lang w:eastAsia="lv-LV"/>
                    </w:rPr>
                    <w:t>paliel-inājums</w:t>
                  </w:r>
                  <w:proofErr w:type="spellEnd"/>
                  <w:r w:rsidRPr="00A23AAE">
                    <w:rPr>
                      <w:rFonts w:ascii="Times New Roman" w:eastAsia="Times New Roman" w:hAnsi="Times New Roman" w:cs="Times New Roman"/>
                      <w:sz w:val="12"/>
                      <w:szCs w:val="12"/>
                      <w:lang w:eastAsia="lv-LV"/>
                    </w:rPr>
                    <w:t>, EUR</w:t>
                  </w:r>
                </w:p>
              </w:tc>
              <w:tc>
                <w:tcPr>
                  <w:tcW w:w="653" w:type="dxa"/>
                  <w:tcBorders>
                    <w:top w:val="nil"/>
                    <w:left w:val="nil"/>
                    <w:bottom w:val="single" w:sz="4" w:space="0" w:color="auto"/>
                    <w:right w:val="single" w:sz="4" w:space="0" w:color="auto"/>
                  </w:tcBorders>
                  <w:shd w:val="clear" w:color="000000" w:fill="D9D9D9"/>
                  <w:vAlign w:val="bottom"/>
                  <w:hideMark/>
                </w:tcPr>
                <w:p w14:paraId="0C113CE9" w14:textId="77777777" w:rsidR="00544462" w:rsidRPr="00A23AAE" w:rsidRDefault="00544462" w:rsidP="009A74DA">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proofErr w:type="spellStart"/>
                  <w:r w:rsidRPr="00A23AAE">
                    <w:rPr>
                      <w:rFonts w:ascii="Times New Roman" w:eastAsia="Times New Roman" w:hAnsi="Times New Roman" w:cs="Times New Roman"/>
                      <w:sz w:val="12"/>
                      <w:szCs w:val="12"/>
                      <w:lang w:eastAsia="lv-LV"/>
                    </w:rPr>
                    <w:t>Nepiec-iešamais</w:t>
                  </w:r>
                  <w:proofErr w:type="spellEnd"/>
                  <w:r w:rsidRPr="00A23AAE">
                    <w:rPr>
                      <w:rFonts w:ascii="Times New Roman" w:eastAsia="Times New Roman" w:hAnsi="Times New Roman" w:cs="Times New Roman"/>
                      <w:sz w:val="12"/>
                      <w:szCs w:val="12"/>
                      <w:lang w:eastAsia="lv-LV"/>
                    </w:rPr>
                    <w:t xml:space="preserve"> </w:t>
                  </w:r>
                  <w:proofErr w:type="spellStart"/>
                  <w:r w:rsidRPr="00A23AAE">
                    <w:rPr>
                      <w:rFonts w:ascii="Times New Roman" w:eastAsia="Times New Roman" w:hAnsi="Times New Roman" w:cs="Times New Roman"/>
                      <w:sz w:val="12"/>
                      <w:szCs w:val="12"/>
                      <w:lang w:eastAsia="lv-LV"/>
                    </w:rPr>
                    <w:t>finan</w:t>
                  </w:r>
                  <w:proofErr w:type="spellEnd"/>
                  <w:r w:rsidRPr="00A23AAE">
                    <w:rPr>
                      <w:rFonts w:ascii="Times New Roman" w:eastAsia="Times New Roman" w:hAnsi="Times New Roman" w:cs="Times New Roman"/>
                      <w:sz w:val="12"/>
                      <w:szCs w:val="12"/>
                      <w:lang w:eastAsia="lv-LV"/>
                    </w:rPr>
                    <w:t>-sējums gadā, EUR</w:t>
                  </w:r>
                </w:p>
              </w:tc>
              <w:tc>
                <w:tcPr>
                  <w:tcW w:w="654" w:type="dxa"/>
                  <w:tcBorders>
                    <w:top w:val="nil"/>
                    <w:left w:val="nil"/>
                    <w:bottom w:val="single" w:sz="4" w:space="0" w:color="auto"/>
                    <w:right w:val="single" w:sz="4" w:space="0" w:color="auto"/>
                  </w:tcBorders>
                  <w:shd w:val="clear" w:color="auto" w:fill="auto"/>
                  <w:vAlign w:val="bottom"/>
                  <w:hideMark/>
                </w:tcPr>
                <w:p w14:paraId="0C5A6BC6" w14:textId="77777777" w:rsidR="00544462" w:rsidRPr="00A23AAE" w:rsidRDefault="00544462" w:rsidP="009A74DA">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r w:rsidRPr="00A23AAE">
                    <w:rPr>
                      <w:rFonts w:ascii="Times New Roman" w:eastAsia="Times New Roman" w:hAnsi="Times New Roman" w:cs="Times New Roman"/>
                      <w:sz w:val="12"/>
                      <w:szCs w:val="12"/>
                      <w:lang w:eastAsia="lv-LV"/>
                    </w:rPr>
                    <w:t>skaits, vid. mēnesī</w:t>
                  </w:r>
                </w:p>
              </w:tc>
              <w:tc>
                <w:tcPr>
                  <w:tcW w:w="653" w:type="dxa"/>
                  <w:tcBorders>
                    <w:top w:val="nil"/>
                    <w:left w:val="nil"/>
                    <w:bottom w:val="single" w:sz="4" w:space="0" w:color="auto"/>
                    <w:right w:val="single" w:sz="4" w:space="0" w:color="auto"/>
                  </w:tcBorders>
                  <w:shd w:val="clear" w:color="auto" w:fill="auto"/>
                  <w:vAlign w:val="bottom"/>
                  <w:hideMark/>
                </w:tcPr>
                <w:p w14:paraId="03E53618" w14:textId="77777777" w:rsidR="00544462" w:rsidRPr="00A23AAE" w:rsidRDefault="00544462" w:rsidP="009A74DA">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r w:rsidRPr="00A23AAE">
                    <w:rPr>
                      <w:rFonts w:ascii="Times New Roman" w:eastAsia="Times New Roman" w:hAnsi="Times New Roman" w:cs="Times New Roman"/>
                      <w:sz w:val="12"/>
                      <w:szCs w:val="12"/>
                      <w:lang w:eastAsia="lv-LV"/>
                    </w:rPr>
                    <w:t>vid.</w:t>
                  </w:r>
                </w:p>
                <w:p w14:paraId="0B58DBD0" w14:textId="77777777" w:rsidR="00544462" w:rsidRPr="00A23AAE" w:rsidRDefault="00544462" w:rsidP="009A74DA">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r w:rsidRPr="00A23AAE">
                    <w:rPr>
                      <w:rFonts w:ascii="Times New Roman" w:eastAsia="Times New Roman" w:hAnsi="Times New Roman" w:cs="Times New Roman"/>
                      <w:sz w:val="12"/>
                      <w:szCs w:val="12"/>
                      <w:lang w:eastAsia="lv-LV"/>
                    </w:rPr>
                    <w:t xml:space="preserve">apmēra </w:t>
                  </w:r>
                  <w:proofErr w:type="spellStart"/>
                  <w:r w:rsidRPr="00A23AAE">
                    <w:rPr>
                      <w:rFonts w:ascii="Times New Roman" w:eastAsia="Times New Roman" w:hAnsi="Times New Roman" w:cs="Times New Roman"/>
                      <w:sz w:val="12"/>
                      <w:szCs w:val="12"/>
                      <w:lang w:eastAsia="lv-LV"/>
                    </w:rPr>
                    <w:t>paliel-inājums</w:t>
                  </w:r>
                  <w:proofErr w:type="spellEnd"/>
                  <w:r w:rsidRPr="00A23AAE">
                    <w:rPr>
                      <w:rFonts w:ascii="Times New Roman" w:eastAsia="Times New Roman" w:hAnsi="Times New Roman" w:cs="Times New Roman"/>
                      <w:sz w:val="12"/>
                      <w:szCs w:val="12"/>
                      <w:lang w:eastAsia="lv-LV"/>
                    </w:rPr>
                    <w:t>, EUR</w:t>
                  </w:r>
                </w:p>
              </w:tc>
              <w:tc>
                <w:tcPr>
                  <w:tcW w:w="654" w:type="dxa"/>
                  <w:tcBorders>
                    <w:top w:val="nil"/>
                    <w:left w:val="nil"/>
                    <w:bottom w:val="single" w:sz="4" w:space="0" w:color="auto"/>
                    <w:right w:val="single" w:sz="4" w:space="0" w:color="auto"/>
                  </w:tcBorders>
                  <w:shd w:val="clear" w:color="000000" w:fill="D9D9D9"/>
                  <w:vAlign w:val="bottom"/>
                  <w:hideMark/>
                </w:tcPr>
                <w:p w14:paraId="6AF56AAA" w14:textId="77777777" w:rsidR="00544462" w:rsidRPr="00A23AAE" w:rsidRDefault="00544462" w:rsidP="009A74DA">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proofErr w:type="spellStart"/>
                  <w:r w:rsidRPr="00A23AAE">
                    <w:rPr>
                      <w:rFonts w:ascii="Times New Roman" w:eastAsia="Times New Roman" w:hAnsi="Times New Roman" w:cs="Times New Roman"/>
                      <w:sz w:val="12"/>
                      <w:szCs w:val="12"/>
                      <w:lang w:eastAsia="lv-LV"/>
                    </w:rPr>
                    <w:t>Nepiec-iešamais</w:t>
                  </w:r>
                  <w:proofErr w:type="spellEnd"/>
                  <w:r w:rsidRPr="00A23AAE">
                    <w:rPr>
                      <w:rFonts w:ascii="Times New Roman" w:eastAsia="Times New Roman" w:hAnsi="Times New Roman" w:cs="Times New Roman"/>
                      <w:sz w:val="12"/>
                      <w:szCs w:val="12"/>
                      <w:lang w:eastAsia="lv-LV"/>
                    </w:rPr>
                    <w:t xml:space="preserve"> </w:t>
                  </w:r>
                  <w:proofErr w:type="spellStart"/>
                  <w:r w:rsidRPr="00A23AAE">
                    <w:rPr>
                      <w:rFonts w:ascii="Times New Roman" w:eastAsia="Times New Roman" w:hAnsi="Times New Roman" w:cs="Times New Roman"/>
                      <w:sz w:val="12"/>
                      <w:szCs w:val="12"/>
                      <w:lang w:eastAsia="lv-LV"/>
                    </w:rPr>
                    <w:t>finan</w:t>
                  </w:r>
                  <w:proofErr w:type="spellEnd"/>
                  <w:r w:rsidRPr="00A23AAE">
                    <w:rPr>
                      <w:rFonts w:ascii="Times New Roman" w:eastAsia="Times New Roman" w:hAnsi="Times New Roman" w:cs="Times New Roman"/>
                      <w:sz w:val="12"/>
                      <w:szCs w:val="12"/>
                      <w:lang w:eastAsia="lv-LV"/>
                    </w:rPr>
                    <w:t>-sējums gadā, EUR</w:t>
                  </w:r>
                </w:p>
              </w:tc>
              <w:tc>
                <w:tcPr>
                  <w:tcW w:w="653" w:type="dxa"/>
                  <w:tcBorders>
                    <w:top w:val="nil"/>
                    <w:left w:val="nil"/>
                    <w:bottom w:val="single" w:sz="4" w:space="0" w:color="auto"/>
                    <w:right w:val="single" w:sz="4" w:space="0" w:color="auto"/>
                  </w:tcBorders>
                  <w:shd w:val="clear" w:color="auto" w:fill="auto"/>
                  <w:vAlign w:val="bottom"/>
                  <w:hideMark/>
                </w:tcPr>
                <w:p w14:paraId="6409ED1F" w14:textId="77777777" w:rsidR="00544462" w:rsidRPr="00A23AAE" w:rsidRDefault="00544462" w:rsidP="009A74DA">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r w:rsidRPr="00A23AAE">
                    <w:rPr>
                      <w:rFonts w:ascii="Times New Roman" w:eastAsia="Times New Roman" w:hAnsi="Times New Roman" w:cs="Times New Roman"/>
                      <w:sz w:val="12"/>
                      <w:szCs w:val="12"/>
                      <w:lang w:eastAsia="lv-LV"/>
                    </w:rPr>
                    <w:t>skaits, vid. mēnesī</w:t>
                  </w:r>
                </w:p>
              </w:tc>
              <w:tc>
                <w:tcPr>
                  <w:tcW w:w="654" w:type="dxa"/>
                  <w:tcBorders>
                    <w:top w:val="nil"/>
                    <w:left w:val="nil"/>
                    <w:bottom w:val="single" w:sz="4" w:space="0" w:color="auto"/>
                    <w:right w:val="single" w:sz="4" w:space="0" w:color="auto"/>
                  </w:tcBorders>
                  <w:shd w:val="clear" w:color="auto" w:fill="auto"/>
                  <w:vAlign w:val="bottom"/>
                  <w:hideMark/>
                </w:tcPr>
                <w:p w14:paraId="6BDAB7B8" w14:textId="77777777" w:rsidR="00544462" w:rsidRPr="00A23AAE" w:rsidRDefault="00544462" w:rsidP="009A74DA">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r w:rsidRPr="00A23AAE">
                    <w:rPr>
                      <w:rFonts w:ascii="Times New Roman" w:eastAsia="Times New Roman" w:hAnsi="Times New Roman" w:cs="Times New Roman"/>
                      <w:sz w:val="12"/>
                      <w:szCs w:val="12"/>
                      <w:lang w:eastAsia="lv-LV"/>
                    </w:rPr>
                    <w:t>vid.</w:t>
                  </w:r>
                </w:p>
                <w:p w14:paraId="40C6F88B" w14:textId="77777777" w:rsidR="00544462" w:rsidRPr="00A23AAE" w:rsidRDefault="00544462" w:rsidP="009A74DA">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r w:rsidRPr="00A23AAE">
                    <w:rPr>
                      <w:rFonts w:ascii="Times New Roman" w:eastAsia="Times New Roman" w:hAnsi="Times New Roman" w:cs="Times New Roman"/>
                      <w:sz w:val="12"/>
                      <w:szCs w:val="12"/>
                      <w:lang w:eastAsia="lv-LV"/>
                    </w:rPr>
                    <w:t xml:space="preserve">apmēra </w:t>
                  </w:r>
                  <w:proofErr w:type="spellStart"/>
                  <w:r w:rsidRPr="00A23AAE">
                    <w:rPr>
                      <w:rFonts w:ascii="Times New Roman" w:eastAsia="Times New Roman" w:hAnsi="Times New Roman" w:cs="Times New Roman"/>
                      <w:sz w:val="12"/>
                      <w:szCs w:val="12"/>
                      <w:lang w:eastAsia="lv-LV"/>
                    </w:rPr>
                    <w:t>paliel-inājums</w:t>
                  </w:r>
                  <w:proofErr w:type="spellEnd"/>
                  <w:r w:rsidRPr="00A23AAE">
                    <w:rPr>
                      <w:rFonts w:ascii="Times New Roman" w:eastAsia="Times New Roman" w:hAnsi="Times New Roman" w:cs="Times New Roman"/>
                      <w:sz w:val="12"/>
                      <w:szCs w:val="12"/>
                      <w:lang w:eastAsia="lv-LV"/>
                    </w:rPr>
                    <w:t>, EUR</w:t>
                  </w:r>
                </w:p>
              </w:tc>
              <w:tc>
                <w:tcPr>
                  <w:tcW w:w="653" w:type="dxa"/>
                  <w:tcBorders>
                    <w:top w:val="nil"/>
                    <w:left w:val="nil"/>
                    <w:bottom w:val="single" w:sz="4" w:space="0" w:color="auto"/>
                    <w:right w:val="single" w:sz="4" w:space="0" w:color="auto"/>
                  </w:tcBorders>
                  <w:shd w:val="clear" w:color="000000" w:fill="D9D9D9"/>
                  <w:vAlign w:val="bottom"/>
                  <w:hideMark/>
                </w:tcPr>
                <w:p w14:paraId="2C39B926" w14:textId="77777777" w:rsidR="00544462" w:rsidRPr="00A23AAE" w:rsidRDefault="00544462" w:rsidP="009A74DA">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proofErr w:type="spellStart"/>
                  <w:r w:rsidRPr="00A23AAE">
                    <w:rPr>
                      <w:rFonts w:ascii="Times New Roman" w:eastAsia="Times New Roman" w:hAnsi="Times New Roman" w:cs="Times New Roman"/>
                      <w:sz w:val="12"/>
                      <w:szCs w:val="12"/>
                      <w:lang w:eastAsia="lv-LV"/>
                    </w:rPr>
                    <w:t>Nepiec-iešamais</w:t>
                  </w:r>
                  <w:proofErr w:type="spellEnd"/>
                  <w:r w:rsidRPr="00A23AAE">
                    <w:rPr>
                      <w:rFonts w:ascii="Times New Roman" w:eastAsia="Times New Roman" w:hAnsi="Times New Roman" w:cs="Times New Roman"/>
                      <w:sz w:val="12"/>
                      <w:szCs w:val="12"/>
                      <w:lang w:eastAsia="lv-LV"/>
                    </w:rPr>
                    <w:t xml:space="preserve"> </w:t>
                  </w:r>
                  <w:proofErr w:type="spellStart"/>
                  <w:r w:rsidRPr="00A23AAE">
                    <w:rPr>
                      <w:rFonts w:ascii="Times New Roman" w:eastAsia="Times New Roman" w:hAnsi="Times New Roman" w:cs="Times New Roman"/>
                      <w:sz w:val="12"/>
                      <w:szCs w:val="12"/>
                      <w:lang w:eastAsia="lv-LV"/>
                    </w:rPr>
                    <w:t>finan</w:t>
                  </w:r>
                  <w:proofErr w:type="spellEnd"/>
                  <w:r w:rsidRPr="00A23AAE">
                    <w:rPr>
                      <w:rFonts w:ascii="Times New Roman" w:eastAsia="Times New Roman" w:hAnsi="Times New Roman" w:cs="Times New Roman"/>
                      <w:sz w:val="12"/>
                      <w:szCs w:val="12"/>
                      <w:lang w:eastAsia="lv-LV"/>
                    </w:rPr>
                    <w:t>-sējums gadā, EUR</w:t>
                  </w:r>
                </w:p>
              </w:tc>
            </w:tr>
            <w:tr w:rsidR="00544462" w:rsidRPr="00A23AAE" w14:paraId="4FBE5000" w14:textId="77777777" w:rsidTr="004569F0">
              <w:trPr>
                <w:trHeight w:val="588"/>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0E5FF7A5" w14:textId="77777777" w:rsidR="00544462" w:rsidRPr="00A23AAE" w:rsidRDefault="00544462" w:rsidP="009A74DA">
                  <w:pPr>
                    <w:framePr w:hSpace="180" w:wrap="around" w:vAnchor="text" w:hAnchor="text" w:xAlign="right" w:y="1"/>
                    <w:spacing w:after="0" w:line="240" w:lineRule="auto"/>
                    <w:suppressOverlap/>
                    <w:rPr>
                      <w:rFonts w:ascii="Times New Roman" w:eastAsia="Times New Roman" w:hAnsi="Times New Roman" w:cs="Times New Roman"/>
                      <w:sz w:val="12"/>
                      <w:szCs w:val="12"/>
                      <w:lang w:eastAsia="lv-LV"/>
                    </w:rPr>
                  </w:pPr>
                  <w:r w:rsidRPr="00A23AAE">
                    <w:rPr>
                      <w:rFonts w:ascii="Times New Roman" w:eastAsia="Times New Roman" w:hAnsi="Times New Roman" w:cs="Times New Roman"/>
                      <w:sz w:val="12"/>
                      <w:szCs w:val="12"/>
                      <w:lang w:eastAsia="lv-LV"/>
                    </w:rPr>
                    <w:t>Valsts sociālais pabalsts Černobiļas atomelektrostacijas avārijas seku likvidēšanas dalībniekiem un mirušo Černobiļas atomelektrostacijas avārijas seku likvidēšanas dalībnieku ģimenēm</w:t>
                  </w:r>
                </w:p>
              </w:tc>
              <w:tc>
                <w:tcPr>
                  <w:tcW w:w="551" w:type="dxa"/>
                  <w:tcBorders>
                    <w:top w:val="nil"/>
                    <w:left w:val="nil"/>
                    <w:bottom w:val="single" w:sz="4" w:space="0" w:color="auto"/>
                    <w:right w:val="single" w:sz="4" w:space="0" w:color="auto"/>
                  </w:tcBorders>
                  <w:shd w:val="clear" w:color="auto" w:fill="auto"/>
                  <w:noWrap/>
                  <w:vAlign w:val="bottom"/>
                  <w:hideMark/>
                </w:tcPr>
                <w:p w14:paraId="12AC2799" w14:textId="77777777" w:rsidR="00544462" w:rsidRPr="00A23AAE" w:rsidRDefault="00544462" w:rsidP="009A74DA">
                  <w:pPr>
                    <w:framePr w:hSpace="180" w:wrap="around" w:vAnchor="text" w:hAnchor="text" w:xAlign="right" w:y="1"/>
                    <w:spacing w:after="0" w:line="240" w:lineRule="auto"/>
                    <w:suppressOverlap/>
                    <w:jc w:val="right"/>
                    <w:rPr>
                      <w:rFonts w:ascii="Times New Roman" w:eastAsia="Times New Roman" w:hAnsi="Times New Roman" w:cs="Times New Roman"/>
                      <w:sz w:val="12"/>
                      <w:szCs w:val="12"/>
                      <w:lang w:eastAsia="lv-LV"/>
                    </w:rPr>
                  </w:pPr>
                  <w:r w:rsidRPr="00A23AAE">
                    <w:rPr>
                      <w:rFonts w:ascii="Times New Roman" w:eastAsia="Times New Roman" w:hAnsi="Times New Roman" w:cs="Times New Roman"/>
                      <w:sz w:val="12"/>
                      <w:szCs w:val="12"/>
                      <w:lang w:eastAsia="lv-LV"/>
                    </w:rPr>
                    <w:t>3 056</w:t>
                  </w:r>
                </w:p>
              </w:tc>
              <w:tc>
                <w:tcPr>
                  <w:tcW w:w="553" w:type="dxa"/>
                  <w:tcBorders>
                    <w:top w:val="nil"/>
                    <w:left w:val="nil"/>
                    <w:bottom w:val="single" w:sz="4" w:space="0" w:color="auto"/>
                    <w:right w:val="single" w:sz="4" w:space="0" w:color="auto"/>
                  </w:tcBorders>
                  <w:shd w:val="clear" w:color="auto" w:fill="auto"/>
                  <w:noWrap/>
                  <w:vAlign w:val="bottom"/>
                  <w:hideMark/>
                </w:tcPr>
                <w:p w14:paraId="7177C3F6" w14:textId="77777777" w:rsidR="00544462" w:rsidRPr="00A23AAE" w:rsidRDefault="00544462" w:rsidP="009A74DA">
                  <w:pPr>
                    <w:framePr w:hSpace="180" w:wrap="around" w:vAnchor="text" w:hAnchor="text" w:xAlign="right" w:y="1"/>
                    <w:spacing w:after="0" w:line="240" w:lineRule="auto"/>
                    <w:suppressOverlap/>
                    <w:jc w:val="right"/>
                    <w:rPr>
                      <w:rFonts w:ascii="Times New Roman" w:eastAsia="Times New Roman" w:hAnsi="Times New Roman" w:cs="Times New Roman"/>
                      <w:sz w:val="12"/>
                      <w:szCs w:val="12"/>
                      <w:lang w:eastAsia="lv-LV"/>
                    </w:rPr>
                  </w:pPr>
                  <w:r w:rsidRPr="00A23AAE">
                    <w:rPr>
                      <w:rFonts w:ascii="Times New Roman" w:eastAsia="Times New Roman" w:hAnsi="Times New Roman" w:cs="Times New Roman"/>
                      <w:sz w:val="12"/>
                      <w:szCs w:val="12"/>
                      <w:lang w:eastAsia="lv-LV"/>
                    </w:rPr>
                    <w:t>9.00</w:t>
                  </w:r>
                </w:p>
              </w:tc>
              <w:tc>
                <w:tcPr>
                  <w:tcW w:w="653" w:type="dxa"/>
                  <w:tcBorders>
                    <w:top w:val="nil"/>
                    <w:left w:val="nil"/>
                    <w:bottom w:val="single" w:sz="4" w:space="0" w:color="auto"/>
                    <w:right w:val="single" w:sz="4" w:space="0" w:color="auto"/>
                  </w:tcBorders>
                  <w:shd w:val="clear" w:color="000000" w:fill="D9D9D9"/>
                  <w:noWrap/>
                  <w:vAlign w:val="bottom"/>
                  <w:hideMark/>
                </w:tcPr>
                <w:p w14:paraId="1AA5BB17" w14:textId="77777777" w:rsidR="00544462" w:rsidRPr="00A23AAE" w:rsidRDefault="00544462" w:rsidP="009A74DA">
                  <w:pPr>
                    <w:framePr w:hSpace="180" w:wrap="around" w:vAnchor="text" w:hAnchor="text" w:xAlign="right" w:y="1"/>
                    <w:spacing w:after="0" w:line="240" w:lineRule="auto"/>
                    <w:suppressOverlap/>
                    <w:jc w:val="right"/>
                    <w:rPr>
                      <w:rFonts w:ascii="Times New Roman" w:eastAsia="Times New Roman" w:hAnsi="Times New Roman" w:cs="Times New Roman"/>
                      <w:sz w:val="12"/>
                      <w:szCs w:val="12"/>
                      <w:lang w:eastAsia="lv-LV"/>
                    </w:rPr>
                  </w:pPr>
                  <w:r w:rsidRPr="00A23AAE">
                    <w:rPr>
                      <w:rFonts w:ascii="Times New Roman" w:eastAsia="Times New Roman" w:hAnsi="Times New Roman" w:cs="Times New Roman"/>
                      <w:sz w:val="12"/>
                      <w:szCs w:val="12"/>
                      <w:lang w:eastAsia="lv-LV"/>
                    </w:rPr>
                    <w:t>330 048</w:t>
                  </w:r>
                </w:p>
              </w:tc>
              <w:tc>
                <w:tcPr>
                  <w:tcW w:w="654" w:type="dxa"/>
                  <w:tcBorders>
                    <w:top w:val="nil"/>
                    <w:left w:val="nil"/>
                    <w:bottom w:val="single" w:sz="4" w:space="0" w:color="auto"/>
                    <w:right w:val="single" w:sz="4" w:space="0" w:color="auto"/>
                  </w:tcBorders>
                  <w:shd w:val="clear" w:color="auto" w:fill="auto"/>
                  <w:noWrap/>
                  <w:vAlign w:val="bottom"/>
                  <w:hideMark/>
                </w:tcPr>
                <w:p w14:paraId="63072B9C" w14:textId="77777777" w:rsidR="00544462" w:rsidRPr="00A23AAE" w:rsidRDefault="00544462" w:rsidP="009A74DA">
                  <w:pPr>
                    <w:framePr w:hSpace="180" w:wrap="around" w:vAnchor="text" w:hAnchor="text" w:xAlign="right" w:y="1"/>
                    <w:spacing w:after="0" w:line="240" w:lineRule="auto"/>
                    <w:suppressOverlap/>
                    <w:jc w:val="right"/>
                    <w:rPr>
                      <w:rFonts w:ascii="Times New Roman" w:eastAsia="Times New Roman" w:hAnsi="Times New Roman" w:cs="Times New Roman"/>
                      <w:sz w:val="12"/>
                      <w:szCs w:val="12"/>
                      <w:lang w:eastAsia="lv-LV"/>
                    </w:rPr>
                  </w:pPr>
                  <w:r w:rsidRPr="00A23AAE">
                    <w:rPr>
                      <w:rFonts w:ascii="Times New Roman" w:eastAsia="Times New Roman" w:hAnsi="Times New Roman" w:cs="Times New Roman"/>
                      <w:sz w:val="12"/>
                      <w:szCs w:val="12"/>
                      <w:lang w:eastAsia="lv-LV"/>
                    </w:rPr>
                    <w:t>2 989</w:t>
                  </w:r>
                </w:p>
              </w:tc>
              <w:tc>
                <w:tcPr>
                  <w:tcW w:w="653" w:type="dxa"/>
                  <w:tcBorders>
                    <w:top w:val="nil"/>
                    <w:left w:val="nil"/>
                    <w:bottom w:val="single" w:sz="4" w:space="0" w:color="auto"/>
                    <w:right w:val="single" w:sz="4" w:space="0" w:color="auto"/>
                  </w:tcBorders>
                  <w:shd w:val="clear" w:color="auto" w:fill="auto"/>
                  <w:noWrap/>
                  <w:vAlign w:val="bottom"/>
                  <w:hideMark/>
                </w:tcPr>
                <w:p w14:paraId="2520D9BD" w14:textId="77777777" w:rsidR="00544462" w:rsidRPr="00A23AAE" w:rsidRDefault="00544462" w:rsidP="009A74DA">
                  <w:pPr>
                    <w:framePr w:hSpace="180" w:wrap="around" w:vAnchor="text" w:hAnchor="text" w:xAlign="right" w:y="1"/>
                    <w:spacing w:after="0" w:line="240" w:lineRule="auto"/>
                    <w:suppressOverlap/>
                    <w:jc w:val="right"/>
                    <w:rPr>
                      <w:rFonts w:ascii="Times New Roman" w:eastAsia="Times New Roman" w:hAnsi="Times New Roman" w:cs="Times New Roman"/>
                      <w:sz w:val="12"/>
                      <w:szCs w:val="12"/>
                      <w:lang w:eastAsia="lv-LV"/>
                    </w:rPr>
                  </w:pPr>
                  <w:r w:rsidRPr="00A23AAE">
                    <w:rPr>
                      <w:rFonts w:ascii="Times New Roman" w:eastAsia="Times New Roman" w:hAnsi="Times New Roman" w:cs="Times New Roman"/>
                      <w:sz w:val="12"/>
                      <w:szCs w:val="12"/>
                      <w:lang w:eastAsia="lv-LV"/>
                    </w:rPr>
                    <w:t>9.00</w:t>
                  </w:r>
                </w:p>
              </w:tc>
              <w:tc>
                <w:tcPr>
                  <w:tcW w:w="654" w:type="dxa"/>
                  <w:tcBorders>
                    <w:top w:val="nil"/>
                    <w:left w:val="nil"/>
                    <w:bottom w:val="single" w:sz="4" w:space="0" w:color="auto"/>
                    <w:right w:val="single" w:sz="4" w:space="0" w:color="auto"/>
                  </w:tcBorders>
                  <w:shd w:val="clear" w:color="000000" w:fill="D9D9D9"/>
                  <w:noWrap/>
                  <w:vAlign w:val="bottom"/>
                  <w:hideMark/>
                </w:tcPr>
                <w:p w14:paraId="784DE7DF" w14:textId="77777777" w:rsidR="00544462" w:rsidRPr="00A23AAE" w:rsidRDefault="00544462" w:rsidP="009A74DA">
                  <w:pPr>
                    <w:framePr w:hSpace="180" w:wrap="around" w:vAnchor="text" w:hAnchor="text" w:xAlign="right" w:y="1"/>
                    <w:spacing w:after="0" w:line="240" w:lineRule="auto"/>
                    <w:suppressOverlap/>
                    <w:jc w:val="right"/>
                    <w:rPr>
                      <w:rFonts w:ascii="Times New Roman" w:eastAsia="Times New Roman" w:hAnsi="Times New Roman" w:cs="Times New Roman"/>
                      <w:sz w:val="12"/>
                      <w:szCs w:val="12"/>
                      <w:lang w:eastAsia="lv-LV"/>
                    </w:rPr>
                  </w:pPr>
                  <w:r w:rsidRPr="00A23AAE">
                    <w:rPr>
                      <w:rFonts w:ascii="Times New Roman" w:eastAsia="Times New Roman" w:hAnsi="Times New Roman" w:cs="Times New Roman"/>
                      <w:sz w:val="12"/>
                      <w:szCs w:val="12"/>
                      <w:lang w:eastAsia="lv-LV"/>
                    </w:rPr>
                    <w:t>322 812</w:t>
                  </w:r>
                </w:p>
              </w:tc>
              <w:tc>
                <w:tcPr>
                  <w:tcW w:w="653" w:type="dxa"/>
                  <w:tcBorders>
                    <w:top w:val="nil"/>
                    <w:left w:val="nil"/>
                    <w:bottom w:val="single" w:sz="4" w:space="0" w:color="auto"/>
                    <w:right w:val="single" w:sz="4" w:space="0" w:color="auto"/>
                  </w:tcBorders>
                  <w:shd w:val="clear" w:color="auto" w:fill="auto"/>
                  <w:noWrap/>
                  <w:vAlign w:val="bottom"/>
                  <w:hideMark/>
                </w:tcPr>
                <w:p w14:paraId="5FC54966" w14:textId="77777777" w:rsidR="00544462" w:rsidRPr="00A23AAE" w:rsidRDefault="00544462" w:rsidP="009A74DA">
                  <w:pPr>
                    <w:framePr w:hSpace="180" w:wrap="around" w:vAnchor="text" w:hAnchor="text" w:xAlign="right" w:y="1"/>
                    <w:spacing w:after="0" w:line="240" w:lineRule="auto"/>
                    <w:suppressOverlap/>
                    <w:jc w:val="right"/>
                    <w:rPr>
                      <w:rFonts w:ascii="Times New Roman" w:eastAsia="Times New Roman" w:hAnsi="Times New Roman" w:cs="Times New Roman"/>
                      <w:sz w:val="12"/>
                      <w:szCs w:val="12"/>
                      <w:lang w:eastAsia="lv-LV"/>
                    </w:rPr>
                  </w:pPr>
                  <w:r w:rsidRPr="00A23AAE">
                    <w:rPr>
                      <w:rFonts w:ascii="Times New Roman" w:eastAsia="Times New Roman" w:hAnsi="Times New Roman" w:cs="Times New Roman"/>
                      <w:sz w:val="12"/>
                      <w:szCs w:val="12"/>
                      <w:lang w:eastAsia="lv-LV"/>
                    </w:rPr>
                    <w:t>2 924</w:t>
                  </w:r>
                </w:p>
              </w:tc>
              <w:tc>
                <w:tcPr>
                  <w:tcW w:w="654" w:type="dxa"/>
                  <w:tcBorders>
                    <w:top w:val="nil"/>
                    <w:left w:val="nil"/>
                    <w:bottom w:val="single" w:sz="4" w:space="0" w:color="auto"/>
                    <w:right w:val="single" w:sz="4" w:space="0" w:color="auto"/>
                  </w:tcBorders>
                  <w:shd w:val="clear" w:color="auto" w:fill="auto"/>
                  <w:noWrap/>
                  <w:vAlign w:val="bottom"/>
                  <w:hideMark/>
                </w:tcPr>
                <w:p w14:paraId="2E9DC3C5" w14:textId="77777777" w:rsidR="00544462" w:rsidRPr="00A23AAE" w:rsidRDefault="00544462" w:rsidP="009A74DA">
                  <w:pPr>
                    <w:framePr w:hSpace="180" w:wrap="around" w:vAnchor="text" w:hAnchor="text" w:xAlign="right" w:y="1"/>
                    <w:spacing w:after="0" w:line="240" w:lineRule="auto"/>
                    <w:suppressOverlap/>
                    <w:jc w:val="right"/>
                    <w:rPr>
                      <w:rFonts w:ascii="Times New Roman" w:eastAsia="Times New Roman" w:hAnsi="Times New Roman" w:cs="Times New Roman"/>
                      <w:sz w:val="12"/>
                      <w:szCs w:val="12"/>
                      <w:lang w:eastAsia="lv-LV"/>
                    </w:rPr>
                  </w:pPr>
                  <w:r w:rsidRPr="00A23AAE">
                    <w:rPr>
                      <w:rFonts w:ascii="Times New Roman" w:eastAsia="Times New Roman" w:hAnsi="Times New Roman" w:cs="Times New Roman"/>
                      <w:sz w:val="12"/>
                      <w:szCs w:val="12"/>
                      <w:lang w:eastAsia="lv-LV"/>
                    </w:rPr>
                    <w:t>9.00</w:t>
                  </w:r>
                </w:p>
              </w:tc>
              <w:tc>
                <w:tcPr>
                  <w:tcW w:w="653" w:type="dxa"/>
                  <w:tcBorders>
                    <w:top w:val="nil"/>
                    <w:left w:val="nil"/>
                    <w:bottom w:val="single" w:sz="4" w:space="0" w:color="auto"/>
                    <w:right w:val="single" w:sz="4" w:space="0" w:color="auto"/>
                  </w:tcBorders>
                  <w:shd w:val="clear" w:color="000000" w:fill="D9D9D9"/>
                  <w:noWrap/>
                  <w:vAlign w:val="bottom"/>
                  <w:hideMark/>
                </w:tcPr>
                <w:p w14:paraId="756C1DC0" w14:textId="77777777" w:rsidR="00544462" w:rsidRPr="00A23AAE" w:rsidRDefault="00544462" w:rsidP="009A74DA">
                  <w:pPr>
                    <w:framePr w:hSpace="180" w:wrap="around" w:vAnchor="text" w:hAnchor="text" w:xAlign="right" w:y="1"/>
                    <w:spacing w:after="0" w:line="240" w:lineRule="auto"/>
                    <w:suppressOverlap/>
                    <w:jc w:val="right"/>
                    <w:rPr>
                      <w:rFonts w:ascii="Times New Roman" w:eastAsia="Times New Roman" w:hAnsi="Times New Roman" w:cs="Times New Roman"/>
                      <w:sz w:val="12"/>
                      <w:szCs w:val="12"/>
                      <w:lang w:eastAsia="lv-LV"/>
                    </w:rPr>
                  </w:pPr>
                  <w:r w:rsidRPr="00A23AAE">
                    <w:rPr>
                      <w:rFonts w:ascii="Times New Roman" w:eastAsia="Times New Roman" w:hAnsi="Times New Roman" w:cs="Times New Roman"/>
                      <w:sz w:val="12"/>
                      <w:szCs w:val="12"/>
                      <w:lang w:eastAsia="lv-LV"/>
                    </w:rPr>
                    <w:t>315 792</w:t>
                  </w:r>
                </w:p>
              </w:tc>
            </w:tr>
          </w:tbl>
          <w:p w14:paraId="530FF693" w14:textId="77777777" w:rsidR="00544462" w:rsidRPr="00A23AAE" w:rsidRDefault="00544462" w:rsidP="009A74DA">
            <w:pPr>
              <w:tabs>
                <w:tab w:val="left" w:pos="4644"/>
              </w:tabs>
              <w:spacing w:after="0" w:line="240" w:lineRule="auto"/>
              <w:ind w:right="71"/>
              <w:jc w:val="both"/>
              <w:rPr>
                <w:rFonts w:ascii="Times New Roman" w:eastAsia="Calibri" w:hAnsi="Times New Roman" w:cs="Times New Roman"/>
                <w:iCs/>
                <w:sz w:val="18"/>
                <w:szCs w:val="18"/>
              </w:rPr>
            </w:pPr>
          </w:p>
          <w:p w14:paraId="267358CB" w14:textId="77777777" w:rsidR="00544462" w:rsidRDefault="00544462" w:rsidP="009A74DA">
            <w:pPr>
              <w:spacing w:after="0" w:line="240" w:lineRule="auto"/>
              <w:jc w:val="both"/>
              <w:rPr>
                <w:rFonts w:ascii="Times New Roman" w:eastAsia="Times New Roman" w:hAnsi="Times New Roman" w:cs="Times New Roman"/>
                <w:iCs/>
                <w:sz w:val="20"/>
                <w:szCs w:val="16"/>
                <w:lang w:eastAsia="lv-LV"/>
              </w:rPr>
            </w:pPr>
          </w:p>
          <w:p w14:paraId="32223319" w14:textId="77777777" w:rsidR="00544462" w:rsidRPr="005E506A" w:rsidRDefault="00544462" w:rsidP="009A74DA">
            <w:pPr>
              <w:spacing w:after="0" w:line="240" w:lineRule="auto"/>
              <w:jc w:val="both"/>
              <w:rPr>
                <w:rFonts w:ascii="Times New Roman" w:eastAsia="Times New Roman" w:hAnsi="Times New Roman" w:cs="Times New Roman"/>
                <w:iCs/>
                <w:sz w:val="20"/>
                <w:szCs w:val="16"/>
                <w:lang w:eastAsia="lv-LV"/>
              </w:rPr>
            </w:pPr>
            <w:r w:rsidRPr="00A23AAE">
              <w:rPr>
                <w:rFonts w:ascii="Times New Roman" w:eastAsia="Times New Roman" w:hAnsi="Times New Roman" w:cs="Times New Roman"/>
                <w:iCs/>
                <w:sz w:val="20"/>
                <w:szCs w:val="16"/>
                <w:lang w:eastAsia="lv-LV"/>
              </w:rPr>
              <w:t xml:space="preserve">Ministru kabineta 2020.gada 22.septembra </w:t>
            </w:r>
            <w:r w:rsidRPr="001E3D66">
              <w:rPr>
                <w:rFonts w:ascii="Times New Roman" w:eastAsia="Times New Roman" w:hAnsi="Times New Roman" w:cs="Times New Roman"/>
                <w:iCs/>
                <w:sz w:val="20"/>
                <w:szCs w:val="20"/>
                <w:lang w:eastAsia="lv-LV"/>
              </w:rPr>
              <w:t xml:space="preserve">sēdē </w:t>
            </w:r>
            <w:r w:rsidRPr="001E3D66">
              <w:rPr>
                <w:rFonts w:ascii="Times New Roman" w:hAnsi="Times New Roman" w:cs="Times New Roman"/>
                <w:sz w:val="20"/>
                <w:szCs w:val="20"/>
              </w:rPr>
              <w:t>(protokols Nr.</w:t>
            </w:r>
            <w:r w:rsidRPr="001E3D66">
              <w:rPr>
                <w:rFonts w:ascii="Times New Roman" w:eastAsia="Times New Roman" w:hAnsi="Times New Roman" w:cs="Times New Roman"/>
                <w:iCs/>
                <w:sz w:val="20"/>
                <w:szCs w:val="20"/>
                <w:lang w:eastAsia="lv-LV"/>
              </w:rPr>
              <w:t>Nr.55 38.§ 3.punkts)</w:t>
            </w:r>
            <w:r w:rsidRPr="00B77933">
              <w:rPr>
                <w:rFonts w:ascii="Times New Roman" w:eastAsia="Times New Roman" w:hAnsi="Times New Roman" w:cs="Times New Roman"/>
                <w:iCs/>
                <w:sz w:val="18"/>
                <w:szCs w:val="18"/>
                <w:lang w:eastAsia="lv-LV"/>
              </w:rPr>
              <w:t xml:space="preserve"> </w:t>
            </w:r>
            <w:r w:rsidRPr="00A23AAE">
              <w:rPr>
                <w:rFonts w:ascii="Times New Roman" w:eastAsia="Times New Roman" w:hAnsi="Times New Roman" w:cs="Times New Roman"/>
                <w:iCs/>
                <w:sz w:val="20"/>
                <w:szCs w:val="16"/>
                <w:lang w:eastAsia="lv-LV"/>
              </w:rPr>
              <w:t xml:space="preserve">tika atbalstīts LM </w:t>
            </w:r>
            <w:r w:rsidRPr="005E506A">
              <w:rPr>
                <w:rFonts w:ascii="Times New Roman" w:eastAsia="Times New Roman" w:hAnsi="Times New Roman" w:cs="Times New Roman"/>
                <w:iCs/>
                <w:sz w:val="20"/>
                <w:szCs w:val="16"/>
                <w:lang w:eastAsia="lv-LV"/>
              </w:rPr>
              <w:t xml:space="preserve">priekšlikums par papildu finansējuma piešķiršanu LM prioritārā pasākuma “Atbalsts minimālo ienākumu palielināšanai” īstenošanai. Pasākuma nodrošināšanai ir atbalstīts kopējais papildu finansējums 2021.gadā 70 662 394 </w:t>
            </w:r>
            <w:proofErr w:type="spellStart"/>
            <w:r w:rsidRPr="005E506A">
              <w:rPr>
                <w:rFonts w:ascii="Times New Roman" w:eastAsia="Times New Roman" w:hAnsi="Times New Roman" w:cs="Times New Roman"/>
                <w:i/>
                <w:iCs/>
                <w:sz w:val="20"/>
                <w:szCs w:val="16"/>
                <w:lang w:eastAsia="lv-LV"/>
              </w:rPr>
              <w:t>euro</w:t>
            </w:r>
            <w:proofErr w:type="spellEnd"/>
            <w:r w:rsidRPr="005E506A">
              <w:rPr>
                <w:rFonts w:ascii="Times New Roman" w:eastAsia="Times New Roman" w:hAnsi="Times New Roman" w:cs="Times New Roman"/>
                <w:iCs/>
                <w:sz w:val="20"/>
                <w:szCs w:val="16"/>
                <w:lang w:eastAsia="lv-LV"/>
              </w:rPr>
              <w:t xml:space="preserve"> apmērā, 2022.gadā 70 998 851 </w:t>
            </w:r>
            <w:proofErr w:type="spellStart"/>
            <w:r w:rsidRPr="005E506A">
              <w:rPr>
                <w:rFonts w:ascii="Times New Roman" w:eastAsia="Times New Roman" w:hAnsi="Times New Roman" w:cs="Times New Roman"/>
                <w:i/>
                <w:iCs/>
                <w:sz w:val="20"/>
                <w:szCs w:val="16"/>
                <w:lang w:eastAsia="lv-LV"/>
              </w:rPr>
              <w:t>euro</w:t>
            </w:r>
            <w:proofErr w:type="spellEnd"/>
            <w:r w:rsidRPr="005E506A">
              <w:rPr>
                <w:rFonts w:ascii="Times New Roman" w:eastAsia="Times New Roman" w:hAnsi="Times New Roman" w:cs="Times New Roman"/>
                <w:iCs/>
                <w:sz w:val="20"/>
                <w:szCs w:val="16"/>
                <w:lang w:eastAsia="lv-LV"/>
              </w:rPr>
              <w:t xml:space="preserve"> apmērā un 2023.gadā 71 014 751 </w:t>
            </w:r>
            <w:proofErr w:type="spellStart"/>
            <w:r w:rsidRPr="005E506A">
              <w:rPr>
                <w:rFonts w:ascii="Times New Roman" w:eastAsia="Times New Roman" w:hAnsi="Times New Roman" w:cs="Times New Roman"/>
                <w:i/>
                <w:iCs/>
                <w:sz w:val="20"/>
                <w:szCs w:val="16"/>
                <w:lang w:eastAsia="lv-LV"/>
              </w:rPr>
              <w:t>euro</w:t>
            </w:r>
            <w:proofErr w:type="spellEnd"/>
            <w:r w:rsidRPr="005E506A">
              <w:rPr>
                <w:rFonts w:ascii="Times New Roman" w:eastAsia="Times New Roman" w:hAnsi="Times New Roman" w:cs="Times New Roman"/>
                <w:iCs/>
                <w:sz w:val="20"/>
                <w:szCs w:val="16"/>
                <w:lang w:eastAsia="lv-LV"/>
              </w:rPr>
              <w:t xml:space="preserve"> apmērā, t.sk. </w:t>
            </w:r>
            <w:proofErr w:type="spellStart"/>
            <w:r w:rsidRPr="005E506A">
              <w:rPr>
                <w:rFonts w:ascii="Times New Roman" w:eastAsia="Times New Roman" w:hAnsi="Times New Roman" w:cs="Times New Roman"/>
                <w:iCs/>
                <w:sz w:val="20"/>
                <w:szCs w:val="16"/>
                <w:lang w:eastAsia="lv-LV"/>
              </w:rPr>
              <w:t>apakšpasākuma</w:t>
            </w:r>
            <w:proofErr w:type="spellEnd"/>
            <w:r w:rsidRPr="005E506A">
              <w:rPr>
                <w:rFonts w:ascii="Times New Roman" w:eastAsia="Times New Roman" w:hAnsi="Times New Roman" w:cs="Times New Roman"/>
                <w:iCs/>
                <w:sz w:val="20"/>
                <w:szCs w:val="16"/>
                <w:lang w:eastAsia="lv-LV"/>
              </w:rPr>
              <w:t xml:space="preserve"> “Ar valsts sociālā nodrošinājuma pabalsta un pensiju apmēru pārskatīšanu saistītie pakalpojumi” nodrošināšanai – noteikumu projekta ieviešanai 2021.gadā 330 048 </w:t>
            </w:r>
            <w:proofErr w:type="spellStart"/>
            <w:r w:rsidRPr="005E506A">
              <w:rPr>
                <w:rFonts w:ascii="Times New Roman" w:eastAsia="Times New Roman" w:hAnsi="Times New Roman" w:cs="Times New Roman"/>
                <w:i/>
                <w:iCs/>
                <w:sz w:val="20"/>
                <w:szCs w:val="16"/>
                <w:lang w:eastAsia="lv-LV"/>
              </w:rPr>
              <w:t>euro</w:t>
            </w:r>
            <w:proofErr w:type="spellEnd"/>
            <w:r w:rsidRPr="005E506A">
              <w:rPr>
                <w:rFonts w:ascii="Times New Roman" w:eastAsia="Times New Roman" w:hAnsi="Times New Roman" w:cs="Times New Roman"/>
                <w:iCs/>
                <w:sz w:val="20"/>
                <w:szCs w:val="16"/>
                <w:lang w:eastAsia="lv-LV"/>
              </w:rPr>
              <w:t xml:space="preserve">, 2022.gadā 322 812 </w:t>
            </w:r>
            <w:proofErr w:type="spellStart"/>
            <w:r w:rsidRPr="005E506A">
              <w:rPr>
                <w:rFonts w:ascii="Times New Roman" w:eastAsia="Times New Roman" w:hAnsi="Times New Roman" w:cs="Times New Roman"/>
                <w:i/>
                <w:iCs/>
                <w:sz w:val="20"/>
                <w:szCs w:val="16"/>
                <w:lang w:eastAsia="lv-LV"/>
              </w:rPr>
              <w:t>euro</w:t>
            </w:r>
            <w:proofErr w:type="spellEnd"/>
            <w:r w:rsidRPr="005E506A">
              <w:rPr>
                <w:rFonts w:ascii="Times New Roman" w:eastAsia="Times New Roman" w:hAnsi="Times New Roman" w:cs="Times New Roman"/>
                <w:iCs/>
                <w:sz w:val="20"/>
                <w:szCs w:val="16"/>
                <w:lang w:eastAsia="lv-LV"/>
              </w:rPr>
              <w:t xml:space="preserve"> un 2023.gadā 315 792 </w:t>
            </w:r>
            <w:proofErr w:type="spellStart"/>
            <w:r w:rsidRPr="005E506A">
              <w:rPr>
                <w:rFonts w:ascii="Times New Roman" w:eastAsia="Times New Roman" w:hAnsi="Times New Roman" w:cs="Times New Roman"/>
                <w:i/>
                <w:iCs/>
                <w:sz w:val="20"/>
                <w:szCs w:val="16"/>
                <w:lang w:eastAsia="lv-LV"/>
              </w:rPr>
              <w:t>euro</w:t>
            </w:r>
            <w:proofErr w:type="spellEnd"/>
            <w:r w:rsidRPr="005E506A">
              <w:rPr>
                <w:rFonts w:ascii="Times New Roman" w:eastAsia="Times New Roman" w:hAnsi="Times New Roman" w:cs="Times New Roman"/>
                <w:iCs/>
                <w:sz w:val="20"/>
                <w:szCs w:val="16"/>
                <w:lang w:eastAsia="lv-LV"/>
              </w:rPr>
              <w:t>.</w:t>
            </w:r>
          </w:p>
          <w:p w14:paraId="650F0745" w14:textId="77777777" w:rsidR="00544462" w:rsidRDefault="00544462" w:rsidP="009A74DA">
            <w:pPr>
              <w:spacing w:after="0" w:line="240" w:lineRule="auto"/>
              <w:jc w:val="both"/>
              <w:rPr>
                <w:rFonts w:ascii="Times New Roman" w:eastAsia="Times New Roman" w:hAnsi="Times New Roman" w:cs="Times New Roman"/>
                <w:iCs/>
                <w:sz w:val="20"/>
                <w:szCs w:val="16"/>
                <w:lang w:eastAsia="lv-LV"/>
              </w:rPr>
            </w:pPr>
            <w:bookmarkStart w:id="1" w:name="_Hlk56694214"/>
          </w:p>
          <w:p w14:paraId="0C96BCF5" w14:textId="77777777" w:rsidR="00544462" w:rsidRPr="005E506A" w:rsidRDefault="00544462" w:rsidP="009A74DA">
            <w:pPr>
              <w:spacing w:after="0" w:line="240" w:lineRule="auto"/>
              <w:jc w:val="both"/>
              <w:rPr>
                <w:rFonts w:ascii="Times New Roman" w:eastAsia="Times New Roman" w:hAnsi="Times New Roman" w:cs="Times New Roman"/>
                <w:iCs/>
                <w:sz w:val="20"/>
                <w:szCs w:val="16"/>
                <w:lang w:eastAsia="lv-LV"/>
              </w:rPr>
            </w:pPr>
            <w:r>
              <w:rPr>
                <w:rFonts w:ascii="Times New Roman" w:eastAsia="Times New Roman" w:hAnsi="Times New Roman" w:cs="Times New Roman"/>
                <w:iCs/>
                <w:sz w:val="20"/>
                <w:szCs w:val="16"/>
                <w:lang w:eastAsia="lv-LV"/>
              </w:rPr>
              <w:t>Ietekme uz valsts budžetu</w:t>
            </w:r>
            <w:r w:rsidRPr="005E506A">
              <w:rPr>
                <w:rFonts w:ascii="Times New Roman" w:eastAsia="Times New Roman" w:hAnsi="Times New Roman" w:cs="Times New Roman"/>
                <w:iCs/>
                <w:sz w:val="20"/>
                <w:szCs w:val="16"/>
                <w:lang w:eastAsia="lv-LV"/>
              </w:rPr>
              <w:t xml:space="preserve"> </w:t>
            </w:r>
            <w:r>
              <w:rPr>
                <w:rFonts w:ascii="Times New Roman" w:eastAsia="Times New Roman" w:hAnsi="Times New Roman" w:cs="Times New Roman"/>
                <w:iCs/>
                <w:sz w:val="20"/>
                <w:szCs w:val="16"/>
                <w:lang w:eastAsia="lv-LV"/>
              </w:rPr>
              <w:t>norādīta</w:t>
            </w:r>
            <w:r w:rsidRPr="005E506A">
              <w:rPr>
                <w:rFonts w:ascii="Times New Roman" w:eastAsia="Times New Roman" w:hAnsi="Times New Roman" w:cs="Times New Roman"/>
                <w:iCs/>
                <w:sz w:val="20"/>
                <w:szCs w:val="16"/>
                <w:lang w:eastAsia="lv-LV"/>
              </w:rPr>
              <w:t xml:space="preserve"> likumprojekta “Grozījumi Černobiļas atomelektrostacijas avārijas seku likvidēšanas dalībnieku un Černobiļas atomelektrostacijas avārijas rezultātā cietušo personu sociālās aizsardzības likumā” sākotnējās ietekmes novērtējuma ziņojumā (anotācij</w:t>
            </w:r>
            <w:r>
              <w:rPr>
                <w:rFonts w:ascii="Times New Roman" w:eastAsia="Times New Roman" w:hAnsi="Times New Roman" w:cs="Times New Roman"/>
                <w:iCs/>
                <w:sz w:val="20"/>
                <w:szCs w:val="16"/>
                <w:lang w:eastAsia="lv-LV"/>
              </w:rPr>
              <w:t>ā</w:t>
            </w:r>
            <w:r w:rsidRPr="005E506A">
              <w:rPr>
                <w:rFonts w:ascii="Times New Roman" w:eastAsia="Times New Roman" w:hAnsi="Times New Roman" w:cs="Times New Roman"/>
                <w:iCs/>
                <w:sz w:val="20"/>
                <w:szCs w:val="16"/>
                <w:lang w:eastAsia="lv-LV"/>
              </w:rPr>
              <w:t>).</w:t>
            </w:r>
          </w:p>
          <w:bookmarkEnd w:id="1"/>
          <w:p w14:paraId="0DDBC325" w14:textId="77777777" w:rsidR="00544462" w:rsidRPr="005E506A" w:rsidRDefault="00544462" w:rsidP="009A74DA">
            <w:pPr>
              <w:spacing w:after="0" w:line="240" w:lineRule="auto"/>
              <w:jc w:val="both"/>
              <w:rPr>
                <w:rFonts w:ascii="Times New Roman" w:eastAsia="Times New Roman" w:hAnsi="Times New Roman" w:cs="Times New Roman"/>
                <w:iCs/>
                <w:sz w:val="20"/>
                <w:szCs w:val="16"/>
                <w:lang w:eastAsia="lv-LV"/>
              </w:rPr>
            </w:pPr>
          </w:p>
          <w:p w14:paraId="42DA2880" w14:textId="77777777" w:rsidR="00544462" w:rsidRPr="00A23AAE" w:rsidRDefault="00544462" w:rsidP="009A74DA">
            <w:pPr>
              <w:tabs>
                <w:tab w:val="left" w:pos="4644"/>
              </w:tabs>
              <w:spacing w:after="0" w:line="240" w:lineRule="auto"/>
              <w:ind w:right="71"/>
              <w:jc w:val="both"/>
              <w:rPr>
                <w:rFonts w:ascii="Times New Roman" w:eastAsia="Calibri" w:hAnsi="Times New Roman" w:cs="Times New Roman"/>
                <w:iCs/>
                <w:sz w:val="18"/>
                <w:szCs w:val="18"/>
              </w:rPr>
            </w:pPr>
            <w:r w:rsidRPr="005E506A">
              <w:rPr>
                <w:rFonts w:ascii="Times New Roman" w:eastAsia="Calibri" w:hAnsi="Times New Roman" w:cs="Times New Roman"/>
                <w:iCs/>
                <w:sz w:val="20"/>
                <w:szCs w:val="20"/>
              </w:rPr>
              <w:t>Finansējums iekļauts likumprojektā “Par valsts budžetu 2021.gadam” un likumprojektā “Par vidēja termiņa budžeta ietvaru 2021., 2022. un 2023.gadam”.</w:t>
            </w:r>
          </w:p>
        </w:tc>
      </w:tr>
      <w:tr w:rsidR="00544462" w:rsidRPr="00A23AAE" w14:paraId="19E26411" w14:textId="77777777" w:rsidTr="004569F0">
        <w:trPr>
          <w:trHeight w:val="69"/>
        </w:trPr>
        <w:tc>
          <w:tcPr>
            <w:tcW w:w="850" w:type="pct"/>
          </w:tcPr>
          <w:p w14:paraId="1AC9D646" w14:textId="77777777" w:rsidR="00544462" w:rsidRPr="00A23AAE" w:rsidRDefault="00544462" w:rsidP="009A74DA">
            <w:pPr>
              <w:spacing w:after="0" w:line="240" w:lineRule="auto"/>
              <w:ind w:right="71"/>
              <w:jc w:val="both"/>
              <w:rPr>
                <w:rFonts w:ascii="Times New Roman" w:eastAsia="Calibri" w:hAnsi="Times New Roman" w:cs="Times New Roman"/>
                <w:i/>
                <w:sz w:val="18"/>
                <w:szCs w:val="18"/>
              </w:rPr>
            </w:pPr>
            <w:r w:rsidRPr="00A23AAE">
              <w:rPr>
                <w:rFonts w:ascii="Times New Roman" w:eastAsia="Calibri" w:hAnsi="Times New Roman" w:cs="Times New Roman"/>
                <w:sz w:val="18"/>
                <w:szCs w:val="18"/>
              </w:rPr>
              <w:t>6.1. detalizēts ieņēmumu aprēķins</w:t>
            </w:r>
          </w:p>
        </w:tc>
        <w:tc>
          <w:tcPr>
            <w:tcW w:w="4150" w:type="pct"/>
            <w:gridSpan w:val="7"/>
            <w:vMerge/>
          </w:tcPr>
          <w:p w14:paraId="4C2DF37A" w14:textId="77777777" w:rsidR="00544462" w:rsidRPr="00A23AAE" w:rsidRDefault="00544462" w:rsidP="009A74DA">
            <w:pPr>
              <w:spacing w:after="0" w:line="240" w:lineRule="auto"/>
              <w:ind w:right="71"/>
              <w:jc w:val="both"/>
              <w:rPr>
                <w:rFonts w:ascii="Times New Roman" w:eastAsia="Calibri" w:hAnsi="Times New Roman" w:cs="Times New Roman"/>
                <w:i/>
                <w:color w:val="FF0000"/>
                <w:sz w:val="18"/>
                <w:szCs w:val="18"/>
              </w:rPr>
            </w:pPr>
          </w:p>
        </w:tc>
      </w:tr>
      <w:tr w:rsidR="00544462" w:rsidRPr="00A23AAE" w14:paraId="7247039C" w14:textId="77777777" w:rsidTr="004569F0">
        <w:trPr>
          <w:trHeight w:val="69"/>
        </w:trPr>
        <w:tc>
          <w:tcPr>
            <w:tcW w:w="850" w:type="pct"/>
          </w:tcPr>
          <w:p w14:paraId="1D25A45D" w14:textId="77777777" w:rsidR="00544462" w:rsidRPr="00A23AAE" w:rsidRDefault="00544462" w:rsidP="009A74DA">
            <w:pPr>
              <w:spacing w:after="0" w:line="240" w:lineRule="auto"/>
              <w:ind w:right="71"/>
              <w:jc w:val="both"/>
              <w:rPr>
                <w:rFonts w:ascii="Times New Roman" w:eastAsia="Calibri" w:hAnsi="Times New Roman" w:cs="Times New Roman"/>
                <w:i/>
                <w:sz w:val="18"/>
                <w:szCs w:val="18"/>
              </w:rPr>
            </w:pPr>
            <w:r w:rsidRPr="00A23AAE">
              <w:rPr>
                <w:rFonts w:ascii="Times New Roman" w:eastAsia="Calibri" w:hAnsi="Times New Roman" w:cs="Times New Roman"/>
                <w:sz w:val="18"/>
                <w:szCs w:val="18"/>
              </w:rPr>
              <w:t>6.2. detalizēts izdevumu aprēķins</w:t>
            </w:r>
          </w:p>
        </w:tc>
        <w:tc>
          <w:tcPr>
            <w:tcW w:w="4150" w:type="pct"/>
            <w:gridSpan w:val="7"/>
            <w:vMerge/>
          </w:tcPr>
          <w:p w14:paraId="481F4280" w14:textId="77777777" w:rsidR="00544462" w:rsidRPr="00A23AAE" w:rsidRDefault="00544462" w:rsidP="009A74DA">
            <w:pPr>
              <w:spacing w:after="0" w:line="240" w:lineRule="auto"/>
              <w:ind w:right="71"/>
              <w:jc w:val="both"/>
              <w:rPr>
                <w:rFonts w:ascii="Times New Roman" w:eastAsia="Calibri" w:hAnsi="Times New Roman" w:cs="Times New Roman"/>
                <w:i/>
                <w:color w:val="FF0000"/>
                <w:sz w:val="18"/>
                <w:szCs w:val="18"/>
              </w:rPr>
            </w:pPr>
          </w:p>
        </w:tc>
      </w:tr>
      <w:tr w:rsidR="00544462" w:rsidRPr="00A23AAE" w14:paraId="7B92EFE3" w14:textId="77777777" w:rsidTr="004569F0">
        <w:trPr>
          <w:trHeight w:val="69"/>
        </w:trPr>
        <w:tc>
          <w:tcPr>
            <w:tcW w:w="850" w:type="pct"/>
          </w:tcPr>
          <w:p w14:paraId="29627315" w14:textId="77777777" w:rsidR="00544462" w:rsidRPr="00A23AAE" w:rsidRDefault="00544462" w:rsidP="009A74DA">
            <w:pPr>
              <w:spacing w:after="0" w:line="240" w:lineRule="auto"/>
              <w:ind w:right="71"/>
              <w:jc w:val="both"/>
              <w:rPr>
                <w:rFonts w:ascii="Times New Roman" w:eastAsia="Calibri" w:hAnsi="Times New Roman" w:cs="Times New Roman"/>
                <w:i/>
                <w:sz w:val="18"/>
                <w:szCs w:val="18"/>
              </w:rPr>
            </w:pPr>
            <w:r w:rsidRPr="00A23AAE">
              <w:rPr>
                <w:rFonts w:ascii="Times New Roman" w:eastAsia="Calibri" w:hAnsi="Times New Roman" w:cs="Times New Roman"/>
                <w:sz w:val="18"/>
                <w:szCs w:val="18"/>
              </w:rPr>
              <w:t>7. Amata vietu skaita izmaiņas</w:t>
            </w:r>
          </w:p>
        </w:tc>
        <w:tc>
          <w:tcPr>
            <w:tcW w:w="4150" w:type="pct"/>
            <w:gridSpan w:val="7"/>
          </w:tcPr>
          <w:p w14:paraId="40E5A666" w14:textId="77777777" w:rsidR="00544462" w:rsidRPr="00A23AAE" w:rsidRDefault="00544462" w:rsidP="009A74DA">
            <w:pPr>
              <w:tabs>
                <w:tab w:val="left" w:pos="4644"/>
              </w:tabs>
              <w:spacing w:after="0" w:line="240" w:lineRule="auto"/>
              <w:ind w:right="71"/>
              <w:jc w:val="both"/>
              <w:rPr>
                <w:rFonts w:ascii="Times New Roman" w:eastAsia="Calibri" w:hAnsi="Times New Roman" w:cs="Times New Roman"/>
                <w:sz w:val="18"/>
                <w:szCs w:val="18"/>
                <w:lang w:eastAsia="lv-LV"/>
              </w:rPr>
            </w:pPr>
            <w:r w:rsidRPr="00A23AAE">
              <w:rPr>
                <w:rFonts w:ascii="Times New Roman" w:eastAsia="Calibri" w:hAnsi="Times New Roman" w:cs="Times New Roman"/>
                <w:sz w:val="18"/>
                <w:szCs w:val="18"/>
                <w:lang w:eastAsia="lv-LV"/>
              </w:rPr>
              <w:t>Nav</w:t>
            </w:r>
          </w:p>
          <w:p w14:paraId="452D729E" w14:textId="77777777" w:rsidR="00544462" w:rsidRPr="00A23AAE" w:rsidRDefault="00544462" w:rsidP="009A74DA">
            <w:pPr>
              <w:spacing w:after="0" w:line="240" w:lineRule="auto"/>
              <w:ind w:right="71"/>
              <w:jc w:val="both"/>
              <w:rPr>
                <w:rFonts w:ascii="Times New Roman" w:eastAsia="Calibri" w:hAnsi="Times New Roman" w:cs="Times New Roman"/>
                <w:i/>
                <w:sz w:val="18"/>
                <w:szCs w:val="18"/>
              </w:rPr>
            </w:pPr>
          </w:p>
        </w:tc>
      </w:tr>
      <w:tr w:rsidR="00544462" w:rsidRPr="00C2208A" w14:paraId="292BA7DC" w14:textId="77777777" w:rsidTr="004569F0">
        <w:trPr>
          <w:trHeight w:val="70"/>
        </w:trPr>
        <w:tc>
          <w:tcPr>
            <w:tcW w:w="850" w:type="pct"/>
          </w:tcPr>
          <w:p w14:paraId="4F09C529" w14:textId="77777777" w:rsidR="00544462" w:rsidRPr="00A23AAE" w:rsidRDefault="00544462" w:rsidP="009A74DA">
            <w:pPr>
              <w:spacing w:after="0" w:line="240" w:lineRule="auto"/>
              <w:ind w:right="71"/>
              <w:jc w:val="both"/>
              <w:rPr>
                <w:rFonts w:ascii="Times New Roman" w:eastAsia="Calibri" w:hAnsi="Times New Roman" w:cs="Times New Roman"/>
                <w:i/>
                <w:sz w:val="18"/>
                <w:szCs w:val="18"/>
              </w:rPr>
            </w:pPr>
            <w:r w:rsidRPr="00A23AAE">
              <w:rPr>
                <w:rFonts w:ascii="Times New Roman" w:eastAsia="Calibri" w:hAnsi="Times New Roman" w:cs="Times New Roman"/>
                <w:sz w:val="18"/>
                <w:szCs w:val="18"/>
              </w:rPr>
              <w:lastRenderedPageBreak/>
              <w:t>8. Cita informācija</w:t>
            </w:r>
          </w:p>
        </w:tc>
        <w:tc>
          <w:tcPr>
            <w:tcW w:w="4150" w:type="pct"/>
            <w:gridSpan w:val="7"/>
          </w:tcPr>
          <w:p w14:paraId="44DD8CBD" w14:textId="77777777" w:rsidR="00544462" w:rsidRPr="00A23AAE" w:rsidRDefault="00544462" w:rsidP="009A74DA">
            <w:pPr>
              <w:tabs>
                <w:tab w:val="left" w:pos="4644"/>
              </w:tabs>
              <w:spacing w:after="0" w:line="240" w:lineRule="auto"/>
              <w:ind w:right="71"/>
              <w:jc w:val="both"/>
              <w:rPr>
                <w:rFonts w:ascii="Times New Roman" w:eastAsia="Calibri" w:hAnsi="Times New Roman" w:cs="Times New Roman"/>
                <w:sz w:val="18"/>
                <w:szCs w:val="18"/>
                <w:lang w:eastAsia="lv-LV"/>
              </w:rPr>
            </w:pPr>
            <w:r w:rsidRPr="00A23AAE">
              <w:rPr>
                <w:rFonts w:ascii="Times New Roman" w:eastAsia="Calibri" w:hAnsi="Times New Roman" w:cs="Times New Roman"/>
                <w:sz w:val="18"/>
                <w:szCs w:val="18"/>
                <w:lang w:eastAsia="lv-LV"/>
              </w:rPr>
              <w:t>Nav</w:t>
            </w:r>
          </w:p>
          <w:p w14:paraId="026CF625" w14:textId="77777777" w:rsidR="00544462" w:rsidRPr="00C2208A" w:rsidRDefault="00544462" w:rsidP="009A74DA">
            <w:pPr>
              <w:spacing w:after="0" w:line="240" w:lineRule="auto"/>
              <w:ind w:right="71"/>
              <w:jc w:val="both"/>
              <w:rPr>
                <w:rFonts w:ascii="Times New Roman" w:hAnsi="Times New Roman" w:cs="Times New Roman"/>
                <w:color w:val="FF0000"/>
                <w:sz w:val="20"/>
                <w:szCs w:val="20"/>
              </w:rPr>
            </w:pPr>
          </w:p>
        </w:tc>
      </w:tr>
    </w:tbl>
    <w:p w14:paraId="6294C26C" w14:textId="4E7C6B4F" w:rsidR="00495F81" w:rsidRPr="002B5CE0" w:rsidRDefault="00495F81" w:rsidP="009A74DA">
      <w:pPr>
        <w:spacing w:after="0" w:line="240" w:lineRule="auto"/>
        <w:rPr>
          <w:rFonts w:ascii="Times New Roman" w:eastAsia="Times New Roman" w:hAnsi="Times New Roman" w:cs="Times New Roman"/>
          <w:iCs/>
          <w:noProof/>
          <w:sz w:val="6"/>
          <w:szCs w:val="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B65E1" w:rsidRPr="00FB65E1" w14:paraId="4FF28294" w14:textId="77777777" w:rsidTr="002B5CE0">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5DA3A11" w14:textId="77777777" w:rsidR="00BE0506" w:rsidRPr="00FB65E1" w:rsidRDefault="00BE0506" w:rsidP="009A74DA">
            <w:pPr>
              <w:spacing w:after="0" w:line="240" w:lineRule="auto"/>
              <w:jc w:val="both"/>
              <w:rPr>
                <w:rFonts w:ascii="Times New Roman" w:eastAsia="Times New Roman" w:hAnsi="Times New Roman" w:cs="Times New Roman"/>
                <w:b/>
                <w:bCs/>
                <w:iCs/>
                <w:sz w:val="24"/>
                <w:szCs w:val="24"/>
                <w:lang w:eastAsia="lv-LV"/>
              </w:rPr>
            </w:pPr>
            <w:r w:rsidRPr="00FB65E1">
              <w:rPr>
                <w:rFonts w:ascii="Times New Roman" w:eastAsia="Times New Roman" w:hAnsi="Times New Roman" w:cs="Times New Roman"/>
                <w:b/>
                <w:bCs/>
                <w:iCs/>
                <w:sz w:val="24"/>
                <w:szCs w:val="24"/>
                <w:lang w:eastAsia="lv-LV"/>
              </w:rPr>
              <w:t>IV. Tiesību akta projekta ietekme uz spēkā esošo tiesību normu sistēmu</w:t>
            </w:r>
          </w:p>
        </w:tc>
      </w:tr>
      <w:tr w:rsidR="002D3F78" w:rsidRPr="00FB65E1" w14:paraId="69668EF8" w14:textId="77777777" w:rsidTr="002B5CE0">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5A722E49" w14:textId="67ABC061" w:rsidR="002D3F78" w:rsidRPr="00FB65E1" w:rsidRDefault="002D3F78" w:rsidP="009A74DA">
            <w:pPr>
              <w:spacing w:after="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 xml:space="preserve">Noteikumu projekts šo jomu neskar. </w:t>
            </w:r>
          </w:p>
        </w:tc>
      </w:tr>
    </w:tbl>
    <w:p w14:paraId="10CC6296" w14:textId="2B0B631A" w:rsidR="00BE0506" w:rsidRPr="002B5CE0" w:rsidRDefault="00BE0506" w:rsidP="009A74DA">
      <w:pPr>
        <w:spacing w:after="0" w:line="240" w:lineRule="auto"/>
        <w:jc w:val="both"/>
        <w:rPr>
          <w:rFonts w:ascii="Times New Roman" w:eastAsia="Times New Roman" w:hAnsi="Times New Roman" w:cs="Times New Roman"/>
          <w:iCs/>
          <w:sz w:val="6"/>
          <w:szCs w:val="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B65E1" w:rsidRPr="00FB65E1" w14:paraId="64B92CE6" w14:textId="77777777" w:rsidTr="003120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EED6F5" w14:textId="77777777" w:rsidR="00BE0506" w:rsidRPr="00FB65E1" w:rsidRDefault="00BE0506" w:rsidP="009A74DA">
            <w:pPr>
              <w:spacing w:after="0" w:line="240" w:lineRule="auto"/>
              <w:jc w:val="both"/>
              <w:rPr>
                <w:rFonts w:ascii="Times New Roman" w:eastAsia="Times New Roman" w:hAnsi="Times New Roman" w:cs="Times New Roman"/>
                <w:b/>
                <w:bCs/>
                <w:iCs/>
                <w:sz w:val="24"/>
                <w:szCs w:val="24"/>
                <w:lang w:eastAsia="lv-LV"/>
              </w:rPr>
            </w:pPr>
            <w:r w:rsidRPr="00FB65E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B65E1" w:rsidRPr="00FB65E1" w14:paraId="23178C00" w14:textId="77777777" w:rsidTr="0031205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EFC60BA" w14:textId="77777777" w:rsidR="00BE0506" w:rsidRPr="00FB65E1" w:rsidRDefault="00BE0506" w:rsidP="009A74DA">
            <w:pPr>
              <w:spacing w:after="0" w:line="240" w:lineRule="auto"/>
              <w:jc w:val="center"/>
              <w:rPr>
                <w:rFonts w:ascii="Times New Roman" w:eastAsia="Times New Roman" w:hAnsi="Times New Roman" w:cs="Times New Roman"/>
                <w:b/>
                <w:bCs/>
                <w:iCs/>
                <w:sz w:val="24"/>
                <w:szCs w:val="24"/>
                <w:lang w:eastAsia="lv-LV"/>
              </w:rPr>
            </w:pPr>
            <w:r w:rsidRPr="00FB65E1">
              <w:rPr>
                <w:rFonts w:ascii="Times New Roman" w:eastAsia="Times New Roman" w:hAnsi="Times New Roman" w:cs="Times New Roman"/>
                <w:bCs/>
                <w:sz w:val="24"/>
                <w:szCs w:val="24"/>
                <w:lang w:eastAsia="lv-LV"/>
              </w:rPr>
              <w:t>Noteikumu projekts šo jomu neskar</w:t>
            </w:r>
          </w:p>
        </w:tc>
      </w:tr>
    </w:tbl>
    <w:p w14:paraId="596299F7" w14:textId="7D892072" w:rsidR="00BE0506" w:rsidRPr="002B5CE0" w:rsidRDefault="00BE0506" w:rsidP="009A74DA">
      <w:pPr>
        <w:spacing w:after="0" w:line="240" w:lineRule="auto"/>
        <w:jc w:val="both"/>
        <w:rPr>
          <w:rFonts w:ascii="Times New Roman" w:eastAsia="Times New Roman" w:hAnsi="Times New Roman" w:cs="Times New Roman"/>
          <w:iCs/>
          <w:sz w:val="6"/>
          <w:szCs w:val="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5E1" w:rsidRPr="00FB65E1" w14:paraId="04AC2E5C" w14:textId="77777777" w:rsidTr="0031205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B97AE3" w14:textId="77777777" w:rsidR="00BE0506" w:rsidRPr="00FB65E1" w:rsidRDefault="00BE0506" w:rsidP="009A74DA">
            <w:pPr>
              <w:spacing w:after="0" w:line="240" w:lineRule="auto"/>
              <w:jc w:val="both"/>
              <w:rPr>
                <w:rFonts w:ascii="Times New Roman" w:eastAsia="Times New Roman" w:hAnsi="Times New Roman" w:cs="Times New Roman"/>
                <w:b/>
                <w:bCs/>
                <w:iCs/>
                <w:sz w:val="24"/>
                <w:szCs w:val="24"/>
                <w:lang w:eastAsia="lv-LV"/>
              </w:rPr>
            </w:pPr>
            <w:r w:rsidRPr="00FB65E1">
              <w:rPr>
                <w:rFonts w:ascii="Times New Roman" w:eastAsia="Times New Roman" w:hAnsi="Times New Roman" w:cs="Times New Roman"/>
                <w:b/>
                <w:bCs/>
                <w:iCs/>
                <w:sz w:val="24"/>
                <w:szCs w:val="24"/>
                <w:lang w:eastAsia="lv-LV"/>
              </w:rPr>
              <w:t>VI. Sabiedrības līdzdalība un komunikācijas aktivitātes</w:t>
            </w:r>
          </w:p>
        </w:tc>
      </w:tr>
      <w:tr w:rsidR="00FB65E1" w:rsidRPr="00FB65E1" w14:paraId="0CC140F0" w14:textId="77777777" w:rsidTr="0031205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7B355E" w14:textId="77777777" w:rsidR="00BE0506" w:rsidRPr="00FB65E1" w:rsidRDefault="00BE0506" w:rsidP="009A74DA">
            <w:pPr>
              <w:spacing w:after="0" w:line="240" w:lineRule="auto"/>
              <w:jc w:val="both"/>
              <w:rPr>
                <w:rFonts w:ascii="Times New Roman" w:eastAsia="Times New Roman" w:hAnsi="Times New Roman" w:cs="Times New Roman"/>
                <w:iCs/>
                <w:sz w:val="24"/>
                <w:szCs w:val="24"/>
                <w:lang w:eastAsia="lv-LV"/>
              </w:rPr>
            </w:pPr>
            <w:r w:rsidRPr="00FB65E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DBB4EF5" w14:textId="77777777" w:rsidR="00BE0506" w:rsidRPr="00FB65E1" w:rsidRDefault="00BE0506" w:rsidP="009A74DA">
            <w:pPr>
              <w:spacing w:after="0" w:line="240" w:lineRule="auto"/>
              <w:jc w:val="both"/>
              <w:rPr>
                <w:rFonts w:ascii="Times New Roman" w:eastAsia="Times New Roman" w:hAnsi="Times New Roman" w:cs="Times New Roman"/>
                <w:iCs/>
                <w:sz w:val="24"/>
                <w:szCs w:val="24"/>
                <w:lang w:eastAsia="lv-LV"/>
              </w:rPr>
            </w:pPr>
            <w:r w:rsidRPr="00FB65E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15D0F7DB" w14:textId="25696096" w:rsidR="00BE0506" w:rsidRPr="00FB65E1" w:rsidRDefault="00BE0506" w:rsidP="009A74DA">
            <w:pPr>
              <w:spacing w:after="0" w:line="240" w:lineRule="auto"/>
              <w:jc w:val="both"/>
              <w:rPr>
                <w:rFonts w:ascii="Times New Roman" w:eastAsia="Times New Roman" w:hAnsi="Times New Roman" w:cs="Times New Roman"/>
                <w:iCs/>
                <w:sz w:val="24"/>
                <w:szCs w:val="24"/>
                <w:lang w:eastAsia="lv-LV"/>
              </w:rPr>
            </w:pPr>
            <w:r w:rsidRPr="00FB65E1">
              <w:rPr>
                <w:rFonts w:ascii="Times New Roman" w:hAnsi="Times New Roman" w:cs="Times New Roman"/>
                <w:bCs/>
                <w:sz w:val="24"/>
                <w:szCs w:val="24"/>
                <w:shd w:val="clear" w:color="auto" w:fill="FFFFFF"/>
              </w:rPr>
              <w:t>Atsevišķa sabiedrības līdzdalība un komunikācija par noteikumu projektu nav paredzēta</w:t>
            </w:r>
            <w:r w:rsidR="005F5779">
              <w:rPr>
                <w:rFonts w:ascii="Times New Roman" w:hAnsi="Times New Roman" w:cs="Times New Roman"/>
                <w:bCs/>
                <w:sz w:val="24"/>
                <w:szCs w:val="24"/>
                <w:shd w:val="clear" w:color="auto" w:fill="FFFFFF"/>
              </w:rPr>
              <w:t xml:space="preserve">, jo noteikumu projekts atbilstoši </w:t>
            </w:r>
            <w:r w:rsidR="00C76068">
              <w:rPr>
                <w:rFonts w:ascii="Times New Roman" w:hAnsi="Times New Roman" w:cs="Times New Roman"/>
                <w:bCs/>
                <w:sz w:val="24"/>
                <w:szCs w:val="24"/>
                <w:shd w:val="clear" w:color="auto" w:fill="FFFFFF"/>
              </w:rPr>
              <w:t>Ministru kabineta</w:t>
            </w:r>
            <w:r w:rsidR="005F5779">
              <w:rPr>
                <w:rFonts w:ascii="Times New Roman" w:hAnsi="Times New Roman" w:cs="Times New Roman"/>
                <w:bCs/>
                <w:sz w:val="24"/>
                <w:szCs w:val="24"/>
                <w:shd w:val="clear" w:color="auto" w:fill="FFFFFF"/>
              </w:rPr>
              <w:t xml:space="preserve"> 2020.</w:t>
            </w:r>
            <w:r w:rsidR="00D149D2">
              <w:rPr>
                <w:rFonts w:ascii="Times New Roman" w:hAnsi="Times New Roman" w:cs="Times New Roman"/>
                <w:bCs/>
                <w:sz w:val="24"/>
                <w:szCs w:val="24"/>
                <w:shd w:val="clear" w:color="auto" w:fill="FFFFFF"/>
              </w:rPr>
              <w:t> </w:t>
            </w:r>
            <w:r w:rsidR="005F5779">
              <w:rPr>
                <w:rFonts w:ascii="Times New Roman" w:hAnsi="Times New Roman" w:cs="Times New Roman"/>
                <w:bCs/>
                <w:sz w:val="24"/>
                <w:szCs w:val="24"/>
                <w:shd w:val="clear" w:color="auto" w:fill="FFFFFF"/>
              </w:rPr>
              <w:t>gada 22.</w:t>
            </w:r>
            <w:r w:rsidR="00D149D2">
              <w:rPr>
                <w:rFonts w:ascii="Times New Roman" w:hAnsi="Times New Roman" w:cs="Times New Roman"/>
                <w:bCs/>
                <w:sz w:val="24"/>
                <w:szCs w:val="24"/>
                <w:shd w:val="clear" w:color="auto" w:fill="FFFFFF"/>
              </w:rPr>
              <w:t> </w:t>
            </w:r>
            <w:r w:rsidR="005F5779">
              <w:rPr>
                <w:rFonts w:ascii="Times New Roman" w:hAnsi="Times New Roman" w:cs="Times New Roman"/>
                <w:bCs/>
                <w:sz w:val="24"/>
                <w:szCs w:val="24"/>
                <w:shd w:val="clear" w:color="auto" w:fill="FFFFFF"/>
              </w:rPr>
              <w:t xml:space="preserve">septembra sēdē nolemtajam tiek virzīts izskatīšanai kā </w:t>
            </w:r>
            <w:r w:rsidR="00C76068">
              <w:rPr>
                <w:rFonts w:ascii="Times New Roman" w:hAnsi="Times New Roman" w:cs="Times New Roman"/>
                <w:bCs/>
                <w:sz w:val="24"/>
                <w:szCs w:val="24"/>
                <w:shd w:val="clear" w:color="auto" w:fill="FFFFFF"/>
              </w:rPr>
              <w:t>Ministru kabineta</w:t>
            </w:r>
            <w:r w:rsidR="005F5779">
              <w:rPr>
                <w:rFonts w:ascii="Times New Roman" w:hAnsi="Times New Roman" w:cs="Times New Roman"/>
                <w:bCs/>
                <w:sz w:val="24"/>
                <w:szCs w:val="24"/>
                <w:shd w:val="clear" w:color="auto" w:fill="FFFFFF"/>
              </w:rPr>
              <w:t xml:space="preserve"> lieta</w:t>
            </w:r>
            <w:r w:rsidRPr="00FB65E1">
              <w:rPr>
                <w:rFonts w:ascii="Times New Roman" w:hAnsi="Times New Roman" w:cs="Times New Roman"/>
                <w:bCs/>
                <w:sz w:val="24"/>
                <w:szCs w:val="24"/>
                <w:shd w:val="clear" w:color="auto" w:fill="FFFFFF"/>
              </w:rPr>
              <w:t>. Stājoties spēkā noteikumu projekta grozījumiem, sabiedrība kompleksi tiks informēta par izmaiņām normatīvajos regulējumos un to ietekmi uz tās ikdienu, gan izmantojot valsts iestāžu tīmekļa vietnes, gan medijus, gan uzrunājot nevalstiskās organizācijas.</w:t>
            </w:r>
          </w:p>
        </w:tc>
      </w:tr>
      <w:tr w:rsidR="00FB65E1" w:rsidRPr="00FB65E1" w14:paraId="780A2D57" w14:textId="77777777" w:rsidTr="0031205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E4E963" w14:textId="77777777" w:rsidR="00BE0506" w:rsidRPr="00FB65E1" w:rsidRDefault="00BE0506" w:rsidP="009A74DA">
            <w:pPr>
              <w:spacing w:after="0" w:line="240" w:lineRule="auto"/>
              <w:jc w:val="both"/>
              <w:rPr>
                <w:rFonts w:ascii="Times New Roman" w:eastAsia="Times New Roman" w:hAnsi="Times New Roman" w:cs="Times New Roman"/>
                <w:iCs/>
                <w:sz w:val="24"/>
                <w:szCs w:val="24"/>
                <w:lang w:eastAsia="lv-LV"/>
              </w:rPr>
            </w:pPr>
            <w:r w:rsidRPr="00FB65E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4DA6FA1" w14:textId="77777777" w:rsidR="00BE0506" w:rsidRPr="00FB65E1" w:rsidRDefault="00BE0506" w:rsidP="009A74DA">
            <w:pPr>
              <w:spacing w:after="0" w:line="240" w:lineRule="auto"/>
              <w:jc w:val="both"/>
              <w:rPr>
                <w:rFonts w:ascii="Times New Roman" w:eastAsia="Times New Roman" w:hAnsi="Times New Roman" w:cs="Times New Roman"/>
                <w:iCs/>
                <w:sz w:val="24"/>
                <w:szCs w:val="24"/>
                <w:lang w:eastAsia="lv-LV"/>
              </w:rPr>
            </w:pPr>
            <w:r w:rsidRPr="00FB65E1">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AF94648" w14:textId="77777777" w:rsidR="00BE0506" w:rsidRPr="00FB65E1" w:rsidRDefault="00BE0506" w:rsidP="009A74DA">
            <w:pPr>
              <w:spacing w:after="0" w:line="240" w:lineRule="auto"/>
              <w:jc w:val="both"/>
              <w:rPr>
                <w:rFonts w:ascii="Times New Roman" w:eastAsia="Times New Roman" w:hAnsi="Times New Roman" w:cs="Times New Roman"/>
                <w:iCs/>
                <w:sz w:val="24"/>
                <w:szCs w:val="24"/>
                <w:lang w:eastAsia="lv-LV"/>
              </w:rPr>
            </w:pPr>
            <w:r w:rsidRPr="00FB65E1">
              <w:rPr>
                <w:rFonts w:ascii="Times New Roman" w:eastAsia="Times New Roman" w:hAnsi="Times New Roman" w:cs="Times New Roman"/>
                <w:iCs/>
                <w:sz w:val="24"/>
                <w:szCs w:val="24"/>
                <w:lang w:eastAsia="lv-LV"/>
              </w:rPr>
              <w:t>Nav attiecināms</w:t>
            </w:r>
          </w:p>
        </w:tc>
      </w:tr>
      <w:tr w:rsidR="00FB65E1" w:rsidRPr="00FB65E1" w14:paraId="36C41475" w14:textId="77777777" w:rsidTr="0031205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7A661B" w14:textId="77777777" w:rsidR="00BE0506" w:rsidRPr="00FB65E1" w:rsidRDefault="00BE0506" w:rsidP="009A74DA">
            <w:pPr>
              <w:spacing w:after="0" w:line="240" w:lineRule="auto"/>
              <w:jc w:val="both"/>
              <w:rPr>
                <w:rFonts w:ascii="Times New Roman" w:eastAsia="Times New Roman" w:hAnsi="Times New Roman" w:cs="Times New Roman"/>
                <w:iCs/>
                <w:sz w:val="24"/>
                <w:szCs w:val="24"/>
                <w:lang w:eastAsia="lv-LV"/>
              </w:rPr>
            </w:pPr>
            <w:r w:rsidRPr="00FB65E1">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7ABEB42" w14:textId="77777777" w:rsidR="00BE0506" w:rsidRPr="00FB65E1" w:rsidRDefault="00BE0506" w:rsidP="009A74DA">
            <w:pPr>
              <w:spacing w:after="0" w:line="240" w:lineRule="auto"/>
              <w:jc w:val="both"/>
              <w:rPr>
                <w:rFonts w:ascii="Times New Roman" w:eastAsia="Times New Roman" w:hAnsi="Times New Roman" w:cs="Times New Roman"/>
                <w:iCs/>
                <w:sz w:val="24"/>
                <w:szCs w:val="24"/>
                <w:lang w:eastAsia="lv-LV"/>
              </w:rPr>
            </w:pPr>
            <w:r w:rsidRPr="00FB65E1">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096D0777" w14:textId="77777777" w:rsidR="00BE0506" w:rsidRPr="00FB65E1" w:rsidRDefault="00BE0506" w:rsidP="009A74DA">
            <w:pPr>
              <w:spacing w:after="0" w:line="240" w:lineRule="auto"/>
              <w:jc w:val="both"/>
              <w:rPr>
                <w:rFonts w:ascii="Times New Roman" w:eastAsia="Times New Roman" w:hAnsi="Times New Roman" w:cs="Times New Roman"/>
                <w:iCs/>
                <w:sz w:val="24"/>
                <w:szCs w:val="24"/>
                <w:lang w:eastAsia="lv-LV"/>
              </w:rPr>
            </w:pPr>
            <w:r w:rsidRPr="00FB65E1">
              <w:rPr>
                <w:rFonts w:ascii="Times New Roman" w:eastAsia="Times New Roman" w:hAnsi="Times New Roman" w:cs="Times New Roman"/>
                <w:iCs/>
                <w:sz w:val="24"/>
                <w:szCs w:val="24"/>
                <w:lang w:eastAsia="lv-LV"/>
              </w:rPr>
              <w:t>Nav attiecināms</w:t>
            </w:r>
          </w:p>
        </w:tc>
      </w:tr>
      <w:tr w:rsidR="00FB65E1" w:rsidRPr="00FB65E1" w14:paraId="45BEA228" w14:textId="77777777" w:rsidTr="0031205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519723" w14:textId="77777777" w:rsidR="00BE0506" w:rsidRPr="00FB65E1" w:rsidRDefault="00BE0506" w:rsidP="009A74DA">
            <w:pPr>
              <w:spacing w:after="0" w:line="240" w:lineRule="auto"/>
              <w:jc w:val="both"/>
              <w:rPr>
                <w:rFonts w:ascii="Times New Roman" w:eastAsia="Times New Roman" w:hAnsi="Times New Roman" w:cs="Times New Roman"/>
                <w:iCs/>
                <w:sz w:val="24"/>
                <w:szCs w:val="24"/>
                <w:lang w:eastAsia="lv-LV"/>
              </w:rPr>
            </w:pPr>
            <w:r w:rsidRPr="00FB65E1">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41FC9E5" w14:textId="77777777" w:rsidR="00BE0506" w:rsidRPr="00FB65E1" w:rsidRDefault="00BE0506" w:rsidP="009A74DA">
            <w:pPr>
              <w:spacing w:after="0" w:line="240" w:lineRule="auto"/>
              <w:jc w:val="both"/>
              <w:rPr>
                <w:rFonts w:ascii="Times New Roman" w:eastAsia="Times New Roman" w:hAnsi="Times New Roman" w:cs="Times New Roman"/>
                <w:iCs/>
                <w:sz w:val="24"/>
                <w:szCs w:val="24"/>
                <w:lang w:eastAsia="lv-LV"/>
              </w:rPr>
            </w:pPr>
            <w:r w:rsidRPr="00FB65E1">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2912829" w14:textId="77777777" w:rsidR="00BE0506" w:rsidRPr="00FB65E1" w:rsidRDefault="00BE0506" w:rsidP="009A74DA">
            <w:pPr>
              <w:spacing w:after="0" w:line="240" w:lineRule="auto"/>
              <w:jc w:val="both"/>
              <w:rPr>
                <w:rFonts w:ascii="Times New Roman" w:eastAsia="Times New Roman" w:hAnsi="Times New Roman" w:cs="Times New Roman"/>
                <w:iCs/>
                <w:sz w:val="24"/>
                <w:szCs w:val="24"/>
                <w:lang w:eastAsia="lv-LV"/>
              </w:rPr>
            </w:pPr>
            <w:r w:rsidRPr="00FB65E1">
              <w:rPr>
                <w:rFonts w:ascii="Times New Roman" w:eastAsia="Times New Roman" w:hAnsi="Times New Roman" w:cs="Times New Roman"/>
                <w:iCs/>
                <w:sz w:val="24"/>
                <w:szCs w:val="24"/>
                <w:lang w:eastAsia="lv-LV"/>
              </w:rPr>
              <w:t>Nav attiecināms</w:t>
            </w:r>
          </w:p>
        </w:tc>
      </w:tr>
    </w:tbl>
    <w:p w14:paraId="3D5FBCB6" w14:textId="38C3D586" w:rsidR="00BE0506" w:rsidRPr="002B5CE0" w:rsidRDefault="00BE0506" w:rsidP="009A74DA">
      <w:pPr>
        <w:spacing w:after="0" w:line="240" w:lineRule="auto"/>
        <w:jc w:val="both"/>
        <w:rPr>
          <w:rFonts w:ascii="Times New Roman" w:eastAsia="Times New Roman" w:hAnsi="Times New Roman" w:cs="Times New Roman"/>
          <w:iCs/>
          <w:sz w:val="6"/>
          <w:szCs w:val="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5E1" w:rsidRPr="00FB65E1" w14:paraId="0E7DD161" w14:textId="77777777" w:rsidTr="0031205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D76657" w14:textId="77777777" w:rsidR="00BE0506" w:rsidRPr="00FB65E1" w:rsidRDefault="00BE0506" w:rsidP="009A74DA">
            <w:pPr>
              <w:spacing w:after="0" w:line="240" w:lineRule="auto"/>
              <w:jc w:val="both"/>
              <w:rPr>
                <w:rFonts w:ascii="Times New Roman" w:eastAsia="Times New Roman" w:hAnsi="Times New Roman" w:cs="Times New Roman"/>
                <w:b/>
                <w:bCs/>
                <w:iCs/>
                <w:sz w:val="24"/>
                <w:szCs w:val="24"/>
                <w:lang w:eastAsia="lv-LV"/>
              </w:rPr>
            </w:pPr>
            <w:r w:rsidRPr="00FB65E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65E1" w:rsidRPr="00FB65E1" w14:paraId="23A338D7" w14:textId="77777777" w:rsidTr="0031205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D62B71" w14:textId="77777777" w:rsidR="00BE0506" w:rsidRPr="00FB65E1" w:rsidRDefault="00BE0506" w:rsidP="009A74DA">
            <w:pPr>
              <w:spacing w:after="0" w:line="240" w:lineRule="auto"/>
              <w:jc w:val="both"/>
              <w:rPr>
                <w:rFonts w:ascii="Times New Roman" w:eastAsia="Times New Roman" w:hAnsi="Times New Roman" w:cs="Times New Roman"/>
                <w:iCs/>
                <w:sz w:val="24"/>
                <w:szCs w:val="24"/>
                <w:lang w:eastAsia="lv-LV"/>
              </w:rPr>
            </w:pPr>
            <w:r w:rsidRPr="00FB65E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D402E" w14:textId="77777777" w:rsidR="00BE0506" w:rsidRPr="00FB65E1" w:rsidRDefault="00BE0506" w:rsidP="009A74DA">
            <w:pPr>
              <w:spacing w:after="0" w:line="240" w:lineRule="auto"/>
              <w:jc w:val="both"/>
              <w:rPr>
                <w:rFonts w:ascii="Times New Roman" w:eastAsia="Times New Roman" w:hAnsi="Times New Roman" w:cs="Times New Roman"/>
                <w:iCs/>
                <w:sz w:val="24"/>
                <w:szCs w:val="24"/>
                <w:lang w:eastAsia="lv-LV"/>
              </w:rPr>
            </w:pPr>
            <w:r w:rsidRPr="00FB65E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8A3EC0B" w14:textId="77777777" w:rsidR="00BE0506" w:rsidRPr="00FB65E1" w:rsidRDefault="00BE0506" w:rsidP="009A74DA">
            <w:pPr>
              <w:spacing w:after="0" w:line="240" w:lineRule="auto"/>
              <w:jc w:val="both"/>
              <w:rPr>
                <w:rFonts w:ascii="Times New Roman" w:eastAsia="Times New Roman" w:hAnsi="Times New Roman" w:cs="Times New Roman"/>
                <w:iCs/>
                <w:sz w:val="24"/>
                <w:szCs w:val="24"/>
                <w:lang w:eastAsia="lv-LV"/>
              </w:rPr>
            </w:pPr>
            <w:r w:rsidRPr="00FB65E1">
              <w:rPr>
                <w:rFonts w:ascii="Times New Roman" w:eastAsia="Times New Roman" w:hAnsi="Times New Roman" w:cs="Times New Roman"/>
                <w:iCs/>
                <w:sz w:val="24"/>
                <w:szCs w:val="24"/>
                <w:lang w:eastAsia="lv-LV"/>
              </w:rPr>
              <w:t>VSAA</w:t>
            </w:r>
          </w:p>
        </w:tc>
      </w:tr>
      <w:tr w:rsidR="00FB65E1" w:rsidRPr="00FB65E1" w14:paraId="52499BA6" w14:textId="77777777" w:rsidTr="0031205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C85796" w14:textId="77777777" w:rsidR="00BE0506" w:rsidRPr="00FB65E1" w:rsidRDefault="00BE0506" w:rsidP="009A74DA">
            <w:pPr>
              <w:spacing w:after="0" w:line="240" w:lineRule="auto"/>
              <w:jc w:val="both"/>
              <w:rPr>
                <w:rFonts w:ascii="Times New Roman" w:eastAsia="Times New Roman" w:hAnsi="Times New Roman" w:cs="Times New Roman"/>
                <w:iCs/>
                <w:sz w:val="24"/>
                <w:szCs w:val="24"/>
                <w:lang w:eastAsia="lv-LV"/>
              </w:rPr>
            </w:pPr>
            <w:r w:rsidRPr="00FB65E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BD4FA45" w14:textId="77777777" w:rsidR="00BE0506" w:rsidRPr="00FB65E1" w:rsidRDefault="00BE0506" w:rsidP="009A74DA">
            <w:pPr>
              <w:spacing w:after="0" w:line="240" w:lineRule="auto"/>
              <w:jc w:val="both"/>
              <w:rPr>
                <w:rFonts w:ascii="Times New Roman" w:eastAsia="Times New Roman" w:hAnsi="Times New Roman" w:cs="Times New Roman"/>
                <w:iCs/>
                <w:sz w:val="24"/>
                <w:szCs w:val="24"/>
                <w:lang w:eastAsia="lv-LV"/>
              </w:rPr>
            </w:pPr>
            <w:r w:rsidRPr="00FB65E1">
              <w:rPr>
                <w:rFonts w:ascii="Times New Roman" w:eastAsia="Times New Roman" w:hAnsi="Times New Roman" w:cs="Times New Roman"/>
                <w:iCs/>
                <w:sz w:val="24"/>
                <w:szCs w:val="24"/>
                <w:lang w:eastAsia="lv-LV"/>
              </w:rPr>
              <w:t>Projekta izpildes ietekme uz pārvaldes funkcijām un institucionālo struktūru.</w:t>
            </w:r>
            <w:r w:rsidRPr="00FB65E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4920EAB" w14:textId="3ABF3E4E" w:rsidR="00BE0506" w:rsidRPr="00FB65E1" w:rsidRDefault="00C84A03" w:rsidP="009A74DA">
            <w:pPr>
              <w:spacing w:after="0" w:line="240" w:lineRule="auto"/>
              <w:jc w:val="both"/>
              <w:rPr>
                <w:rFonts w:ascii="Times New Roman" w:eastAsia="Times New Roman" w:hAnsi="Times New Roman" w:cs="Times New Roman"/>
                <w:iCs/>
                <w:sz w:val="24"/>
                <w:szCs w:val="24"/>
                <w:lang w:eastAsia="lv-LV"/>
              </w:rPr>
            </w:pPr>
            <w:r w:rsidRPr="00A23AAE">
              <w:rPr>
                <w:rFonts w:ascii="Times New Roman" w:eastAsia="Times New Roman" w:hAnsi="Times New Roman" w:cs="Times New Roman"/>
                <w:iCs/>
                <w:noProof/>
                <w:sz w:val="24"/>
                <w:szCs w:val="24"/>
                <w:lang w:eastAsia="lv-LV"/>
              </w:rPr>
              <w:t xml:space="preserve">Nav plānota esošu institūciju likvidācija vai reorganizācija. Pēc </w:t>
            </w:r>
            <w:r w:rsidR="004B2EE9">
              <w:rPr>
                <w:rFonts w:ascii="Times New Roman" w:eastAsia="Times New Roman" w:hAnsi="Times New Roman" w:cs="Times New Roman"/>
                <w:iCs/>
                <w:noProof/>
                <w:sz w:val="24"/>
                <w:szCs w:val="24"/>
                <w:lang w:eastAsia="lv-LV"/>
              </w:rPr>
              <w:t>noteikumu projekta</w:t>
            </w:r>
            <w:r w:rsidRPr="00A23AAE">
              <w:rPr>
                <w:rFonts w:ascii="Times New Roman" w:eastAsia="Times New Roman" w:hAnsi="Times New Roman" w:cs="Times New Roman"/>
                <w:iCs/>
                <w:noProof/>
                <w:sz w:val="24"/>
                <w:szCs w:val="24"/>
                <w:lang w:eastAsia="lv-LV"/>
              </w:rPr>
              <w:t xml:space="preserve"> spēkā stāšanās</w:t>
            </w:r>
            <w:r w:rsidR="004B2EE9">
              <w:rPr>
                <w:rFonts w:ascii="Times New Roman" w:eastAsia="Times New Roman" w:hAnsi="Times New Roman" w:cs="Times New Roman"/>
                <w:iCs/>
                <w:noProof/>
                <w:sz w:val="24"/>
                <w:szCs w:val="24"/>
                <w:lang w:eastAsia="lv-LV"/>
              </w:rPr>
              <w:t>,</w:t>
            </w:r>
            <w:r w:rsidRPr="00A23AAE">
              <w:rPr>
                <w:rFonts w:ascii="Times New Roman" w:eastAsia="Times New Roman" w:hAnsi="Times New Roman" w:cs="Times New Roman"/>
                <w:iCs/>
                <w:noProof/>
                <w:sz w:val="24"/>
                <w:szCs w:val="24"/>
                <w:lang w:eastAsia="lv-LV"/>
              </w:rPr>
              <w:t xml:space="preserve"> tā īstenošana notiks, izmantojot esošos cilvēkresursus.</w:t>
            </w:r>
          </w:p>
        </w:tc>
      </w:tr>
      <w:tr w:rsidR="00BE0506" w:rsidRPr="00FB65E1" w14:paraId="7B14EDF7" w14:textId="77777777" w:rsidTr="0031205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E50DDD" w14:textId="77777777" w:rsidR="00BE0506" w:rsidRPr="00FB65E1" w:rsidRDefault="00BE0506" w:rsidP="009A74DA">
            <w:pPr>
              <w:spacing w:after="0" w:line="240" w:lineRule="auto"/>
              <w:jc w:val="both"/>
              <w:rPr>
                <w:rFonts w:ascii="Times New Roman" w:eastAsia="Times New Roman" w:hAnsi="Times New Roman" w:cs="Times New Roman"/>
                <w:iCs/>
                <w:sz w:val="24"/>
                <w:szCs w:val="24"/>
                <w:lang w:eastAsia="lv-LV"/>
              </w:rPr>
            </w:pPr>
            <w:r w:rsidRPr="00FB65E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A51B9F8" w14:textId="77777777" w:rsidR="00BE0506" w:rsidRPr="00FB65E1" w:rsidRDefault="00BE0506" w:rsidP="009A74DA">
            <w:pPr>
              <w:spacing w:after="0" w:line="240" w:lineRule="auto"/>
              <w:jc w:val="both"/>
              <w:rPr>
                <w:rFonts w:ascii="Times New Roman" w:eastAsia="Times New Roman" w:hAnsi="Times New Roman" w:cs="Times New Roman"/>
                <w:iCs/>
                <w:sz w:val="24"/>
                <w:szCs w:val="24"/>
                <w:lang w:eastAsia="lv-LV"/>
              </w:rPr>
            </w:pPr>
            <w:r w:rsidRPr="00FB65E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581B1D" w14:textId="77777777" w:rsidR="00BE0506" w:rsidRPr="00FB65E1" w:rsidRDefault="00BE0506" w:rsidP="009A74DA">
            <w:pPr>
              <w:spacing w:after="0" w:line="240" w:lineRule="auto"/>
              <w:jc w:val="both"/>
              <w:rPr>
                <w:rFonts w:ascii="Times New Roman" w:eastAsia="Times New Roman" w:hAnsi="Times New Roman" w:cs="Times New Roman"/>
                <w:iCs/>
                <w:sz w:val="24"/>
                <w:szCs w:val="24"/>
                <w:lang w:eastAsia="lv-LV"/>
              </w:rPr>
            </w:pPr>
            <w:r w:rsidRPr="00FB65E1">
              <w:rPr>
                <w:rFonts w:ascii="Times New Roman" w:eastAsia="Times New Roman" w:hAnsi="Times New Roman" w:cs="Times New Roman"/>
                <w:iCs/>
                <w:sz w:val="24"/>
                <w:szCs w:val="24"/>
                <w:lang w:eastAsia="lv-LV"/>
              </w:rPr>
              <w:t>Nav</w:t>
            </w:r>
          </w:p>
        </w:tc>
      </w:tr>
    </w:tbl>
    <w:p w14:paraId="6CFA130A" w14:textId="77777777" w:rsidR="00BE0506" w:rsidRPr="00FB65E1" w:rsidRDefault="00BE0506" w:rsidP="009A74DA">
      <w:pPr>
        <w:spacing w:after="0" w:line="240" w:lineRule="auto"/>
        <w:jc w:val="both"/>
        <w:rPr>
          <w:rFonts w:ascii="Times New Roman" w:hAnsi="Times New Roman" w:cs="Times New Roman"/>
          <w:sz w:val="24"/>
          <w:szCs w:val="24"/>
        </w:rPr>
      </w:pPr>
    </w:p>
    <w:p w14:paraId="6632A2B4" w14:textId="4D3D2F20" w:rsidR="00495F81" w:rsidRPr="00FB65E1" w:rsidRDefault="00495F81" w:rsidP="009A74DA">
      <w:pPr>
        <w:tabs>
          <w:tab w:val="left" w:pos="6237"/>
        </w:tabs>
        <w:spacing w:after="0" w:line="240" w:lineRule="auto"/>
        <w:rPr>
          <w:rFonts w:ascii="Times New Roman" w:hAnsi="Times New Roman" w:cs="Times New Roman"/>
          <w:noProof/>
          <w:sz w:val="24"/>
          <w:szCs w:val="24"/>
        </w:rPr>
      </w:pPr>
      <w:r w:rsidRPr="00FB65E1">
        <w:rPr>
          <w:rFonts w:ascii="Times New Roman" w:hAnsi="Times New Roman" w:cs="Times New Roman"/>
          <w:noProof/>
          <w:sz w:val="24"/>
          <w:szCs w:val="24"/>
        </w:rPr>
        <w:t>Labklājības ministr</w:t>
      </w:r>
      <w:r w:rsidR="00BD7200" w:rsidRPr="00FB65E1">
        <w:rPr>
          <w:rFonts w:ascii="Times New Roman" w:hAnsi="Times New Roman" w:cs="Times New Roman"/>
          <w:noProof/>
          <w:sz w:val="24"/>
          <w:szCs w:val="24"/>
        </w:rPr>
        <w:t>e</w:t>
      </w:r>
      <w:r w:rsidRPr="00FB65E1">
        <w:rPr>
          <w:rFonts w:ascii="Times New Roman" w:hAnsi="Times New Roman" w:cs="Times New Roman"/>
          <w:noProof/>
          <w:sz w:val="24"/>
          <w:szCs w:val="24"/>
        </w:rPr>
        <w:tab/>
        <w:t xml:space="preserve">               </w:t>
      </w:r>
      <w:r w:rsidR="005020C4" w:rsidRPr="00FB65E1">
        <w:rPr>
          <w:rFonts w:ascii="Times New Roman" w:hAnsi="Times New Roman" w:cs="Times New Roman"/>
          <w:noProof/>
          <w:sz w:val="24"/>
          <w:szCs w:val="24"/>
        </w:rPr>
        <w:t>R.Petraviča</w:t>
      </w:r>
    </w:p>
    <w:p w14:paraId="49860694" w14:textId="77777777" w:rsidR="00C14A66" w:rsidRDefault="00C14A66" w:rsidP="009A74DA">
      <w:pPr>
        <w:tabs>
          <w:tab w:val="left" w:pos="6237"/>
        </w:tabs>
        <w:spacing w:after="0" w:line="240" w:lineRule="auto"/>
        <w:rPr>
          <w:rFonts w:ascii="Times New Roman" w:hAnsi="Times New Roman" w:cs="Times New Roman"/>
          <w:sz w:val="24"/>
          <w:szCs w:val="24"/>
        </w:rPr>
      </w:pPr>
    </w:p>
    <w:p w14:paraId="51B57FCA" w14:textId="56D8BF9F" w:rsidR="00C14A66" w:rsidRDefault="00856A28" w:rsidP="009A74DA">
      <w:pPr>
        <w:tabs>
          <w:tab w:val="left" w:pos="2148"/>
        </w:tabs>
        <w:spacing w:after="0" w:line="240" w:lineRule="auto"/>
        <w:rPr>
          <w:rFonts w:ascii="Times New Roman" w:hAnsi="Times New Roman" w:cs="Times New Roman"/>
          <w:sz w:val="24"/>
          <w:szCs w:val="24"/>
        </w:rPr>
      </w:pPr>
      <w:r>
        <w:rPr>
          <w:rFonts w:ascii="Times New Roman" w:hAnsi="Times New Roman" w:cs="Times New Roman"/>
          <w:sz w:val="24"/>
          <w:szCs w:val="24"/>
        </w:rPr>
        <w:t>Valsts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I.Alliks</w:t>
      </w:r>
      <w:proofErr w:type="spellEnd"/>
    </w:p>
    <w:p w14:paraId="5F508FB4" w14:textId="77777777" w:rsidR="00C14A66" w:rsidRDefault="00C14A66" w:rsidP="009A74DA">
      <w:pPr>
        <w:tabs>
          <w:tab w:val="left" w:pos="6237"/>
        </w:tabs>
        <w:spacing w:after="0" w:line="240" w:lineRule="auto"/>
        <w:rPr>
          <w:rFonts w:ascii="Times New Roman" w:hAnsi="Times New Roman" w:cs="Times New Roman"/>
          <w:sz w:val="24"/>
          <w:szCs w:val="24"/>
        </w:rPr>
      </w:pPr>
      <w:bookmarkStart w:id="2" w:name="_GoBack"/>
      <w:bookmarkEnd w:id="2"/>
    </w:p>
    <w:p w14:paraId="66980A3A" w14:textId="77777777" w:rsidR="00C14A66" w:rsidRPr="002B5CE0" w:rsidRDefault="00C14A66" w:rsidP="009A74DA">
      <w:pPr>
        <w:tabs>
          <w:tab w:val="left" w:pos="6237"/>
        </w:tabs>
        <w:spacing w:after="0" w:line="240" w:lineRule="auto"/>
        <w:rPr>
          <w:rFonts w:ascii="Times New Roman" w:hAnsi="Times New Roman" w:cs="Times New Roman"/>
          <w:sz w:val="20"/>
          <w:szCs w:val="20"/>
        </w:rPr>
      </w:pPr>
    </w:p>
    <w:p w14:paraId="5389E7A5" w14:textId="30A5E03B" w:rsidR="00BE0506" w:rsidRPr="002B5CE0" w:rsidRDefault="00BE0506" w:rsidP="009A74DA">
      <w:pPr>
        <w:tabs>
          <w:tab w:val="left" w:pos="6237"/>
        </w:tabs>
        <w:spacing w:after="0" w:line="240" w:lineRule="auto"/>
        <w:rPr>
          <w:rFonts w:ascii="Times New Roman" w:hAnsi="Times New Roman" w:cs="Times New Roman"/>
          <w:sz w:val="20"/>
          <w:szCs w:val="20"/>
        </w:rPr>
      </w:pPr>
      <w:proofErr w:type="spellStart"/>
      <w:r w:rsidRPr="002B5CE0">
        <w:rPr>
          <w:rFonts w:ascii="Times New Roman" w:hAnsi="Times New Roman" w:cs="Times New Roman"/>
          <w:sz w:val="20"/>
          <w:szCs w:val="20"/>
        </w:rPr>
        <w:t>A.Lukašenoka</w:t>
      </w:r>
      <w:proofErr w:type="spellEnd"/>
    </w:p>
    <w:p w14:paraId="55765FB5" w14:textId="71CD4841" w:rsidR="00905ACF" w:rsidRPr="002B5CE0" w:rsidRDefault="00BE0506" w:rsidP="009A74DA">
      <w:pPr>
        <w:tabs>
          <w:tab w:val="left" w:pos="6237"/>
        </w:tabs>
        <w:spacing w:after="0" w:line="240" w:lineRule="auto"/>
        <w:rPr>
          <w:rFonts w:ascii="Times New Roman" w:hAnsi="Times New Roman" w:cs="Times New Roman"/>
          <w:noProof/>
          <w:sz w:val="20"/>
          <w:szCs w:val="20"/>
        </w:rPr>
      </w:pPr>
      <w:r w:rsidRPr="002B5CE0">
        <w:rPr>
          <w:rFonts w:ascii="Times New Roman" w:hAnsi="Times New Roman" w:cs="Times New Roman"/>
          <w:sz w:val="20"/>
          <w:szCs w:val="20"/>
        </w:rPr>
        <w:t>67021691</w:t>
      </w:r>
      <w:r w:rsidR="007C52A8" w:rsidRPr="002B5CE0">
        <w:rPr>
          <w:rFonts w:ascii="Times New Roman" w:hAnsi="Times New Roman" w:cs="Times New Roman"/>
          <w:noProof/>
          <w:sz w:val="20"/>
          <w:szCs w:val="20"/>
        </w:rPr>
        <w:t xml:space="preserve"> </w:t>
      </w:r>
    </w:p>
    <w:p w14:paraId="49CDD661" w14:textId="70F7BBF4" w:rsidR="00EA111D" w:rsidRPr="00EA111D" w:rsidRDefault="009A74DA" w:rsidP="009A74DA">
      <w:pPr>
        <w:tabs>
          <w:tab w:val="left" w:pos="6237"/>
        </w:tabs>
        <w:spacing w:after="0" w:line="240" w:lineRule="auto"/>
        <w:rPr>
          <w:rFonts w:ascii="Times New Roman" w:hAnsi="Times New Roman" w:cs="Times New Roman"/>
          <w:noProof/>
          <w:sz w:val="20"/>
          <w:szCs w:val="20"/>
        </w:rPr>
      </w:pPr>
      <w:hyperlink r:id="rId8" w:history="1">
        <w:r w:rsidR="00C14A66" w:rsidRPr="002B5CE0">
          <w:rPr>
            <w:rStyle w:val="Hyperlink"/>
            <w:rFonts w:ascii="Times New Roman" w:hAnsi="Times New Roman" w:cs="Times New Roman"/>
            <w:noProof/>
            <w:sz w:val="20"/>
            <w:szCs w:val="20"/>
          </w:rPr>
          <w:t>Aiga.Lukasenoka@lm.gov.lv</w:t>
        </w:r>
      </w:hyperlink>
      <w:r w:rsidR="00EA111D">
        <w:rPr>
          <w:rFonts w:ascii="Times New Roman" w:hAnsi="Times New Roman" w:cs="Times New Roman"/>
          <w:sz w:val="20"/>
          <w:szCs w:val="20"/>
        </w:rPr>
        <w:tab/>
      </w:r>
    </w:p>
    <w:sectPr w:rsidR="00EA111D" w:rsidRPr="00EA111D" w:rsidSect="0025460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A1BDF" w14:textId="77777777" w:rsidR="004C3BD2" w:rsidRDefault="004C3BD2" w:rsidP="003A6ABB">
      <w:pPr>
        <w:spacing w:after="0" w:line="240" w:lineRule="auto"/>
      </w:pPr>
      <w:r>
        <w:separator/>
      </w:r>
    </w:p>
  </w:endnote>
  <w:endnote w:type="continuationSeparator" w:id="0">
    <w:p w14:paraId="7A05F7ED" w14:textId="77777777" w:rsidR="004C3BD2" w:rsidRDefault="004C3BD2" w:rsidP="003A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1637C" w14:textId="7FFCC20B" w:rsidR="002C3B61" w:rsidRPr="002C3B61" w:rsidRDefault="002C3B61" w:rsidP="002C3B61">
    <w:pPr>
      <w:spacing w:after="120" w:line="240" w:lineRule="auto"/>
      <w:jc w:val="both"/>
      <w:rPr>
        <w:rFonts w:ascii="Times New Roman" w:eastAsia="Times New Roman" w:hAnsi="Times New Roman"/>
        <w:sz w:val="20"/>
        <w:szCs w:val="20"/>
      </w:rPr>
    </w:pPr>
    <w:r w:rsidRPr="002C3B61">
      <w:rPr>
        <w:rFonts w:ascii="Times New Roman" w:hAnsi="Times New Roman" w:cs="Times New Roman"/>
        <w:sz w:val="20"/>
        <w:szCs w:val="20"/>
      </w:rPr>
      <w:t>LManot_</w:t>
    </w:r>
    <w:r w:rsidR="009A6A87" w:rsidRPr="009A6A87">
      <w:rPr>
        <w:rFonts w:ascii="Times New Roman" w:hAnsi="Times New Roman" w:cs="Times New Roman"/>
        <w:sz w:val="20"/>
        <w:szCs w:val="20"/>
      </w:rPr>
      <w:t>0</w:t>
    </w:r>
    <w:r w:rsidR="002C2D95">
      <w:rPr>
        <w:rFonts w:ascii="Times New Roman" w:hAnsi="Times New Roman" w:cs="Times New Roman"/>
        <w:sz w:val="20"/>
        <w:szCs w:val="20"/>
      </w:rPr>
      <w:t>7</w:t>
    </w:r>
    <w:r w:rsidR="009A6A87" w:rsidRPr="009A6A87">
      <w:rPr>
        <w:rFonts w:ascii="Times New Roman" w:hAnsi="Times New Roman" w:cs="Times New Roman"/>
        <w:sz w:val="20"/>
        <w:szCs w:val="20"/>
      </w:rPr>
      <w:t>12</w:t>
    </w:r>
    <w:r w:rsidRPr="009A6A87">
      <w:rPr>
        <w:rFonts w:ascii="Times New Roman" w:hAnsi="Times New Roman" w:cs="Times New Roman"/>
        <w:sz w:val="20"/>
        <w:szCs w:val="20"/>
      </w:rPr>
      <w:t>20</w:t>
    </w:r>
    <w:r w:rsidRPr="002C3B61">
      <w:rPr>
        <w:rFonts w:ascii="Times New Roman" w:hAnsi="Times New Roman" w:cs="Times New Roman"/>
        <w:sz w:val="20"/>
        <w:szCs w:val="20"/>
      </w:rPr>
      <w:t>_</w:t>
    </w:r>
    <w:r w:rsidRPr="002C3B61">
      <w:rPr>
        <w:rFonts w:ascii="Times New Roman" w:eastAsia="Times New Roman" w:hAnsi="Times New Roman" w:cs="Times New Roman"/>
        <w:sz w:val="20"/>
        <w:szCs w:val="20"/>
        <w:lang w:eastAsia="lv-LV"/>
      </w:rPr>
      <w:t xml:space="preserve">Ministru kabineta noteikumu projekta </w:t>
    </w:r>
    <w:r w:rsidR="00FD02F9">
      <w:rPr>
        <w:rFonts w:ascii="Times New Roman" w:hAnsi="Times New Roman" w:cs="Times New Roman"/>
        <w:sz w:val="20"/>
        <w:szCs w:val="20"/>
      </w:rPr>
      <w:t>“</w:t>
    </w:r>
    <w:r w:rsidRPr="002C3B61">
      <w:rPr>
        <w:rFonts w:ascii="Times New Roman" w:eastAsia="Times New Roman" w:hAnsi="Times New Roman"/>
        <w:sz w:val="20"/>
        <w:szCs w:val="20"/>
      </w:rPr>
      <w:t>Noteikumi par valsts sociālo pabalstu Černobiļas atomelektrostacijas avārijas seku likvidēšanas dalībniekiem un mirušo Černobiļas atomelektrostacijas avārijas seku likvidēšanas dalībnieku ģimenēm</w:t>
    </w:r>
    <w:r w:rsidRPr="002C3B61">
      <w:rPr>
        <w:rFonts w:ascii="Times New Roman" w:eastAsia="Times New Roman" w:hAnsi="Times New Roman" w:cs="Times New Roman"/>
        <w:sz w:val="20"/>
        <w:szCs w:val="20"/>
        <w:lang w:eastAsia="lv-LV"/>
      </w:rPr>
      <w:t>” sākotnējās ietekmes novērtējuma ziņojums (anotācija)</w:t>
    </w:r>
  </w:p>
  <w:p w14:paraId="75F73F87" w14:textId="77777777" w:rsidR="002C3B61" w:rsidRPr="002C3B61" w:rsidRDefault="002C3B61" w:rsidP="002C3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61DA3" w14:textId="56E0B664" w:rsidR="002C3B61" w:rsidRPr="002C3B61" w:rsidRDefault="00FF208D" w:rsidP="002C3B61">
    <w:pPr>
      <w:spacing w:after="120" w:line="240" w:lineRule="auto"/>
      <w:jc w:val="both"/>
      <w:rPr>
        <w:rFonts w:ascii="Times New Roman" w:eastAsia="Times New Roman" w:hAnsi="Times New Roman"/>
        <w:sz w:val="20"/>
        <w:szCs w:val="20"/>
      </w:rPr>
    </w:pPr>
    <w:r w:rsidRPr="002C3B61">
      <w:rPr>
        <w:rFonts w:ascii="Times New Roman" w:hAnsi="Times New Roman" w:cs="Times New Roman"/>
        <w:sz w:val="20"/>
        <w:szCs w:val="20"/>
      </w:rPr>
      <w:t>LManot_</w:t>
    </w:r>
    <w:r w:rsidR="009A6A87" w:rsidRPr="009A6A87">
      <w:rPr>
        <w:rFonts w:ascii="Times New Roman" w:hAnsi="Times New Roman" w:cs="Times New Roman"/>
        <w:sz w:val="20"/>
        <w:szCs w:val="20"/>
      </w:rPr>
      <w:t>0</w:t>
    </w:r>
    <w:r w:rsidR="002C2D95">
      <w:rPr>
        <w:rFonts w:ascii="Times New Roman" w:hAnsi="Times New Roman" w:cs="Times New Roman"/>
        <w:sz w:val="20"/>
        <w:szCs w:val="20"/>
      </w:rPr>
      <w:t>7</w:t>
    </w:r>
    <w:r w:rsidR="009A6A87" w:rsidRPr="009A6A87">
      <w:rPr>
        <w:rFonts w:ascii="Times New Roman" w:hAnsi="Times New Roman" w:cs="Times New Roman"/>
        <w:sz w:val="20"/>
        <w:szCs w:val="20"/>
      </w:rPr>
      <w:t>12</w:t>
    </w:r>
    <w:r w:rsidR="002C3B61" w:rsidRPr="009A6A87">
      <w:rPr>
        <w:rFonts w:ascii="Times New Roman" w:hAnsi="Times New Roman" w:cs="Times New Roman"/>
        <w:sz w:val="20"/>
        <w:szCs w:val="20"/>
      </w:rPr>
      <w:t>20</w:t>
    </w:r>
    <w:r w:rsidR="002C3B61" w:rsidRPr="002C3B61">
      <w:rPr>
        <w:rFonts w:ascii="Times New Roman" w:hAnsi="Times New Roman" w:cs="Times New Roman"/>
        <w:sz w:val="20"/>
        <w:szCs w:val="20"/>
      </w:rPr>
      <w:t>_</w:t>
    </w:r>
    <w:r w:rsidR="002C3B61" w:rsidRPr="002C3B61">
      <w:rPr>
        <w:rFonts w:ascii="Times New Roman" w:eastAsia="Times New Roman" w:hAnsi="Times New Roman" w:cs="Times New Roman"/>
        <w:sz w:val="20"/>
        <w:szCs w:val="20"/>
        <w:lang w:eastAsia="lv-LV"/>
      </w:rPr>
      <w:t>Ministru kabineta noteikumu projekta „</w:t>
    </w:r>
    <w:r w:rsidR="002C3B61" w:rsidRPr="002C3B61">
      <w:rPr>
        <w:rFonts w:ascii="Times New Roman" w:eastAsia="Times New Roman" w:hAnsi="Times New Roman"/>
        <w:sz w:val="20"/>
        <w:szCs w:val="20"/>
      </w:rPr>
      <w:t>Noteikumi par valsts sociālo pabalstu Černobiļas atomelektrostacijas avārijas seku likvidēšanas dalībniekiem un mirušo Černobiļas atomelektrostacijas avārijas seku likvidēšanas dalībnieku ģimenēm</w:t>
    </w:r>
    <w:r w:rsidR="002C3B61" w:rsidRPr="002C3B61">
      <w:rPr>
        <w:rFonts w:ascii="Times New Roman" w:eastAsia="Times New Roman" w:hAnsi="Times New Roman" w:cs="Times New Roman"/>
        <w:sz w:val="20"/>
        <w:szCs w:val="20"/>
        <w:lang w:eastAsia="lv-LV"/>
      </w:rPr>
      <w:t>” sākotnējās ietekmes novērtējuma ziņojums (anotācija)</w:t>
    </w:r>
  </w:p>
  <w:p w14:paraId="513F9E82" w14:textId="119BB54F" w:rsidR="00FF208D" w:rsidRPr="002C3B61" w:rsidRDefault="00FF208D" w:rsidP="002C3B61">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FAE2F" w14:textId="77777777" w:rsidR="004C3BD2" w:rsidRDefault="004C3BD2" w:rsidP="003A6ABB">
      <w:pPr>
        <w:spacing w:after="0" w:line="240" w:lineRule="auto"/>
      </w:pPr>
      <w:r>
        <w:separator/>
      </w:r>
    </w:p>
  </w:footnote>
  <w:footnote w:type="continuationSeparator" w:id="0">
    <w:p w14:paraId="50EB22E8" w14:textId="77777777" w:rsidR="004C3BD2" w:rsidRDefault="004C3BD2" w:rsidP="003A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810E988" w14:textId="77777777" w:rsidR="00FF208D" w:rsidRPr="00C25B49" w:rsidRDefault="00FF208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CAB"/>
    <w:multiLevelType w:val="hybridMultilevel"/>
    <w:tmpl w:val="26D297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407748"/>
    <w:multiLevelType w:val="hybridMultilevel"/>
    <w:tmpl w:val="00ECC8C6"/>
    <w:lvl w:ilvl="0" w:tplc="4B128698">
      <w:start w:val="1"/>
      <w:numFmt w:val="decimal"/>
      <w:lvlText w:val="%1."/>
      <w:lvlJc w:val="left"/>
      <w:pPr>
        <w:ind w:left="720" w:hanging="360"/>
      </w:pPr>
      <w:rPr>
        <w:rFonts w:ascii="Arial" w:eastAsiaTheme="minorHAnsi"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1A65BD"/>
    <w:multiLevelType w:val="hybridMultilevel"/>
    <w:tmpl w:val="EF38B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5D12F7"/>
    <w:multiLevelType w:val="hybridMultilevel"/>
    <w:tmpl w:val="81EE29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A53B03"/>
    <w:multiLevelType w:val="hybridMultilevel"/>
    <w:tmpl w:val="A7A4BD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C63D7B"/>
    <w:multiLevelType w:val="hybridMultilevel"/>
    <w:tmpl w:val="C8423850"/>
    <w:lvl w:ilvl="0" w:tplc="CB0072F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1D61B49"/>
    <w:multiLevelType w:val="hybridMultilevel"/>
    <w:tmpl w:val="0122C8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B5D20D9"/>
    <w:multiLevelType w:val="hybridMultilevel"/>
    <w:tmpl w:val="4D3C60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4739FE"/>
    <w:multiLevelType w:val="hybridMultilevel"/>
    <w:tmpl w:val="8C18DE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0"/>
  </w:num>
  <w:num w:numId="5">
    <w:abstractNumId w:val="5"/>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81"/>
    <w:rsid w:val="000007D1"/>
    <w:rsid w:val="00002048"/>
    <w:rsid w:val="000023AA"/>
    <w:rsid w:val="00003790"/>
    <w:rsid w:val="0000383E"/>
    <w:rsid w:val="00005F51"/>
    <w:rsid w:val="00007F94"/>
    <w:rsid w:val="000108CD"/>
    <w:rsid w:val="00011342"/>
    <w:rsid w:val="00012FCD"/>
    <w:rsid w:val="00013003"/>
    <w:rsid w:val="0001453B"/>
    <w:rsid w:val="00016458"/>
    <w:rsid w:val="00017662"/>
    <w:rsid w:val="00017E08"/>
    <w:rsid w:val="00020C25"/>
    <w:rsid w:val="00020CDF"/>
    <w:rsid w:val="00022533"/>
    <w:rsid w:val="0002421B"/>
    <w:rsid w:val="000251DA"/>
    <w:rsid w:val="00025530"/>
    <w:rsid w:val="000261B9"/>
    <w:rsid w:val="0003096D"/>
    <w:rsid w:val="00032595"/>
    <w:rsid w:val="0003315A"/>
    <w:rsid w:val="00034C32"/>
    <w:rsid w:val="0003578F"/>
    <w:rsid w:val="000359BD"/>
    <w:rsid w:val="00041368"/>
    <w:rsid w:val="00043422"/>
    <w:rsid w:val="00043E9C"/>
    <w:rsid w:val="00044312"/>
    <w:rsid w:val="00045021"/>
    <w:rsid w:val="000453AE"/>
    <w:rsid w:val="000474A6"/>
    <w:rsid w:val="000478B2"/>
    <w:rsid w:val="00050441"/>
    <w:rsid w:val="0005065F"/>
    <w:rsid w:val="00050D5A"/>
    <w:rsid w:val="00051A86"/>
    <w:rsid w:val="00051C61"/>
    <w:rsid w:val="00054BBB"/>
    <w:rsid w:val="00057363"/>
    <w:rsid w:val="00057D2E"/>
    <w:rsid w:val="000609F5"/>
    <w:rsid w:val="000631FA"/>
    <w:rsid w:val="000641E6"/>
    <w:rsid w:val="00064FE0"/>
    <w:rsid w:val="000667BF"/>
    <w:rsid w:val="0007005C"/>
    <w:rsid w:val="0007047C"/>
    <w:rsid w:val="0007267F"/>
    <w:rsid w:val="0007368C"/>
    <w:rsid w:val="00073F63"/>
    <w:rsid w:val="00075739"/>
    <w:rsid w:val="0007587C"/>
    <w:rsid w:val="00075DF0"/>
    <w:rsid w:val="00077828"/>
    <w:rsid w:val="00081BD5"/>
    <w:rsid w:val="000852B7"/>
    <w:rsid w:val="00085402"/>
    <w:rsid w:val="000868B4"/>
    <w:rsid w:val="00086B42"/>
    <w:rsid w:val="00086EED"/>
    <w:rsid w:val="00087A89"/>
    <w:rsid w:val="00087B52"/>
    <w:rsid w:val="000910D7"/>
    <w:rsid w:val="000914AE"/>
    <w:rsid w:val="000921E0"/>
    <w:rsid w:val="00093625"/>
    <w:rsid w:val="00093CF3"/>
    <w:rsid w:val="000958DF"/>
    <w:rsid w:val="000975B9"/>
    <w:rsid w:val="00097C61"/>
    <w:rsid w:val="000A0A43"/>
    <w:rsid w:val="000A4600"/>
    <w:rsid w:val="000A4AEF"/>
    <w:rsid w:val="000B0760"/>
    <w:rsid w:val="000B439F"/>
    <w:rsid w:val="000B5206"/>
    <w:rsid w:val="000B57A7"/>
    <w:rsid w:val="000B57D0"/>
    <w:rsid w:val="000B7B4C"/>
    <w:rsid w:val="000C0120"/>
    <w:rsid w:val="000C2699"/>
    <w:rsid w:val="000C302C"/>
    <w:rsid w:val="000C5F57"/>
    <w:rsid w:val="000C5FDE"/>
    <w:rsid w:val="000C680D"/>
    <w:rsid w:val="000D0439"/>
    <w:rsid w:val="000D1590"/>
    <w:rsid w:val="000D1E78"/>
    <w:rsid w:val="000D2757"/>
    <w:rsid w:val="000D7627"/>
    <w:rsid w:val="000D7EB3"/>
    <w:rsid w:val="000E3E07"/>
    <w:rsid w:val="000E5BB7"/>
    <w:rsid w:val="000E6540"/>
    <w:rsid w:val="000E6C9D"/>
    <w:rsid w:val="000E799C"/>
    <w:rsid w:val="000F0E96"/>
    <w:rsid w:val="000F117A"/>
    <w:rsid w:val="000F1540"/>
    <w:rsid w:val="000F1A90"/>
    <w:rsid w:val="000F283B"/>
    <w:rsid w:val="000F2970"/>
    <w:rsid w:val="000F30AB"/>
    <w:rsid w:val="000F3E01"/>
    <w:rsid w:val="000F4D42"/>
    <w:rsid w:val="000F5509"/>
    <w:rsid w:val="000F5A4D"/>
    <w:rsid w:val="000F646A"/>
    <w:rsid w:val="000F6B4A"/>
    <w:rsid w:val="00102775"/>
    <w:rsid w:val="00102835"/>
    <w:rsid w:val="00103190"/>
    <w:rsid w:val="00103B28"/>
    <w:rsid w:val="00106774"/>
    <w:rsid w:val="00110B9C"/>
    <w:rsid w:val="0011250A"/>
    <w:rsid w:val="00115087"/>
    <w:rsid w:val="00116E20"/>
    <w:rsid w:val="00116EB6"/>
    <w:rsid w:val="0011798B"/>
    <w:rsid w:val="00117DDF"/>
    <w:rsid w:val="0012069E"/>
    <w:rsid w:val="00120E5D"/>
    <w:rsid w:val="00121635"/>
    <w:rsid w:val="001217C3"/>
    <w:rsid w:val="00121BC2"/>
    <w:rsid w:val="001225BB"/>
    <w:rsid w:val="001229FF"/>
    <w:rsid w:val="00123B64"/>
    <w:rsid w:val="00123C42"/>
    <w:rsid w:val="001251C0"/>
    <w:rsid w:val="00132401"/>
    <w:rsid w:val="00132A38"/>
    <w:rsid w:val="00132C38"/>
    <w:rsid w:val="00136B3C"/>
    <w:rsid w:val="00141887"/>
    <w:rsid w:val="00141E41"/>
    <w:rsid w:val="001440DF"/>
    <w:rsid w:val="00145599"/>
    <w:rsid w:val="00146E5F"/>
    <w:rsid w:val="00147DD6"/>
    <w:rsid w:val="0015027A"/>
    <w:rsid w:val="00152651"/>
    <w:rsid w:val="0015430F"/>
    <w:rsid w:val="00155211"/>
    <w:rsid w:val="00160473"/>
    <w:rsid w:val="00161E51"/>
    <w:rsid w:val="00166020"/>
    <w:rsid w:val="001673DF"/>
    <w:rsid w:val="001677DF"/>
    <w:rsid w:val="00170CF2"/>
    <w:rsid w:val="00171268"/>
    <w:rsid w:val="0017149A"/>
    <w:rsid w:val="00173E61"/>
    <w:rsid w:val="00180E23"/>
    <w:rsid w:val="00180FA4"/>
    <w:rsid w:val="00181436"/>
    <w:rsid w:val="00183844"/>
    <w:rsid w:val="001867A3"/>
    <w:rsid w:val="001877A1"/>
    <w:rsid w:val="00191545"/>
    <w:rsid w:val="00192079"/>
    <w:rsid w:val="0019320A"/>
    <w:rsid w:val="0019570A"/>
    <w:rsid w:val="00197C5D"/>
    <w:rsid w:val="00197D28"/>
    <w:rsid w:val="001A0666"/>
    <w:rsid w:val="001A1274"/>
    <w:rsid w:val="001A32C8"/>
    <w:rsid w:val="001A49F2"/>
    <w:rsid w:val="001A4F97"/>
    <w:rsid w:val="001A7073"/>
    <w:rsid w:val="001A7116"/>
    <w:rsid w:val="001B0C2A"/>
    <w:rsid w:val="001B2115"/>
    <w:rsid w:val="001B27C5"/>
    <w:rsid w:val="001B44F0"/>
    <w:rsid w:val="001B5C66"/>
    <w:rsid w:val="001B73F2"/>
    <w:rsid w:val="001C011B"/>
    <w:rsid w:val="001C13AC"/>
    <w:rsid w:val="001C1968"/>
    <w:rsid w:val="001C2260"/>
    <w:rsid w:val="001C7804"/>
    <w:rsid w:val="001D09FB"/>
    <w:rsid w:val="001D3509"/>
    <w:rsid w:val="001D4F8C"/>
    <w:rsid w:val="001D66EF"/>
    <w:rsid w:val="001D6B38"/>
    <w:rsid w:val="001E16AD"/>
    <w:rsid w:val="001E6583"/>
    <w:rsid w:val="001F09B9"/>
    <w:rsid w:val="001F1061"/>
    <w:rsid w:val="001F366A"/>
    <w:rsid w:val="001F64A4"/>
    <w:rsid w:val="001F6F36"/>
    <w:rsid w:val="001F785C"/>
    <w:rsid w:val="00200EFB"/>
    <w:rsid w:val="002022A4"/>
    <w:rsid w:val="0020245F"/>
    <w:rsid w:val="002025C4"/>
    <w:rsid w:val="002067C4"/>
    <w:rsid w:val="00206B8E"/>
    <w:rsid w:val="002075AD"/>
    <w:rsid w:val="00216D1B"/>
    <w:rsid w:val="00220916"/>
    <w:rsid w:val="00220F19"/>
    <w:rsid w:val="00221E9F"/>
    <w:rsid w:val="00222BD6"/>
    <w:rsid w:val="002242B3"/>
    <w:rsid w:val="00224F59"/>
    <w:rsid w:val="00226973"/>
    <w:rsid w:val="00227139"/>
    <w:rsid w:val="002279EC"/>
    <w:rsid w:val="00227C20"/>
    <w:rsid w:val="00230031"/>
    <w:rsid w:val="002351EA"/>
    <w:rsid w:val="00235D4A"/>
    <w:rsid w:val="002432D4"/>
    <w:rsid w:val="0024409E"/>
    <w:rsid w:val="00244629"/>
    <w:rsid w:val="00244730"/>
    <w:rsid w:val="00244756"/>
    <w:rsid w:val="002464A9"/>
    <w:rsid w:val="002465AC"/>
    <w:rsid w:val="00250026"/>
    <w:rsid w:val="0025319B"/>
    <w:rsid w:val="0025429D"/>
    <w:rsid w:val="0025460B"/>
    <w:rsid w:val="00255179"/>
    <w:rsid w:val="00255EE7"/>
    <w:rsid w:val="00260C0D"/>
    <w:rsid w:val="00261F09"/>
    <w:rsid w:val="00264BE9"/>
    <w:rsid w:val="0026591B"/>
    <w:rsid w:val="002674A3"/>
    <w:rsid w:val="00271AD0"/>
    <w:rsid w:val="00271E13"/>
    <w:rsid w:val="00272213"/>
    <w:rsid w:val="002727D5"/>
    <w:rsid w:val="00272F11"/>
    <w:rsid w:val="002734DC"/>
    <w:rsid w:val="00273BB1"/>
    <w:rsid w:val="00274BD0"/>
    <w:rsid w:val="00276357"/>
    <w:rsid w:val="00277A72"/>
    <w:rsid w:val="00280692"/>
    <w:rsid w:val="00284418"/>
    <w:rsid w:val="0028443A"/>
    <w:rsid w:val="00286EDA"/>
    <w:rsid w:val="00290C80"/>
    <w:rsid w:val="00290FD6"/>
    <w:rsid w:val="002919C2"/>
    <w:rsid w:val="00291EA8"/>
    <w:rsid w:val="0029265E"/>
    <w:rsid w:val="00292C7B"/>
    <w:rsid w:val="00292DDF"/>
    <w:rsid w:val="00292FF8"/>
    <w:rsid w:val="00293313"/>
    <w:rsid w:val="00293892"/>
    <w:rsid w:val="00295C2E"/>
    <w:rsid w:val="00296D67"/>
    <w:rsid w:val="002A0203"/>
    <w:rsid w:val="002A0D7F"/>
    <w:rsid w:val="002A1BD1"/>
    <w:rsid w:val="002A2CB8"/>
    <w:rsid w:val="002A3273"/>
    <w:rsid w:val="002A3886"/>
    <w:rsid w:val="002B1B6A"/>
    <w:rsid w:val="002B1D60"/>
    <w:rsid w:val="002B3D72"/>
    <w:rsid w:val="002B490E"/>
    <w:rsid w:val="002B4957"/>
    <w:rsid w:val="002B4B02"/>
    <w:rsid w:val="002B5CE0"/>
    <w:rsid w:val="002B611F"/>
    <w:rsid w:val="002B6E7D"/>
    <w:rsid w:val="002B7543"/>
    <w:rsid w:val="002B7C4C"/>
    <w:rsid w:val="002C0859"/>
    <w:rsid w:val="002C0919"/>
    <w:rsid w:val="002C1068"/>
    <w:rsid w:val="002C2843"/>
    <w:rsid w:val="002C2A57"/>
    <w:rsid w:val="002C2D95"/>
    <w:rsid w:val="002C3B61"/>
    <w:rsid w:val="002C3DB1"/>
    <w:rsid w:val="002C4377"/>
    <w:rsid w:val="002C4EF1"/>
    <w:rsid w:val="002C5071"/>
    <w:rsid w:val="002C5617"/>
    <w:rsid w:val="002C5CAA"/>
    <w:rsid w:val="002C72D7"/>
    <w:rsid w:val="002D0FBC"/>
    <w:rsid w:val="002D3F78"/>
    <w:rsid w:val="002D58D5"/>
    <w:rsid w:val="002D6BC3"/>
    <w:rsid w:val="002D6D9F"/>
    <w:rsid w:val="002D753D"/>
    <w:rsid w:val="002E1680"/>
    <w:rsid w:val="002E4B1F"/>
    <w:rsid w:val="002F162D"/>
    <w:rsid w:val="002F1A31"/>
    <w:rsid w:val="002F4EA8"/>
    <w:rsid w:val="002F53CB"/>
    <w:rsid w:val="002F5717"/>
    <w:rsid w:val="00301A6C"/>
    <w:rsid w:val="00304010"/>
    <w:rsid w:val="003048E3"/>
    <w:rsid w:val="00305D60"/>
    <w:rsid w:val="00306B6E"/>
    <w:rsid w:val="003071F8"/>
    <w:rsid w:val="003101C6"/>
    <w:rsid w:val="003115D7"/>
    <w:rsid w:val="00311874"/>
    <w:rsid w:val="00314020"/>
    <w:rsid w:val="0031423A"/>
    <w:rsid w:val="00316A78"/>
    <w:rsid w:val="00316DBA"/>
    <w:rsid w:val="00321BA1"/>
    <w:rsid w:val="003225A5"/>
    <w:rsid w:val="00325132"/>
    <w:rsid w:val="0032536B"/>
    <w:rsid w:val="00325872"/>
    <w:rsid w:val="003324D3"/>
    <w:rsid w:val="00332F87"/>
    <w:rsid w:val="003338A4"/>
    <w:rsid w:val="00333EE3"/>
    <w:rsid w:val="0033493D"/>
    <w:rsid w:val="00337F0C"/>
    <w:rsid w:val="00344821"/>
    <w:rsid w:val="00344A68"/>
    <w:rsid w:val="00345C20"/>
    <w:rsid w:val="00347F41"/>
    <w:rsid w:val="003508AC"/>
    <w:rsid w:val="0035225E"/>
    <w:rsid w:val="00352CF0"/>
    <w:rsid w:val="00354414"/>
    <w:rsid w:val="00356495"/>
    <w:rsid w:val="00356796"/>
    <w:rsid w:val="003578FA"/>
    <w:rsid w:val="003651B1"/>
    <w:rsid w:val="00365AC6"/>
    <w:rsid w:val="00365BC5"/>
    <w:rsid w:val="00365D95"/>
    <w:rsid w:val="003671D6"/>
    <w:rsid w:val="00371332"/>
    <w:rsid w:val="00373EC1"/>
    <w:rsid w:val="003770FD"/>
    <w:rsid w:val="00377D8B"/>
    <w:rsid w:val="00386137"/>
    <w:rsid w:val="00391E15"/>
    <w:rsid w:val="00392694"/>
    <w:rsid w:val="00393422"/>
    <w:rsid w:val="0039381C"/>
    <w:rsid w:val="00393F09"/>
    <w:rsid w:val="003A2114"/>
    <w:rsid w:val="003A29B0"/>
    <w:rsid w:val="003A3670"/>
    <w:rsid w:val="003A3DE6"/>
    <w:rsid w:val="003A494F"/>
    <w:rsid w:val="003A54CC"/>
    <w:rsid w:val="003A5C4D"/>
    <w:rsid w:val="003A671A"/>
    <w:rsid w:val="003A6ABB"/>
    <w:rsid w:val="003A76BA"/>
    <w:rsid w:val="003B1496"/>
    <w:rsid w:val="003B1B92"/>
    <w:rsid w:val="003B1B9D"/>
    <w:rsid w:val="003B241F"/>
    <w:rsid w:val="003B3271"/>
    <w:rsid w:val="003B3D57"/>
    <w:rsid w:val="003B405E"/>
    <w:rsid w:val="003B4C76"/>
    <w:rsid w:val="003B518A"/>
    <w:rsid w:val="003B72BC"/>
    <w:rsid w:val="003C0716"/>
    <w:rsid w:val="003C0777"/>
    <w:rsid w:val="003C0D2A"/>
    <w:rsid w:val="003C15F9"/>
    <w:rsid w:val="003C4417"/>
    <w:rsid w:val="003C7369"/>
    <w:rsid w:val="003D1945"/>
    <w:rsid w:val="003D1C5A"/>
    <w:rsid w:val="003D22E1"/>
    <w:rsid w:val="003D258A"/>
    <w:rsid w:val="003D2E11"/>
    <w:rsid w:val="003D3D24"/>
    <w:rsid w:val="003D679C"/>
    <w:rsid w:val="003E12E1"/>
    <w:rsid w:val="003E5FDF"/>
    <w:rsid w:val="003F0A60"/>
    <w:rsid w:val="003F166A"/>
    <w:rsid w:val="003F1980"/>
    <w:rsid w:val="003F2D83"/>
    <w:rsid w:val="003F3126"/>
    <w:rsid w:val="003F49E2"/>
    <w:rsid w:val="003F66B5"/>
    <w:rsid w:val="003F7418"/>
    <w:rsid w:val="003F748C"/>
    <w:rsid w:val="0040021E"/>
    <w:rsid w:val="004022BD"/>
    <w:rsid w:val="00403A1B"/>
    <w:rsid w:val="00405272"/>
    <w:rsid w:val="0040539F"/>
    <w:rsid w:val="00405EFD"/>
    <w:rsid w:val="00406257"/>
    <w:rsid w:val="00410A58"/>
    <w:rsid w:val="00412455"/>
    <w:rsid w:val="00417035"/>
    <w:rsid w:val="004204C8"/>
    <w:rsid w:val="00421211"/>
    <w:rsid w:val="004220D5"/>
    <w:rsid w:val="0042414D"/>
    <w:rsid w:val="00424314"/>
    <w:rsid w:val="004262D1"/>
    <w:rsid w:val="00426F66"/>
    <w:rsid w:val="00431574"/>
    <w:rsid w:val="00432CEF"/>
    <w:rsid w:val="0043302D"/>
    <w:rsid w:val="00433C24"/>
    <w:rsid w:val="00434C6F"/>
    <w:rsid w:val="004357E5"/>
    <w:rsid w:val="00437021"/>
    <w:rsid w:val="004401C8"/>
    <w:rsid w:val="004406B4"/>
    <w:rsid w:val="00440E95"/>
    <w:rsid w:val="00440E9D"/>
    <w:rsid w:val="00441121"/>
    <w:rsid w:val="00443227"/>
    <w:rsid w:val="00444668"/>
    <w:rsid w:val="00444C27"/>
    <w:rsid w:val="00444F79"/>
    <w:rsid w:val="00445425"/>
    <w:rsid w:val="00447B66"/>
    <w:rsid w:val="004511B8"/>
    <w:rsid w:val="00452DB7"/>
    <w:rsid w:val="00453FB8"/>
    <w:rsid w:val="00454159"/>
    <w:rsid w:val="004554C8"/>
    <w:rsid w:val="00455BD0"/>
    <w:rsid w:val="00460666"/>
    <w:rsid w:val="004638D6"/>
    <w:rsid w:val="00464F30"/>
    <w:rsid w:val="00466DAF"/>
    <w:rsid w:val="0046701B"/>
    <w:rsid w:val="004672D6"/>
    <w:rsid w:val="00471158"/>
    <w:rsid w:val="0047156D"/>
    <w:rsid w:val="004715AD"/>
    <w:rsid w:val="00471EB5"/>
    <w:rsid w:val="00476D7E"/>
    <w:rsid w:val="0047789D"/>
    <w:rsid w:val="00482437"/>
    <w:rsid w:val="00483DE3"/>
    <w:rsid w:val="004869CF"/>
    <w:rsid w:val="0049081D"/>
    <w:rsid w:val="00492243"/>
    <w:rsid w:val="00493ADB"/>
    <w:rsid w:val="00493B2F"/>
    <w:rsid w:val="00494AFD"/>
    <w:rsid w:val="00495960"/>
    <w:rsid w:val="00495F81"/>
    <w:rsid w:val="004960F0"/>
    <w:rsid w:val="00496A7A"/>
    <w:rsid w:val="00497660"/>
    <w:rsid w:val="004A3840"/>
    <w:rsid w:val="004A5697"/>
    <w:rsid w:val="004A5D14"/>
    <w:rsid w:val="004A6413"/>
    <w:rsid w:val="004A7AE1"/>
    <w:rsid w:val="004A7D9C"/>
    <w:rsid w:val="004A7E40"/>
    <w:rsid w:val="004B2EE9"/>
    <w:rsid w:val="004B392C"/>
    <w:rsid w:val="004B3CBF"/>
    <w:rsid w:val="004B4D19"/>
    <w:rsid w:val="004B4EDE"/>
    <w:rsid w:val="004B54C0"/>
    <w:rsid w:val="004B619C"/>
    <w:rsid w:val="004C1184"/>
    <w:rsid w:val="004C2AFD"/>
    <w:rsid w:val="004C3BD2"/>
    <w:rsid w:val="004C43AD"/>
    <w:rsid w:val="004C48D9"/>
    <w:rsid w:val="004C5BA8"/>
    <w:rsid w:val="004C6BDF"/>
    <w:rsid w:val="004C7EB0"/>
    <w:rsid w:val="004D1803"/>
    <w:rsid w:val="004D2852"/>
    <w:rsid w:val="004D2A83"/>
    <w:rsid w:val="004D2E6B"/>
    <w:rsid w:val="004D2F15"/>
    <w:rsid w:val="004D3A4A"/>
    <w:rsid w:val="004D4BAF"/>
    <w:rsid w:val="004D4FEA"/>
    <w:rsid w:val="004D5932"/>
    <w:rsid w:val="004D64CD"/>
    <w:rsid w:val="004D76B3"/>
    <w:rsid w:val="004E0AB0"/>
    <w:rsid w:val="004E13C4"/>
    <w:rsid w:val="004E19F0"/>
    <w:rsid w:val="004E2E28"/>
    <w:rsid w:val="004E3383"/>
    <w:rsid w:val="004E4718"/>
    <w:rsid w:val="004E4CD6"/>
    <w:rsid w:val="004E5CCA"/>
    <w:rsid w:val="004E5D2E"/>
    <w:rsid w:val="004F00C0"/>
    <w:rsid w:val="004F0ACD"/>
    <w:rsid w:val="004F0F30"/>
    <w:rsid w:val="004F1DE7"/>
    <w:rsid w:val="004F2C07"/>
    <w:rsid w:val="004F30EA"/>
    <w:rsid w:val="004F31A8"/>
    <w:rsid w:val="004F3B0A"/>
    <w:rsid w:val="004F42D9"/>
    <w:rsid w:val="004F4BD5"/>
    <w:rsid w:val="004F5BFA"/>
    <w:rsid w:val="004F6366"/>
    <w:rsid w:val="00500173"/>
    <w:rsid w:val="005020C4"/>
    <w:rsid w:val="00503E23"/>
    <w:rsid w:val="00507B8A"/>
    <w:rsid w:val="00512A5F"/>
    <w:rsid w:val="00512BE8"/>
    <w:rsid w:val="00512F96"/>
    <w:rsid w:val="005135CC"/>
    <w:rsid w:val="005146C5"/>
    <w:rsid w:val="0051472B"/>
    <w:rsid w:val="005147C5"/>
    <w:rsid w:val="00515E2C"/>
    <w:rsid w:val="00516A6D"/>
    <w:rsid w:val="005206BC"/>
    <w:rsid w:val="00521B97"/>
    <w:rsid w:val="00522DFF"/>
    <w:rsid w:val="00523DE8"/>
    <w:rsid w:val="00524783"/>
    <w:rsid w:val="00525ACD"/>
    <w:rsid w:val="00526569"/>
    <w:rsid w:val="00526D69"/>
    <w:rsid w:val="00531678"/>
    <w:rsid w:val="00533092"/>
    <w:rsid w:val="00535DF3"/>
    <w:rsid w:val="00536FCB"/>
    <w:rsid w:val="00540D7F"/>
    <w:rsid w:val="005418B7"/>
    <w:rsid w:val="00544462"/>
    <w:rsid w:val="00545C7C"/>
    <w:rsid w:val="0054688D"/>
    <w:rsid w:val="0054707F"/>
    <w:rsid w:val="0054764E"/>
    <w:rsid w:val="005504A1"/>
    <w:rsid w:val="00550A89"/>
    <w:rsid w:val="00551BE2"/>
    <w:rsid w:val="00551BF0"/>
    <w:rsid w:val="00553A93"/>
    <w:rsid w:val="005600C3"/>
    <w:rsid w:val="005618ED"/>
    <w:rsid w:val="005625FE"/>
    <w:rsid w:val="00564471"/>
    <w:rsid w:val="0056487A"/>
    <w:rsid w:val="0056546D"/>
    <w:rsid w:val="00565828"/>
    <w:rsid w:val="00566677"/>
    <w:rsid w:val="0057030E"/>
    <w:rsid w:val="005728EC"/>
    <w:rsid w:val="00572EEC"/>
    <w:rsid w:val="005731A3"/>
    <w:rsid w:val="0057504F"/>
    <w:rsid w:val="00577C5D"/>
    <w:rsid w:val="00583219"/>
    <w:rsid w:val="0058365E"/>
    <w:rsid w:val="005838A6"/>
    <w:rsid w:val="00585485"/>
    <w:rsid w:val="0058627E"/>
    <w:rsid w:val="005868E2"/>
    <w:rsid w:val="00591376"/>
    <w:rsid w:val="00591A84"/>
    <w:rsid w:val="005923E1"/>
    <w:rsid w:val="005925A9"/>
    <w:rsid w:val="00592FC9"/>
    <w:rsid w:val="00593EBA"/>
    <w:rsid w:val="005A0B6B"/>
    <w:rsid w:val="005A18CB"/>
    <w:rsid w:val="005A2BB6"/>
    <w:rsid w:val="005A2FD6"/>
    <w:rsid w:val="005A3561"/>
    <w:rsid w:val="005A4F91"/>
    <w:rsid w:val="005A5729"/>
    <w:rsid w:val="005A5BD0"/>
    <w:rsid w:val="005A6459"/>
    <w:rsid w:val="005A69D6"/>
    <w:rsid w:val="005A6E2C"/>
    <w:rsid w:val="005A6FCB"/>
    <w:rsid w:val="005A73E4"/>
    <w:rsid w:val="005A7A7A"/>
    <w:rsid w:val="005B0B0F"/>
    <w:rsid w:val="005B1106"/>
    <w:rsid w:val="005B1AA5"/>
    <w:rsid w:val="005B1F76"/>
    <w:rsid w:val="005B2263"/>
    <w:rsid w:val="005B2509"/>
    <w:rsid w:val="005B2B4B"/>
    <w:rsid w:val="005B2F98"/>
    <w:rsid w:val="005B39CF"/>
    <w:rsid w:val="005B6F77"/>
    <w:rsid w:val="005B7417"/>
    <w:rsid w:val="005D24BF"/>
    <w:rsid w:val="005D549E"/>
    <w:rsid w:val="005D73BF"/>
    <w:rsid w:val="005D7712"/>
    <w:rsid w:val="005E0804"/>
    <w:rsid w:val="005E10A4"/>
    <w:rsid w:val="005E1FAD"/>
    <w:rsid w:val="005E29D4"/>
    <w:rsid w:val="005E2F9C"/>
    <w:rsid w:val="005E3464"/>
    <w:rsid w:val="005E3ABC"/>
    <w:rsid w:val="005E52E3"/>
    <w:rsid w:val="005E65E1"/>
    <w:rsid w:val="005F0731"/>
    <w:rsid w:val="005F0CED"/>
    <w:rsid w:val="005F11A9"/>
    <w:rsid w:val="005F41EA"/>
    <w:rsid w:val="005F5584"/>
    <w:rsid w:val="005F5779"/>
    <w:rsid w:val="005F598A"/>
    <w:rsid w:val="00600882"/>
    <w:rsid w:val="00602376"/>
    <w:rsid w:val="006047DC"/>
    <w:rsid w:val="0060488E"/>
    <w:rsid w:val="0060537A"/>
    <w:rsid w:val="00606DAC"/>
    <w:rsid w:val="00607365"/>
    <w:rsid w:val="006108F0"/>
    <w:rsid w:val="0061218A"/>
    <w:rsid w:val="006123EE"/>
    <w:rsid w:val="00612609"/>
    <w:rsid w:val="00614917"/>
    <w:rsid w:val="00615C3E"/>
    <w:rsid w:val="00616AAC"/>
    <w:rsid w:val="00617618"/>
    <w:rsid w:val="00617865"/>
    <w:rsid w:val="00617F87"/>
    <w:rsid w:val="00620B34"/>
    <w:rsid w:val="00622D88"/>
    <w:rsid w:val="00622EB3"/>
    <w:rsid w:val="00626B97"/>
    <w:rsid w:val="00626D6A"/>
    <w:rsid w:val="00626EF2"/>
    <w:rsid w:val="006272DF"/>
    <w:rsid w:val="006302D8"/>
    <w:rsid w:val="00630727"/>
    <w:rsid w:val="00630789"/>
    <w:rsid w:val="00631302"/>
    <w:rsid w:val="0063174D"/>
    <w:rsid w:val="00631CB3"/>
    <w:rsid w:val="00631DA1"/>
    <w:rsid w:val="00633934"/>
    <w:rsid w:val="00634643"/>
    <w:rsid w:val="006358C3"/>
    <w:rsid w:val="00642DEC"/>
    <w:rsid w:val="006432C4"/>
    <w:rsid w:val="006462B0"/>
    <w:rsid w:val="00646D33"/>
    <w:rsid w:val="006476C5"/>
    <w:rsid w:val="00652ABD"/>
    <w:rsid w:val="00653323"/>
    <w:rsid w:val="00654414"/>
    <w:rsid w:val="006548B4"/>
    <w:rsid w:val="006551DE"/>
    <w:rsid w:val="00655F02"/>
    <w:rsid w:val="00656093"/>
    <w:rsid w:val="00656153"/>
    <w:rsid w:val="006564BB"/>
    <w:rsid w:val="006565E2"/>
    <w:rsid w:val="00656961"/>
    <w:rsid w:val="00657532"/>
    <w:rsid w:val="0065773B"/>
    <w:rsid w:val="00657C10"/>
    <w:rsid w:val="0066150F"/>
    <w:rsid w:val="00662B7E"/>
    <w:rsid w:val="00664D23"/>
    <w:rsid w:val="00665CE4"/>
    <w:rsid w:val="00666279"/>
    <w:rsid w:val="0066748D"/>
    <w:rsid w:val="00667E8F"/>
    <w:rsid w:val="00667F9D"/>
    <w:rsid w:val="006708AF"/>
    <w:rsid w:val="00670DEA"/>
    <w:rsid w:val="006736A3"/>
    <w:rsid w:val="00674F31"/>
    <w:rsid w:val="00675DFB"/>
    <w:rsid w:val="00675F98"/>
    <w:rsid w:val="0067727A"/>
    <w:rsid w:val="00681BC7"/>
    <w:rsid w:val="00686EF8"/>
    <w:rsid w:val="00687D79"/>
    <w:rsid w:val="00690637"/>
    <w:rsid w:val="00690BE1"/>
    <w:rsid w:val="00691795"/>
    <w:rsid w:val="00692709"/>
    <w:rsid w:val="00692ED9"/>
    <w:rsid w:val="00693DA8"/>
    <w:rsid w:val="00695B33"/>
    <w:rsid w:val="00696AB0"/>
    <w:rsid w:val="00697061"/>
    <w:rsid w:val="006A04BF"/>
    <w:rsid w:val="006A11F7"/>
    <w:rsid w:val="006A3204"/>
    <w:rsid w:val="006A3767"/>
    <w:rsid w:val="006A389C"/>
    <w:rsid w:val="006A3B93"/>
    <w:rsid w:val="006A3DEA"/>
    <w:rsid w:val="006A43CD"/>
    <w:rsid w:val="006A43D1"/>
    <w:rsid w:val="006A5064"/>
    <w:rsid w:val="006A5394"/>
    <w:rsid w:val="006A59C7"/>
    <w:rsid w:val="006A787F"/>
    <w:rsid w:val="006B037A"/>
    <w:rsid w:val="006B51E8"/>
    <w:rsid w:val="006B596A"/>
    <w:rsid w:val="006B74F6"/>
    <w:rsid w:val="006B7628"/>
    <w:rsid w:val="006C0BE9"/>
    <w:rsid w:val="006C14B3"/>
    <w:rsid w:val="006C238E"/>
    <w:rsid w:val="006C23F6"/>
    <w:rsid w:val="006C5BF8"/>
    <w:rsid w:val="006C62EB"/>
    <w:rsid w:val="006D1174"/>
    <w:rsid w:val="006D238C"/>
    <w:rsid w:val="006D4565"/>
    <w:rsid w:val="006D6227"/>
    <w:rsid w:val="006D7EC7"/>
    <w:rsid w:val="006E110E"/>
    <w:rsid w:val="006E23B2"/>
    <w:rsid w:val="006E4316"/>
    <w:rsid w:val="006E4412"/>
    <w:rsid w:val="006E55FC"/>
    <w:rsid w:val="006E6730"/>
    <w:rsid w:val="006E7373"/>
    <w:rsid w:val="006F17FC"/>
    <w:rsid w:val="006F1A0D"/>
    <w:rsid w:val="006F2F2C"/>
    <w:rsid w:val="006F3D25"/>
    <w:rsid w:val="006F6742"/>
    <w:rsid w:val="00701C20"/>
    <w:rsid w:val="00702178"/>
    <w:rsid w:val="00702D84"/>
    <w:rsid w:val="007035A7"/>
    <w:rsid w:val="00703718"/>
    <w:rsid w:val="00703A07"/>
    <w:rsid w:val="00706047"/>
    <w:rsid w:val="00706E80"/>
    <w:rsid w:val="00711600"/>
    <w:rsid w:val="00711CA2"/>
    <w:rsid w:val="00712712"/>
    <w:rsid w:val="007127E3"/>
    <w:rsid w:val="00712F95"/>
    <w:rsid w:val="007137C7"/>
    <w:rsid w:val="00715090"/>
    <w:rsid w:val="00716B50"/>
    <w:rsid w:val="00716EDB"/>
    <w:rsid w:val="007206A0"/>
    <w:rsid w:val="00721CD8"/>
    <w:rsid w:val="00722703"/>
    <w:rsid w:val="00723E88"/>
    <w:rsid w:val="00725188"/>
    <w:rsid w:val="0072571E"/>
    <w:rsid w:val="00725C26"/>
    <w:rsid w:val="0072729D"/>
    <w:rsid w:val="00730548"/>
    <w:rsid w:val="00731C30"/>
    <w:rsid w:val="00732ABA"/>
    <w:rsid w:val="007332A1"/>
    <w:rsid w:val="00733490"/>
    <w:rsid w:val="00734F47"/>
    <w:rsid w:val="00735D76"/>
    <w:rsid w:val="00736688"/>
    <w:rsid w:val="007401DC"/>
    <w:rsid w:val="0074047B"/>
    <w:rsid w:val="00743C69"/>
    <w:rsid w:val="00744E20"/>
    <w:rsid w:val="00745D57"/>
    <w:rsid w:val="00746A76"/>
    <w:rsid w:val="00746B7C"/>
    <w:rsid w:val="007508B7"/>
    <w:rsid w:val="00750D09"/>
    <w:rsid w:val="0075122D"/>
    <w:rsid w:val="007525C5"/>
    <w:rsid w:val="0075356C"/>
    <w:rsid w:val="0075607E"/>
    <w:rsid w:val="00760642"/>
    <w:rsid w:val="00761191"/>
    <w:rsid w:val="00766256"/>
    <w:rsid w:val="0076659D"/>
    <w:rsid w:val="00770931"/>
    <w:rsid w:val="00771497"/>
    <w:rsid w:val="007755F4"/>
    <w:rsid w:val="007806B5"/>
    <w:rsid w:val="00780CB0"/>
    <w:rsid w:val="00783221"/>
    <w:rsid w:val="00784A26"/>
    <w:rsid w:val="00784CF0"/>
    <w:rsid w:val="00784DE2"/>
    <w:rsid w:val="0078757A"/>
    <w:rsid w:val="00787D52"/>
    <w:rsid w:val="0079231A"/>
    <w:rsid w:val="00795B20"/>
    <w:rsid w:val="00795DF3"/>
    <w:rsid w:val="00797341"/>
    <w:rsid w:val="0079771A"/>
    <w:rsid w:val="007A0096"/>
    <w:rsid w:val="007A4F74"/>
    <w:rsid w:val="007A5785"/>
    <w:rsid w:val="007B0F8C"/>
    <w:rsid w:val="007B20EE"/>
    <w:rsid w:val="007B4185"/>
    <w:rsid w:val="007B548D"/>
    <w:rsid w:val="007B711F"/>
    <w:rsid w:val="007C1806"/>
    <w:rsid w:val="007C1B22"/>
    <w:rsid w:val="007C375F"/>
    <w:rsid w:val="007C452F"/>
    <w:rsid w:val="007C52A8"/>
    <w:rsid w:val="007C53E8"/>
    <w:rsid w:val="007C5AD5"/>
    <w:rsid w:val="007C6908"/>
    <w:rsid w:val="007C6A68"/>
    <w:rsid w:val="007C7091"/>
    <w:rsid w:val="007C7AD3"/>
    <w:rsid w:val="007D02C0"/>
    <w:rsid w:val="007D344D"/>
    <w:rsid w:val="007D42E3"/>
    <w:rsid w:val="007D4F64"/>
    <w:rsid w:val="007D5538"/>
    <w:rsid w:val="007D5ABB"/>
    <w:rsid w:val="007F21DA"/>
    <w:rsid w:val="007F7820"/>
    <w:rsid w:val="007F78E4"/>
    <w:rsid w:val="007F7EB5"/>
    <w:rsid w:val="0080360C"/>
    <w:rsid w:val="00803EDE"/>
    <w:rsid w:val="0080601E"/>
    <w:rsid w:val="00806204"/>
    <w:rsid w:val="00807BCE"/>
    <w:rsid w:val="00810812"/>
    <w:rsid w:val="0081595C"/>
    <w:rsid w:val="0081608E"/>
    <w:rsid w:val="00817946"/>
    <w:rsid w:val="00820598"/>
    <w:rsid w:val="0082154F"/>
    <w:rsid w:val="00821B64"/>
    <w:rsid w:val="00821E4E"/>
    <w:rsid w:val="008227C5"/>
    <w:rsid w:val="008259BF"/>
    <w:rsid w:val="008266F2"/>
    <w:rsid w:val="008271DA"/>
    <w:rsid w:val="008307B7"/>
    <w:rsid w:val="008317AF"/>
    <w:rsid w:val="00835E9E"/>
    <w:rsid w:val="00837502"/>
    <w:rsid w:val="00840775"/>
    <w:rsid w:val="008438D1"/>
    <w:rsid w:val="008449B1"/>
    <w:rsid w:val="00844CBC"/>
    <w:rsid w:val="008458C7"/>
    <w:rsid w:val="008501E3"/>
    <w:rsid w:val="00851BCD"/>
    <w:rsid w:val="00852400"/>
    <w:rsid w:val="00852AD0"/>
    <w:rsid w:val="00852CD8"/>
    <w:rsid w:val="008545E7"/>
    <w:rsid w:val="008554B7"/>
    <w:rsid w:val="00856A03"/>
    <w:rsid w:val="00856A28"/>
    <w:rsid w:val="00861D96"/>
    <w:rsid w:val="00862178"/>
    <w:rsid w:val="008654D4"/>
    <w:rsid w:val="00865BC1"/>
    <w:rsid w:val="00866293"/>
    <w:rsid w:val="0086647B"/>
    <w:rsid w:val="00867AD1"/>
    <w:rsid w:val="008709C5"/>
    <w:rsid w:val="00872B06"/>
    <w:rsid w:val="00872E49"/>
    <w:rsid w:val="008751E1"/>
    <w:rsid w:val="00881F00"/>
    <w:rsid w:val="008835A9"/>
    <w:rsid w:val="0088405C"/>
    <w:rsid w:val="00885048"/>
    <w:rsid w:val="0088530B"/>
    <w:rsid w:val="00892440"/>
    <w:rsid w:val="00892575"/>
    <w:rsid w:val="00892C47"/>
    <w:rsid w:val="008936E0"/>
    <w:rsid w:val="00894316"/>
    <w:rsid w:val="00894F97"/>
    <w:rsid w:val="00895010"/>
    <w:rsid w:val="00895EFC"/>
    <w:rsid w:val="00895F46"/>
    <w:rsid w:val="008961D2"/>
    <w:rsid w:val="008A0BB4"/>
    <w:rsid w:val="008A0F02"/>
    <w:rsid w:val="008A157B"/>
    <w:rsid w:val="008A1EA0"/>
    <w:rsid w:val="008A2BAC"/>
    <w:rsid w:val="008A2E8F"/>
    <w:rsid w:val="008A5400"/>
    <w:rsid w:val="008A7294"/>
    <w:rsid w:val="008B4905"/>
    <w:rsid w:val="008B561A"/>
    <w:rsid w:val="008B7934"/>
    <w:rsid w:val="008B7994"/>
    <w:rsid w:val="008C065E"/>
    <w:rsid w:val="008C231B"/>
    <w:rsid w:val="008C3540"/>
    <w:rsid w:val="008C3E16"/>
    <w:rsid w:val="008C62A0"/>
    <w:rsid w:val="008D3FFE"/>
    <w:rsid w:val="008D4FF7"/>
    <w:rsid w:val="008D57CB"/>
    <w:rsid w:val="008D5CF4"/>
    <w:rsid w:val="008D6E6E"/>
    <w:rsid w:val="008E1429"/>
    <w:rsid w:val="008E18BC"/>
    <w:rsid w:val="008E2054"/>
    <w:rsid w:val="008E41B0"/>
    <w:rsid w:val="008E4E50"/>
    <w:rsid w:val="008E4FF8"/>
    <w:rsid w:val="008E5728"/>
    <w:rsid w:val="008E5D48"/>
    <w:rsid w:val="008E5D8E"/>
    <w:rsid w:val="008E645B"/>
    <w:rsid w:val="008E6551"/>
    <w:rsid w:val="008F0A7E"/>
    <w:rsid w:val="008F0FC4"/>
    <w:rsid w:val="008F1A3A"/>
    <w:rsid w:val="008F4F4F"/>
    <w:rsid w:val="0090081F"/>
    <w:rsid w:val="00901762"/>
    <w:rsid w:val="009020E7"/>
    <w:rsid w:val="009041DC"/>
    <w:rsid w:val="009041FF"/>
    <w:rsid w:val="00905ACF"/>
    <w:rsid w:val="00906953"/>
    <w:rsid w:val="00906E2A"/>
    <w:rsid w:val="00906EC7"/>
    <w:rsid w:val="009074DC"/>
    <w:rsid w:val="00907830"/>
    <w:rsid w:val="009142A9"/>
    <w:rsid w:val="00915542"/>
    <w:rsid w:val="00915B2A"/>
    <w:rsid w:val="009161A7"/>
    <w:rsid w:val="0091674B"/>
    <w:rsid w:val="00916BED"/>
    <w:rsid w:val="009205F3"/>
    <w:rsid w:val="00921380"/>
    <w:rsid w:val="00925295"/>
    <w:rsid w:val="00930514"/>
    <w:rsid w:val="00930ABC"/>
    <w:rsid w:val="009315B7"/>
    <w:rsid w:val="00933146"/>
    <w:rsid w:val="0093474C"/>
    <w:rsid w:val="00935571"/>
    <w:rsid w:val="00936A2A"/>
    <w:rsid w:val="00936F7D"/>
    <w:rsid w:val="009402EF"/>
    <w:rsid w:val="009449D0"/>
    <w:rsid w:val="009455D0"/>
    <w:rsid w:val="009475AD"/>
    <w:rsid w:val="0095102F"/>
    <w:rsid w:val="00951910"/>
    <w:rsid w:val="0095309A"/>
    <w:rsid w:val="009566E1"/>
    <w:rsid w:val="00957C23"/>
    <w:rsid w:val="00960509"/>
    <w:rsid w:val="00960BA8"/>
    <w:rsid w:val="00961067"/>
    <w:rsid w:val="00961106"/>
    <w:rsid w:val="009631D2"/>
    <w:rsid w:val="0096343C"/>
    <w:rsid w:val="00963DDB"/>
    <w:rsid w:val="0096626A"/>
    <w:rsid w:val="0097034B"/>
    <w:rsid w:val="009703AF"/>
    <w:rsid w:val="00970F25"/>
    <w:rsid w:val="00974AD4"/>
    <w:rsid w:val="00977E20"/>
    <w:rsid w:val="00980524"/>
    <w:rsid w:val="00982381"/>
    <w:rsid w:val="00983168"/>
    <w:rsid w:val="0098599E"/>
    <w:rsid w:val="0098688C"/>
    <w:rsid w:val="00987249"/>
    <w:rsid w:val="009914CA"/>
    <w:rsid w:val="00991AF4"/>
    <w:rsid w:val="009924FB"/>
    <w:rsid w:val="00992C4E"/>
    <w:rsid w:val="009931FF"/>
    <w:rsid w:val="009A050E"/>
    <w:rsid w:val="009A1993"/>
    <w:rsid w:val="009A27ED"/>
    <w:rsid w:val="009A396E"/>
    <w:rsid w:val="009A5222"/>
    <w:rsid w:val="009A5670"/>
    <w:rsid w:val="009A62C8"/>
    <w:rsid w:val="009A64D7"/>
    <w:rsid w:val="009A6813"/>
    <w:rsid w:val="009A6A87"/>
    <w:rsid w:val="009A70D2"/>
    <w:rsid w:val="009A74DA"/>
    <w:rsid w:val="009B2BFA"/>
    <w:rsid w:val="009B3169"/>
    <w:rsid w:val="009B3C15"/>
    <w:rsid w:val="009B4BE5"/>
    <w:rsid w:val="009B61EB"/>
    <w:rsid w:val="009C16F2"/>
    <w:rsid w:val="009C2C5B"/>
    <w:rsid w:val="009C3B2E"/>
    <w:rsid w:val="009C574E"/>
    <w:rsid w:val="009C7832"/>
    <w:rsid w:val="009D250B"/>
    <w:rsid w:val="009D2653"/>
    <w:rsid w:val="009D2B22"/>
    <w:rsid w:val="009D4DAF"/>
    <w:rsid w:val="009D74F2"/>
    <w:rsid w:val="009E12DB"/>
    <w:rsid w:val="009E1E8F"/>
    <w:rsid w:val="009E471C"/>
    <w:rsid w:val="009E5903"/>
    <w:rsid w:val="009E6338"/>
    <w:rsid w:val="009E6F9A"/>
    <w:rsid w:val="009E7B38"/>
    <w:rsid w:val="009F1287"/>
    <w:rsid w:val="009F173F"/>
    <w:rsid w:val="009F25C4"/>
    <w:rsid w:val="009F337B"/>
    <w:rsid w:val="009F3C8A"/>
    <w:rsid w:val="009F601E"/>
    <w:rsid w:val="009F755C"/>
    <w:rsid w:val="00A00D32"/>
    <w:rsid w:val="00A0379B"/>
    <w:rsid w:val="00A05951"/>
    <w:rsid w:val="00A05A81"/>
    <w:rsid w:val="00A10437"/>
    <w:rsid w:val="00A1067D"/>
    <w:rsid w:val="00A10C79"/>
    <w:rsid w:val="00A12A1F"/>
    <w:rsid w:val="00A13C73"/>
    <w:rsid w:val="00A1471F"/>
    <w:rsid w:val="00A15B76"/>
    <w:rsid w:val="00A172B5"/>
    <w:rsid w:val="00A21892"/>
    <w:rsid w:val="00A21BF8"/>
    <w:rsid w:val="00A22243"/>
    <w:rsid w:val="00A22D79"/>
    <w:rsid w:val="00A22EB2"/>
    <w:rsid w:val="00A23955"/>
    <w:rsid w:val="00A2409F"/>
    <w:rsid w:val="00A276A8"/>
    <w:rsid w:val="00A3286C"/>
    <w:rsid w:val="00A329A2"/>
    <w:rsid w:val="00A35349"/>
    <w:rsid w:val="00A36FB6"/>
    <w:rsid w:val="00A4132F"/>
    <w:rsid w:val="00A43C76"/>
    <w:rsid w:val="00A44828"/>
    <w:rsid w:val="00A448C7"/>
    <w:rsid w:val="00A45CA8"/>
    <w:rsid w:val="00A4751A"/>
    <w:rsid w:val="00A475C0"/>
    <w:rsid w:val="00A520C5"/>
    <w:rsid w:val="00A52A9B"/>
    <w:rsid w:val="00A53131"/>
    <w:rsid w:val="00A54492"/>
    <w:rsid w:val="00A563BB"/>
    <w:rsid w:val="00A60EA5"/>
    <w:rsid w:val="00A62DF0"/>
    <w:rsid w:val="00A63146"/>
    <w:rsid w:val="00A631E8"/>
    <w:rsid w:val="00A64107"/>
    <w:rsid w:val="00A66E9D"/>
    <w:rsid w:val="00A705C7"/>
    <w:rsid w:val="00A70DED"/>
    <w:rsid w:val="00A7104F"/>
    <w:rsid w:val="00A7149C"/>
    <w:rsid w:val="00A71590"/>
    <w:rsid w:val="00A71BF3"/>
    <w:rsid w:val="00A72E00"/>
    <w:rsid w:val="00A730C4"/>
    <w:rsid w:val="00A73CE2"/>
    <w:rsid w:val="00A749D1"/>
    <w:rsid w:val="00A75398"/>
    <w:rsid w:val="00A75F2F"/>
    <w:rsid w:val="00A7621C"/>
    <w:rsid w:val="00A8090F"/>
    <w:rsid w:val="00A80CD1"/>
    <w:rsid w:val="00A80E85"/>
    <w:rsid w:val="00A81FA4"/>
    <w:rsid w:val="00A82F32"/>
    <w:rsid w:val="00A84FDA"/>
    <w:rsid w:val="00A87308"/>
    <w:rsid w:val="00A875CC"/>
    <w:rsid w:val="00A9162B"/>
    <w:rsid w:val="00A919F9"/>
    <w:rsid w:val="00A91BBE"/>
    <w:rsid w:val="00A91DA3"/>
    <w:rsid w:val="00A935FD"/>
    <w:rsid w:val="00AA1BEF"/>
    <w:rsid w:val="00AA1DEC"/>
    <w:rsid w:val="00AA1EE9"/>
    <w:rsid w:val="00AA22EE"/>
    <w:rsid w:val="00AA32DE"/>
    <w:rsid w:val="00AA747F"/>
    <w:rsid w:val="00AB077B"/>
    <w:rsid w:val="00AB1C7E"/>
    <w:rsid w:val="00AC2281"/>
    <w:rsid w:val="00AC264F"/>
    <w:rsid w:val="00AC348C"/>
    <w:rsid w:val="00AC457A"/>
    <w:rsid w:val="00AC53B8"/>
    <w:rsid w:val="00AC5678"/>
    <w:rsid w:val="00AC6541"/>
    <w:rsid w:val="00AC7928"/>
    <w:rsid w:val="00AD0995"/>
    <w:rsid w:val="00AD129C"/>
    <w:rsid w:val="00AD47A9"/>
    <w:rsid w:val="00AD536E"/>
    <w:rsid w:val="00AD54A9"/>
    <w:rsid w:val="00AD5BC5"/>
    <w:rsid w:val="00AD60E5"/>
    <w:rsid w:val="00AD74AA"/>
    <w:rsid w:val="00AD7919"/>
    <w:rsid w:val="00AD7B09"/>
    <w:rsid w:val="00AE2415"/>
    <w:rsid w:val="00AE2E41"/>
    <w:rsid w:val="00AE3131"/>
    <w:rsid w:val="00AE3A51"/>
    <w:rsid w:val="00AE6084"/>
    <w:rsid w:val="00AE7040"/>
    <w:rsid w:val="00AE76C6"/>
    <w:rsid w:val="00AF02AD"/>
    <w:rsid w:val="00AF03DC"/>
    <w:rsid w:val="00AF20A3"/>
    <w:rsid w:val="00AF266F"/>
    <w:rsid w:val="00AF2855"/>
    <w:rsid w:val="00AF3022"/>
    <w:rsid w:val="00AF7091"/>
    <w:rsid w:val="00AF7487"/>
    <w:rsid w:val="00B00B5A"/>
    <w:rsid w:val="00B018FC"/>
    <w:rsid w:val="00B01B60"/>
    <w:rsid w:val="00B020DB"/>
    <w:rsid w:val="00B03603"/>
    <w:rsid w:val="00B04FA4"/>
    <w:rsid w:val="00B055D8"/>
    <w:rsid w:val="00B05DBF"/>
    <w:rsid w:val="00B064E9"/>
    <w:rsid w:val="00B07B26"/>
    <w:rsid w:val="00B111D5"/>
    <w:rsid w:val="00B12107"/>
    <w:rsid w:val="00B13681"/>
    <w:rsid w:val="00B14AEB"/>
    <w:rsid w:val="00B15573"/>
    <w:rsid w:val="00B17214"/>
    <w:rsid w:val="00B20919"/>
    <w:rsid w:val="00B21A65"/>
    <w:rsid w:val="00B233AC"/>
    <w:rsid w:val="00B2593D"/>
    <w:rsid w:val="00B2596A"/>
    <w:rsid w:val="00B25B35"/>
    <w:rsid w:val="00B26029"/>
    <w:rsid w:val="00B30312"/>
    <w:rsid w:val="00B30971"/>
    <w:rsid w:val="00B30B35"/>
    <w:rsid w:val="00B313A3"/>
    <w:rsid w:val="00B32230"/>
    <w:rsid w:val="00B344B5"/>
    <w:rsid w:val="00B34B0F"/>
    <w:rsid w:val="00B35D6B"/>
    <w:rsid w:val="00B36396"/>
    <w:rsid w:val="00B36590"/>
    <w:rsid w:val="00B3732D"/>
    <w:rsid w:val="00B37331"/>
    <w:rsid w:val="00B374C5"/>
    <w:rsid w:val="00B42ABF"/>
    <w:rsid w:val="00B436BB"/>
    <w:rsid w:val="00B442CD"/>
    <w:rsid w:val="00B44C4B"/>
    <w:rsid w:val="00B50907"/>
    <w:rsid w:val="00B51384"/>
    <w:rsid w:val="00B52FA9"/>
    <w:rsid w:val="00B5315B"/>
    <w:rsid w:val="00B55F4A"/>
    <w:rsid w:val="00B56BFB"/>
    <w:rsid w:val="00B56F18"/>
    <w:rsid w:val="00B577B3"/>
    <w:rsid w:val="00B605AA"/>
    <w:rsid w:val="00B6124E"/>
    <w:rsid w:val="00B633CF"/>
    <w:rsid w:val="00B63CEB"/>
    <w:rsid w:val="00B645A1"/>
    <w:rsid w:val="00B64EE4"/>
    <w:rsid w:val="00B65C9B"/>
    <w:rsid w:val="00B6603B"/>
    <w:rsid w:val="00B67B26"/>
    <w:rsid w:val="00B70F4F"/>
    <w:rsid w:val="00B71FE1"/>
    <w:rsid w:val="00B72D64"/>
    <w:rsid w:val="00B73F50"/>
    <w:rsid w:val="00B74A8D"/>
    <w:rsid w:val="00B74BF1"/>
    <w:rsid w:val="00B81285"/>
    <w:rsid w:val="00B81339"/>
    <w:rsid w:val="00B817FC"/>
    <w:rsid w:val="00B81F18"/>
    <w:rsid w:val="00B851B4"/>
    <w:rsid w:val="00B85B45"/>
    <w:rsid w:val="00B86028"/>
    <w:rsid w:val="00B86363"/>
    <w:rsid w:val="00B90114"/>
    <w:rsid w:val="00B91095"/>
    <w:rsid w:val="00B92C95"/>
    <w:rsid w:val="00B93821"/>
    <w:rsid w:val="00B94D0B"/>
    <w:rsid w:val="00B964F4"/>
    <w:rsid w:val="00BA001D"/>
    <w:rsid w:val="00BA0B2E"/>
    <w:rsid w:val="00BA20A0"/>
    <w:rsid w:val="00BA3982"/>
    <w:rsid w:val="00BA3F00"/>
    <w:rsid w:val="00BA403F"/>
    <w:rsid w:val="00BA6385"/>
    <w:rsid w:val="00BA6E7B"/>
    <w:rsid w:val="00BB14C1"/>
    <w:rsid w:val="00BB1799"/>
    <w:rsid w:val="00BB7414"/>
    <w:rsid w:val="00BC31F6"/>
    <w:rsid w:val="00BC4ABD"/>
    <w:rsid w:val="00BC546C"/>
    <w:rsid w:val="00BC6334"/>
    <w:rsid w:val="00BC7B6F"/>
    <w:rsid w:val="00BD011B"/>
    <w:rsid w:val="00BD19C6"/>
    <w:rsid w:val="00BD1A20"/>
    <w:rsid w:val="00BD30FC"/>
    <w:rsid w:val="00BD4D61"/>
    <w:rsid w:val="00BD4F4F"/>
    <w:rsid w:val="00BD5216"/>
    <w:rsid w:val="00BD6D83"/>
    <w:rsid w:val="00BD7200"/>
    <w:rsid w:val="00BD721B"/>
    <w:rsid w:val="00BE0506"/>
    <w:rsid w:val="00BE2272"/>
    <w:rsid w:val="00BE3BEC"/>
    <w:rsid w:val="00BE3F16"/>
    <w:rsid w:val="00BE4007"/>
    <w:rsid w:val="00BE645C"/>
    <w:rsid w:val="00BE7D64"/>
    <w:rsid w:val="00BE7D70"/>
    <w:rsid w:val="00BF02C8"/>
    <w:rsid w:val="00BF0ADA"/>
    <w:rsid w:val="00BF0B52"/>
    <w:rsid w:val="00BF1BD3"/>
    <w:rsid w:val="00BF25DB"/>
    <w:rsid w:val="00BF3837"/>
    <w:rsid w:val="00BF5213"/>
    <w:rsid w:val="00C00854"/>
    <w:rsid w:val="00C01F56"/>
    <w:rsid w:val="00C02920"/>
    <w:rsid w:val="00C044EF"/>
    <w:rsid w:val="00C04ED5"/>
    <w:rsid w:val="00C057D0"/>
    <w:rsid w:val="00C06847"/>
    <w:rsid w:val="00C0787D"/>
    <w:rsid w:val="00C10CE7"/>
    <w:rsid w:val="00C12152"/>
    <w:rsid w:val="00C14A66"/>
    <w:rsid w:val="00C14FB3"/>
    <w:rsid w:val="00C1583F"/>
    <w:rsid w:val="00C1718F"/>
    <w:rsid w:val="00C17C1D"/>
    <w:rsid w:val="00C20365"/>
    <w:rsid w:val="00C2214A"/>
    <w:rsid w:val="00C23560"/>
    <w:rsid w:val="00C2386F"/>
    <w:rsid w:val="00C24F8A"/>
    <w:rsid w:val="00C25484"/>
    <w:rsid w:val="00C2675B"/>
    <w:rsid w:val="00C26D28"/>
    <w:rsid w:val="00C3054B"/>
    <w:rsid w:val="00C30EE2"/>
    <w:rsid w:val="00C3349F"/>
    <w:rsid w:val="00C339FF"/>
    <w:rsid w:val="00C346AF"/>
    <w:rsid w:val="00C34ECE"/>
    <w:rsid w:val="00C36ABE"/>
    <w:rsid w:val="00C37548"/>
    <w:rsid w:val="00C37F27"/>
    <w:rsid w:val="00C400FF"/>
    <w:rsid w:val="00C42A4B"/>
    <w:rsid w:val="00C45508"/>
    <w:rsid w:val="00C459A1"/>
    <w:rsid w:val="00C463BC"/>
    <w:rsid w:val="00C5014E"/>
    <w:rsid w:val="00C502F9"/>
    <w:rsid w:val="00C53A10"/>
    <w:rsid w:val="00C55BE8"/>
    <w:rsid w:val="00C56481"/>
    <w:rsid w:val="00C56528"/>
    <w:rsid w:val="00C57D02"/>
    <w:rsid w:val="00C601F7"/>
    <w:rsid w:val="00C6037A"/>
    <w:rsid w:val="00C603E3"/>
    <w:rsid w:val="00C605F5"/>
    <w:rsid w:val="00C6143C"/>
    <w:rsid w:val="00C625A5"/>
    <w:rsid w:val="00C62771"/>
    <w:rsid w:val="00C62DDE"/>
    <w:rsid w:val="00C66156"/>
    <w:rsid w:val="00C678AA"/>
    <w:rsid w:val="00C70468"/>
    <w:rsid w:val="00C71C6E"/>
    <w:rsid w:val="00C71D66"/>
    <w:rsid w:val="00C7211E"/>
    <w:rsid w:val="00C72669"/>
    <w:rsid w:val="00C7421A"/>
    <w:rsid w:val="00C74DCE"/>
    <w:rsid w:val="00C75757"/>
    <w:rsid w:val="00C76068"/>
    <w:rsid w:val="00C76429"/>
    <w:rsid w:val="00C806AF"/>
    <w:rsid w:val="00C8157D"/>
    <w:rsid w:val="00C84088"/>
    <w:rsid w:val="00C84390"/>
    <w:rsid w:val="00C846CB"/>
    <w:rsid w:val="00C84A03"/>
    <w:rsid w:val="00C84EE4"/>
    <w:rsid w:val="00C84F4B"/>
    <w:rsid w:val="00C874CB"/>
    <w:rsid w:val="00C91538"/>
    <w:rsid w:val="00C91F19"/>
    <w:rsid w:val="00C9201D"/>
    <w:rsid w:val="00C9375A"/>
    <w:rsid w:val="00C93E48"/>
    <w:rsid w:val="00C943CA"/>
    <w:rsid w:val="00C9521A"/>
    <w:rsid w:val="00C957C1"/>
    <w:rsid w:val="00C97EBC"/>
    <w:rsid w:val="00CA1361"/>
    <w:rsid w:val="00CA150F"/>
    <w:rsid w:val="00CA2986"/>
    <w:rsid w:val="00CA4769"/>
    <w:rsid w:val="00CA4A6A"/>
    <w:rsid w:val="00CA4D3F"/>
    <w:rsid w:val="00CA5870"/>
    <w:rsid w:val="00CA6CD9"/>
    <w:rsid w:val="00CB12DC"/>
    <w:rsid w:val="00CB17D9"/>
    <w:rsid w:val="00CB383C"/>
    <w:rsid w:val="00CB69AF"/>
    <w:rsid w:val="00CB7C96"/>
    <w:rsid w:val="00CC285D"/>
    <w:rsid w:val="00CC495D"/>
    <w:rsid w:val="00CC5928"/>
    <w:rsid w:val="00CD04E0"/>
    <w:rsid w:val="00CD10B6"/>
    <w:rsid w:val="00CD1587"/>
    <w:rsid w:val="00CD29CF"/>
    <w:rsid w:val="00CD3455"/>
    <w:rsid w:val="00CD3808"/>
    <w:rsid w:val="00CD4DBC"/>
    <w:rsid w:val="00CD544E"/>
    <w:rsid w:val="00CD6471"/>
    <w:rsid w:val="00CE19E0"/>
    <w:rsid w:val="00CE2583"/>
    <w:rsid w:val="00CE2E47"/>
    <w:rsid w:val="00CE5BA0"/>
    <w:rsid w:val="00CE6B1E"/>
    <w:rsid w:val="00CF135B"/>
    <w:rsid w:val="00CF16C4"/>
    <w:rsid w:val="00CF1BED"/>
    <w:rsid w:val="00CF23FC"/>
    <w:rsid w:val="00CF3DD8"/>
    <w:rsid w:val="00CF5008"/>
    <w:rsid w:val="00CF50CD"/>
    <w:rsid w:val="00CF5A4C"/>
    <w:rsid w:val="00D01646"/>
    <w:rsid w:val="00D039F1"/>
    <w:rsid w:val="00D03AFF"/>
    <w:rsid w:val="00D07B68"/>
    <w:rsid w:val="00D1117D"/>
    <w:rsid w:val="00D11A33"/>
    <w:rsid w:val="00D11CF6"/>
    <w:rsid w:val="00D12984"/>
    <w:rsid w:val="00D13199"/>
    <w:rsid w:val="00D140F6"/>
    <w:rsid w:val="00D149D2"/>
    <w:rsid w:val="00D15C5B"/>
    <w:rsid w:val="00D15CB8"/>
    <w:rsid w:val="00D20094"/>
    <w:rsid w:val="00D20EB2"/>
    <w:rsid w:val="00D21AA1"/>
    <w:rsid w:val="00D25265"/>
    <w:rsid w:val="00D25573"/>
    <w:rsid w:val="00D3032C"/>
    <w:rsid w:val="00D33271"/>
    <w:rsid w:val="00D3753A"/>
    <w:rsid w:val="00D37FB3"/>
    <w:rsid w:val="00D4078A"/>
    <w:rsid w:val="00D40F4F"/>
    <w:rsid w:val="00D413DF"/>
    <w:rsid w:val="00D41E42"/>
    <w:rsid w:val="00D440E0"/>
    <w:rsid w:val="00D45456"/>
    <w:rsid w:val="00D454D5"/>
    <w:rsid w:val="00D5046A"/>
    <w:rsid w:val="00D5049E"/>
    <w:rsid w:val="00D50A53"/>
    <w:rsid w:val="00D51CD8"/>
    <w:rsid w:val="00D53231"/>
    <w:rsid w:val="00D5383C"/>
    <w:rsid w:val="00D53C15"/>
    <w:rsid w:val="00D53EF1"/>
    <w:rsid w:val="00D54923"/>
    <w:rsid w:val="00D54976"/>
    <w:rsid w:val="00D54F18"/>
    <w:rsid w:val="00D5525D"/>
    <w:rsid w:val="00D563A3"/>
    <w:rsid w:val="00D577A7"/>
    <w:rsid w:val="00D60745"/>
    <w:rsid w:val="00D649A7"/>
    <w:rsid w:val="00D67791"/>
    <w:rsid w:val="00D72144"/>
    <w:rsid w:val="00D7528F"/>
    <w:rsid w:val="00D7536B"/>
    <w:rsid w:val="00D75E1E"/>
    <w:rsid w:val="00D75F4B"/>
    <w:rsid w:val="00D7660B"/>
    <w:rsid w:val="00D80223"/>
    <w:rsid w:val="00D81EBE"/>
    <w:rsid w:val="00D83169"/>
    <w:rsid w:val="00D8494A"/>
    <w:rsid w:val="00D8574B"/>
    <w:rsid w:val="00D9041A"/>
    <w:rsid w:val="00D906D2"/>
    <w:rsid w:val="00D92677"/>
    <w:rsid w:val="00D92EBB"/>
    <w:rsid w:val="00D93AD9"/>
    <w:rsid w:val="00D94B6A"/>
    <w:rsid w:val="00D957E2"/>
    <w:rsid w:val="00D95D63"/>
    <w:rsid w:val="00D95F8B"/>
    <w:rsid w:val="00D9607E"/>
    <w:rsid w:val="00D97130"/>
    <w:rsid w:val="00D97758"/>
    <w:rsid w:val="00DA0352"/>
    <w:rsid w:val="00DA1835"/>
    <w:rsid w:val="00DA23C1"/>
    <w:rsid w:val="00DA4F10"/>
    <w:rsid w:val="00DB1312"/>
    <w:rsid w:val="00DB474E"/>
    <w:rsid w:val="00DB674B"/>
    <w:rsid w:val="00DB7BF8"/>
    <w:rsid w:val="00DC100F"/>
    <w:rsid w:val="00DC41D0"/>
    <w:rsid w:val="00DD36E2"/>
    <w:rsid w:val="00DD5651"/>
    <w:rsid w:val="00DD75D8"/>
    <w:rsid w:val="00DD7DD9"/>
    <w:rsid w:val="00DE2BD2"/>
    <w:rsid w:val="00DE37FA"/>
    <w:rsid w:val="00DE4287"/>
    <w:rsid w:val="00DE4F44"/>
    <w:rsid w:val="00DE5F1B"/>
    <w:rsid w:val="00DE6432"/>
    <w:rsid w:val="00DE73AF"/>
    <w:rsid w:val="00DF105F"/>
    <w:rsid w:val="00DF18E3"/>
    <w:rsid w:val="00DF51A0"/>
    <w:rsid w:val="00DF5B63"/>
    <w:rsid w:val="00DF5C16"/>
    <w:rsid w:val="00DF5E56"/>
    <w:rsid w:val="00DF609F"/>
    <w:rsid w:val="00DF725A"/>
    <w:rsid w:val="00DF73C2"/>
    <w:rsid w:val="00DF7AC3"/>
    <w:rsid w:val="00E01043"/>
    <w:rsid w:val="00E026A1"/>
    <w:rsid w:val="00E03073"/>
    <w:rsid w:val="00E03369"/>
    <w:rsid w:val="00E052C0"/>
    <w:rsid w:val="00E0601C"/>
    <w:rsid w:val="00E07025"/>
    <w:rsid w:val="00E10902"/>
    <w:rsid w:val="00E10D31"/>
    <w:rsid w:val="00E119F0"/>
    <w:rsid w:val="00E11A2C"/>
    <w:rsid w:val="00E1259F"/>
    <w:rsid w:val="00E14190"/>
    <w:rsid w:val="00E15D73"/>
    <w:rsid w:val="00E16DAA"/>
    <w:rsid w:val="00E20BC0"/>
    <w:rsid w:val="00E21EA8"/>
    <w:rsid w:val="00E23373"/>
    <w:rsid w:val="00E24DD7"/>
    <w:rsid w:val="00E251B6"/>
    <w:rsid w:val="00E2588B"/>
    <w:rsid w:val="00E25F52"/>
    <w:rsid w:val="00E26325"/>
    <w:rsid w:val="00E276A9"/>
    <w:rsid w:val="00E307B9"/>
    <w:rsid w:val="00E32598"/>
    <w:rsid w:val="00E33221"/>
    <w:rsid w:val="00E345A6"/>
    <w:rsid w:val="00E40719"/>
    <w:rsid w:val="00E41EFF"/>
    <w:rsid w:val="00E42C10"/>
    <w:rsid w:val="00E44912"/>
    <w:rsid w:val="00E45731"/>
    <w:rsid w:val="00E45EFC"/>
    <w:rsid w:val="00E46F1E"/>
    <w:rsid w:val="00E471ED"/>
    <w:rsid w:val="00E47B83"/>
    <w:rsid w:val="00E47F3C"/>
    <w:rsid w:val="00E50004"/>
    <w:rsid w:val="00E50195"/>
    <w:rsid w:val="00E501BF"/>
    <w:rsid w:val="00E51F10"/>
    <w:rsid w:val="00E536FB"/>
    <w:rsid w:val="00E53818"/>
    <w:rsid w:val="00E53999"/>
    <w:rsid w:val="00E55218"/>
    <w:rsid w:val="00E55B0C"/>
    <w:rsid w:val="00E55FA2"/>
    <w:rsid w:val="00E576C7"/>
    <w:rsid w:val="00E615B6"/>
    <w:rsid w:val="00E61AF1"/>
    <w:rsid w:val="00E62F64"/>
    <w:rsid w:val="00E63730"/>
    <w:rsid w:val="00E63DD6"/>
    <w:rsid w:val="00E6490F"/>
    <w:rsid w:val="00E6552A"/>
    <w:rsid w:val="00E65AFF"/>
    <w:rsid w:val="00E65E73"/>
    <w:rsid w:val="00E670EC"/>
    <w:rsid w:val="00E70D31"/>
    <w:rsid w:val="00E71AB3"/>
    <w:rsid w:val="00E721A0"/>
    <w:rsid w:val="00E7274C"/>
    <w:rsid w:val="00E7311A"/>
    <w:rsid w:val="00E73DA5"/>
    <w:rsid w:val="00E747D8"/>
    <w:rsid w:val="00E7481B"/>
    <w:rsid w:val="00E76268"/>
    <w:rsid w:val="00E76A48"/>
    <w:rsid w:val="00E82B2A"/>
    <w:rsid w:val="00E846D2"/>
    <w:rsid w:val="00E85C87"/>
    <w:rsid w:val="00E86C0F"/>
    <w:rsid w:val="00E91E80"/>
    <w:rsid w:val="00E92929"/>
    <w:rsid w:val="00E93C99"/>
    <w:rsid w:val="00E93DFB"/>
    <w:rsid w:val="00E94F72"/>
    <w:rsid w:val="00E95122"/>
    <w:rsid w:val="00E95284"/>
    <w:rsid w:val="00E956E5"/>
    <w:rsid w:val="00E96E01"/>
    <w:rsid w:val="00E9753D"/>
    <w:rsid w:val="00E97601"/>
    <w:rsid w:val="00EA08CA"/>
    <w:rsid w:val="00EA111D"/>
    <w:rsid w:val="00EA374B"/>
    <w:rsid w:val="00EA37B5"/>
    <w:rsid w:val="00EA4AD0"/>
    <w:rsid w:val="00EA7718"/>
    <w:rsid w:val="00EB3611"/>
    <w:rsid w:val="00EB44DC"/>
    <w:rsid w:val="00EB46CC"/>
    <w:rsid w:val="00EC11A8"/>
    <w:rsid w:val="00EC1932"/>
    <w:rsid w:val="00EC412B"/>
    <w:rsid w:val="00EC779B"/>
    <w:rsid w:val="00ED17E0"/>
    <w:rsid w:val="00ED180F"/>
    <w:rsid w:val="00ED23A6"/>
    <w:rsid w:val="00ED2EEF"/>
    <w:rsid w:val="00ED38C0"/>
    <w:rsid w:val="00ED7571"/>
    <w:rsid w:val="00EE0999"/>
    <w:rsid w:val="00EE1803"/>
    <w:rsid w:val="00EE4792"/>
    <w:rsid w:val="00EE7778"/>
    <w:rsid w:val="00F016C7"/>
    <w:rsid w:val="00F018EA"/>
    <w:rsid w:val="00F02475"/>
    <w:rsid w:val="00F0458B"/>
    <w:rsid w:val="00F04B39"/>
    <w:rsid w:val="00F055A1"/>
    <w:rsid w:val="00F066F6"/>
    <w:rsid w:val="00F070FD"/>
    <w:rsid w:val="00F103D7"/>
    <w:rsid w:val="00F111ED"/>
    <w:rsid w:val="00F12E90"/>
    <w:rsid w:val="00F14FD3"/>
    <w:rsid w:val="00F150C5"/>
    <w:rsid w:val="00F16672"/>
    <w:rsid w:val="00F17B15"/>
    <w:rsid w:val="00F20168"/>
    <w:rsid w:val="00F22808"/>
    <w:rsid w:val="00F22A37"/>
    <w:rsid w:val="00F23E99"/>
    <w:rsid w:val="00F241FD"/>
    <w:rsid w:val="00F24CD6"/>
    <w:rsid w:val="00F256A0"/>
    <w:rsid w:val="00F2617C"/>
    <w:rsid w:val="00F30D68"/>
    <w:rsid w:val="00F3188C"/>
    <w:rsid w:val="00F32D0F"/>
    <w:rsid w:val="00F3326D"/>
    <w:rsid w:val="00F332A2"/>
    <w:rsid w:val="00F33768"/>
    <w:rsid w:val="00F33AD2"/>
    <w:rsid w:val="00F34842"/>
    <w:rsid w:val="00F348F4"/>
    <w:rsid w:val="00F35D29"/>
    <w:rsid w:val="00F36E68"/>
    <w:rsid w:val="00F36F55"/>
    <w:rsid w:val="00F3793D"/>
    <w:rsid w:val="00F4165A"/>
    <w:rsid w:val="00F434F4"/>
    <w:rsid w:val="00F44D8F"/>
    <w:rsid w:val="00F47CE2"/>
    <w:rsid w:val="00F52110"/>
    <w:rsid w:val="00F527F2"/>
    <w:rsid w:val="00F5315D"/>
    <w:rsid w:val="00F5460A"/>
    <w:rsid w:val="00F54FE7"/>
    <w:rsid w:val="00F55044"/>
    <w:rsid w:val="00F576D2"/>
    <w:rsid w:val="00F57F00"/>
    <w:rsid w:val="00F60525"/>
    <w:rsid w:val="00F60566"/>
    <w:rsid w:val="00F60EC9"/>
    <w:rsid w:val="00F61DE6"/>
    <w:rsid w:val="00F62117"/>
    <w:rsid w:val="00F62AB4"/>
    <w:rsid w:val="00F655C7"/>
    <w:rsid w:val="00F67568"/>
    <w:rsid w:val="00F70E49"/>
    <w:rsid w:val="00F7111D"/>
    <w:rsid w:val="00F713B7"/>
    <w:rsid w:val="00F714D0"/>
    <w:rsid w:val="00F717B2"/>
    <w:rsid w:val="00F7207B"/>
    <w:rsid w:val="00F72D97"/>
    <w:rsid w:val="00F73DB1"/>
    <w:rsid w:val="00F75B12"/>
    <w:rsid w:val="00F76882"/>
    <w:rsid w:val="00F77F87"/>
    <w:rsid w:val="00F81C56"/>
    <w:rsid w:val="00F83298"/>
    <w:rsid w:val="00F83EED"/>
    <w:rsid w:val="00F853CF"/>
    <w:rsid w:val="00F864B5"/>
    <w:rsid w:val="00F8698D"/>
    <w:rsid w:val="00F870EB"/>
    <w:rsid w:val="00F900FB"/>
    <w:rsid w:val="00F90CE0"/>
    <w:rsid w:val="00F942C8"/>
    <w:rsid w:val="00F9537C"/>
    <w:rsid w:val="00F956CD"/>
    <w:rsid w:val="00FA045E"/>
    <w:rsid w:val="00FA1C82"/>
    <w:rsid w:val="00FA2563"/>
    <w:rsid w:val="00FA29AD"/>
    <w:rsid w:val="00FA2E26"/>
    <w:rsid w:val="00FA4E28"/>
    <w:rsid w:val="00FA681D"/>
    <w:rsid w:val="00FA78B9"/>
    <w:rsid w:val="00FB099D"/>
    <w:rsid w:val="00FB1BA0"/>
    <w:rsid w:val="00FB1D81"/>
    <w:rsid w:val="00FB2659"/>
    <w:rsid w:val="00FB5C1D"/>
    <w:rsid w:val="00FB62F4"/>
    <w:rsid w:val="00FB65E1"/>
    <w:rsid w:val="00FC0DF6"/>
    <w:rsid w:val="00FC588F"/>
    <w:rsid w:val="00FC625C"/>
    <w:rsid w:val="00FC7DB6"/>
    <w:rsid w:val="00FC7FA1"/>
    <w:rsid w:val="00FD02F9"/>
    <w:rsid w:val="00FD04F4"/>
    <w:rsid w:val="00FD0926"/>
    <w:rsid w:val="00FD0F03"/>
    <w:rsid w:val="00FD28F6"/>
    <w:rsid w:val="00FD334C"/>
    <w:rsid w:val="00FD4503"/>
    <w:rsid w:val="00FD6D78"/>
    <w:rsid w:val="00FD6EF9"/>
    <w:rsid w:val="00FE0A40"/>
    <w:rsid w:val="00FE0CB0"/>
    <w:rsid w:val="00FE1270"/>
    <w:rsid w:val="00FE1A39"/>
    <w:rsid w:val="00FE1A60"/>
    <w:rsid w:val="00FE2DB8"/>
    <w:rsid w:val="00FE355C"/>
    <w:rsid w:val="00FE3BE6"/>
    <w:rsid w:val="00FE4F1D"/>
    <w:rsid w:val="00FE586F"/>
    <w:rsid w:val="00FE5C8C"/>
    <w:rsid w:val="00FE7813"/>
    <w:rsid w:val="00FF11DA"/>
    <w:rsid w:val="00FF122A"/>
    <w:rsid w:val="00FF208D"/>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522576"/>
  <w15:docId w15:val="{9504AED6-E432-4AC7-A7F6-3B958553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A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F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5F81"/>
  </w:style>
  <w:style w:type="paragraph" w:styleId="Footer">
    <w:name w:val="footer"/>
    <w:basedOn w:val="Normal"/>
    <w:link w:val="FooterChar"/>
    <w:uiPriority w:val="99"/>
    <w:unhideWhenUsed/>
    <w:rsid w:val="00495F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5F81"/>
  </w:style>
  <w:style w:type="paragraph" w:styleId="ListParagraph">
    <w:name w:val="List Paragraph"/>
    <w:basedOn w:val="Normal"/>
    <w:uiPriority w:val="34"/>
    <w:qFormat/>
    <w:rsid w:val="00495F81"/>
    <w:pPr>
      <w:ind w:left="720"/>
      <w:contextualSpacing/>
    </w:pPr>
  </w:style>
  <w:style w:type="paragraph" w:styleId="BodyTextIndent">
    <w:name w:val="Body Text Indent"/>
    <w:basedOn w:val="Normal"/>
    <w:link w:val="BodyTextIndentChar"/>
    <w:rsid w:val="00495F81"/>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495F81"/>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495F81"/>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495F81"/>
    <w:rPr>
      <w:rFonts w:ascii="Times New Roman" w:eastAsia="Times New Roman" w:hAnsi="Times New Roman" w:cs="Times New Roman"/>
      <w:sz w:val="24"/>
      <w:szCs w:val="24"/>
      <w:lang w:eastAsia="lv-LV"/>
    </w:rPr>
  </w:style>
  <w:style w:type="paragraph" w:customStyle="1" w:styleId="naisf">
    <w:name w:val="naisf"/>
    <w:basedOn w:val="Normal"/>
    <w:link w:val="naisfChar"/>
    <w:rsid w:val="00495F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495F81"/>
    <w:rPr>
      <w:rFonts w:ascii="Times New Roman" w:eastAsia="Times New Roman" w:hAnsi="Times New Roman" w:cs="Times New Roman"/>
      <w:sz w:val="24"/>
      <w:szCs w:val="24"/>
      <w:lang w:eastAsia="lv-LV"/>
    </w:rPr>
  </w:style>
  <w:style w:type="paragraph" w:styleId="Quote">
    <w:name w:val="Quote"/>
    <w:basedOn w:val="Normal"/>
    <w:next w:val="Normal"/>
    <w:link w:val="QuoteChar"/>
    <w:uiPriority w:val="29"/>
    <w:qFormat/>
    <w:rsid w:val="00495F81"/>
    <w:rPr>
      <w:i/>
      <w:iCs/>
      <w:color w:val="000000" w:themeColor="text1"/>
    </w:rPr>
  </w:style>
  <w:style w:type="character" w:customStyle="1" w:styleId="QuoteChar">
    <w:name w:val="Quote Char"/>
    <w:basedOn w:val="DefaultParagraphFont"/>
    <w:link w:val="Quote"/>
    <w:uiPriority w:val="29"/>
    <w:rsid w:val="00495F81"/>
    <w:rPr>
      <w:i/>
      <w:iCs/>
      <w:color w:val="000000" w:themeColor="text1"/>
    </w:rPr>
  </w:style>
  <w:style w:type="paragraph" w:customStyle="1" w:styleId="naiskr">
    <w:name w:val="naiskr"/>
    <w:basedOn w:val="Normal"/>
    <w:rsid w:val="009331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472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51472B"/>
    <w:rPr>
      <w:rFonts w:ascii="Arial" w:hAnsi="Arial" w:cs="Arial"/>
      <w:sz w:val="16"/>
      <w:szCs w:val="16"/>
    </w:rPr>
  </w:style>
  <w:style w:type="paragraph" w:styleId="NoSpacing">
    <w:name w:val="No Spacing"/>
    <w:uiPriority w:val="1"/>
    <w:qFormat/>
    <w:rsid w:val="008709C5"/>
    <w:pPr>
      <w:spacing w:after="0" w:line="240" w:lineRule="auto"/>
    </w:pPr>
    <w:rPr>
      <w:rFonts w:ascii="Calibri" w:eastAsia="Calibri" w:hAnsi="Calibri" w:cs="Times New Roman"/>
      <w:lang w:val="ru-RU"/>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C, Char"/>
    <w:basedOn w:val="Normal"/>
    <w:link w:val="FootnoteTextChar"/>
    <w:uiPriority w:val="99"/>
    <w:unhideWhenUsed/>
    <w:qFormat/>
    <w:rsid w:val="00BA6385"/>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C Char, Char Char"/>
    <w:basedOn w:val="DefaultParagraphFont"/>
    <w:link w:val="FootnoteText"/>
    <w:uiPriority w:val="99"/>
    <w:rsid w:val="00BA6385"/>
    <w:rPr>
      <w:rFonts w:ascii="Calibri" w:eastAsia="Calibri" w:hAnsi="Calibri" w:cs="Times New Roman"/>
      <w:sz w:val="20"/>
      <w:szCs w:val="20"/>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basedOn w:val="DefaultParagraphFont"/>
    <w:link w:val="CharCharCharChar"/>
    <w:uiPriority w:val="99"/>
    <w:unhideWhenUsed/>
    <w:qFormat/>
    <w:rsid w:val="00BA6385"/>
    <w:rPr>
      <w:vertAlign w:val="superscript"/>
    </w:rPr>
  </w:style>
  <w:style w:type="character" w:styleId="Hyperlink">
    <w:name w:val="Hyperlink"/>
    <w:basedOn w:val="DefaultParagraphFont"/>
    <w:uiPriority w:val="99"/>
    <w:unhideWhenUsed/>
    <w:rsid w:val="00BA6385"/>
    <w:rPr>
      <w:color w:val="0000FF"/>
      <w:u w:val="single"/>
    </w:rPr>
  </w:style>
  <w:style w:type="character" w:customStyle="1" w:styleId="UnresolvedMention1">
    <w:name w:val="Unresolved Mention1"/>
    <w:basedOn w:val="DefaultParagraphFont"/>
    <w:uiPriority w:val="99"/>
    <w:semiHidden/>
    <w:unhideWhenUsed/>
    <w:rsid w:val="006A3B93"/>
    <w:rPr>
      <w:color w:val="605E5C"/>
      <w:shd w:val="clear" w:color="auto" w:fill="E1DFDD"/>
    </w:rPr>
  </w:style>
  <w:style w:type="table" w:styleId="TableGrid">
    <w:name w:val="Table Grid"/>
    <w:basedOn w:val="TableNormal"/>
    <w:uiPriority w:val="59"/>
    <w:rsid w:val="009A6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33AD2"/>
    <w:pPr>
      <w:spacing w:after="120"/>
    </w:pPr>
  </w:style>
  <w:style w:type="character" w:customStyle="1" w:styleId="BodyTextChar">
    <w:name w:val="Body Text Char"/>
    <w:basedOn w:val="DefaultParagraphFont"/>
    <w:link w:val="BodyText"/>
    <w:rsid w:val="00F33AD2"/>
  </w:style>
  <w:style w:type="character" w:styleId="CommentReference">
    <w:name w:val="annotation reference"/>
    <w:basedOn w:val="DefaultParagraphFont"/>
    <w:uiPriority w:val="99"/>
    <w:semiHidden/>
    <w:unhideWhenUsed/>
    <w:rsid w:val="00BB7414"/>
    <w:rPr>
      <w:sz w:val="16"/>
      <w:szCs w:val="16"/>
    </w:rPr>
  </w:style>
  <w:style w:type="paragraph" w:styleId="CommentText">
    <w:name w:val="annotation text"/>
    <w:basedOn w:val="Normal"/>
    <w:link w:val="CommentTextChar"/>
    <w:uiPriority w:val="99"/>
    <w:semiHidden/>
    <w:unhideWhenUsed/>
    <w:rsid w:val="00BB7414"/>
    <w:pPr>
      <w:spacing w:line="240" w:lineRule="auto"/>
    </w:pPr>
    <w:rPr>
      <w:sz w:val="20"/>
      <w:szCs w:val="20"/>
    </w:rPr>
  </w:style>
  <w:style w:type="character" w:customStyle="1" w:styleId="CommentTextChar">
    <w:name w:val="Comment Text Char"/>
    <w:basedOn w:val="DefaultParagraphFont"/>
    <w:link w:val="CommentText"/>
    <w:uiPriority w:val="99"/>
    <w:semiHidden/>
    <w:rsid w:val="00BB7414"/>
    <w:rPr>
      <w:sz w:val="20"/>
      <w:szCs w:val="20"/>
    </w:rPr>
  </w:style>
  <w:style w:type="paragraph" w:styleId="CommentSubject">
    <w:name w:val="annotation subject"/>
    <w:basedOn w:val="CommentText"/>
    <w:next w:val="CommentText"/>
    <w:link w:val="CommentSubjectChar"/>
    <w:uiPriority w:val="99"/>
    <w:semiHidden/>
    <w:unhideWhenUsed/>
    <w:rsid w:val="00BB7414"/>
    <w:rPr>
      <w:b/>
      <w:bCs/>
    </w:rPr>
  </w:style>
  <w:style w:type="character" w:customStyle="1" w:styleId="CommentSubjectChar">
    <w:name w:val="Comment Subject Char"/>
    <w:basedOn w:val="CommentTextChar"/>
    <w:link w:val="CommentSubject"/>
    <w:uiPriority w:val="99"/>
    <w:semiHidden/>
    <w:rsid w:val="00BB7414"/>
    <w:rPr>
      <w:b/>
      <w:bCs/>
      <w:sz w:val="20"/>
      <w:szCs w:val="20"/>
    </w:rPr>
  </w:style>
  <w:style w:type="paragraph" w:customStyle="1" w:styleId="CharCharCharChar">
    <w:name w:val="Char Char Char Char"/>
    <w:aliases w:val="Char2"/>
    <w:basedOn w:val="Normal"/>
    <w:next w:val="Normal"/>
    <w:link w:val="FootnoteReference"/>
    <w:uiPriority w:val="99"/>
    <w:rsid w:val="00E345A6"/>
    <w:pPr>
      <w:spacing w:line="240" w:lineRule="exact"/>
      <w:jc w:val="both"/>
    </w:pPr>
    <w:rPr>
      <w:vertAlign w:val="superscript"/>
    </w:rPr>
  </w:style>
  <w:style w:type="character" w:styleId="UnresolvedMention">
    <w:name w:val="Unresolved Mention"/>
    <w:basedOn w:val="DefaultParagraphFont"/>
    <w:uiPriority w:val="99"/>
    <w:semiHidden/>
    <w:unhideWhenUsed/>
    <w:rsid w:val="00C14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8089">
      <w:bodyDiv w:val="1"/>
      <w:marLeft w:val="0"/>
      <w:marRight w:val="0"/>
      <w:marTop w:val="0"/>
      <w:marBottom w:val="0"/>
      <w:divBdr>
        <w:top w:val="none" w:sz="0" w:space="0" w:color="auto"/>
        <w:left w:val="none" w:sz="0" w:space="0" w:color="auto"/>
        <w:bottom w:val="none" w:sz="0" w:space="0" w:color="auto"/>
        <w:right w:val="none" w:sz="0" w:space="0" w:color="auto"/>
      </w:divBdr>
      <w:divsChild>
        <w:div w:id="752899753">
          <w:marLeft w:val="0"/>
          <w:marRight w:val="0"/>
          <w:marTop w:val="0"/>
          <w:marBottom w:val="0"/>
          <w:divBdr>
            <w:top w:val="none" w:sz="0" w:space="0" w:color="auto"/>
            <w:left w:val="none" w:sz="0" w:space="0" w:color="auto"/>
            <w:bottom w:val="none" w:sz="0" w:space="0" w:color="auto"/>
            <w:right w:val="none" w:sz="0" w:space="0" w:color="auto"/>
          </w:divBdr>
        </w:div>
      </w:divsChild>
    </w:div>
    <w:div w:id="1029254379">
      <w:bodyDiv w:val="1"/>
      <w:marLeft w:val="0"/>
      <w:marRight w:val="0"/>
      <w:marTop w:val="0"/>
      <w:marBottom w:val="0"/>
      <w:divBdr>
        <w:top w:val="none" w:sz="0" w:space="0" w:color="auto"/>
        <w:left w:val="none" w:sz="0" w:space="0" w:color="auto"/>
        <w:bottom w:val="none" w:sz="0" w:space="0" w:color="auto"/>
        <w:right w:val="none" w:sz="0" w:space="0" w:color="auto"/>
      </w:divBdr>
    </w:div>
    <w:div w:id="19594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ga.Lukasenok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B359A-101C-4F52-8403-533B33D1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8340</Words>
  <Characters>4755</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VSNP</vt:lpstr>
      <vt:lpstr>VSNP</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VSNP</dc:title>
  <dc:subject>Anotācija</dc:subject>
  <dc:creator>Aiga Lukašenoka</dc:creator>
  <dc:description>Aiga Lukašenoka 67021691_x000d_
Aiga.Lukasenoka@LM.GOV.LV</dc:description>
  <cp:lastModifiedBy>Zanda Beinare</cp:lastModifiedBy>
  <cp:revision>9</cp:revision>
  <cp:lastPrinted>2019-11-13T12:29:00Z</cp:lastPrinted>
  <dcterms:created xsi:type="dcterms:W3CDTF">2020-12-04T19:09:00Z</dcterms:created>
  <dcterms:modified xsi:type="dcterms:W3CDTF">2020-12-07T12:45:00Z</dcterms:modified>
</cp:coreProperties>
</file>