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6FF" w:rsidRPr="003A66FF" w:rsidRDefault="00DA5170" w:rsidP="003A66FF">
      <w:pPr>
        <w:spacing w:after="0" w:line="240" w:lineRule="auto"/>
        <w:ind w:firstLine="720"/>
        <w:jc w:val="center"/>
        <w:rPr>
          <w:rFonts w:ascii="Times New Roman" w:eastAsia="Times New Roman" w:hAnsi="Times New Roman" w:cs="Times New Roman"/>
          <w:b/>
          <w:bCs/>
          <w:sz w:val="28"/>
          <w:szCs w:val="28"/>
          <w:lang w:eastAsia="lv-LV"/>
        </w:rPr>
      </w:pPr>
      <w:bookmarkStart w:id="0" w:name="_GoBack"/>
      <w:bookmarkEnd w:id="0"/>
      <w:r>
        <w:rPr>
          <w:rFonts w:ascii="Times New Roman" w:eastAsia="Times New Roman" w:hAnsi="Times New Roman" w:cs="Times New Roman"/>
          <w:b/>
          <w:bCs/>
          <w:sz w:val="28"/>
          <w:szCs w:val="28"/>
          <w:lang w:eastAsia="lv-LV"/>
        </w:rPr>
        <w:t xml:space="preserve"> </w:t>
      </w:r>
      <w:r w:rsidR="003A66FF" w:rsidRPr="003A66FF">
        <w:rPr>
          <w:rFonts w:ascii="Times New Roman" w:eastAsia="Times New Roman" w:hAnsi="Times New Roman" w:cs="Times New Roman"/>
          <w:b/>
          <w:bCs/>
          <w:sz w:val="28"/>
          <w:szCs w:val="28"/>
          <w:lang w:eastAsia="lv-LV"/>
        </w:rPr>
        <w:t>Izziņa par atzinumos sniegtajiem iebildumiem</w:t>
      </w:r>
    </w:p>
    <w:p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jc w:val="center"/>
        <w:tblLook w:val="00A0" w:firstRow="1" w:lastRow="0" w:firstColumn="1" w:lastColumn="0" w:noHBand="0" w:noVBand="0"/>
      </w:tblPr>
      <w:tblGrid>
        <w:gridCol w:w="14219"/>
      </w:tblGrid>
      <w:tr w:rsidR="003A66FF" w:rsidRPr="003A66FF" w:rsidTr="00AE250B">
        <w:trPr>
          <w:jc w:val="center"/>
        </w:trPr>
        <w:tc>
          <w:tcPr>
            <w:tcW w:w="5000" w:type="pct"/>
            <w:tcBorders>
              <w:bottom w:val="single" w:sz="6" w:space="0" w:color="000000"/>
            </w:tcBorders>
          </w:tcPr>
          <w:p w:rsidR="001904E8" w:rsidRPr="001904E8" w:rsidRDefault="00395C5F" w:rsidP="001904E8">
            <w:pPr>
              <w:spacing w:beforeAutospacing="1" w:after="0" w:afterAutospacing="1"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Ministru kabineta noteikumu projekts </w:t>
            </w:r>
            <w:r w:rsidR="001904E8" w:rsidRPr="001904E8">
              <w:rPr>
                <w:rFonts w:ascii="Times New Roman" w:eastAsia="Times New Roman" w:hAnsi="Times New Roman" w:cs="Times New Roman"/>
                <w:b/>
                <w:bCs/>
                <w:sz w:val="28"/>
                <w:szCs w:val="28"/>
                <w:lang w:eastAsia="lv-LV"/>
              </w:rPr>
              <w:t>„</w:t>
            </w:r>
            <w:r w:rsidR="00EB43F3">
              <w:rPr>
                <w:rFonts w:ascii="Times New Roman" w:eastAsia="Times New Roman" w:hAnsi="Times New Roman" w:cs="Times New Roman"/>
                <w:b/>
                <w:bCs/>
                <w:sz w:val="28"/>
                <w:szCs w:val="28"/>
                <w:lang w:eastAsia="lv-LV"/>
              </w:rPr>
              <w:t>Grozījumi Ministru kabineta 2007.gada 3</w:t>
            </w:r>
            <w:r w:rsidR="001904E8" w:rsidRPr="001904E8">
              <w:rPr>
                <w:rFonts w:ascii="Times New Roman" w:eastAsia="Times New Roman" w:hAnsi="Times New Roman" w:cs="Times New Roman"/>
                <w:b/>
                <w:bCs/>
                <w:sz w:val="28"/>
                <w:szCs w:val="28"/>
                <w:lang w:eastAsia="lv-LV"/>
              </w:rPr>
              <w:t>.</w:t>
            </w:r>
            <w:r w:rsidR="00EB43F3">
              <w:rPr>
                <w:rFonts w:ascii="Times New Roman" w:eastAsia="Times New Roman" w:hAnsi="Times New Roman" w:cs="Times New Roman"/>
                <w:b/>
                <w:bCs/>
                <w:sz w:val="28"/>
                <w:szCs w:val="28"/>
                <w:lang w:eastAsia="lv-LV"/>
              </w:rPr>
              <w:t>jūlija noteikumos Nr.458</w:t>
            </w:r>
            <w:r w:rsidR="001904E8" w:rsidRPr="001904E8">
              <w:rPr>
                <w:rFonts w:ascii="Times New Roman" w:eastAsia="Times New Roman" w:hAnsi="Times New Roman" w:cs="Times New Roman"/>
                <w:b/>
                <w:bCs/>
                <w:sz w:val="28"/>
                <w:szCs w:val="28"/>
                <w:lang w:eastAsia="lv-LV"/>
              </w:rPr>
              <w:t xml:space="preserve"> „</w:t>
            </w:r>
            <w:r w:rsidR="00EB43F3">
              <w:rPr>
                <w:rFonts w:ascii="Times New Roman" w:eastAsia="Times New Roman" w:hAnsi="Times New Roman" w:cs="Times New Roman"/>
                <w:b/>
                <w:bCs/>
                <w:sz w:val="28"/>
                <w:szCs w:val="28"/>
                <w:lang w:eastAsia="lv-LV"/>
              </w:rPr>
              <w:t>Komersantu – darbiekārtošanas pakalpojumu sniedzēju  licencēšanas un uzraudzības kārtība</w:t>
            </w:r>
            <w:r w:rsidR="001904E8" w:rsidRPr="001904E8">
              <w:rPr>
                <w:rFonts w:ascii="Times New Roman" w:eastAsia="Times New Roman" w:hAnsi="Times New Roman" w:cs="Times New Roman"/>
                <w:b/>
                <w:bCs/>
                <w:sz w:val="28"/>
                <w:szCs w:val="28"/>
                <w:lang w:eastAsia="lv-LV"/>
              </w:rPr>
              <w:t>”</w:t>
            </w:r>
          </w:p>
          <w:p w:rsidR="003A66FF" w:rsidRPr="003A66FF" w:rsidRDefault="003A66FF" w:rsidP="001904E8">
            <w:pPr>
              <w:spacing w:beforeAutospacing="1" w:after="0" w:afterAutospacing="1" w:line="240" w:lineRule="auto"/>
              <w:jc w:val="center"/>
              <w:rPr>
                <w:rFonts w:ascii="Times New Roman" w:eastAsia="Times New Roman" w:hAnsi="Times New Roman" w:cs="Times New Roman"/>
                <w:b/>
                <w:sz w:val="28"/>
                <w:szCs w:val="28"/>
                <w:lang w:eastAsia="lv-LV"/>
              </w:rPr>
            </w:pPr>
          </w:p>
        </w:tc>
      </w:tr>
    </w:tbl>
    <w:p w:rsidR="003A66FF" w:rsidRPr="003A66FF" w:rsidRDefault="003A66FF" w:rsidP="003A66FF">
      <w:pPr>
        <w:spacing w:after="0" w:line="240" w:lineRule="auto"/>
        <w:ind w:firstLine="1080"/>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(dokumenta veids un nosaukums)</w:t>
      </w:r>
    </w:p>
    <w:p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p w:rsidR="003A66FF" w:rsidRPr="003A66FF" w:rsidRDefault="003A66FF" w:rsidP="003A66FF">
      <w:pPr>
        <w:spacing w:after="0" w:line="240" w:lineRule="auto"/>
        <w:jc w:val="center"/>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 Jautājumi, par kuriem saskaņošanā vienošanās nav panākta</w:t>
      </w:r>
    </w:p>
    <w:p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6"/>
        <w:gridCol w:w="3074"/>
        <w:gridCol w:w="3108"/>
        <w:gridCol w:w="2966"/>
        <w:gridCol w:w="2451"/>
        <w:gridCol w:w="1914"/>
      </w:tblGrid>
      <w:tr w:rsidR="003A66FF" w:rsidRPr="003A66FF" w:rsidTr="00AE250B">
        <w:tc>
          <w:tcPr>
            <w:tcW w:w="248" w:type="pct"/>
            <w:tcBorders>
              <w:top w:val="single" w:sz="6" w:space="0" w:color="000000"/>
              <w:left w:val="single" w:sz="6" w:space="0" w:color="000000"/>
              <w:bottom w:val="single" w:sz="6" w:space="0" w:color="000000"/>
              <w:right w:val="single" w:sz="6" w:space="0" w:color="000000"/>
            </w:tcBorders>
            <w:vAlign w:val="center"/>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Nr. p.k.</w:t>
            </w:r>
          </w:p>
        </w:tc>
        <w:tc>
          <w:tcPr>
            <w:tcW w:w="1081" w:type="pct"/>
            <w:tcBorders>
              <w:top w:val="single" w:sz="6" w:space="0" w:color="000000"/>
              <w:left w:val="single" w:sz="6" w:space="0" w:color="000000"/>
              <w:bottom w:val="single" w:sz="6" w:space="0" w:color="000000"/>
              <w:right w:val="single" w:sz="6" w:space="0" w:color="000000"/>
            </w:tcBorders>
            <w:vAlign w:val="center"/>
          </w:tcPr>
          <w:p w:rsidR="003A66FF" w:rsidRPr="003A66FF" w:rsidRDefault="003A66FF" w:rsidP="003A66FF">
            <w:pPr>
              <w:spacing w:after="0" w:line="240" w:lineRule="auto"/>
              <w:ind w:firstLine="12"/>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Saskaņošanai nosūtītā projekta redakcija (konkrēta punkta (panta) redakcija)</w:t>
            </w:r>
          </w:p>
        </w:tc>
        <w:tc>
          <w:tcPr>
            <w:tcW w:w="1093" w:type="pct"/>
            <w:tcBorders>
              <w:top w:val="single" w:sz="6" w:space="0" w:color="000000"/>
              <w:left w:val="single" w:sz="6" w:space="0" w:color="000000"/>
              <w:bottom w:val="single" w:sz="6" w:space="0" w:color="000000"/>
              <w:right w:val="single" w:sz="6" w:space="0" w:color="000000"/>
            </w:tcBorders>
            <w:vAlign w:val="center"/>
          </w:tcPr>
          <w:p w:rsidR="003A66FF" w:rsidRPr="003A66FF" w:rsidRDefault="003A66FF" w:rsidP="003A66FF">
            <w:pPr>
              <w:spacing w:after="0" w:line="240" w:lineRule="auto"/>
              <w:ind w:right="3"/>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43" w:type="pct"/>
            <w:tcBorders>
              <w:top w:val="single" w:sz="6" w:space="0" w:color="000000"/>
              <w:left w:val="single" w:sz="6" w:space="0" w:color="000000"/>
              <w:bottom w:val="single" w:sz="6" w:space="0" w:color="000000"/>
              <w:right w:val="single" w:sz="6" w:space="0" w:color="000000"/>
            </w:tcBorders>
            <w:vAlign w:val="center"/>
          </w:tcPr>
          <w:p w:rsidR="003A66FF" w:rsidRPr="003A66FF" w:rsidRDefault="003A66FF" w:rsidP="003A66FF">
            <w:pPr>
              <w:spacing w:after="0" w:line="240" w:lineRule="auto"/>
              <w:ind w:firstLine="21"/>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Atbildīgās ministrijas pamatojums iebilduma noraidījumam</w:t>
            </w:r>
          </w:p>
        </w:tc>
        <w:tc>
          <w:tcPr>
            <w:tcW w:w="862" w:type="pct"/>
            <w:tcBorders>
              <w:top w:val="single" w:sz="4" w:space="0" w:color="auto"/>
              <w:left w:val="single" w:sz="4" w:space="0" w:color="auto"/>
              <w:bottom w:val="single" w:sz="4" w:space="0" w:color="auto"/>
              <w:right w:val="single" w:sz="4" w:space="0" w:color="auto"/>
            </w:tcBorders>
            <w:vAlign w:val="center"/>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673" w:type="pct"/>
            <w:tcBorders>
              <w:top w:val="single" w:sz="4" w:space="0" w:color="auto"/>
              <w:left w:val="single" w:sz="4" w:space="0" w:color="auto"/>
              <w:bottom w:val="single" w:sz="4" w:space="0" w:color="auto"/>
            </w:tcBorders>
            <w:vAlign w:val="center"/>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Projekta attiecīgā punkta (panta) galīgā redakcija</w:t>
            </w:r>
          </w:p>
        </w:tc>
      </w:tr>
      <w:tr w:rsidR="003A66FF" w:rsidRPr="003A66FF" w:rsidTr="00AE250B">
        <w:tc>
          <w:tcPr>
            <w:tcW w:w="248" w:type="pct"/>
            <w:tcBorders>
              <w:top w:val="single" w:sz="6" w:space="0" w:color="000000"/>
              <w:left w:val="single" w:sz="6" w:space="0" w:color="000000"/>
              <w:bottom w:val="single" w:sz="6" w:space="0" w:color="000000"/>
              <w:right w:val="single" w:sz="6" w:space="0" w:color="000000"/>
            </w:tcBorders>
          </w:tcPr>
          <w:p w:rsidR="003A66FF" w:rsidRPr="003A66FF" w:rsidRDefault="003A66FF" w:rsidP="003A66FF">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1</w:t>
            </w:r>
          </w:p>
        </w:tc>
        <w:tc>
          <w:tcPr>
            <w:tcW w:w="1081" w:type="pct"/>
            <w:tcBorders>
              <w:top w:val="single" w:sz="6" w:space="0" w:color="000000"/>
              <w:left w:val="single" w:sz="6" w:space="0" w:color="000000"/>
              <w:bottom w:val="single" w:sz="6" w:space="0" w:color="000000"/>
              <w:right w:val="single" w:sz="6" w:space="0" w:color="000000"/>
            </w:tcBorders>
          </w:tcPr>
          <w:p w:rsidR="003A66FF" w:rsidRPr="003A66FF"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2</w:t>
            </w:r>
          </w:p>
        </w:tc>
        <w:tc>
          <w:tcPr>
            <w:tcW w:w="1093" w:type="pct"/>
            <w:tcBorders>
              <w:top w:val="single" w:sz="6" w:space="0" w:color="000000"/>
              <w:left w:val="single" w:sz="6" w:space="0" w:color="000000"/>
              <w:bottom w:val="single" w:sz="6" w:space="0" w:color="000000"/>
              <w:right w:val="single" w:sz="6" w:space="0" w:color="000000"/>
            </w:tcBorders>
          </w:tcPr>
          <w:p w:rsidR="003A66FF" w:rsidRPr="003A66FF"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3</w:t>
            </w:r>
          </w:p>
        </w:tc>
        <w:tc>
          <w:tcPr>
            <w:tcW w:w="1043" w:type="pct"/>
            <w:tcBorders>
              <w:top w:val="single" w:sz="6" w:space="0" w:color="000000"/>
              <w:left w:val="single" w:sz="6" w:space="0" w:color="000000"/>
              <w:bottom w:val="single" w:sz="6" w:space="0" w:color="000000"/>
              <w:right w:val="single" w:sz="6" w:space="0" w:color="000000"/>
            </w:tcBorders>
          </w:tcPr>
          <w:p w:rsidR="003A66FF" w:rsidRPr="003A66FF" w:rsidRDefault="003A66FF" w:rsidP="003A66FF">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4</w:t>
            </w:r>
          </w:p>
        </w:tc>
        <w:tc>
          <w:tcPr>
            <w:tcW w:w="862" w:type="pct"/>
            <w:tcBorders>
              <w:top w:val="single" w:sz="4" w:space="0" w:color="auto"/>
              <w:left w:val="single" w:sz="4" w:space="0" w:color="auto"/>
              <w:bottom w:val="single" w:sz="4" w:space="0" w:color="auto"/>
              <w:right w:val="single" w:sz="4" w:space="0" w:color="auto"/>
            </w:tcBorders>
          </w:tcPr>
          <w:p w:rsidR="003A66FF" w:rsidRPr="003A66FF" w:rsidRDefault="003A66FF" w:rsidP="003A66FF">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5</w:t>
            </w:r>
          </w:p>
        </w:tc>
        <w:tc>
          <w:tcPr>
            <w:tcW w:w="673" w:type="pct"/>
            <w:tcBorders>
              <w:top w:val="single" w:sz="4" w:space="0" w:color="auto"/>
              <w:left w:val="single" w:sz="4" w:space="0" w:color="auto"/>
              <w:bottom w:val="single" w:sz="4" w:space="0" w:color="auto"/>
            </w:tcBorders>
          </w:tcPr>
          <w:p w:rsidR="003A66FF" w:rsidRPr="003A66FF" w:rsidRDefault="003A66FF" w:rsidP="003A66FF">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6</w:t>
            </w:r>
          </w:p>
        </w:tc>
      </w:tr>
    </w:tbl>
    <w:p w:rsidR="003A66FF" w:rsidRDefault="003A66FF" w:rsidP="003A66FF">
      <w:pPr>
        <w:spacing w:after="0" w:line="240" w:lineRule="auto"/>
        <w:jc w:val="both"/>
        <w:rPr>
          <w:rFonts w:ascii="Times New Roman" w:eastAsia="Times New Roman" w:hAnsi="Times New Roman" w:cs="Times New Roman"/>
          <w:sz w:val="24"/>
          <w:szCs w:val="24"/>
          <w:lang w:eastAsia="lv-LV"/>
        </w:rPr>
      </w:pPr>
    </w:p>
    <w:p w:rsidR="00FA4B31" w:rsidRDefault="00FA4B31" w:rsidP="003A66FF">
      <w:pPr>
        <w:spacing w:after="0" w:line="240" w:lineRule="auto"/>
        <w:jc w:val="both"/>
        <w:rPr>
          <w:rFonts w:ascii="Times New Roman" w:eastAsia="Times New Roman" w:hAnsi="Times New Roman" w:cs="Times New Roman"/>
          <w:sz w:val="24"/>
          <w:szCs w:val="24"/>
          <w:lang w:eastAsia="lv-LV"/>
        </w:rPr>
      </w:pPr>
    </w:p>
    <w:p w:rsidR="00FA4B31" w:rsidRPr="003A66FF" w:rsidRDefault="00FA4B31" w:rsidP="003A66FF">
      <w:pPr>
        <w:spacing w:after="0" w:line="240" w:lineRule="auto"/>
        <w:jc w:val="both"/>
        <w:rPr>
          <w:rFonts w:ascii="Times New Roman" w:eastAsia="Times New Roman" w:hAnsi="Times New Roman" w:cs="Times New Roman"/>
          <w:sz w:val="24"/>
          <w:szCs w:val="24"/>
          <w:lang w:eastAsia="lv-LV"/>
        </w:rPr>
      </w:pPr>
    </w:p>
    <w:p w:rsidR="003A66FF" w:rsidRPr="003A66FF" w:rsidRDefault="003A66FF" w:rsidP="003A66FF">
      <w:pPr>
        <w:spacing w:after="0" w:line="240" w:lineRule="auto"/>
        <w:jc w:val="both"/>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Informācija par starpministriju (starpinstitūciju) sanāksmi vai elektronisko saskaņošanu</w:t>
      </w:r>
    </w:p>
    <w:p w:rsidR="003A66FF" w:rsidRPr="003A66FF" w:rsidRDefault="003A66FF" w:rsidP="003A66FF">
      <w:pPr>
        <w:spacing w:after="0" w:line="240" w:lineRule="auto"/>
        <w:jc w:val="both"/>
        <w:rPr>
          <w:rFonts w:ascii="Times New Roman" w:eastAsia="Times New Roman" w:hAnsi="Times New Roman" w:cs="Times New Roman"/>
          <w:b/>
          <w:sz w:val="24"/>
          <w:szCs w:val="24"/>
          <w:lang w:eastAsia="lv-LV"/>
        </w:rPr>
      </w:pPr>
    </w:p>
    <w:tbl>
      <w:tblPr>
        <w:tblW w:w="5002" w:type="pct"/>
        <w:tblLook w:val="00A0" w:firstRow="1" w:lastRow="0" w:firstColumn="1" w:lastColumn="0" w:noHBand="0" w:noVBand="0"/>
      </w:tblPr>
      <w:tblGrid>
        <w:gridCol w:w="1214"/>
        <w:gridCol w:w="2674"/>
        <w:gridCol w:w="476"/>
        <w:gridCol w:w="132"/>
        <w:gridCol w:w="4591"/>
        <w:gridCol w:w="2540"/>
        <w:gridCol w:w="2598"/>
      </w:tblGrid>
      <w:tr w:rsidR="003A66FF" w:rsidRPr="003A66FF" w:rsidTr="00CD649D">
        <w:tc>
          <w:tcPr>
            <w:tcW w:w="1182" w:type="pct"/>
            <w:gridSpan w:val="2"/>
          </w:tcPr>
          <w:p w:rsidR="003A66FF" w:rsidRPr="003A66FF" w:rsidRDefault="003A66FF" w:rsidP="003A66FF">
            <w:pPr>
              <w:spacing w:after="0" w:line="240" w:lineRule="auto"/>
              <w:jc w:val="both"/>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Datums</w:t>
            </w:r>
          </w:p>
        </w:tc>
        <w:tc>
          <w:tcPr>
            <w:tcW w:w="3818" w:type="pct"/>
            <w:gridSpan w:val="5"/>
            <w:tcBorders>
              <w:bottom w:val="single" w:sz="4" w:space="0" w:color="auto"/>
            </w:tcBorders>
          </w:tcPr>
          <w:p w:rsidR="003A66FF" w:rsidRPr="00954812" w:rsidRDefault="00D02457" w:rsidP="003A66FF">
            <w:pPr>
              <w:spacing w:after="0" w:line="240" w:lineRule="auto"/>
              <w:ind w:firstLine="72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5140C">
              <w:rPr>
                <w:rFonts w:ascii="Times New Roman" w:eastAsia="Times New Roman" w:hAnsi="Times New Roman" w:cs="Times New Roman"/>
                <w:sz w:val="24"/>
                <w:szCs w:val="24"/>
                <w:lang w:eastAsia="lv-LV"/>
              </w:rPr>
              <w:t>4</w:t>
            </w:r>
            <w:r w:rsidR="007F494F">
              <w:rPr>
                <w:rFonts w:ascii="Times New Roman" w:eastAsia="Times New Roman" w:hAnsi="Times New Roman" w:cs="Times New Roman"/>
                <w:sz w:val="24"/>
                <w:szCs w:val="24"/>
                <w:lang w:eastAsia="lv-LV"/>
              </w:rPr>
              <w:t>.1</w:t>
            </w:r>
            <w:r w:rsidR="00015772">
              <w:rPr>
                <w:rFonts w:ascii="Times New Roman" w:eastAsia="Times New Roman" w:hAnsi="Times New Roman" w:cs="Times New Roman"/>
                <w:sz w:val="24"/>
                <w:szCs w:val="24"/>
                <w:lang w:eastAsia="lv-LV"/>
              </w:rPr>
              <w:t>1</w:t>
            </w:r>
            <w:r w:rsidR="00954812" w:rsidRPr="00954812">
              <w:rPr>
                <w:rFonts w:ascii="Times New Roman" w:eastAsia="Times New Roman" w:hAnsi="Times New Roman" w:cs="Times New Roman"/>
                <w:sz w:val="24"/>
                <w:szCs w:val="24"/>
                <w:lang w:eastAsia="lv-LV"/>
              </w:rPr>
              <w:t>.20</w:t>
            </w:r>
            <w:r w:rsidR="00015772">
              <w:rPr>
                <w:rFonts w:ascii="Times New Roman" w:eastAsia="Times New Roman" w:hAnsi="Times New Roman" w:cs="Times New Roman"/>
                <w:sz w:val="24"/>
                <w:szCs w:val="24"/>
                <w:lang w:eastAsia="lv-LV"/>
              </w:rPr>
              <w:t>20</w:t>
            </w:r>
            <w:r w:rsidR="00954812" w:rsidRPr="00954812">
              <w:rPr>
                <w:rFonts w:ascii="Times New Roman" w:eastAsia="Times New Roman" w:hAnsi="Times New Roman" w:cs="Times New Roman"/>
                <w:sz w:val="24"/>
                <w:szCs w:val="24"/>
                <w:lang w:eastAsia="lv-LV"/>
              </w:rPr>
              <w:t>.</w:t>
            </w:r>
          </w:p>
        </w:tc>
      </w:tr>
      <w:tr w:rsidR="003A66FF" w:rsidRPr="003A66FF" w:rsidTr="00CD649D">
        <w:tc>
          <w:tcPr>
            <w:tcW w:w="1182" w:type="pct"/>
            <w:gridSpan w:val="2"/>
          </w:tcPr>
          <w:p w:rsidR="003A66FF" w:rsidRPr="003A66FF" w:rsidRDefault="003A66FF" w:rsidP="003A66FF">
            <w:pPr>
              <w:spacing w:after="0" w:line="240" w:lineRule="auto"/>
              <w:jc w:val="both"/>
              <w:rPr>
                <w:rFonts w:ascii="Times New Roman" w:eastAsia="Times New Roman" w:hAnsi="Times New Roman" w:cs="Times New Roman"/>
                <w:sz w:val="24"/>
                <w:szCs w:val="24"/>
                <w:lang w:eastAsia="lv-LV"/>
              </w:rPr>
            </w:pPr>
          </w:p>
        </w:tc>
        <w:tc>
          <w:tcPr>
            <w:tcW w:w="3818" w:type="pct"/>
            <w:gridSpan w:val="5"/>
            <w:tcBorders>
              <w:top w:val="single" w:sz="4" w:space="0" w:color="auto"/>
            </w:tcBorders>
          </w:tcPr>
          <w:p w:rsidR="00FB57FF" w:rsidRDefault="00FB57FF" w:rsidP="00FB57FF">
            <w:pPr>
              <w:spacing w:after="0" w:line="240" w:lineRule="auto"/>
              <w:rPr>
                <w:rFonts w:ascii="Times New Roman" w:eastAsia="Times New Roman" w:hAnsi="Times New Roman" w:cs="Times New Roman"/>
                <w:sz w:val="24"/>
                <w:szCs w:val="24"/>
                <w:lang w:eastAsia="lv-LV"/>
              </w:rPr>
            </w:pPr>
          </w:p>
          <w:p w:rsidR="003A66FF" w:rsidRPr="003A66FF" w:rsidRDefault="003A66FF" w:rsidP="004F27C3">
            <w:pPr>
              <w:spacing w:after="0" w:line="240" w:lineRule="auto"/>
              <w:ind w:firstLine="720"/>
              <w:rPr>
                <w:rFonts w:ascii="Times New Roman" w:eastAsia="Times New Roman" w:hAnsi="Times New Roman" w:cs="Times New Roman"/>
                <w:sz w:val="24"/>
                <w:szCs w:val="24"/>
                <w:lang w:eastAsia="lv-LV"/>
              </w:rPr>
            </w:pPr>
          </w:p>
        </w:tc>
      </w:tr>
      <w:tr w:rsidR="003A66FF" w:rsidRPr="003A66FF" w:rsidTr="00CD649D">
        <w:tc>
          <w:tcPr>
            <w:tcW w:w="1182" w:type="pct"/>
            <w:gridSpan w:val="2"/>
          </w:tcPr>
          <w:p w:rsidR="003A66FF" w:rsidRPr="003A66FF"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Saskaņošanas dalībnieki</w:t>
            </w:r>
          </w:p>
        </w:tc>
        <w:tc>
          <w:tcPr>
            <w:tcW w:w="3818" w:type="pct"/>
            <w:gridSpan w:val="5"/>
          </w:tcPr>
          <w:p w:rsidR="003A66FF" w:rsidRPr="003A66FF" w:rsidRDefault="004F27C3" w:rsidP="004F27C3">
            <w:pPr>
              <w:spacing w:after="0" w:line="240" w:lineRule="auto"/>
              <w:rPr>
                <w:rFonts w:ascii="Times New Roman" w:eastAsia="Times New Roman" w:hAnsi="Times New Roman" w:cs="Times New Roman"/>
                <w:sz w:val="24"/>
                <w:szCs w:val="24"/>
                <w:lang w:eastAsia="lv-LV"/>
              </w:rPr>
            </w:pPr>
            <w:r w:rsidRPr="004F27C3">
              <w:rPr>
                <w:rFonts w:ascii="Times New Roman" w:eastAsia="Times New Roman" w:hAnsi="Times New Roman" w:cs="Times New Roman"/>
                <w:sz w:val="24"/>
                <w:szCs w:val="24"/>
                <w:lang w:eastAsia="lv-LV"/>
              </w:rPr>
              <w:t>Tieslietu</w:t>
            </w:r>
            <w:r w:rsidR="00122E0F">
              <w:rPr>
                <w:rFonts w:ascii="Times New Roman" w:eastAsia="Times New Roman" w:hAnsi="Times New Roman" w:cs="Times New Roman"/>
                <w:sz w:val="24"/>
                <w:szCs w:val="24"/>
                <w:lang w:eastAsia="lv-LV"/>
              </w:rPr>
              <w:t xml:space="preserve"> ministrija</w:t>
            </w:r>
            <w:r w:rsidR="00015772">
              <w:rPr>
                <w:rFonts w:ascii="Times New Roman" w:eastAsia="Times New Roman" w:hAnsi="Times New Roman" w:cs="Times New Roman"/>
                <w:sz w:val="24"/>
                <w:szCs w:val="24"/>
                <w:lang w:eastAsia="lv-LV"/>
              </w:rPr>
              <w:t xml:space="preserve">, Finanšu ministrija, Ekonomikas ministrija, Vides aizsardzības un reģionālā attīstības  </w:t>
            </w:r>
          </w:p>
        </w:tc>
      </w:tr>
      <w:tr w:rsidR="003A66FF" w:rsidRPr="003A66FF" w:rsidTr="00CD649D">
        <w:tc>
          <w:tcPr>
            <w:tcW w:w="1182" w:type="pct"/>
            <w:gridSpan w:val="2"/>
          </w:tcPr>
          <w:p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w:t>
            </w:r>
          </w:p>
        </w:tc>
        <w:tc>
          <w:tcPr>
            <w:tcW w:w="3818" w:type="pct"/>
            <w:gridSpan w:val="5"/>
            <w:tcBorders>
              <w:top w:val="single" w:sz="6" w:space="0" w:color="000000"/>
              <w:bottom w:val="single" w:sz="6" w:space="0" w:color="000000"/>
            </w:tcBorders>
          </w:tcPr>
          <w:p w:rsidR="003A66FF" w:rsidRPr="003A66FF" w:rsidRDefault="00015772" w:rsidP="00FB57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ministrija, Iekšlietu ministrija, Zemkopības ministrija, Latvijas Brīvo arodbiedrību savienība, </w:t>
            </w:r>
          </w:p>
        </w:tc>
      </w:tr>
      <w:tr w:rsidR="00015772" w:rsidRPr="003A66FF" w:rsidTr="00CD649D">
        <w:tc>
          <w:tcPr>
            <w:tcW w:w="1182" w:type="pct"/>
            <w:gridSpan w:val="2"/>
          </w:tcPr>
          <w:p w:rsidR="00015772" w:rsidRPr="003A66FF" w:rsidRDefault="00015772" w:rsidP="003A66FF">
            <w:pPr>
              <w:spacing w:after="0" w:line="240" w:lineRule="auto"/>
              <w:ind w:firstLine="720"/>
              <w:rPr>
                <w:rFonts w:ascii="Times New Roman" w:eastAsia="Times New Roman" w:hAnsi="Times New Roman" w:cs="Times New Roman"/>
                <w:sz w:val="24"/>
                <w:szCs w:val="24"/>
                <w:lang w:eastAsia="lv-LV"/>
              </w:rPr>
            </w:pPr>
          </w:p>
        </w:tc>
        <w:tc>
          <w:tcPr>
            <w:tcW w:w="3818" w:type="pct"/>
            <w:gridSpan w:val="5"/>
            <w:tcBorders>
              <w:top w:val="single" w:sz="6" w:space="0" w:color="000000"/>
              <w:bottom w:val="single" w:sz="6" w:space="0" w:color="000000"/>
            </w:tcBorders>
          </w:tcPr>
          <w:p w:rsidR="00015772" w:rsidRDefault="00015772" w:rsidP="00FB57F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Darba devēju konfederācija.</w:t>
            </w:r>
          </w:p>
        </w:tc>
      </w:tr>
      <w:tr w:rsidR="003A66FF" w:rsidRPr="003A66FF" w:rsidTr="00CD649D">
        <w:trPr>
          <w:trHeight w:val="285"/>
        </w:trPr>
        <w:tc>
          <w:tcPr>
            <w:tcW w:w="1182" w:type="pct"/>
            <w:gridSpan w:val="2"/>
          </w:tcPr>
          <w:p w:rsidR="003A66FF" w:rsidRPr="003A66FF"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xml:space="preserve">Saskaņošanas dalībnieki izskatīja šādu ministriju (citu institūciju) </w:t>
            </w:r>
            <w:r w:rsidRPr="003A66FF">
              <w:rPr>
                <w:rFonts w:ascii="Times New Roman" w:eastAsia="Times New Roman" w:hAnsi="Times New Roman" w:cs="Times New Roman"/>
                <w:sz w:val="24"/>
                <w:szCs w:val="24"/>
                <w:lang w:eastAsia="lv-LV"/>
              </w:rPr>
              <w:lastRenderedPageBreak/>
              <w:t>iebildumus</w:t>
            </w:r>
          </w:p>
        </w:tc>
        <w:tc>
          <w:tcPr>
            <w:tcW w:w="3818" w:type="pct"/>
            <w:gridSpan w:val="5"/>
            <w:tcBorders>
              <w:bottom w:val="single" w:sz="4" w:space="0" w:color="auto"/>
            </w:tcBorders>
          </w:tcPr>
          <w:p w:rsidR="00BC5367" w:rsidRDefault="00BC5367" w:rsidP="00BC5367">
            <w:pPr>
              <w:spacing w:after="0" w:line="240" w:lineRule="auto"/>
              <w:ind w:firstLine="12"/>
              <w:rPr>
                <w:rFonts w:ascii="Times New Roman" w:eastAsia="Times New Roman" w:hAnsi="Times New Roman" w:cs="Times New Roman"/>
                <w:sz w:val="24"/>
                <w:szCs w:val="24"/>
                <w:lang w:eastAsia="lv-LV"/>
              </w:rPr>
            </w:pPr>
          </w:p>
          <w:p w:rsidR="00BC5367" w:rsidRDefault="00BC5367" w:rsidP="00BC5367">
            <w:pPr>
              <w:spacing w:after="0" w:line="240" w:lineRule="auto"/>
              <w:ind w:firstLine="12"/>
              <w:rPr>
                <w:rFonts w:ascii="Times New Roman" w:eastAsia="Times New Roman" w:hAnsi="Times New Roman" w:cs="Times New Roman"/>
                <w:sz w:val="24"/>
                <w:szCs w:val="24"/>
                <w:lang w:eastAsia="lv-LV"/>
              </w:rPr>
            </w:pPr>
          </w:p>
          <w:p w:rsidR="003A66FF" w:rsidRPr="00BC5367" w:rsidRDefault="00B43215" w:rsidP="00BC5367">
            <w:pPr>
              <w:spacing w:after="0" w:line="240" w:lineRule="auto"/>
              <w:ind w:firstLine="12"/>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Tieslietu ministrija</w:t>
            </w:r>
            <w:r w:rsidR="00015772">
              <w:rPr>
                <w:rFonts w:ascii="Times New Roman" w:eastAsia="Times New Roman" w:hAnsi="Times New Roman" w:cs="Times New Roman"/>
                <w:sz w:val="24"/>
                <w:szCs w:val="24"/>
                <w:lang w:eastAsia="lv-LV"/>
              </w:rPr>
              <w:t>, Finanšu ministrija, Vides aizsardzības un reģionālās attīstības ministrija</w:t>
            </w:r>
          </w:p>
        </w:tc>
      </w:tr>
      <w:tr w:rsidR="003A66FF" w:rsidRPr="003A66FF" w:rsidTr="00CD649D">
        <w:tc>
          <w:tcPr>
            <w:tcW w:w="1182" w:type="pct"/>
            <w:gridSpan w:val="2"/>
          </w:tcPr>
          <w:p w:rsidR="003A66FF" w:rsidRPr="003A66FF" w:rsidRDefault="003A66FF" w:rsidP="003A66FF">
            <w:pPr>
              <w:spacing w:after="0" w:line="240" w:lineRule="auto"/>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lastRenderedPageBreak/>
              <w:t>Ministrijas (citas institūcijas), kuras nav ieradušās uz sanāksmi vai kuras nav atbildējušas uz uzaicinājumu piedalīties elektroniskajā saskaņošanā</w:t>
            </w:r>
          </w:p>
        </w:tc>
        <w:tc>
          <w:tcPr>
            <w:tcW w:w="3818" w:type="pct"/>
            <w:gridSpan w:val="5"/>
            <w:tcBorders>
              <w:bottom w:val="single" w:sz="4" w:space="0" w:color="auto"/>
            </w:tcBorders>
          </w:tcPr>
          <w:p w:rsidR="003A66FF" w:rsidRPr="003A66FF" w:rsidRDefault="003A66FF" w:rsidP="00FB57FF">
            <w:pPr>
              <w:spacing w:after="0" w:line="240" w:lineRule="auto"/>
              <w:rPr>
                <w:rFonts w:ascii="Times New Roman" w:eastAsia="Times New Roman" w:hAnsi="Times New Roman" w:cs="Times New Roman"/>
                <w:sz w:val="24"/>
                <w:szCs w:val="24"/>
                <w:lang w:eastAsia="lv-LV"/>
              </w:rPr>
            </w:pPr>
          </w:p>
          <w:p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p>
          <w:p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p>
        </w:tc>
      </w:tr>
      <w:tr w:rsidR="003A66FF" w:rsidRPr="003A66FF" w:rsidTr="00CD649D">
        <w:tc>
          <w:tcPr>
            <w:tcW w:w="1182" w:type="pct"/>
            <w:gridSpan w:val="2"/>
          </w:tcPr>
          <w:p w:rsidR="003A66FF" w:rsidRPr="003A66FF" w:rsidRDefault="003A66FF" w:rsidP="003A66FF">
            <w:pPr>
              <w:spacing w:after="0" w:line="240" w:lineRule="auto"/>
              <w:rPr>
                <w:rFonts w:ascii="Times New Roman" w:eastAsia="Times New Roman" w:hAnsi="Times New Roman" w:cs="Times New Roman"/>
                <w:sz w:val="24"/>
                <w:szCs w:val="24"/>
                <w:lang w:eastAsia="lv-LV"/>
              </w:rPr>
            </w:pPr>
          </w:p>
        </w:tc>
        <w:tc>
          <w:tcPr>
            <w:tcW w:w="3818" w:type="pct"/>
            <w:gridSpan w:val="5"/>
          </w:tcPr>
          <w:p w:rsidR="003A66FF" w:rsidRPr="003A66FF" w:rsidRDefault="003A66FF" w:rsidP="003A66FF">
            <w:pPr>
              <w:spacing w:after="0" w:line="240" w:lineRule="auto"/>
              <w:ind w:firstLine="720"/>
              <w:rPr>
                <w:rFonts w:ascii="Times New Roman" w:eastAsia="Times New Roman" w:hAnsi="Times New Roman" w:cs="Times New Roman"/>
                <w:sz w:val="24"/>
                <w:szCs w:val="24"/>
                <w:lang w:eastAsia="lv-LV"/>
              </w:rPr>
            </w:pPr>
          </w:p>
        </w:tc>
      </w:tr>
      <w:tr w:rsidR="003A66FF" w:rsidRPr="003A66FF" w:rsidTr="00CD649D">
        <w:tc>
          <w:tcPr>
            <w:tcW w:w="1182" w:type="pct"/>
            <w:gridSpan w:val="2"/>
          </w:tcPr>
          <w:p w:rsidR="003A66FF" w:rsidRDefault="003A66FF" w:rsidP="003A66FF">
            <w:pPr>
              <w:spacing w:after="0" w:line="240" w:lineRule="auto"/>
              <w:rPr>
                <w:rFonts w:ascii="Times New Roman" w:eastAsia="Times New Roman" w:hAnsi="Times New Roman" w:cs="Times New Roman"/>
                <w:sz w:val="24"/>
                <w:szCs w:val="24"/>
                <w:lang w:eastAsia="lv-LV"/>
              </w:rPr>
            </w:pPr>
          </w:p>
          <w:p w:rsidR="003803A1" w:rsidRPr="003A66FF" w:rsidRDefault="003803A1" w:rsidP="003A66FF">
            <w:pPr>
              <w:spacing w:after="0" w:line="240" w:lineRule="auto"/>
              <w:rPr>
                <w:rFonts w:ascii="Times New Roman" w:eastAsia="Times New Roman" w:hAnsi="Times New Roman" w:cs="Times New Roman"/>
                <w:sz w:val="24"/>
                <w:szCs w:val="24"/>
                <w:lang w:eastAsia="lv-LV"/>
              </w:rPr>
            </w:pPr>
          </w:p>
        </w:tc>
        <w:tc>
          <w:tcPr>
            <w:tcW w:w="3818" w:type="pct"/>
            <w:gridSpan w:val="5"/>
          </w:tcPr>
          <w:p w:rsidR="0013739F" w:rsidRPr="003A66FF" w:rsidRDefault="0013739F" w:rsidP="0013739F">
            <w:pPr>
              <w:spacing w:after="0" w:line="240" w:lineRule="auto"/>
              <w:ind w:firstLine="838"/>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t>II. Jautājumi, par kuriem saskaņošanā vienošanās ir panākta</w:t>
            </w:r>
          </w:p>
          <w:p w:rsidR="003803A1" w:rsidRDefault="003803A1" w:rsidP="003803A1">
            <w:pPr>
              <w:spacing w:after="0" w:line="240" w:lineRule="auto"/>
              <w:rPr>
                <w:rFonts w:ascii="Times New Roman" w:eastAsia="Times New Roman" w:hAnsi="Times New Roman" w:cs="Times New Roman"/>
                <w:sz w:val="24"/>
                <w:szCs w:val="24"/>
                <w:lang w:eastAsia="lv-LV"/>
              </w:rPr>
            </w:pPr>
          </w:p>
          <w:p w:rsidR="003803A1" w:rsidRPr="003803A1" w:rsidRDefault="003803A1" w:rsidP="003803A1">
            <w:pPr>
              <w:spacing w:after="0" w:line="240" w:lineRule="auto"/>
              <w:rPr>
                <w:rFonts w:ascii="Times New Roman" w:eastAsia="Times New Roman" w:hAnsi="Times New Roman" w:cs="Times New Roman"/>
                <w:sz w:val="24"/>
                <w:szCs w:val="24"/>
                <w:lang w:eastAsia="lv-LV"/>
              </w:rPr>
            </w:pPr>
          </w:p>
        </w:tc>
      </w:tr>
      <w:tr w:rsidR="003803A1" w:rsidRPr="003A66FF" w:rsidTr="00CD649D">
        <w:tblPrEx>
          <w:tblBorders>
            <w:top w:val="single" w:sz="4" w:space="0" w:color="auto"/>
            <w:left w:val="single" w:sz="4" w:space="0" w:color="auto"/>
            <w:bottom w:val="single" w:sz="4" w:space="0" w:color="auto"/>
            <w:right w:val="single" w:sz="4" w:space="0" w:color="auto"/>
          </w:tblBorders>
        </w:tblPrEx>
        <w:tc>
          <w:tcPr>
            <w:tcW w:w="484" w:type="pct"/>
            <w:tcBorders>
              <w:top w:val="single" w:sz="6" w:space="0" w:color="000000"/>
              <w:left w:val="single" w:sz="6" w:space="0" w:color="000000"/>
              <w:bottom w:val="single" w:sz="6" w:space="0" w:color="000000"/>
              <w:right w:val="single" w:sz="6" w:space="0" w:color="000000"/>
            </w:tcBorders>
            <w:vAlign w:val="center"/>
          </w:tcPr>
          <w:p w:rsidR="003803A1" w:rsidRPr="003A66FF" w:rsidRDefault="003803A1" w:rsidP="008C0113">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Nr. p.k.</w:t>
            </w:r>
          </w:p>
        </w:tc>
        <w:tc>
          <w:tcPr>
            <w:tcW w:w="869" w:type="pct"/>
            <w:gridSpan w:val="3"/>
            <w:tcBorders>
              <w:top w:val="single" w:sz="6" w:space="0" w:color="000000"/>
              <w:left w:val="single" w:sz="6" w:space="0" w:color="000000"/>
              <w:bottom w:val="single" w:sz="6" w:space="0" w:color="000000"/>
              <w:right w:val="single" w:sz="6" w:space="0" w:color="000000"/>
            </w:tcBorders>
            <w:vAlign w:val="center"/>
          </w:tcPr>
          <w:p w:rsidR="003803A1" w:rsidRPr="003A66FF" w:rsidRDefault="003803A1" w:rsidP="008C0113">
            <w:pPr>
              <w:spacing w:after="0" w:line="240" w:lineRule="auto"/>
              <w:ind w:firstLine="12"/>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Saskaņošanai nosūtītā projekta redakcija (konkrēta punkta (panta) redakcija)</w:t>
            </w:r>
          </w:p>
        </w:tc>
        <w:tc>
          <w:tcPr>
            <w:tcW w:w="1639" w:type="pct"/>
            <w:tcBorders>
              <w:top w:val="single" w:sz="6" w:space="0" w:color="000000"/>
              <w:left w:val="single" w:sz="6" w:space="0" w:color="000000"/>
              <w:bottom w:val="single" w:sz="6" w:space="0" w:color="000000"/>
              <w:right w:val="single" w:sz="6" w:space="0" w:color="000000"/>
            </w:tcBorders>
            <w:vAlign w:val="center"/>
          </w:tcPr>
          <w:p w:rsidR="003803A1" w:rsidRPr="003A66FF" w:rsidRDefault="003803A1" w:rsidP="008C0113">
            <w:pPr>
              <w:spacing w:after="0" w:line="240" w:lineRule="auto"/>
              <w:ind w:right="3"/>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1038" w:type="pct"/>
            <w:tcBorders>
              <w:top w:val="single" w:sz="6" w:space="0" w:color="000000"/>
              <w:left w:val="single" w:sz="6" w:space="0" w:color="000000"/>
              <w:bottom w:val="single" w:sz="6" w:space="0" w:color="000000"/>
              <w:right w:val="single" w:sz="6" w:space="0" w:color="000000"/>
            </w:tcBorders>
            <w:vAlign w:val="center"/>
          </w:tcPr>
          <w:p w:rsidR="003803A1" w:rsidRPr="003A66FF" w:rsidRDefault="003803A1" w:rsidP="008C0113">
            <w:pPr>
              <w:spacing w:after="0" w:line="240" w:lineRule="auto"/>
              <w:ind w:firstLine="21"/>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970" w:type="pct"/>
            <w:tcBorders>
              <w:top w:val="single" w:sz="4" w:space="0" w:color="auto"/>
              <w:left w:val="single" w:sz="4" w:space="0" w:color="auto"/>
              <w:bottom w:val="single" w:sz="4" w:space="0" w:color="auto"/>
            </w:tcBorders>
            <w:vAlign w:val="center"/>
          </w:tcPr>
          <w:p w:rsidR="003803A1" w:rsidRPr="003A66FF" w:rsidRDefault="003803A1" w:rsidP="008C0113">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Projekta attiecīgā punkta (panta) galīgā redakcija</w:t>
            </w:r>
          </w:p>
        </w:tc>
      </w:tr>
      <w:tr w:rsidR="003803A1" w:rsidRPr="003A66FF" w:rsidTr="00CD649D">
        <w:tblPrEx>
          <w:tblBorders>
            <w:top w:val="single" w:sz="4" w:space="0" w:color="auto"/>
            <w:left w:val="single" w:sz="4" w:space="0" w:color="auto"/>
            <w:bottom w:val="single" w:sz="4" w:space="0" w:color="auto"/>
            <w:right w:val="single" w:sz="4" w:space="0" w:color="auto"/>
          </w:tblBorders>
        </w:tblPrEx>
        <w:tc>
          <w:tcPr>
            <w:tcW w:w="484" w:type="pct"/>
            <w:tcBorders>
              <w:top w:val="single" w:sz="6" w:space="0" w:color="000000"/>
              <w:left w:val="single" w:sz="6" w:space="0" w:color="000000"/>
              <w:bottom w:val="single" w:sz="6" w:space="0" w:color="000000"/>
              <w:right w:val="single" w:sz="6" w:space="0" w:color="000000"/>
            </w:tcBorders>
          </w:tcPr>
          <w:p w:rsidR="003803A1" w:rsidRPr="003A66FF" w:rsidRDefault="003803A1" w:rsidP="008C0113">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1</w:t>
            </w:r>
          </w:p>
        </w:tc>
        <w:tc>
          <w:tcPr>
            <w:tcW w:w="869" w:type="pct"/>
            <w:gridSpan w:val="3"/>
            <w:tcBorders>
              <w:top w:val="single" w:sz="6" w:space="0" w:color="000000"/>
              <w:left w:val="single" w:sz="6" w:space="0" w:color="000000"/>
              <w:bottom w:val="single" w:sz="6" w:space="0" w:color="000000"/>
              <w:right w:val="single" w:sz="6" w:space="0" w:color="000000"/>
            </w:tcBorders>
          </w:tcPr>
          <w:p w:rsidR="003803A1" w:rsidRPr="003A66FF"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2</w:t>
            </w:r>
          </w:p>
        </w:tc>
        <w:tc>
          <w:tcPr>
            <w:tcW w:w="1639" w:type="pct"/>
            <w:tcBorders>
              <w:top w:val="single" w:sz="6" w:space="0" w:color="000000"/>
              <w:left w:val="single" w:sz="6" w:space="0" w:color="000000"/>
              <w:bottom w:val="single" w:sz="6" w:space="0" w:color="000000"/>
              <w:right w:val="single" w:sz="6" w:space="0" w:color="000000"/>
            </w:tcBorders>
          </w:tcPr>
          <w:p w:rsidR="003803A1" w:rsidRPr="003A66FF"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3</w:t>
            </w:r>
          </w:p>
        </w:tc>
        <w:tc>
          <w:tcPr>
            <w:tcW w:w="1038" w:type="pct"/>
            <w:tcBorders>
              <w:top w:val="single" w:sz="6" w:space="0" w:color="000000"/>
              <w:left w:val="single" w:sz="6" w:space="0" w:color="000000"/>
              <w:bottom w:val="single" w:sz="6" w:space="0" w:color="000000"/>
              <w:right w:val="single" w:sz="6" w:space="0" w:color="000000"/>
            </w:tcBorders>
          </w:tcPr>
          <w:p w:rsidR="003803A1" w:rsidRPr="003A66FF" w:rsidRDefault="003803A1" w:rsidP="008C0113">
            <w:pPr>
              <w:spacing w:after="0" w:line="240" w:lineRule="auto"/>
              <w:ind w:firstLine="720"/>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4</w:t>
            </w:r>
          </w:p>
        </w:tc>
        <w:tc>
          <w:tcPr>
            <w:tcW w:w="970" w:type="pct"/>
            <w:tcBorders>
              <w:top w:val="single" w:sz="4" w:space="0" w:color="auto"/>
              <w:left w:val="single" w:sz="4" w:space="0" w:color="auto"/>
              <w:bottom w:val="single" w:sz="4" w:space="0" w:color="auto"/>
            </w:tcBorders>
          </w:tcPr>
          <w:p w:rsidR="003803A1" w:rsidRPr="003A66FF" w:rsidRDefault="003803A1" w:rsidP="008C0113">
            <w:pPr>
              <w:spacing w:after="0" w:line="240" w:lineRule="auto"/>
              <w:jc w:val="center"/>
              <w:rPr>
                <w:rFonts w:ascii="Times New Roman" w:eastAsia="Times New Roman" w:hAnsi="Times New Roman" w:cs="Times New Roman"/>
                <w:sz w:val="20"/>
                <w:szCs w:val="20"/>
                <w:lang w:eastAsia="lv-LV"/>
              </w:rPr>
            </w:pPr>
            <w:r w:rsidRPr="003A66FF">
              <w:rPr>
                <w:rFonts w:ascii="Times New Roman" w:eastAsia="Times New Roman" w:hAnsi="Times New Roman" w:cs="Times New Roman"/>
                <w:sz w:val="20"/>
                <w:szCs w:val="20"/>
                <w:lang w:eastAsia="lv-LV"/>
              </w:rPr>
              <w:t>5</w:t>
            </w:r>
          </w:p>
        </w:tc>
      </w:tr>
      <w:tr w:rsidR="003803A1" w:rsidRPr="003A66FF" w:rsidTr="003803A1">
        <w:tblPrEx>
          <w:tblBorders>
            <w:top w:val="single" w:sz="4" w:space="0" w:color="auto"/>
            <w:left w:val="single" w:sz="4" w:space="0" w:color="auto"/>
            <w:bottom w:val="single" w:sz="4" w:space="0" w:color="auto"/>
            <w:right w:val="single" w:sz="4" w:space="0" w:color="auto"/>
          </w:tblBorders>
        </w:tblPrEx>
        <w:tc>
          <w:tcPr>
            <w:tcW w:w="5000" w:type="pct"/>
            <w:gridSpan w:val="7"/>
            <w:tcBorders>
              <w:left w:val="single" w:sz="6" w:space="0" w:color="000000"/>
              <w:bottom w:val="single" w:sz="4" w:space="0" w:color="auto"/>
            </w:tcBorders>
          </w:tcPr>
          <w:p w:rsidR="003803A1" w:rsidRPr="003A66FF" w:rsidRDefault="003803A1" w:rsidP="008C0113">
            <w:pPr>
              <w:spacing w:after="0" w:line="240" w:lineRule="auto"/>
              <w:rPr>
                <w:rFonts w:ascii="Times New Roman" w:eastAsia="Times New Roman" w:hAnsi="Times New Roman" w:cs="Times New Roman"/>
                <w:b/>
                <w:i/>
                <w:sz w:val="24"/>
                <w:szCs w:val="24"/>
                <w:lang w:eastAsia="lv-LV"/>
              </w:rPr>
            </w:pPr>
          </w:p>
        </w:tc>
      </w:tr>
      <w:tr w:rsidR="003803A1" w:rsidTr="00CD649D">
        <w:tblPrEx>
          <w:tblBorders>
            <w:top w:val="single" w:sz="4" w:space="0" w:color="auto"/>
            <w:left w:val="single" w:sz="4" w:space="0" w:color="auto"/>
            <w:bottom w:val="single" w:sz="4" w:space="0" w:color="auto"/>
            <w:right w:val="single" w:sz="4" w:space="0" w:color="auto"/>
          </w:tblBorders>
        </w:tblPrEx>
        <w:trPr>
          <w:trHeight w:val="1685"/>
        </w:trPr>
        <w:tc>
          <w:tcPr>
            <w:tcW w:w="484" w:type="pct"/>
            <w:tcBorders>
              <w:left w:val="single" w:sz="6" w:space="0" w:color="000000"/>
              <w:bottom w:val="single" w:sz="4" w:space="0" w:color="auto"/>
              <w:right w:val="single" w:sz="6" w:space="0" w:color="000000"/>
            </w:tcBorders>
          </w:tcPr>
          <w:p w:rsidR="003803A1" w:rsidRDefault="003803A1" w:rsidP="008C0113">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22" w:type="pct"/>
            <w:gridSpan w:val="2"/>
            <w:tcBorders>
              <w:left w:val="single" w:sz="6" w:space="0" w:color="000000"/>
              <w:bottom w:val="single" w:sz="4" w:space="0" w:color="auto"/>
              <w:right w:val="single" w:sz="6" w:space="0" w:color="000000"/>
            </w:tcBorders>
          </w:tcPr>
          <w:p w:rsidR="000F7AF4" w:rsidRPr="00527F10" w:rsidRDefault="00015772" w:rsidP="000F7AF4">
            <w:pPr>
              <w:tabs>
                <w:tab w:val="left" w:pos="284"/>
              </w:tabs>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MK noteikumu Nr.458 1.punktu</w:t>
            </w:r>
          </w:p>
        </w:tc>
        <w:tc>
          <w:tcPr>
            <w:tcW w:w="1686" w:type="pct"/>
            <w:gridSpan w:val="2"/>
            <w:tcBorders>
              <w:left w:val="single" w:sz="6" w:space="0" w:color="000000"/>
              <w:bottom w:val="single" w:sz="4" w:space="0" w:color="auto"/>
              <w:right w:val="single" w:sz="6" w:space="0" w:color="000000"/>
            </w:tcBorders>
          </w:tcPr>
          <w:p w:rsidR="00F74633" w:rsidRDefault="00F74633" w:rsidP="007A6B8C">
            <w:pPr>
              <w:spacing w:after="0" w:line="240" w:lineRule="auto"/>
              <w:jc w:val="both"/>
              <w:rPr>
                <w:rFonts w:ascii="Times New Roman" w:eastAsia="Times New Roman" w:hAnsi="Times New Roman" w:cs="Times New Roman"/>
                <w:sz w:val="24"/>
                <w:szCs w:val="20"/>
              </w:rPr>
            </w:pPr>
            <w:r w:rsidRPr="00F74633">
              <w:rPr>
                <w:rFonts w:ascii="Times New Roman" w:eastAsia="Times New Roman" w:hAnsi="Times New Roman" w:cs="Times New Roman"/>
                <w:b/>
                <w:sz w:val="24"/>
                <w:szCs w:val="20"/>
              </w:rPr>
              <w:t>Tieslietu ministrija:</w:t>
            </w:r>
            <w:r>
              <w:rPr>
                <w:rFonts w:ascii="Times New Roman" w:eastAsia="Times New Roman" w:hAnsi="Times New Roman" w:cs="Times New Roman"/>
                <w:sz w:val="24"/>
                <w:szCs w:val="20"/>
              </w:rPr>
              <w:t xml:space="preserve"> </w:t>
            </w:r>
          </w:p>
          <w:p w:rsidR="00B209EB" w:rsidRDefault="00B209EB" w:rsidP="007A6B8C">
            <w:pPr>
              <w:spacing w:after="0" w:line="240" w:lineRule="auto"/>
              <w:jc w:val="both"/>
              <w:rPr>
                <w:rFonts w:ascii="Times New Roman" w:eastAsia="Times New Roman" w:hAnsi="Times New Roman" w:cs="Times New Roman"/>
                <w:sz w:val="24"/>
                <w:szCs w:val="20"/>
              </w:rPr>
            </w:pPr>
          </w:p>
          <w:p w:rsidR="00B209EB" w:rsidRPr="00040973" w:rsidRDefault="00A87C30" w:rsidP="00015772">
            <w:pPr>
              <w:spacing w:after="0" w:line="240" w:lineRule="auto"/>
              <w:jc w:val="both"/>
              <w:rPr>
                <w:rFonts w:ascii="Times New Roman" w:eastAsia="Times New Roman" w:hAnsi="Times New Roman" w:cs="Times New Roman"/>
                <w:sz w:val="24"/>
                <w:szCs w:val="20"/>
              </w:rPr>
            </w:pPr>
            <w:r w:rsidRPr="00A87C30">
              <w:rPr>
                <w:rFonts w:ascii="Times New Roman" w:eastAsia="Times New Roman" w:hAnsi="Times New Roman" w:cs="Times New Roman"/>
                <w:sz w:val="24"/>
                <w:szCs w:val="20"/>
              </w:rPr>
              <w:t xml:space="preserve"> </w:t>
            </w:r>
            <w:r w:rsidR="00015772" w:rsidRPr="00015772">
              <w:rPr>
                <w:rFonts w:ascii="Times New Roman" w:eastAsia="Times New Roman" w:hAnsi="Times New Roman" w:cs="Times New Roman"/>
                <w:sz w:val="24"/>
                <w:szCs w:val="20"/>
              </w:rPr>
              <w:t>1.</w:t>
            </w:r>
            <w:r w:rsidR="00015772" w:rsidRPr="00015772">
              <w:rPr>
                <w:rFonts w:ascii="Times New Roman" w:eastAsia="Times New Roman" w:hAnsi="Times New Roman" w:cs="Times New Roman"/>
                <w:sz w:val="24"/>
                <w:szCs w:val="20"/>
              </w:rPr>
              <w:tab/>
              <w:t xml:space="preserve">Lūdzam precizēt spēkā esošo noteikumu 1. punktā izteikto noteikumu tvērumu atbilstoši Bezdarbnieku un darba meklētāju atbalsta likumā (turpmāk - likums) noteiktajam pilnvarojumam, izsakot to atbilstoši ne tikai likuma 4. panta sestajai daļai, bet arī četrpadsmitajai daļai, kas noteic, ka “Ministru kabinets nosaka Eiropas Nodarbinātības dienestu tīkla (EURES) dalībnieka statusa piešķiršanas, atteikuma, apturēšanas, anulēšanas un uzraudzības kārtību, kā arī dalībnieka pienākumus </w:t>
            </w:r>
            <w:r w:rsidR="00015772" w:rsidRPr="00015772">
              <w:rPr>
                <w:rFonts w:ascii="Times New Roman" w:eastAsia="Times New Roman" w:hAnsi="Times New Roman" w:cs="Times New Roman"/>
                <w:sz w:val="24"/>
                <w:szCs w:val="20"/>
              </w:rPr>
              <w:lastRenderedPageBreak/>
              <w:t>atbilstoši Eiropas Parlamenta un Padomes 2016. gada 13. aprīļa regulas (ES) 2016/589 par Eiropas Nodarbinātības dienestu tīklu (EURES), darba ņēmēju piekļuvi mobilitātes pakalpojumiem un turpmāku darba tirgu integrāciju un ar ko groza regulas (ES) Nr. 492/2011 un (ES) Nr. 1296/2013 (turpmāk — regula Nr. 2016/589) prasībām.”</w:t>
            </w:r>
          </w:p>
        </w:tc>
        <w:tc>
          <w:tcPr>
            <w:tcW w:w="1038" w:type="pct"/>
            <w:tcBorders>
              <w:left w:val="single" w:sz="6" w:space="0" w:color="000000"/>
              <w:bottom w:val="single" w:sz="4" w:space="0" w:color="auto"/>
              <w:right w:val="single" w:sz="6" w:space="0" w:color="000000"/>
            </w:tcBorders>
          </w:tcPr>
          <w:p w:rsidR="003803A1" w:rsidRDefault="003803A1" w:rsidP="007A6B8C">
            <w:pPr>
              <w:spacing w:after="0" w:line="240" w:lineRule="auto"/>
              <w:rPr>
                <w:rFonts w:ascii="Times New Roman" w:eastAsia="Times New Roman" w:hAnsi="Times New Roman" w:cs="Times New Roman"/>
                <w:b/>
                <w:sz w:val="24"/>
                <w:szCs w:val="24"/>
                <w:lang w:eastAsia="lv-LV"/>
              </w:rPr>
            </w:pPr>
            <w:r w:rsidRPr="003A66FF">
              <w:rPr>
                <w:rFonts w:ascii="Times New Roman" w:eastAsia="Times New Roman" w:hAnsi="Times New Roman" w:cs="Times New Roman"/>
                <w:b/>
                <w:sz w:val="24"/>
                <w:szCs w:val="24"/>
                <w:lang w:eastAsia="lv-LV"/>
              </w:rPr>
              <w:lastRenderedPageBreak/>
              <w:t>Iebildums</w:t>
            </w:r>
            <w:r>
              <w:rPr>
                <w:rFonts w:ascii="Times New Roman" w:eastAsia="Times New Roman" w:hAnsi="Times New Roman" w:cs="Times New Roman"/>
                <w:b/>
                <w:sz w:val="24"/>
                <w:szCs w:val="24"/>
                <w:lang w:eastAsia="lv-LV"/>
              </w:rPr>
              <w:t xml:space="preserve"> </w:t>
            </w:r>
            <w:r w:rsidRPr="003A66FF">
              <w:rPr>
                <w:rFonts w:ascii="Times New Roman" w:eastAsia="Times New Roman" w:hAnsi="Times New Roman" w:cs="Times New Roman"/>
                <w:b/>
                <w:sz w:val="24"/>
                <w:szCs w:val="24"/>
                <w:lang w:eastAsia="lv-LV"/>
              </w:rPr>
              <w:t>ņemts vērā.</w:t>
            </w:r>
          </w:p>
          <w:p w:rsidR="005D7220" w:rsidRDefault="005D7220" w:rsidP="007A6B8C">
            <w:pPr>
              <w:spacing w:after="0" w:line="240" w:lineRule="auto"/>
              <w:rPr>
                <w:rFonts w:ascii="Times New Roman" w:eastAsia="Times New Roman" w:hAnsi="Times New Roman" w:cs="Times New Roman"/>
                <w:b/>
                <w:sz w:val="24"/>
                <w:szCs w:val="24"/>
                <w:lang w:eastAsia="lv-LV"/>
              </w:rPr>
            </w:pPr>
          </w:p>
          <w:p w:rsidR="005D7220" w:rsidRPr="005D7220" w:rsidRDefault="005D7220" w:rsidP="005D7220">
            <w:pPr>
              <w:spacing w:after="0" w:line="240" w:lineRule="auto"/>
              <w:jc w:val="both"/>
              <w:rPr>
                <w:rFonts w:ascii="Times New Roman" w:eastAsia="Times New Roman" w:hAnsi="Times New Roman" w:cs="Times New Roman"/>
                <w:sz w:val="24"/>
                <w:szCs w:val="24"/>
                <w:lang w:eastAsia="lv-LV"/>
              </w:rPr>
            </w:pPr>
            <w:r w:rsidRPr="005D7220">
              <w:rPr>
                <w:rFonts w:ascii="Times New Roman" w:eastAsia="Times New Roman" w:hAnsi="Times New Roman" w:cs="Times New Roman"/>
                <w:sz w:val="24"/>
                <w:szCs w:val="24"/>
                <w:lang w:eastAsia="lv-LV"/>
              </w:rPr>
              <w:t>Preciz</w:t>
            </w:r>
            <w:r>
              <w:rPr>
                <w:rFonts w:ascii="Times New Roman" w:eastAsia="Times New Roman" w:hAnsi="Times New Roman" w:cs="Times New Roman"/>
                <w:sz w:val="24"/>
                <w:szCs w:val="24"/>
                <w:lang w:eastAsia="lv-LV"/>
              </w:rPr>
              <w:t>ēta</w:t>
            </w:r>
            <w:r w:rsidRPr="005D722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MK noteikumu Nr.458 1.punkta redakcija, kā arī papildināts Noteikumu projekta anotācijas I sadaļas 2.punkta 1.apakšpunkts.</w:t>
            </w:r>
          </w:p>
          <w:p w:rsidR="00F74633" w:rsidRDefault="00F74633" w:rsidP="007A6B8C">
            <w:pPr>
              <w:spacing w:after="0" w:line="240" w:lineRule="auto"/>
              <w:rPr>
                <w:rFonts w:ascii="Times New Roman" w:eastAsia="Times New Roman" w:hAnsi="Times New Roman" w:cs="Times New Roman"/>
                <w:b/>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p w:rsidR="00476C40" w:rsidRDefault="00476C40" w:rsidP="00476C40">
            <w:pPr>
              <w:rPr>
                <w:rFonts w:ascii="Times New Roman" w:eastAsia="Times New Roman" w:hAnsi="Times New Roman" w:cs="Times New Roman"/>
                <w:sz w:val="24"/>
                <w:szCs w:val="24"/>
                <w:lang w:eastAsia="lv-LV"/>
              </w:rPr>
            </w:pPr>
          </w:p>
          <w:p w:rsidR="00DD7A78" w:rsidRDefault="00DD7A78" w:rsidP="00476C40">
            <w:pPr>
              <w:rPr>
                <w:rFonts w:ascii="Times New Roman" w:eastAsia="Times New Roman" w:hAnsi="Times New Roman" w:cs="Times New Roman"/>
                <w:sz w:val="24"/>
                <w:szCs w:val="24"/>
                <w:lang w:eastAsia="lv-LV"/>
              </w:rPr>
            </w:pPr>
          </w:p>
          <w:p w:rsidR="00476C40" w:rsidRPr="00476C40" w:rsidRDefault="00476C40" w:rsidP="00476C40">
            <w:pPr>
              <w:rPr>
                <w:rFonts w:ascii="Times New Roman" w:eastAsia="Times New Roman" w:hAnsi="Times New Roman" w:cs="Times New Roman"/>
                <w:sz w:val="24"/>
                <w:szCs w:val="24"/>
                <w:lang w:eastAsia="lv-LV"/>
              </w:rPr>
            </w:pPr>
          </w:p>
        </w:tc>
        <w:tc>
          <w:tcPr>
            <w:tcW w:w="970" w:type="pct"/>
            <w:tcBorders>
              <w:top w:val="single" w:sz="4" w:space="0" w:color="auto"/>
              <w:left w:val="single" w:sz="4" w:space="0" w:color="auto"/>
              <w:bottom w:val="single" w:sz="4" w:space="0" w:color="auto"/>
            </w:tcBorders>
          </w:tcPr>
          <w:p w:rsidR="00C46DFA" w:rsidRPr="00C46DFA" w:rsidRDefault="00690E31" w:rsidP="00C46DFA">
            <w:pPr>
              <w:pStyle w:val="ListParagraph"/>
              <w:tabs>
                <w:tab w:val="left" w:pos="-44"/>
              </w:tabs>
              <w:spacing w:after="0" w:line="240" w:lineRule="auto"/>
              <w:ind w:left="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C46DFA" w:rsidRPr="00C46DFA">
              <w:rPr>
                <w:rFonts w:ascii="Times New Roman" w:eastAsia="Times New Roman" w:hAnsi="Times New Roman" w:cs="Times New Roman"/>
                <w:sz w:val="24"/>
                <w:szCs w:val="24"/>
              </w:rPr>
              <w:t>1. Izteikt 1. punktu šādā redakcijā:</w:t>
            </w:r>
          </w:p>
          <w:p w:rsidR="00C46DFA" w:rsidRPr="00C46DFA" w:rsidRDefault="00C46DFA" w:rsidP="00C46DFA">
            <w:pPr>
              <w:pStyle w:val="ListParagraph"/>
              <w:tabs>
                <w:tab w:val="left" w:pos="-44"/>
              </w:tabs>
              <w:spacing w:after="0" w:line="240" w:lineRule="auto"/>
              <w:ind w:left="17"/>
              <w:jc w:val="both"/>
              <w:rPr>
                <w:rFonts w:ascii="Times New Roman" w:eastAsia="Times New Roman" w:hAnsi="Times New Roman" w:cs="Times New Roman"/>
                <w:sz w:val="24"/>
                <w:szCs w:val="24"/>
              </w:rPr>
            </w:pPr>
            <w:r w:rsidRPr="00C46DFA">
              <w:rPr>
                <w:rFonts w:ascii="Times New Roman" w:eastAsia="Times New Roman" w:hAnsi="Times New Roman" w:cs="Times New Roman"/>
                <w:sz w:val="24"/>
                <w:szCs w:val="24"/>
              </w:rPr>
              <w:tab/>
              <w:t>“1. Noteikumi nosaka kārtību, kādā Nodarbinātības valsts aģentūra (turpmāk – aģentūra) komersantam:</w:t>
            </w:r>
          </w:p>
          <w:p w:rsidR="00C46DFA" w:rsidRPr="00C46DFA" w:rsidRDefault="00C46DFA" w:rsidP="00C46DFA">
            <w:pPr>
              <w:pStyle w:val="ListParagraph"/>
              <w:tabs>
                <w:tab w:val="left" w:pos="-44"/>
              </w:tabs>
              <w:spacing w:after="0" w:line="240" w:lineRule="auto"/>
              <w:ind w:left="17"/>
              <w:jc w:val="both"/>
              <w:rPr>
                <w:rFonts w:ascii="Times New Roman" w:eastAsia="Times New Roman" w:hAnsi="Times New Roman" w:cs="Times New Roman"/>
                <w:sz w:val="24"/>
                <w:szCs w:val="24"/>
              </w:rPr>
            </w:pPr>
            <w:r w:rsidRPr="00C46DFA">
              <w:rPr>
                <w:rFonts w:ascii="Times New Roman" w:eastAsia="Times New Roman" w:hAnsi="Times New Roman" w:cs="Times New Roman"/>
                <w:sz w:val="24"/>
                <w:szCs w:val="24"/>
              </w:rPr>
              <w:t xml:space="preserve">1.1. izsniedz, aptur un anulē licences darbiekārtošanas pakalpojumu sniegšanai (turpmāk – licence), apmēru, kādā maksā valsts nodevu par </w:t>
            </w:r>
            <w:r w:rsidRPr="00C46DFA">
              <w:rPr>
                <w:rFonts w:ascii="Times New Roman" w:eastAsia="Times New Roman" w:hAnsi="Times New Roman" w:cs="Times New Roman"/>
                <w:sz w:val="24"/>
                <w:szCs w:val="24"/>
              </w:rPr>
              <w:lastRenderedPageBreak/>
              <w:t>licenci, un valsts nodevas maksāšanas kārtību, kā arī komersanta pienākumus, tiesības un uzraudzības kārtību;</w:t>
            </w:r>
          </w:p>
          <w:p w:rsidR="00690E31" w:rsidRPr="00690E31" w:rsidRDefault="00C46DFA" w:rsidP="00C46DFA">
            <w:pPr>
              <w:pStyle w:val="ListParagraph"/>
              <w:tabs>
                <w:tab w:val="left" w:pos="-44"/>
              </w:tabs>
              <w:spacing w:after="0" w:line="240" w:lineRule="auto"/>
              <w:ind w:left="17"/>
              <w:jc w:val="both"/>
              <w:rPr>
                <w:rFonts w:ascii="Times New Roman" w:eastAsia="Times New Roman" w:hAnsi="Times New Roman" w:cs="Times New Roman"/>
                <w:sz w:val="24"/>
                <w:szCs w:val="24"/>
              </w:rPr>
            </w:pPr>
            <w:r w:rsidRPr="00C46DFA">
              <w:rPr>
                <w:rFonts w:ascii="Times New Roman" w:eastAsia="Times New Roman" w:hAnsi="Times New Roman" w:cs="Times New Roman"/>
                <w:sz w:val="24"/>
                <w:szCs w:val="24"/>
              </w:rPr>
              <w:t>1.2. piešķir, atsaka, aptur un anulē Eiropas Nodarbinātības dienestu tīkla (EURES) dalībnieka statusu, EURES dalībnieka pienākumus atbilstoši Eiropas Parlamenta un Padomes 2016. gada 13. aprīļa regulas (ES) 2016/589 par Eiropas Nodarbinātības dienestu tīklu (EURES), da</w:t>
            </w:r>
            <w:r w:rsidR="004776E8">
              <w:rPr>
                <w:rFonts w:ascii="Times New Roman" w:eastAsia="Times New Roman" w:hAnsi="Times New Roman" w:cs="Times New Roman"/>
                <w:sz w:val="24"/>
                <w:szCs w:val="24"/>
              </w:rPr>
              <w:t xml:space="preserve">rba ņēmēju piekļuvi mobilitātes </w:t>
            </w:r>
            <w:r w:rsidRPr="00C46DFA">
              <w:rPr>
                <w:rFonts w:ascii="Times New Roman" w:eastAsia="Times New Roman" w:hAnsi="Times New Roman" w:cs="Times New Roman"/>
                <w:sz w:val="24"/>
                <w:szCs w:val="24"/>
              </w:rPr>
              <w:t>pakalpojumiem un turpmāku darba tirgu integrāciju un ar ko groza regulas (ES) Nr. 492/2011 un (ES) Nr. 1296/2013 (turpmāk — regula Nr.  2016/589) prasībām, kā arī uzraudzības kārtību.”.</w:t>
            </w:r>
          </w:p>
        </w:tc>
      </w:tr>
      <w:tr w:rsidR="003803A1" w:rsidTr="00CD649D">
        <w:tblPrEx>
          <w:tblBorders>
            <w:top w:val="single" w:sz="4" w:space="0" w:color="auto"/>
            <w:left w:val="single" w:sz="4" w:space="0" w:color="auto"/>
            <w:bottom w:val="single" w:sz="4" w:space="0" w:color="auto"/>
            <w:right w:val="single" w:sz="4" w:space="0" w:color="auto"/>
          </w:tblBorders>
        </w:tblPrEx>
        <w:trPr>
          <w:trHeight w:val="1119"/>
        </w:trPr>
        <w:tc>
          <w:tcPr>
            <w:tcW w:w="484" w:type="pct"/>
            <w:tcBorders>
              <w:left w:val="single" w:sz="6" w:space="0" w:color="000000"/>
              <w:bottom w:val="single" w:sz="4" w:space="0" w:color="auto"/>
              <w:right w:val="single" w:sz="6" w:space="0" w:color="000000"/>
            </w:tcBorders>
          </w:tcPr>
          <w:p w:rsidR="003803A1" w:rsidRPr="00527F10" w:rsidRDefault="003803A1" w:rsidP="007867B1">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p>
        </w:tc>
        <w:tc>
          <w:tcPr>
            <w:tcW w:w="822" w:type="pct"/>
            <w:gridSpan w:val="2"/>
            <w:tcBorders>
              <w:left w:val="single" w:sz="6" w:space="0" w:color="000000"/>
              <w:bottom w:val="single" w:sz="4" w:space="0" w:color="auto"/>
              <w:right w:val="single" w:sz="6" w:space="0" w:color="000000"/>
            </w:tcBorders>
          </w:tcPr>
          <w:p w:rsidR="005A5DBB" w:rsidRDefault="00015772" w:rsidP="00015772">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Pr="00015772">
              <w:rPr>
                <w:rFonts w:ascii="Times New Roman" w:eastAsia="Times New Roman" w:hAnsi="Times New Roman" w:cs="Times New Roman"/>
                <w:sz w:val="24"/>
                <w:szCs w:val="24"/>
              </w:rPr>
              <w:t xml:space="preserve">Papildināt 9.3.apakšpunktu ar vārdiem un skaitli “kas kopsummā pārsniedz 150 </w:t>
            </w:r>
            <w:proofErr w:type="spellStart"/>
            <w:r w:rsidRPr="00015772">
              <w:rPr>
                <w:rFonts w:ascii="Times New Roman" w:eastAsia="Times New Roman" w:hAnsi="Times New Roman" w:cs="Times New Roman"/>
                <w:sz w:val="24"/>
                <w:szCs w:val="24"/>
              </w:rPr>
              <w:t>euro</w:t>
            </w:r>
            <w:proofErr w:type="spellEnd"/>
            <w:r w:rsidRPr="00015772">
              <w:rPr>
                <w:rFonts w:ascii="Times New Roman" w:eastAsia="Times New Roman" w:hAnsi="Times New Roman" w:cs="Times New Roman"/>
                <w:sz w:val="24"/>
                <w:szCs w:val="24"/>
              </w:rPr>
              <w:t>”.</w:t>
            </w:r>
          </w:p>
        </w:tc>
        <w:tc>
          <w:tcPr>
            <w:tcW w:w="1686" w:type="pct"/>
            <w:gridSpan w:val="2"/>
            <w:tcBorders>
              <w:left w:val="single" w:sz="6" w:space="0" w:color="000000"/>
              <w:bottom w:val="single" w:sz="4" w:space="0" w:color="auto"/>
              <w:right w:val="single" w:sz="6" w:space="0" w:color="000000"/>
            </w:tcBorders>
          </w:tcPr>
          <w:p w:rsidR="003803A1" w:rsidRDefault="00015772" w:rsidP="005A5DBB">
            <w:pPr>
              <w:spacing w:after="0" w:line="240" w:lineRule="auto"/>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Finanšu</w:t>
            </w:r>
            <w:r w:rsidR="009679AD" w:rsidRPr="00F74633">
              <w:rPr>
                <w:rFonts w:ascii="Times New Roman" w:eastAsia="Times New Roman" w:hAnsi="Times New Roman" w:cs="Times New Roman"/>
                <w:b/>
                <w:sz w:val="24"/>
                <w:szCs w:val="20"/>
              </w:rPr>
              <w:t xml:space="preserve"> ministrija:</w:t>
            </w:r>
            <w:r w:rsidR="00A87C30">
              <w:rPr>
                <w:rFonts w:ascii="Times New Roman" w:eastAsia="Times New Roman" w:hAnsi="Times New Roman" w:cs="Times New Roman"/>
                <w:sz w:val="24"/>
                <w:szCs w:val="20"/>
              </w:rPr>
              <w:t xml:space="preserve"> </w:t>
            </w:r>
          </w:p>
          <w:p w:rsidR="009679AD" w:rsidRDefault="009679AD" w:rsidP="005A5DBB">
            <w:pPr>
              <w:spacing w:after="0" w:line="240" w:lineRule="auto"/>
              <w:jc w:val="both"/>
              <w:rPr>
                <w:rFonts w:ascii="Times New Roman" w:eastAsia="Times New Roman" w:hAnsi="Times New Roman" w:cs="Times New Roman"/>
                <w:sz w:val="24"/>
                <w:szCs w:val="24"/>
              </w:rPr>
            </w:pPr>
          </w:p>
          <w:p w:rsidR="00015772" w:rsidRPr="00015772" w:rsidRDefault="00015772" w:rsidP="00015772">
            <w:pPr>
              <w:spacing w:after="0" w:line="240" w:lineRule="auto"/>
              <w:jc w:val="both"/>
              <w:rPr>
                <w:rFonts w:ascii="Times New Roman" w:eastAsia="Times New Roman" w:hAnsi="Times New Roman" w:cs="Times New Roman"/>
                <w:sz w:val="24"/>
                <w:szCs w:val="24"/>
              </w:rPr>
            </w:pPr>
            <w:r w:rsidRPr="00015772">
              <w:rPr>
                <w:rFonts w:ascii="Times New Roman" w:eastAsia="Times New Roman" w:hAnsi="Times New Roman" w:cs="Times New Roman"/>
                <w:sz w:val="24"/>
                <w:szCs w:val="24"/>
              </w:rPr>
              <w:t xml:space="preserve">Vēršam uzmanību, ka atbilstoši likuma “Par nodokļiem un nodevām” 18.panta pirmās daļas 8.punktam Valsts ieņēmumu dienesta pienākums ir nodrošināt informāciju par atsevišķu nodokļu (nodevu) </w:t>
            </w:r>
            <w:proofErr w:type="spellStart"/>
            <w:r w:rsidRPr="00015772">
              <w:rPr>
                <w:rFonts w:ascii="Times New Roman" w:eastAsia="Times New Roman" w:hAnsi="Times New Roman" w:cs="Times New Roman"/>
                <w:sz w:val="24"/>
                <w:szCs w:val="24"/>
              </w:rPr>
              <w:t>kopieņēmumiem</w:t>
            </w:r>
            <w:proofErr w:type="spellEnd"/>
            <w:r w:rsidRPr="00015772">
              <w:rPr>
                <w:rFonts w:ascii="Times New Roman" w:eastAsia="Times New Roman" w:hAnsi="Times New Roman" w:cs="Times New Roman"/>
                <w:sz w:val="24"/>
                <w:szCs w:val="24"/>
              </w:rPr>
              <w:t xml:space="preserve">, un informācijas pieejamību par tiem nodokļu maksātājiem, kuriem Valsts ieņēmumu dienesta administrēto nodokļu (nodevu) parāda kopsumma pārsniedz 150 </w:t>
            </w:r>
            <w:proofErr w:type="spellStart"/>
            <w:r w:rsidRPr="00015772">
              <w:rPr>
                <w:rFonts w:ascii="Times New Roman" w:eastAsia="Times New Roman" w:hAnsi="Times New Roman" w:cs="Times New Roman"/>
                <w:sz w:val="24"/>
                <w:szCs w:val="24"/>
              </w:rPr>
              <w:t>euro</w:t>
            </w:r>
            <w:proofErr w:type="spellEnd"/>
            <w:r w:rsidRPr="00015772">
              <w:rPr>
                <w:rFonts w:ascii="Times New Roman" w:eastAsia="Times New Roman" w:hAnsi="Times New Roman" w:cs="Times New Roman"/>
                <w:sz w:val="24"/>
                <w:szCs w:val="24"/>
              </w:rPr>
              <w:t>. Līdz ar to noteikumu projekta 3.punkta redakciju nepieciešams precizēt, izsakot to šādā redakcijā:</w:t>
            </w:r>
          </w:p>
          <w:p w:rsidR="00015772" w:rsidRPr="00015772" w:rsidRDefault="00015772" w:rsidP="00015772">
            <w:pPr>
              <w:spacing w:after="0" w:line="240" w:lineRule="auto"/>
              <w:jc w:val="both"/>
              <w:rPr>
                <w:rFonts w:ascii="Times New Roman" w:eastAsia="Times New Roman" w:hAnsi="Times New Roman" w:cs="Times New Roman"/>
                <w:sz w:val="24"/>
                <w:szCs w:val="24"/>
              </w:rPr>
            </w:pPr>
            <w:r w:rsidRPr="00015772">
              <w:rPr>
                <w:rFonts w:ascii="Times New Roman" w:eastAsia="Times New Roman" w:hAnsi="Times New Roman" w:cs="Times New Roman"/>
                <w:sz w:val="24"/>
                <w:szCs w:val="24"/>
              </w:rPr>
              <w:t>“3. Izteikt 9.3.apakšpunktu šādā redakcijā:</w:t>
            </w:r>
          </w:p>
          <w:p w:rsidR="00015772" w:rsidRPr="00015772" w:rsidRDefault="00015772" w:rsidP="00015772">
            <w:pPr>
              <w:spacing w:after="0" w:line="240" w:lineRule="auto"/>
              <w:jc w:val="both"/>
              <w:rPr>
                <w:rFonts w:ascii="Times New Roman" w:eastAsia="Times New Roman" w:hAnsi="Times New Roman" w:cs="Times New Roman"/>
                <w:sz w:val="24"/>
                <w:szCs w:val="24"/>
              </w:rPr>
            </w:pPr>
            <w:r w:rsidRPr="00015772">
              <w:rPr>
                <w:rFonts w:ascii="Times New Roman" w:eastAsia="Times New Roman" w:hAnsi="Times New Roman" w:cs="Times New Roman"/>
                <w:sz w:val="24"/>
                <w:szCs w:val="24"/>
              </w:rPr>
              <w:t xml:space="preserve">“9.3. komersantam saskaņā ar Valsts ieņēmumu dienesta administrēto nodokļu (nodevu) parādnieku datubāzē pieejamo informāciju nav nodokļu (nodevu), parādi, kas kopsummā pārsniedz 150 </w:t>
            </w:r>
            <w:proofErr w:type="spellStart"/>
            <w:r w:rsidRPr="00015772">
              <w:rPr>
                <w:rFonts w:ascii="Times New Roman" w:eastAsia="Times New Roman" w:hAnsi="Times New Roman" w:cs="Times New Roman"/>
                <w:sz w:val="24"/>
                <w:szCs w:val="24"/>
              </w:rPr>
              <w:t>euro</w:t>
            </w:r>
            <w:proofErr w:type="spellEnd"/>
            <w:r w:rsidRPr="00015772">
              <w:rPr>
                <w:rFonts w:ascii="Times New Roman" w:eastAsia="Times New Roman" w:hAnsi="Times New Roman" w:cs="Times New Roman"/>
                <w:sz w:val="24"/>
                <w:szCs w:val="24"/>
              </w:rPr>
              <w:t>.”</w:t>
            </w:r>
          </w:p>
          <w:p w:rsidR="00015772" w:rsidRPr="00015772" w:rsidRDefault="00015772" w:rsidP="00015772">
            <w:pPr>
              <w:spacing w:after="0" w:line="240" w:lineRule="auto"/>
              <w:jc w:val="both"/>
              <w:rPr>
                <w:rFonts w:ascii="Times New Roman" w:eastAsia="Times New Roman" w:hAnsi="Times New Roman" w:cs="Times New Roman"/>
                <w:sz w:val="24"/>
                <w:szCs w:val="24"/>
              </w:rPr>
            </w:pPr>
            <w:r w:rsidRPr="00015772">
              <w:rPr>
                <w:rFonts w:ascii="Times New Roman" w:eastAsia="Times New Roman" w:hAnsi="Times New Roman" w:cs="Times New Roman"/>
                <w:sz w:val="24"/>
                <w:szCs w:val="24"/>
              </w:rPr>
              <w:t xml:space="preserve">Konkrētajā redakcijā, ja tas nepieciešams, ir iespējams arī atsevišķi izdalīt valsts sociālās apdrošināšanas obligātās iemaksas, kā tas ir bijis līdz šim šobrīd spēkā esošajā Ministru kabineta noteikumu redakcijā, taču vienlaikus vēršam uzmanību, ka saskaņā ar likuma “Par nodokļiem un nodevām” 1.pantā iekļautajās terminu definīcijās noteikto termins “nodoklis” ir piemērojams arī valsts sociālās apdrošināšanas obligātajām iemaksām, un, kā izriet no 8.panta, kurā tiek uzskaitīti visi valsts </w:t>
            </w:r>
            <w:r w:rsidRPr="00015772">
              <w:rPr>
                <w:rFonts w:ascii="Times New Roman" w:eastAsia="Times New Roman" w:hAnsi="Times New Roman" w:cs="Times New Roman"/>
                <w:sz w:val="24"/>
                <w:szCs w:val="24"/>
              </w:rPr>
              <w:lastRenderedPageBreak/>
              <w:t>nodokļu veidi Latvijas Republikā, valsts sociālās apdrošināšanas obligātās iemaksas ir viens no nodokļiem.</w:t>
            </w:r>
          </w:p>
          <w:p w:rsidR="00015772" w:rsidRPr="00040973" w:rsidRDefault="00015772" w:rsidP="00015772">
            <w:pPr>
              <w:spacing w:after="0" w:line="240" w:lineRule="auto"/>
              <w:jc w:val="both"/>
              <w:rPr>
                <w:rFonts w:ascii="Times New Roman" w:eastAsia="Times New Roman" w:hAnsi="Times New Roman" w:cs="Times New Roman"/>
                <w:sz w:val="24"/>
                <w:szCs w:val="24"/>
              </w:rPr>
            </w:pPr>
            <w:r w:rsidRPr="00015772">
              <w:rPr>
                <w:rFonts w:ascii="Times New Roman" w:eastAsia="Times New Roman" w:hAnsi="Times New Roman" w:cs="Times New Roman"/>
                <w:sz w:val="24"/>
                <w:szCs w:val="24"/>
              </w:rPr>
              <w:t>Ievērojot minēto, vienlaikus lūdzam pārskatīt noteikumu projekta anotācijas I sadaļas 2.punktā iekļauto informāciju (4.apakšpunkts).</w:t>
            </w:r>
          </w:p>
          <w:p w:rsidR="009679AD" w:rsidRPr="00040973" w:rsidRDefault="009679AD" w:rsidP="00A87C30">
            <w:pPr>
              <w:spacing w:after="0" w:line="240" w:lineRule="auto"/>
              <w:jc w:val="both"/>
              <w:rPr>
                <w:rFonts w:ascii="Times New Roman" w:eastAsia="Times New Roman" w:hAnsi="Times New Roman" w:cs="Times New Roman"/>
                <w:sz w:val="24"/>
                <w:szCs w:val="24"/>
              </w:rPr>
            </w:pPr>
          </w:p>
        </w:tc>
        <w:tc>
          <w:tcPr>
            <w:tcW w:w="1038" w:type="pct"/>
            <w:tcBorders>
              <w:left w:val="single" w:sz="6" w:space="0" w:color="000000"/>
              <w:bottom w:val="single" w:sz="4" w:space="0" w:color="auto"/>
              <w:right w:val="single" w:sz="6" w:space="0" w:color="000000"/>
            </w:tcBorders>
          </w:tcPr>
          <w:p w:rsidR="003803A1" w:rsidRDefault="00122E0F" w:rsidP="005A5DBB">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 vērā</w:t>
            </w:r>
          </w:p>
          <w:p w:rsidR="007867B1" w:rsidRDefault="007867B1" w:rsidP="005A5DBB">
            <w:pPr>
              <w:spacing w:after="0" w:line="240" w:lineRule="auto"/>
              <w:rPr>
                <w:rFonts w:ascii="Times New Roman" w:eastAsia="Times New Roman" w:hAnsi="Times New Roman" w:cs="Times New Roman"/>
                <w:b/>
                <w:sz w:val="24"/>
                <w:szCs w:val="24"/>
                <w:lang w:eastAsia="lv-LV"/>
              </w:rPr>
            </w:pPr>
          </w:p>
          <w:p w:rsidR="007867B1" w:rsidRPr="007867B1" w:rsidRDefault="007867B1" w:rsidP="005A5DB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w:t>
            </w:r>
            <w:r w:rsidR="005D7220">
              <w:rPr>
                <w:rFonts w:ascii="Times New Roman" w:eastAsia="Times New Roman" w:hAnsi="Times New Roman" w:cs="Times New Roman"/>
                <w:sz w:val="24"/>
                <w:szCs w:val="24"/>
                <w:lang w:eastAsia="lv-LV"/>
              </w:rPr>
              <w:t xml:space="preserve">ēta MK noteikumu Nr.458 </w:t>
            </w:r>
            <w:r>
              <w:rPr>
                <w:rFonts w:ascii="Times New Roman" w:eastAsia="Times New Roman" w:hAnsi="Times New Roman" w:cs="Times New Roman"/>
                <w:sz w:val="24"/>
                <w:szCs w:val="24"/>
                <w:lang w:eastAsia="lv-LV"/>
              </w:rPr>
              <w:t xml:space="preserve"> 9.3.apakšpunkta redakcija.</w:t>
            </w:r>
          </w:p>
          <w:p w:rsidR="003803A1" w:rsidRDefault="003803A1" w:rsidP="008C0113">
            <w:pPr>
              <w:spacing w:after="0" w:line="240" w:lineRule="auto"/>
              <w:rPr>
                <w:rFonts w:ascii="Times New Roman" w:eastAsia="Times New Roman" w:hAnsi="Times New Roman" w:cs="Times New Roman"/>
                <w:b/>
                <w:sz w:val="24"/>
                <w:szCs w:val="24"/>
                <w:lang w:eastAsia="lv-LV"/>
              </w:rPr>
            </w:pPr>
          </w:p>
          <w:p w:rsidR="00122E0F" w:rsidRPr="006F5887" w:rsidRDefault="00122E0F" w:rsidP="00015772">
            <w:pPr>
              <w:spacing w:line="240" w:lineRule="auto"/>
              <w:jc w:val="both"/>
              <w:rPr>
                <w:rFonts w:ascii="Times New Roman" w:eastAsia="Times New Roman" w:hAnsi="Times New Roman" w:cs="Times New Roman"/>
                <w:sz w:val="24"/>
                <w:szCs w:val="24"/>
                <w:lang w:eastAsia="lv-LV"/>
              </w:rPr>
            </w:pPr>
          </w:p>
          <w:p w:rsidR="003803A1" w:rsidRPr="006F5887" w:rsidRDefault="003803A1" w:rsidP="008C0113">
            <w:pPr>
              <w:rPr>
                <w:rFonts w:ascii="Times New Roman" w:eastAsia="Times New Roman" w:hAnsi="Times New Roman" w:cs="Times New Roman"/>
                <w:sz w:val="24"/>
                <w:szCs w:val="24"/>
                <w:lang w:eastAsia="lv-LV"/>
              </w:rPr>
            </w:pPr>
          </w:p>
          <w:p w:rsidR="003803A1" w:rsidRPr="00642425" w:rsidRDefault="003803A1" w:rsidP="007B368E">
            <w:pPr>
              <w:spacing w:line="240" w:lineRule="auto"/>
              <w:jc w:val="both"/>
              <w:rPr>
                <w:rFonts w:ascii="Times New Roman" w:eastAsia="Times New Roman" w:hAnsi="Times New Roman" w:cs="Times New Roman"/>
                <w:sz w:val="24"/>
                <w:szCs w:val="24"/>
                <w:lang w:eastAsia="lv-LV"/>
              </w:rPr>
            </w:pPr>
          </w:p>
        </w:tc>
        <w:tc>
          <w:tcPr>
            <w:tcW w:w="970" w:type="pct"/>
            <w:tcBorders>
              <w:top w:val="single" w:sz="4" w:space="0" w:color="auto"/>
              <w:left w:val="single" w:sz="4" w:space="0" w:color="auto"/>
              <w:bottom w:val="single" w:sz="4" w:space="0" w:color="auto"/>
            </w:tcBorders>
          </w:tcPr>
          <w:p w:rsidR="004776E8" w:rsidRPr="004776E8" w:rsidRDefault="004776E8" w:rsidP="004776E8">
            <w:pPr>
              <w:spacing w:line="240" w:lineRule="auto"/>
              <w:jc w:val="both"/>
              <w:rPr>
                <w:rFonts w:ascii="Times New Roman" w:eastAsia="Times New Roman" w:hAnsi="Times New Roman" w:cs="Times New Roman"/>
                <w:sz w:val="24"/>
                <w:szCs w:val="24"/>
              </w:rPr>
            </w:pPr>
            <w:r w:rsidRPr="004776E8">
              <w:rPr>
                <w:rFonts w:ascii="Times New Roman" w:eastAsia="Times New Roman" w:hAnsi="Times New Roman" w:cs="Times New Roman"/>
                <w:sz w:val="24"/>
                <w:szCs w:val="24"/>
              </w:rPr>
              <w:t>4. Izteikt 9.3. apakšpunktu šādā redakcijā:</w:t>
            </w:r>
          </w:p>
          <w:p w:rsidR="003803A1" w:rsidRPr="006F5887" w:rsidRDefault="004776E8" w:rsidP="004776E8">
            <w:pPr>
              <w:spacing w:line="240" w:lineRule="auto"/>
              <w:jc w:val="both"/>
              <w:rPr>
                <w:rFonts w:ascii="Times New Roman" w:eastAsia="Times New Roman" w:hAnsi="Times New Roman" w:cs="Times New Roman"/>
                <w:sz w:val="24"/>
                <w:szCs w:val="24"/>
              </w:rPr>
            </w:pPr>
            <w:r w:rsidRPr="004776E8">
              <w:rPr>
                <w:rFonts w:ascii="Times New Roman" w:eastAsia="Times New Roman" w:hAnsi="Times New Roman" w:cs="Times New Roman"/>
                <w:sz w:val="24"/>
                <w:szCs w:val="24"/>
              </w:rPr>
              <w:tab/>
              <w:t xml:space="preserve">“9.3. komersantam saskaņā ar Valsts ieņēmumu dienesta administrēto nodokļu (nodevu) parādnieku datubāzē pieejamo informāciju nav nodokļu (nodevu) parādi, kas kopsummā pārsniedz 150 </w:t>
            </w:r>
            <w:proofErr w:type="spellStart"/>
            <w:r w:rsidRPr="004776E8">
              <w:rPr>
                <w:rFonts w:ascii="Times New Roman" w:eastAsia="Times New Roman" w:hAnsi="Times New Roman" w:cs="Times New Roman"/>
                <w:sz w:val="24"/>
                <w:szCs w:val="24"/>
              </w:rPr>
              <w:t>euro</w:t>
            </w:r>
            <w:proofErr w:type="spellEnd"/>
            <w:r w:rsidRPr="004776E8">
              <w:rPr>
                <w:rFonts w:ascii="Times New Roman" w:eastAsia="Times New Roman" w:hAnsi="Times New Roman" w:cs="Times New Roman"/>
                <w:sz w:val="24"/>
                <w:szCs w:val="24"/>
              </w:rPr>
              <w:t>”.</w:t>
            </w:r>
          </w:p>
          <w:p w:rsidR="003803A1" w:rsidRPr="006F5887"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p w:rsidR="003803A1" w:rsidRDefault="003803A1" w:rsidP="007A6B8C">
            <w:pPr>
              <w:spacing w:line="240" w:lineRule="auto"/>
              <w:rPr>
                <w:rFonts w:ascii="Times New Roman" w:eastAsia="Times New Roman" w:hAnsi="Times New Roman" w:cs="Times New Roman"/>
                <w:sz w:val="24"/>
                <w:szCs w:val="24"/>
              </w:rPr>
            </w:pPr>
          </w:p>
          <w:p w:rsidR="003803A1" w:rsidRDefault="003803A1" w:rsidP="007A6B8C">
            <w:pPr>
              <w:spacing w:line="240" w:lineRule="auto"/>
              <w:rPr>
                <w:rFonts w:ascii="Times New Roman" w:eastAsia="Times New Roman" w:hAnsi="Times New Roman" w:cs="Times New Roman"/>
                <w:sz w:val="24"/>
                <w:szCs w:val="24"/>
              </w:rPr>
            </w:pPr>
          </w:p>
          <w:p w:rsidR="003803A1" w:rsidRPr="006F5887" w:rsidRDefault="003803A1" w:rsidP="007A6B8C">
            <w:pPr>
              <w:spacing w:line="240" w:lineRule="auto"/>
              <w:rPr>
                <w:rFonts w:ascii="Times New Roman" w:eastAsia="Times New Roman" w:hAnsi="Times New Roman" w:cs="Times New Roman"/>
                <w:sz w:val="24"/>
                <w:szCs w:val="24"/>
              </w:rPr>
            </w:pPr>
          </w:p>
        </w:tc>
      </w:tr>
      <w:tr w:rsidR="003803A1" w:rsidTr="00CD649D">
        <w:tblPrEx>
          <w:tblBorders>
            <w:top w:val="single" w:sz="4" w:space="0" w:color="auto"/>
            <w:left w:val="single" w:sz="4" w:space="0" w:color="auto"/>
            <w:bottom w:val="single" w:sz="4" w:space="0" w:color="auto"/>
            <w:right w:val="single" w:sz="4" w:space="0" w:color="auto"/>
          </w:tblBorders>
        </w:tblPrEx>
        <w:trPr>
          <w:trHeight w:val="1685"/>
        </w:trPr>
        <w:tc>
          <w:tcPr>
            <w:tcW w:w="484" w:type="pct"/>
            <w:tcBorders>
              <w:left w:val="single" w:sz="6" w:space="0" w:color="000000"/>
              <w:bottom w:val="single" w:sz="4" w:space="0" w:color="auto"/>
              <w:right w:val="single" w:sz="6" w:space="0" w:color="000000"/>
            </w:tcBorders>
          </w:tcPr>
          <w:p w:rsidR="003803A1" w:rsidRPr="00527F10" w:rsidRDefault="003803A1" w:rsidP="007867B1">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22" w:type="pct"/>
            <w:gridSpan w:val="2"/>
            <w:tcBorders>
              <w:left w:val="single" w:sz="6" w:space="0" w:color="000000"/>
              <w:bottom w:val="single" w:sz="4" w:space="0" w:color="auto"/>
              <w:right w:val="single" w:sz="6" w:space="0" w:color="000000"/>
            </w:tcBorders>
            <w:shd w:val="clear" w:color="auto" w:fill="auto"/>
          </w:tcPr>
          <w:p w:rsidR="00CD649D" w:rsidRPr="00CD649D" w:rsidRDefault="00CD649D" w:rsidP="00CD649D">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Pr="00CD649D">
              <w:rPr>
                <w:rFonts w:ascii="Times New Roman" w:eastAsia="Times New Roman" w:hAnsi="Times New Roman" w:cs="Times New Roman"/>
                <w:sz w:val="24"/>
                <w:szCs w:val="24"/>
              </w:rPr>
              <w:t>Izteikt 9.5. apakšpunktu šādā redakcijā:</w:t>
            </w:r>
          </w:p>
          <w:p w:rsidR="003803A1" w:rsidRDefault="00CD649D" w:rsidP="00CD649D">
            <w:pPr>
              <w:tabs>
                <w:tab w:val="left" w:pos="284"/>
              </w:tabs>
              <w:spacing w:after="0" w:line="240" w:lineRule="auto"/>
              <w:contextualSpacing/>
              <w:jc w:val="both"/>
              <w:rPr>
                <w:rFonts w:ascii="Times New Roman" w:eastAsia="Times New Roman" w:hAnsi="Times New Roman" w:cs="Times New Roman"/>
                <w:sz w:val="24"/>
                <w:szCs w:val="24"/>
              </w:rPr>
            </w:pPr>
            <w:r w:rsidRPr="00CD649D">
              <w:rPr>
                <w:rFonts w:ascii="Times New Roman" w:eastAsia="Times New Roman" w:hAnsi="Times New Roman" w:cs="Times New Roman"/>
                <w:sz w:val="24"/>
                <w:szCs w:val="24"/>
              </w:rPr>
              <w:tab/>
              <w:t>“9.5. nav pasludināts juridiskās personas maksātnespējas process, nav apturēta vai izbeigta komersanta saimnieciskā darbība vai komersants nav likvidācijas procesā;”.</w:t>
            </w:r>
          </w:p>
        </w:tc>
        <w:tc>
          <w:tcPr>
            <w:tcW w:w="1686" w:type="pct"/>
            <w:gridSpan w:val="2"/>
            <w:tcBorders>
              <w:left w:val="single" w:sz="6" w:space="0" w:color="000000"/>
              <w:bottom w:val="single" w:sz="4" w:space="0" w:color="auto"/>
              <w:right w:val="single" w:sz="6" w:space="0" w:color="000000"/>
            </w:tcBorders>
          </w:tcPr>
          <w:p w:rsidR="005A5DBB" w:rsidRDefault="00A87C30" w:rsidP="005A5DB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w:t>
            </w:r>
            <w:r w:rsidR="005A5DBB" w:rsidRPr="00527F10">
              <w:rPr>
                <w:rFonts w:ascii="Times New Roman" w:eastAsia="Times New Roman" w:hAnsi="Times New Roman" w:cs="Times New Roman"/>
                <w:b/>
                <w:sz w:val="24"/>
                <w:szCs w:val="24"/>
              </w:rPr>
              <w:t xml:space="preserve"> ministrija:</w:t>
            </w:r>
          </w:p>
          <w:p w:rsidR="004E6541" w:rsidRDefault="004E6541" w:rsidP="003127C3">
            <w:pPr>
              <w:spacing w:after="0" w:line="240" w:lineRule="auto"/>
              <w:jc w:val="both"/>
              <w:rPr>
                <w:rFonts w:ascii="Times New Roman" w:eastAsia="Times New Roman" w:hAnsi="Times New Roman" w:cs="Times New Roman"/>
                <w:sz w:val="24"/>
                <w:szCs w:val="24"/>
              </w:rPr>
            </w:pPr>
          </w:p>
          <w:p w:rsidR="00CD649D" w:rsidRPr="00CD649D" w:rsidRDefault="00CD649D" w:rsidP="00CD649D">
            <w:pPr>
              <w:spacing w:after="0" w:line="240" w:lineRule="auto"/>
              <w:jc w:val="both"/>
              <w:rPr>
                <w:rFonts w:ascii="Times New Roman" w:eastAsia="Times New Roman" w:hAnsi="Times New Roman" w:cs="Times New Roman"/>
                <w:sz w:val="24"/>
                <w:szCs w:val="24"/>
              </w:rPr>
            </w:pPr>
            <w:r w:rsidRPr="00CD649D">
              <w:rPr>
                <w:rFonts w:ascii="Times New Roman" w:eastAsia="Times New Roman" w:hAnsi="Times New Roman" w:cs="Times New Roman"/>
                <w:sz w:val="24"/>
                <w:szCs w:val="24"/>
              </w:rPr>
              <w:t>4.</w:t>
            </w:r>
            <w:r w:rsidRPr="00CD649D">
              <w:rPr>
                <w:rFonts w:ascii="Times New Roman" w:eastAsia="Times New Roman" w:hAnsi="Times New Roman" w:cs="Times New Roman"/>
                <w:sz w:val="24"/>
                <w:szCs w:val="24"/>
              </w:rPr>
              <w:tab/>
              <w:t xml:space="preserve">Projekta 4. punktā paredzēts jaunā redakcijā izteikt spēkā esošo noteikumu 9.5. apakšpunktu šādā redakcijā: "nav pasludināts juridiskās personas maksātnespējas process, nav apturēta vai izbeigta komersanta saimnieciskā darbība vai komersants nav likvidācijas procesā". Projekta anotācijā skaidrots, ka "Maksātnespējas likumā tiek nošķirti divu veidu procesi, kas ir saistīti ar fiziskās vai juridiskās personas finansiālo stāvokli un maksātnespējas situāciju – tiesiskās aizsardzības process, kura mērķis ir atjaunot parādnieka spēju nokārtot savas saistības, ja parādnieks nonācis finansiālās grūtībās vai uzskata, ka tajās nonāks, un maksātnespējas process, kas ir tiesiska rakstura pasākumu kopums, kura ietvaros no parādnieka mantas tiek segti kreditoru prasījumi, lai veicinātu parādnieka saistību izpildi. Tāpat nacionālajos maksātnespējas jomu regulējošos normatīvajos aktos netiek lietots termins "bankrots" kā patstāvīgs </w:t>
            </w:r>
            <w:r w:rsidRPr="00CD649D">
              <w:rPr>
                <w:rFonts w:ascii="Times New Roman" w:eastAsia="Times New Roman" w:hAnsi="Times New Roman" w:cs="Times New Roman"/>
                <w:sz w:val="24"/>
                <w:szCs w:val="24"/>
              </w:rPr>
              <w:lastRenderedPageBreak/>
              <w:t>procesa veids, bet to pēc būtības aptver juridiskās personas maksātnespējas process. Ievērojot minēto, noteikumu Nr. 458 9.5. apakšpunkts tiek redakcionāli precizēts, saskaņojot terminoloģiju ar maksātnespējas</w:t>
            </w:r>
            <w:r w:rsidRPr="00CD649D">
              <w:rPr>
                <w:rFonts w:ascii="Times New Roman" w:eastAsia="Times New Roman" w:hAnsi="Times New Roman" w:cs="Times New Roman"/>
                <w:b/>
                <w:sz w:val="24"/>
                <w:szCs w:val="24"/>
              </w:rPr>
              <w:t xml:space="preserve"> </w:t>
            </w:r>
            <w:r w:rsidRPr="00CD649D">
              <w:rPr>
                <w:rFonts w:ascii="Times New Roman" w:eastAsia="Times New Roman" w:hAnsi="Times New Roman" w:cs="Times New Roman"/>
                <w:sz w:val="24"/>
                <w:szCs w:val="24"/>
              </w:rPr>
              <w:t xml:space="preserve">jomu regulējošajiem normatīvajiem aktiem". </w:t>
            </w:r>
          </w:p>
          <w:p w:rsidR="00CD649D" w:rsidRPr="00CD649D" w:rsidRDefault="00CD649D" w:rsidP="00CD649D">
            <w:pPr>
              <w:spacing w:after="0" w:line="240" w:lineRule="auto"/>
              <w:jc w:val="both"/>
              <w:rPr>
                <w:rFonts w:ascii="Times New Roman" w:eastAsia="Times New Roman" w:hAnsi="Times New Roman" w:cs="Times New Roman"/>
                <w:sz w:val="24"/>
                <w:szCs w:val="24"/>
              </w:rPr>
            </w:pPr>
            <w:r w:rsidRPr="00CD649D">
              <w:rPr>
                <w:rFonts w:ascii="Times New Roman" w:eastAsia="Times New Roman" w:hAnsi="Times New Roman" w:cs="Times New Roman"/>
                <w:sz w:val="24"/>
                <w:szCs w:val="24"/>
              </w:rPr>
              <w:t>Ievērojot minēto, lūdzam precizēt projekta anotācijā sniegto skaidrojumu, jo šobrīd tas nav korekts. Atbilstoši spēkā esošajiem noteikumiem licenci darbiekārtošanas pakalpojumu sniegšanai izsniedz komersantam. Atbilstoši Komerclikuma 1. panta pirmajai daļai komersants ir komercreģistrā ierakstīta fiziskā persona (individuālais komersants) vai komercsabiedrība (personālsabiedrība un kapitālsabiedrība). Ievērojot minēto, nav pamata anotācijas tekstā sniegt atsauci uz fiziskās personas maksātnespējas procesu. Tāpat nav pamata ietvert atsauci uz skaidrojumu par tiesiskās aizsardzības procesu, jo projekts neparedz tiesiskās aizsardzības procesu kā šķērsli licences saņemšanai.</w:t>
            </w:r>
          </w:p>
          <w:p w:rsidR="00CD649D" w:rsidRPr="00CD649D" w:rsidRDefault="00CD649D" w:rsidP="00CD649D">
            <w:pPr>
              <w:spacing w:after="0" w:line="240" w:lineRule="auto"/>
              <w:jc w:val="both"/>
              <w:rPr>
                <w:rFonts w:ascii="Times New Roman" w:eastAsia="Times New Roman" w:hAnsi="Times New Roman" w:cs="Times New Roman"/>
                <w:sz w:val="24"/>
                <w:szCs w:val="24"/>
              </w:rPr>
            </w:pPr>
            <w:r w:rsidRPr="00CD649D">
              <w:rPr>
                <w:rFonts w:ascii="Times New Roman" w:eastAsia="Times New Roman" w:hAnsi="Times New Roman" w:cs="Times New Roman"/>
                <w:sz w:val="24"/>
                <w:szCs w:val="24"/>
              </w:rPr>
              <w:t xml:space="preserve">Savukārt attiecībā uz bankrotu norādām, ka šāds maksātnespējas stāvokļa risinājums bija paredzēts likumā "Par uzņēmumu un uzņēmējsabiedrību maksātnespēju" (spēku zaudējis 2008. gada 1. janvārī). Līdz ar to attiecībā uz jēdzienu "bankrots" precīzāk būtu ietvert skaidrojumu, ka šāds maksātnespējas </w:t>
            </w:r>
            <w:r w:rsidRPr="00CD649D">
              <w:rPr>
                <w:rFonts w:ascii="Times New Roman" w:eastAsia="Times New Roman" w:hAnsi="Times New Roman" w:cs="Times New Roman"/>
                <w:sz w:val="24"/>
                <w:szCs w:val="24"/>
              </w:rPr>
              <w:lastRenderedPageBreak/>
              <w:t>stāvokļa risinājums vairs nepastāv spēkā esošajos normatīvajos aktos.</w:t>
            </w:r>
          </w:p>
          <w:p w:rsidR="00CD649D" w:rsidRPr="00CD649D" w:rsidRDefault="00CD649D" w:rsidP="00CD649D">
            <w:pPr>
              <w:spacing w:after="0" w:line="240" w:lineRule="auto"/>
              <w:jc w:val="both"/>
              <w:rPr>
                <w:rFonts w:ascii="Times New Roman" w:eastAsia="Times New Roman" w:hAnsi="Times New Roman" w:cs="Times New Roman"/>
                <w:sz w:val="24"/>
                <w:szCs w:val="24"/>
              </w:rPr>
            </w:pPr>
            <w:r w:rsidRPr="00CD649D">
              <w:rPr>
                <w:rFonts w:ascii="Times New Roman" w:eastAsia="Times New Roman" w:hAnsi="Times New Roman" w:cs="Times New Roman"/>
                <w:sz w:val="24"/>
                <w:szCs w:val="24"/>
              </w:rPr>
              <w:t>Ievērojot minēto, aicinām projekta anotācijā norādīt, ka spēkā esošo noteikumu 9.5. apakšpunkts precizēts, nodrošinot tajā lietotās terminoloģijas atbilstību spēkā esošajam Maksātnespējas likuma regulējumam. Proti, bankrots kā maksātnespējas stāvokļa risinājums spēkā esošajā Maksātnespējas likumā kā viens no maksātnespējas stāvokļa risinājumiem kopš 2008. gada 1. janvāra, kad spēku zaudēja likums "Par uzņēmumu un uzņēmējsabiedrību maksātnespēju", nepastāv.</w:t>
            </w:r>
          </w:p>
          <w:p w:rsidR="00CD649D" w:rsidRPr="004D32AA" w:rsidRDefault="00CD649D" w:rsidP="003127C3">
            <w:pPr>
              <w:spacing w:after="0" w:line="240" w:lineRule="auto"/>
              <w:jc w:val="both"/>
              <w:rPr>
                <w:rFonts w:ascii="Times New Roman" w:eastAsia="Times New Roman" w:hAnsi="Times New Roman" w:cs="Times New Roman"/>
                <w:sz w:val="24"/>
                <w:szCs w:val="24"/>
              </w:rPr>
            </w:pPr>
          </w:p>
        </w:tc>
        <w:tc>
          <w:tcPr>
            <w:tcW w:w="1038" w:type="pct"/>
            <w:tcBorders>
              <w:left w:val="single" w:sz="6" w:space="0" w:color="000000"/>
              <w:bottom w:val="single" w:sz="4" w:space="0" w:color="auto"/>
              <w:right w:val="single" w:sz="6" w:space="0" w:color="000000"/>
            </w:tcBorders>
          </w:tcPr>
          <w:p w:rsidR="00D01348" w:rsidRDefault="004776E8" w:rsidP="003127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lastRenderedPageBreak/>
              <w:t>Iebildums ņemts vērā</w:t>
            </w:r>
            <w:r w:rsidR="00D01348">
              <w:rPr>
                <w:rFonts w:ascii="Times New Roman" w:eastAsia="Times New Roman" w:hAnsi="Times New Roman" w:cs="Times New Roman"/>
                <w:sz w:val="24"/>
                <w:szCs w:val="24"/>
                <w:lang w:eastAsia="lv-LV"/>
              </w:rPr>
              <w:t>.</w:t>
            </w:r>
          </w:p>
          <w:p w:rsidR="007867B1" w:rsidRDefault="007867B1" w:rsidP="003127C3">
            <w:pPr>
              <w:spacing w:after="0" w:line="240" w:lineRule="auto"/>
              <w:jc w:val="both"/>
              <w:rPr>
                <w:rFonts w:ascii="Times New Roman" w:eastAsia="Times New Roman" w:hAnsi="Times New Roman" w:cs="Times New Roman"/>
                <w:sz w:val="24"/>
                <w:szCs w:val="24"/>
                <w:lang w:eastAsia="lv-LV"/>
              </w:rPr>
            </w:pPr>
          </w:p>
          <w:p w:rsidR="007867B1" w:rsidRPr="00C90AE6" w:rsidRDefault="007867B1" w:rsidP="003127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Precizēts Noteikumu projekta anotācijas I sadaļas 2.punkta 5.apakšpunkts</w:t>
            </w:r>
          </w:p>
        </w:tc>
        <w:tc>
          <w:tcPr>
            <w:tcW w:w="970" w:type="pct"/>
            <w:tcBorders>
              <w:top w:val="single" w:sz="4" w:space="0" w:color="auto"/>
              <w:left w:val="single" w:sz="4" w:space="0" w:color="auto"/>
              <w:bottom w:val="single" w:sz="4" w:space="0" w:color="auto"/>
            </w:tcBorders>
          </w:tcPr>
          <w:p w:rsidR="001904E8" w:rsidRDefault="001904E8" w:rsidP="001904E8">
            <w:pPr>
              <w:tabs>
                <w:tab w:val="left" w:pos="284"/>
              </w:tabs>
              <w:spacing w:after="0" w:line="240" w:lineRule="auto"/>
              <w:contextualSpacing/>
              <w:jc w:val="both"/>
              <w:rPr>
                <w:rFonts w:ascii="Times New Roman" w:eastAsia="Times New Roman" w:hAnsi="Times New Roman" w:cs="Times New Roman"/>
                <w:sz w:val="24"/>
                <w:szCs w:val="24"/>
              </w:rPr>
            </w:pPr>
          </w:p>
          <w:p w:rsidR="00C90AE6" w:rsidRDefault="00C90AE6" w:rsidP="002F48B0">
            <w:pPr>
              <w:tabs>
                <w:tab w:val="left" w:pos="284"/>
              </w:tabs>
              <w:spacing w:after="0" w:line="240" w:lineRule="auto"/>
              <w:contextualSpacing/>
              <w:jc w:val="both"/>
              <w:rPr>
                <w:rFonts w:ascii="Times New Roman" w:eastAsia="Times New Roman" w:hAnsi="Times New Roman" w:cs="Times New Roman"/>
                <w:sz w:val="24"/>
                <w:szCs w:val="24"/>
              </w:rPr>
            </w:pPr>
          </w:p>
        </w:tc>
      </w:tr>
      <w:tr w:rsidR="003803A1" w:rsidTr="00CD649D">
        <w:tblPrEx>
          <w:tblBorders>
            <w:top w:val="single" w:sz="4" w:space="0" w:color="auto"/>
            <w:left w:val="single" w:sz="4" w:space="0" w:color="auto"/>
            <w:bottom w:val="single" w:sz="4" w:space="0" w:color="auto"/>
            <w:right w:val="single" w:sz="4" w:space="0" w:color="auto"/>
          </w:tblBorders>
        </w:tblPrEx>
        <w:trPr>
          <w:trHeight w:val="1685"/>
        </w:trPr>
        <w:tc>
          <w:tcPr>
            <w:tcW w:w="484" w:type="pct"/>
            <w:tcBorders>
              <w:left w:val="single" w:sz="6" w:space="0" w:color="000000"/>
              <w:bottom w:val="single" w:sz="4" w:space="0" w:color="auto"/>
              <w:right w:val="single" w:sz="6" w:space="0" w:color="000000"/>
            </w:tcBorders>
          </w:tcPr>
          <w:p w:rsidR="003803A1" w:rsidRDefault="003803A1" w:rsidP="008C0113">
            <w:pPr>
              <w:spacing w:after="0" w:line="240" w:lineRule="auto"/>
              <w:ind w:firstLine="720"/>
              <w:jc w:val="center"/>
              <w:rPr>
                <w:rFonts w:ascii="Times New Roman" w:eastAsia="Times New Roman" w:hAnsi="Times New Roman" w:cs="Times New Roman"/>
                <w:sz w:val="24"/>
                <w:szCs w:val="24"/>
                <w:lang w:eastAsia="lv-LV"/>
              </w:rPr>
            </w:pPr>
          </w:p>
          <w:p w:rsidR="003803A1" w:rsidRPr="00664758" w:rsidRDefault="005846BA" w:rsidP="007867B1">
            <w:pPr>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3803A1">
              <w:rPr>
                <w:rFonts w:ascii="Times New Roman" w:eastAsia="Times New Roman" w:hAnsi="Times New Roman" w:cs="Times New Roman"/>
                <w:sz w:val="24"/>
                <w:szCs w:val="24"/>
                <w:lang w:eastAsia="lv-LV"/>
              </w:rPr>
              <w:t>.</w:t>
            </w:r>
          </w:p>
        </w:tc>
        <w:tc>
          <w:tcPr>
            <w:tcW w:w="822" w:type="pct"/>
            <w:gridSpan w:val="2"/>
            <w:tcBorders>
              <w:left w:val="single" w:sz="6" w:space="0" w:color="000000"/>
              <w:bottom w:val="single" w:sz="4" w:space="0" w:color="auto"/>
              <w:right w:val="single" w:sz="6" w:space="0" w:color="000000"/>
            </w:tcBorders>
          </w:tcPr>
          <w:p w:rsidR="00C16E75" w:rsidRPr="00C16E75" w:rsidRDefault="00C16E75" w:rsidP="00C16E75">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w:t>
            </w:r>
            <w:r w:rsidRPr="00C16E75">
              <w:rPr>
                <w:rFonts w:ascii="Times New Roman" w:eastAsia="Times New Roman" w:hAnsi="Times New Roman" w:cs="Times New Roman"/>
                <w:sz w:val="24"/>
                <w:szCs w:val="24"/>
              </w:rPr>
              <w:t>Izteikt 29.punktu šādā redakcijā:</w:t>
            </w:r>
          </w:p>
          <w:p w:rsidR="003803A1" w:rsidRPr="00527F10" w:rsidRDefault="00C16E75" w:rsidP="00C16E75">
            <w:pPr>
              <w:tabs>
                <w:tab w:val="left" w:pos="284"/>
              </w:tabs>
              <w:spacing w:after="0" w:line="240" w:lineRule="auto"/>
              <w:contextualSpacing/>
              <w:jc w:val="both"/>
              <w:rPr>
                <w:rFonts w:ascii="Times New Roman" w:eastAsia="Times New Roman" w:hAnsi="Times New Roman" w:cs="Times New Roman"/>
                <w:sz w:val="24"/>
                <w:szCs w:val="24"/>
              </w:rPr>
            </w:pPr>
            <w:r w:rsidRPr="00C16E75">
              <w:rPr>
                <w:rFonts w:ascii="Times New Roman" w:eastAsia="Times New Roman" w:hAnsi="Times New Roman" w:cs="Times New Roman"/>
                <w:sz w:val="24"/>
                <w:szCs w:val="24"/>
              </w:rPr>
              <w:t>“29. Aģentūra uzrauga kārtību, kādā tiek sniegti darbiekārtošanas pakalpojumi, veicot pārbaudes licences saņēmēja darbības vietā vismaz reizi divu gadu laikā pēc licences izsniegšanas, kā arī gadījumos, kad konstatētas neatbilstības vai saņemta informācija par sniegtajiem darbiekārtošanas pakalpojumiem.”</w:t>
            </w:r>
          </w:p>
        </w:tc>
        <w:tc>
          <w:tcPr>
            <w:tcW w:w="1686" w:type="pct"/>
            <w:gridSpan w:val="2"/>
            <w:tcBorders>
              <w:left w:val="single" w:sz="6" w:space="0" w:color="000000"/>
              <w:bottom w:val="single" w:sz="4" w:space="0" w:color="auto"/>
              <w:right w:val="single" w:sz="6" w:space="0" w:color="000000"/>
            </w:tcBorders>
          </w:tcPr>
          <w:p w:rsidR="005A5DBB" w:rsidRDefault="00CD649D" w:rsidP="00DD7A78">
            <w:p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Tieslietu</w:t>
            </w:r>
            <w:r w:rsidR="005A5DBB" w:rsidRPr="00636C75">
              <w:rPr>
                <w:rFonts w:ascii="Times New Roman" w:eastAsia="Times New Roman" w:hAnsi="Times New Roman" w:cs="Times New Roman"/>
                <w:b/>
                <w:sz w:val="24"/>
                <w:szCs w:val="24"/>
              </w:rPr>
              <w:t xml:space="preserve"> ministrija</w:t>
            </w:r>
            <w:r w:rsidR="005A5DBB" w:rsidRPr="00984D1E">
              <w:rPr>
                <w:rFonts w:ascii="Times New Roman" w:eastAsia="Times New Roman" w:hAnsi="Times New Roman" w:cs="Times New Roman"/>
                <w:sz w:val="24"/>
                <w:szCs w:val="24"/>
              </w:rPr>
              <w:t>:</w:t>
            </w:r>
          </w:p>
          <w:p w:rsidR="00CD649D" w:rsidRDefault="00CD649D" w:rsidP="00DD7A78">
            <w:pPr>
              <w:shd w:val="clear" w:color="auto" w:fill="FFFFFF" w:themeFill="background1"/>
              <w:spacing w:after="0" w:line="240" w:lineRule="auto"/>
              <w:jc w:val="both"/>
              <w:rPr>
                <w:rFonts w:ascii="Times New Roman" w:eastAsia="Times New Roman" w:hAnsi="Times New Roman" w:cs="Times New Roman"/>
                <w:b/>
                <w:sz w:val="24"/>
                <w:szCs w:val="24"/>
              </w:rPr>
            </w:pPr>
          </w:p>
          <w:p w:rsidR="00CD649D" w:rsidRPr="00CD649D" w:rsidRDefault="00CD649D" w:rsidP="00CD649D">
            <w:pPr>
              <w:spacing w:after="0" w:line="240" w:lineRule="auto"/>
              <w:jc w:val="both"/>
              <w:rPr>
                <w:rFonts w:ascii="Times New Roman" w:eastAsia="Times New Roman" w:hAnsi="Times New Roman" w:cs="Times New Roman"/>
                <w:sz w:val="24"/>
                <w:szCs w:val="24"/>
              </w:rPr>
            </w:pPr>
            <w:r w:rsidRPr="00CD649D">
              <w:rPr>
                <w:rFonts w:ascii="Times New Roman" w:eastAsia="Times New Roman" w:hAnsi="Times New Roman" w:cs="Times New Roman"/>
                <w:sz w:val="24"/>
                <w:szCs w:val="24"/>
              </w:rPr>
              <w:t>3.</w:t>
            </w:r>
            <w:r w:rsidRPr="00CD649D">
              <w:rPr>
                <w:rFonts w:ascii="Times New Roman" w:eastAsia="Times New Roman" w:hAnsi="Times New Roman" w:cs="Times New Roman"/>
                <w:sz w:val="24"/>
                <w:szCs w:val="24"/>
              </w:rPr>
              <w:tab/>
              <w:t>Projekta 20. punkts paredz izteikt jaunā redakcijā spēkā esošo noteikumu 29. punktu: “Aģentūra uzrauga kārtību, kādā tiek sniegti darbiekārtošanas pakalpojumi, veicot pārbaudes licences saņēmēja darbības vietā vismaz reizi divu gadu laikā pēc licences izsniegšanas, kā arī gadījumos, kad konstatētas neatbilstības vai saņemta informācija par sniegtajiem darbiekārtošanas pakalpojumiem.”</w:t>
            </w:r>
          </w:p>
          <w:p w:rsidR="00CD649D" w:rsidRPr="00CD649D" w:rsidRDefault="00CD649D" w:rsidP="00CD649D">
            <w:pPr>
              <w:spacing w:after="0" w:line="240" w:lineRule="auto"/>
              <w:jc w:val="both"/>
              <w:rPr>
                <w:rFonts w:ascii="Times New Roman" w:eastAsia="Times New Roman" w:hAnsi="Times New Roman" w:cs="Times New Roman"/>
                <w:sz w:val="24"/>
                <w:szCs w:val="24"/>
              </w:rPr>
            </w:pPr>
            <w:r w:rsidRPr="00CD649D">
              <w:rPr>
                <w:rFonts w:ascii="Times New Roman" w:eastAsia="Times New Roman" w:hAnsi="Times New Roman" w:cs="Times New Roman"/>
                <w:sz w:val="24"/>
                <w:szCs w:val="24"/>
              </w:rPr>
              <w:t xml:space="preserve">Pirmkārt, aicinām izvērtēt projekta 20. punktā paredzētās uzraudzības kārtības efektivitāti, ņemot vērā, ka turpmāk projekts paredz šo uzraudzību veikt neregulāri. Lūdzam skaidrot, kādā veidā aģentūra iegūs informāciju par </w:t>
            </w:r>
            <w:r w:rsidRPr="00CD649D">
              <w:rPr>
                <w:rFonts w:ascii="Times New Roman" w:eastAsia="Times New Roman" w:hAnsi="Times New Roman" w:cs="Times New Roman"/>
                <w:sz w:val="24"/>
                <w:szCs w:val="24"/>
              </w:rPr>
              <w:lastRenderedPageBreak/>
              <w:t>sniegtajiem darbiekārtošanas pakalpojumiem. Aicinām izvērtēt, vai gadījumā, ja aģentūra pēc obligātās pārbaudes veikšanas turpmāk nesaņems nekādu informāciju par sniegtajiem</w:t>
            </w:r>
            <w:r w:rsidRPr="00CD649D">
              <w:rPr>
                <w:rFonts w:ascii="Times New Roman" w:eastAsia="Times New Roman" w:hAnsi="Times New Roman" w:cs="Times New Roman"/>
                <w:b/>
                <w:sz w:val="24"/>
                <w:szCs w:val="24"/>
              </w:rPr>
              <w:t xml:space="preserve"> </w:t>
            </w:r>
            <w:r w:rsidRPr="00CD649D">
              <w:rPr>
                <w:rFonts w:ascii="Times New Roman" w:eastAsia="Times New Roman" w:hAnsi="Times New Roman" w:cs="Times New Roman"/>
                <w:sz w:val="24"/>
                <w:szCs w:val="24"/>
              </w:rPr>
              <w:t xml:space="preserve">darbiekārtošanas pakalpojumiem, būs viennozīmīgi uzskatāms, ka darbiekārtošanas pakalpojumi tiek sniegti atbilstoši likumam un spēkā esošajiem noteikumiem. </w:t>
            </w:r>
          </w:p>
          <w:p w:rsidR="00CD649D" w:rsidRPr="00CD649D" w:rsidRDefault="00CD649D" w:rsidP="00CD649D">
            <w:pPr>
              <w:spacing w:after="0" w:line="240" w:lineRule="auto"/>
              <w:jc w:val="both"/>
              <w:rPr>
                <w:rFonts w:ascii="Times New Roman" w:eastAsia="Times New Roman" w:hAnsi="Times New Roman" w:cs="Times New Roman"/>
                <w:sz w:val="24"/>
                <w:szCs w:val="24"/>
              </w:rPr>
            </w:pPr>
            <w:r w:rsidRPr="00CD649D">
              <w:rPr>
                <w:rFonts w:ascii="Times New Roman" w:eastAsia="Times New Roman" w:hAnsi="Times New Roman" w:cs="Times New Roman"/>
                <w:sz w:val="24"/>
                <w:szCs w:val="24"/>
              </w:rPr>
              <w:t xml:space="preserve">Otrkārt, norādām, ka nav viennozīmīgi skaidrs, kas projekta 20. punktā uzskatāmas par “konstatētām neatbilstībām” un kāda satura “informācija” paredzēta projekta 20. punktā. </w:t>
            </w:r>
          </w:p>
          <w:p w:rsidR="00CD649D" w:rsidRPr="00CD649D" w:rsidRDefault="00CD649D" w:rsidP="00CD649D">
            <w:pPr>
              <w:spacing w:after="0" w:line="240" w:lineRule="auto"/>
              <w:jc w:val="both"/>
              <w:rPr>
                <w:rFonts w:ascii="Times New Roman" w:eastAsia="Times New Roman" w:hAnsi="Times New Roman" w:cs="Times New Roman"/>
                <w:sz w:val="24"/>
                <w:szCs w:val="24"/>
              </w:rPr>
            </w:pPr>
            <w:r w:rsidRPr="00CD649D">
              <w:rPr>
                <w:rFonts w:ascii="Times New Roman" w:eastAsia="Times New Roman" w:hAnsi="Times New Roman" w:cs="Times New Roman"/>
                <w:sz w:val="24"/>
                <w:szCs w:val="24"/>
              </w:rPr>
              <w:t xml:space="preserve">Visbeidzot, vēršam uzmanību, ka projekta anotācijā ietvertais skaidrojums atšķiras no projekta 20. punktā paredzētā regulējuma. Projekta anotācijā cita starpā norādīts, ka “ievērojot licences saņēmēju skaita straujo pieaugumu pēdējo gadu laikā, lai </w:t>
            </w:r>
            <w:proofErr w:type="spellStart"/>
            <w:r w:rsidRPr="00CD649D">
              <w:rPr>
                <w:rFonts w:ascii="Times New Roman" w:eastAsia="Times New Roman" w:hAnsi="Times New Roman" w:cs="Times New Roman"/>
                <w:sz w:val="24"/>
                <w:szCs w:val="24"/>
              </w:rPr>
              <w:t>efektivizētu</w:t>
            </w:r>
            <w:proofErr w:type="spellEnd"/>
            <w:r w:rsidRPr="00CD649D">
              <w:rPr>
                <w:rFonts w:ascii="Times New Roman" w:eastAsia="Times New Roman" w:hAnsi="Times New Roman" w:cs="Times New Roman"/>
                <w:sz w:val="24"/>
                <w:szCs w:val="24"/>
              </w:rPr>
              <w:t xml:space="preserve"> pārbaužu veikšanu un Aģentūras resursu izlietošanu, paredzēts, ka turpmāk, tāpat kā līdz šim, pirmreizēja licences saņēmēja pārbaude tiks veikta divu gadu laikā no licences izsniegšanas, savukārt turpmākās pārbaudes licences saņēmēja darbības vietā būs atkarīgas no pirmreizējā pārbaudē konstatētajām neatbilstībām, kā arī saņemtajām sūdzībām un citas informācijas, kas ir saistīta ar darbiekārtošanas pakalpojumu kvalitāti vai Noteikumos Nr.458 noteikto pienākumu ievērošanu”.  </w:t>
            </w:r>
          </w:p>
          <w:p w:rsidR="00CD649D" w:rsidRPr="00CD649D" w:rsidRDefault="00CD649D" w:rsidP="00CD649D">
            <w:pPr>
              <w:spacing w:after="0" w:line="240" w:lineRule="auto"/>
              <w:jc w:val="both"/>
              <w:rPr>
                <w:rFonts w:ascii="Times New Roman" w:eastAsia="Times New Roman" w:hAnsi="Times New Roman" w:cs="Times New Roman"/>
                <w:sz w:val="24"/>
                <w:szCs w:val="24"/>
              </w:rPr>
            </w:pPr>
            <w:r w:rsidRPr="00CD649D">
              <w:rPr>
                <w:rFonts w:ascii="Times New Roman" w:eastAsia="Times New Roman" w:hAnsi="Times New Roman" w:cs="Times New Roman"/>
                <w:sz w:val="24"/>
                <w:szCs w:val="24"/>
              </w:rPr>
              <w:lastRenderedPageBreak/>
              <w:t xml:space="preserve">Spēkā esošo noteikumu 29. punkts noteic, ka “aģentūra uzrauga kārtību, kādā tiek sniegti darbiekārtošanas pakalpojumi, ne retāk kā reizi divos gados pārbaudot licences saņēmēju tā darbības vietā”. Atšķirībā no projekta anotācijā norādītā, spēkā esošo noteikumu 29. punkts pašlaik neparedz, ka licences saņēmēja pārbaude tiek veikta divu gadu laikā no licences izsniegšanas, bet gan  - ne retāk kā reizi divos gados. </w:t>
            </w:r>
          </w:p>
          <w:p w:rsidR="00A87C30" w:rsidRPr="00CD649D" w:rsidRDefault="00CD649D" w:rsidP="00CD649D">
            <w:pPr>
              <w:spacing w:after="0" w:line="240" w:lineRule="auto"/>
              <w:jc w:val="both"/>
              <w:rPr>
                <w:rFonts w:ascii="Times New Roman" w:eastAsia="Times New Roman" w:hAnsi="Times New Roman" w:cs="Times New Roman"/>
                <w:sz w:val="24"/>
                <w:szCs w:val="24"/>
              </w:rPr>
            </w:pPr>
            <w:r w:rsidRPr="00CD649D">
              <w:rPr>
                <w:rFonts w:ascii="Times New Roman" w:eastAsia="Times New Roman" w:hAnsi="Times New Roman" w:cs="Times New Roman"/>
                <w:sz w:val="24"/>
                <w:szCs w:val="24"/>
              </w:rPr>
              <w:t xml:space="preserve">Tādējādi gadījumā, ja tomēr projekta </w:t>
            </w:r>
            <w:r w:rsidR="008261D0">
              <w:rPr>
                <w:rFonts w:ascii="Times New Roman" w:eastAsia="Times New Roman" w:hAnsi="Times New Roman" w:cs="Times New Roman"/>
                <w:sz w:val="24"/>
                <w:szCs w:val="24"/>
              </w:rPr>
              <w:br/>
            </w:r>
            <w:r w:rsidRPr="00CD649D">
              <w:rPr>
                <w:rFonts w:ascii="Times New Roman" w:eastAsia="Times New Roman" w:hAnsi="Times New Roman" w:cs="Times New Roman"/>
                <w:sz w:val="24"/>
                <w:szCs w:val="24"/>
              </w:rPr>
              <w:t>20. punktā tiek paredzēts, ka aģentūra uzrauga kārtību, kādā tiek sniegti darbiekārtošanas pakalpojumi, veicot pārbaudes licences saņēmēja darbības vietā vismaz reizi divu gadu laikā pēc licences izsniegšanas, lūdzam izvērtēt iespēju svītrot projekta 20. punktā iekļauto norādi “kā arī gadījumos, kad konstatētas neatbilstības vai saņemta informācija par sniegtajiem darbiekārtošanas pakalpojumiem.” Minēto norādi šķietami nav nepieciešams iekļaut projektā, ņemot vērā spēkā esošo noteikumu 30. punktā noteikto, kas jau paredz minētajai norādei līdzīgu regulējumu: “Aģentūrai ir tiesības uzsākt licences saņēmēja darbības pārbaudi pēc savas iniciatīvas vai pamatojoties uz citas valsts, pašvaldības vai ārvalsts kompetentas institūcijas, kā arī privātpersonas sniegto informāciju par iespējamiem normatīvo aktu pārkāpumiem licences saņēmēja darbībā.”</w:t>
            </w:r>
          </w:p>
          <w:p w:rsidR="009679AD" w:rsidRDefault="009679AD" w:rsidP="005A5DBB">
            <w:pPr>
              <w:spacing w:after="0" w:line="240" w:lineRule="auto"/>
              <w:jc w:val="both"/>
              <w:rPr>
                <w:rFonts w:ascii="Times New Roman" w:eastAsia="Times New Roman" w:hAnsi="Times New Roman" w:cs="Times New Roman"/>
                <w:b/>
                <w:sz w:val="24"/>
                <w:szCs w:val="24"/>
              </w:rPr>
            </w:pPr>
          </w:p>
          <w:p w:rsidR="003803A1" w:rsidRPr="00040973" w:rsidRDefault="003803A1" w:rsidP="009679AD">
            <w:pPr>
              <w:spacing w:after="0" w:line="240" w:lineRule="auto"/>
              <w:jc w:val="both"/>
              <w:rPr>
                <w:rFonts w:ascii="Times New Roman" w:eastAsia="Times New Roman" w:hAnsi="Times New Roman" w:cs="Times New Roman"/>
                <w:sz w:val="24"/>
                <w:szCs w:val="20"/>
              </w:rPr>
            </w:pPr>
          </w:p>
        </w:tc>
        <w:tc>
          <w:tcPr>
            <w:tcW w:w="1038" w:type="pct"/>
            <w:tcBorders>
              <w:left w:val="single" w:sz="6" w:space="0" w:color="000000"/>
              <w:bottom w:val="single" w:sz="4" w:space="0" w:color="auto"/>
              <w:right w:val="single" w:sz="6" w:space="0" w:color="000000"/>
            </w:tcBorders>
          </w:tcPr>
          <w:p w:rsidR="005A5DBB" w:rsidRPr="003A66FF" w:rsidRDefault="00CD649D" w:rsidP="005A5DBB">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Iebildumu ņ</w:t>
            </w:r>
            <w:r w:rsidR="005A5DBB" w:rsidRPr="003A66FF">
              <w:rPr>
                <w:rFonts w:ascii="Times New Roman" w:eastAsia="Times New Roman" w:hAnsi="Times New Roman" w:cs="Times New Roman"/>
                <w:b/>
                <w:sz w:val="24"/>
                <w:szCs w:val="24"/>
                <w:lang w:eastAsia="lv-LV"/>
              </w:rPr>
              <w:t>emts vērā.</w:t>
            </w:r>
          </w:p>
          <w:p w:rsidR="003803A1" w:rsidRDefault="003803A1" w:rsidP="005A5DBB">
            <w:pPr>
              <w:spacing w:after="0" w:line="240" w:lineRule="auto"/>
              <w:jc w:val="both"/>
              <w:rPr>
                <w:rFonts w:ascii="Times New Roman" w:eastAsia="Times New Roman" w:hAnsi="Times New Roman" w:cs="Times New Roman"/>
                <w:sz w:val="24"/>
                <w:szCs w:val="24"/>
                <w:lang w:eastAsia="lv-LV"/>
              </w:rPr>
            </w:pPr>
          </w:p>
          <w:p w:rsidR="008261D0" w:rsidRDefault="008261D0" w:rsidP="005A5DB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Precizēta Note</w:t>
            </w:r>
            <w:r w:rsidR="005D7220">
              <w:rPr>
                <w:rFonts w:ascii="Times New Roman" w:eastAsia="Times New Roman" w:hAnsi="Times New Roman" w:cs="Times New Roman"/>
                <w:sz w:val="24"/>
                <w:szCs w:val="24"/>
                <w:lang w:eastAsia="lv-LV"/>
              </w:rPr>
              <w:t>ikumu Nr.458</w:t>
            </w:r>
            <w:r>
              <w:rPr>
                <w:rFonts w:ascii="Times New Roman" w:eastAsia="Times New Roman" w:hAnsi="Times New Roman" w:cs="Times New Roman"/>
                <w:sz w:val="24"/>
                <w:szCs w:val="24"/>
                <w:lang w:eastAsia="lv-LV"/>
              </w:rPr>
              <w:t xml:space="preserve"> 29.punkta redakcija un papildināts Noteikumu projekta anotācijas I sadaļas</w:t>
            </w:r>
            <w:r w:rsidR="007867B1">
              <w:rPr>
                <w:rFonts w:ascii="Times New Roman" w:eastAsia="Times New Roman" w:hAnsi="Times New Roman" w:cs="Times New Roman"/>
                <w:sz w:val="24"/>
                <w:szCs w:val="24"/>
                <w:lang w:eastAsia="lv-LV"/>
              </w:rPr>
              <w:t xml:space="preserve"> 2.punkta 14.apakšpunkts.</w:t>
            </w:r>
            <w:r>
              <w:rPr>
                <w:rFonts w:ascii="Times New Roman" w:eastAsia="Times New Roman" w:hAnsi="Times New Roman" w:cs="Times New Roman"/>
                <w:sz w:val="24"/>
                <w:szCs w:val="24"/>
                <w:lang w:eastAsia="lv-LV"/>
              </w:rPr>
              <w:t xml:space="preserve"> </w:t>
            </w:r>
          </w:p>
          <w:p w:rsidR="00347CAD" w:rsidRPr="00885546" w:rsidRDefault="00347CAD" w:rsidP="00347CAD">
            <w:pPr>
              <w:spacing w:after="0" w:line="240" w:lineRule="auto"/>
              <w:jc w:val="both"/>
              <w:rPr>
                <w:rFonts w:ascii="Times New Roman" w:eastAsia="Times New Roman" w:hAnsi="Times New Roman" w:cs="Times New Roman"/>
                <w:sz w:val="24"/>
                <w:szCs w:val="24"/>
                <w:lang w:eastAsia="lv-LV"/>
              </w:rPr>
            </w:pPr>
          </w:p>
        </w:tc>
        <w:tc>
          <w:tcPr>
            <w:tcW w:w="970" w:type="pct"/>
            <w:tcBorders>
              <w:top w:val="single" w:sz="4" w:space="0" w:color="auto"/>
              <w:left w:val="single" w:sz="4" w:space="0" w:color="auto"/>
              <w:bottom w:val="single" w:sz="4" w:space="0" w:color="auto"/>
            </w:tcBorders>
          </w:tcPr>
          <w:p w:rsidR="008261D0" w:rsidRPr="008261D0" w:rsidRDefault="00F45E3A" w:rsidP="008261D0">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8261D0" w:rsidRPr="008261D0">
              <w:rPr>
                <w:rFonts w:ascii="Times New Roman" w:eastAsia="Times New Roman" w:hAnsi="Times New Roman" w:cs="Times New Roman"/>
                <w:sz w:val="24"/>
                <w:szCs w:val="24"/>
              </w:rPr>
              <w:t>. Izteikt 29. punktu šādā redakcijā:</w:t>
            </w:r>
          </w:p>
          <w:p w:rsidR="00DE0D4E" w:rsidRPr="00DE0D4E" w:rsidRDefault="00DE0D4E" w:rsidP="00DE0D4E">
            <w:pPr>
              <w:tabs>
                <w:tab w:val="left" w:pos="284"/>
              </w:tabs>
              <w:spacing w:after="0" w:line="240" w:lineRule="auto"/>
              <w:contextualSpacing/>
              <w:jc w:val="both"/>
              <w:rPr>
                <w:rFonts w:ascii="Times New Roman" w:eastAsia="Times New Roman" w:hAnsi="Times New Roman" w:cs="Times New Roman"/>
                <w:sz w:val="24"/>
                <w:szCs w:val="24"/>
              </w:rPr>
            </w:pPr>
            <w:r w:rsidRPr="00DE0D4E">
              <w:rPr>
                <w:rFonts w:ascii="Times New Roman" w:eastAsia="Times New Roman" w:hAnsi="Times New Roman" w:cs="Times New Roman"/>
                <w:sz w:val="24"/>
                <w:szCs w:val="24"/>
              </w:rPr>
              <w:t>“29. Aģentūra uzrauga kārtību, kādā tiek sniegti darbiekārtošanas pakalpojumi, veicot pārbaudes licences saņēmēja darbības vietā vismaz reizi divu gadu laikā pēc licences izsniegšanas, kā arī gadījumos, kad iepriekšējā pārbaudē konstatētas neatbilstības.”.</w:t>
            </w:r>
          </w:p>
          <w:p w:rsidR="003803A1" w:rsidRDefault="003803A1" w:rsidP="008261D0">
            <w:pPr>
              <w:tabs>
                <w:tab w:val="left" w:pos="284"/>
              </w:tabs>
              <w:spacing w:after="0" w:line="240" w:lineRule="auto"/>
              <w:contextualSpacing/>
              <w:jc w:val="both"/>
              <w:rPr>
                <w:rFonts w:ascii="Times New Roman" w:eastAsia="Times New Roman" w:hAnsi="Times New Roman" w:cs="Times New Roman"/>
                <w:sz w:val="24"/>
                <w:szCs w:val="24"/>
              </w:rPr>
            </w:pPr>
          </w:p>
        </w:tc>
      </w:tr>
      <w:tr w:rsidR="00A87C30" w:rsidTr="00CD649D">
        <w:tblPrEx>
          <w:tblBorders>
            <w:top w:val="single" w:sz="4" w:space="0" w:color="auto"/>
            <w:left w:val="single" w:sz="4" w:space="0" w:color="auto"/>
            <w:bottom w:val="single" w:sz="4" w:space="0" w:color="auto"/>
            <w:right w:val="single" w:sz="4" w:space="0" w:color="auto"/>
          </w:tblBorders>
        </w:tblPrEx>
        <w:trPr>
          <w:trHeight w:val="1685"/>
        </w:trPr>
        <w:tc>
          <w:tcPr>
            <w:tcW w:w="484" w:type="pct"/>
            <w:tcBorders>
              <w:left w:val="single" w:sz="6" w:space="0" w:color="000000"/>
              <w:bottom w:val="single" w:sz="4" w:space="0" w:color="auto"/>
              <w:right w:val="single" w:sz="6" w:space="0" w:color="000000"/>
            </w:tcBorders>
          </w:tcPr>
          <w:p w:rsidR="00A87C30" w:rsidRDefault="00A87C30" w:rsidP="000F7AF4">
            <w:pPr>
              <w:spacing w:after="0" w:line="240" w:lineRule="auto"/>
              <w:ind w:firstLine="720"/>
              <w:jc w:val="center"/>
              <w:rPr>
                <w:rFonts w:ascii="Times New Roman" w:eastAsia="Times New Roman" w:hAnsi="Times New Roman" w:cs="Times New Roman"/>
                <w:sz w:val="24"/>
                <w:szCs w:val="24"/>
                <w:lang w:eastAsia="lv-LV"/>
              </w:rPr>
            </w:pPr>
          </w:p>
          <w:p w:rsidR="00A87C30" w:rsidRPr="00527F10" w:rsidRDefault="00B43215" w:rsidP="00A87C30">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A87C30">
              <w:rPr>
                <w:rFonts w:ascii="Times New Roman" w:eastAsia="Times New Roman" w:hAnsi="Times New Roman" w:cs="Times New Roman"/>
                <w:sz w:val="24"/>
                <w:szCs w:val="24"/>
                <w:lang w:eastAsia="lv-LV"/>
              </w:rPr>
              <w:t>.</w:t>
            </w:r>
          </w:p>
        </w:tc>
        <w:tc>
          <w:tcPr>
            <w:tcW w:w="822" w:type="pct"/>
            <w:gridSpan w:val="2"/>
            <w:tcBorders>
              <w:left w:val="single" w:sz="6" w:space="0" w:color="000000"/>
              <w:bottom w:val="single" w:sz="4" w:space="0" w:color="auto"/>
              <w:right w:val="single" w:sz="6" w:space="0" w:color="000000"/>
            </w:tcBorders>
            <w:shd w:val="clear" w:color="auto" w:fill="auto"/>
          </w:tcPr>
          <w:p w:rsidR="00A87C30" w:rsidRDefault="00C16E75" w:rsidP="000F7AF4">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Svītrot </w:t>
            </w:r>
            <w:r w:rsidRPr="00C16E75">
              <w:rPr>
                <w:rFonts w:ascii="Times New Roman" w:eastAsia="Times New Roman" w:hAnsi="Times New Roman" w:cs="Times New Roman"/>
                <w:sz w:val="24"/>
                <w:szCs w:val="24"/>
              </w:rPr>
              <w:t>28.2.apakšpunktā vārdu “sniegto”</w:t>
            </w:r>
            <w:r w:rsidR="0058516E">
              <w:rPr>
                <w:rFonts w:ascii="Times New Roman" w:eastAsia="Times New Roman" w:hAnsi="Times New Roman" w:cs="Times New Roman"/>
                <w:sz w:val="24"/>
                <w:szCs w:val="24"/>
              </w:rPr>
              <w:t>.</w:t>
            </w:r>
          </w:p>
        </w:tc>
        <w:tc>
          <w:tcPr>
            <w:tcW w:w="1686" w:type="pct"/>
            <w:gridSpan w:val="2"/>
            <w:tcBorders>
              <w:left w:val="single" w:sz="6" w:space="0" w:color="000000"/>
              <w:bottom w:val="single" w:sz="4" w:space="0" w:color="auto"/>
              <w:right w:val="single" w:sz="6" w:space="0" w:color="000000"/>
            </w:tcBorders>
          </w:tcPr>
          <w:p w:rsidR="00A87C30" w:rsidRDefault="00A87C30" w:rsidP="000F7AF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Tieslietu</w:t>
            </w:r>
            <w:r w:rsidRPr="00527F10">
              <w:rPr>
                <w:rFonts w:ascii="Times New Roman" w:eastAsia="Times New Roman" w:hAnsi="Times New Roman" w:cs="Times New Roman"/>
                <w:b/>
                <w:sz w:val="24"/>
                <w:szCs w:val="24"/>
              </w:rPr>
              <w:t xml:space="preserve"> ministrija:</w:t>
            </w:r>
          </w:p>
          <w:p w:rsidR="00CD649D" w:rsidRPr="00527F10" w:rsidRDefault="00CD649D" w:rsidP="00CD649D">
            <w:pPr>
              <w:spacing w:after="0" w:line="240" w:lineRule="auto"/>
              <w:jc w:val="both"/>
              <w:rPr>
                <w:rFonts w:ascii="Times New Roman" w:eastAsia="Times New Roman" w:hAnsi="Times New Roman" w:cs="Times New Roman"/>
                <w:b/>
                <w:sz w:val="24"/>
                <w:szCs w:val="24"/>
              </w:rPr>
            </w:pPr>
          </w:p>
          <w:p w:rsidR="00CD649D" w:rsidRPr="00527F10" w:rsidRDefault="00CD649D" w:rsidP="00CD649D">
            <w:pPr>
              <w:spacing w:after="0" w:line="240" w:lineRule="auto"/>
              <w:jc w:val="both"/>
              <w:rPr>
                <w:rFonts w:ascii="Times New Roman" w:eastAsia="Times New Roman" w:hAnsi="Times New Roman" w:cs="Times New Roman"/>
                <w:b/>
                <w:sz w:val="24"/>
                <w:szCs w:val="24"/>
              </w:rPr>
            </w:pPr>
            <w:r w:rsidRPr="00015772">
              <w:rPr>
                <w:rFonts w:ascii="Times New Roman" w:eastAsia="Times New Roman" w:hAnsi="Times New Roman" w:cs="Times New Roman"/>
                <w:sz w:val="24"/>
                <w:szCs w:val="24"/>
              </w:rPr>
              <w:t>2.</w:t>
            </w:r>
            <w:r w:rsidRPr="00015772">
              <w:rPr>
                <w:rFonts w:ascii="Times New Roman" w:eastAsia="Times New Roman" w:hAnsi="Times New Roman" w:cs="Times New Roman"/>
                <w:sz w:val="24"/>
                <w:szCs w:val="24"/>
              </w:rPr>
              <w:tab/>
              <w:t xml:space="preserve">Lūdzam izvērtēt projekta </w:t>
            </w:r>
            <w:r>
              <w:rPr>
                <w:rFonts w:ascii="Times New Roman" w:eastAsia="Times New Roman" w:hAnsi="Times New Roman" w:cs="Times New Roman"/>
                <w:sz w:val="24"/>
                <w:szCs w:val="24"/>
              </w:rPr>
              <w:br/>
            </w:r>
            <w:r w:rsidRPr="00015772">
              <w:rPr>
                <w:rFonts w:ascii="Times New Roman" w:eastAsia="Times New Roman" w:hAnsi="Times New Roman" w:cs="Times New Roman"/>
                <w:sz w:val="24"/>
                <w:szCs w:val="24"/>
              </w:rPr>
              <w:t>19. punktā izteikto grozījumu 28.2. apakšpunktā, kas paredz svītrot vārdu “sniegto”. Ņemot vērā projekta anotācijā norādīto skaidrojumu un lai spēkā esošo noteikumu 28.2. apakšpunktu izteiktu viennozīmīgi skaidri, aicinām aizstāt vārdu “sniegto” ar vārdiem “licencē norādītos”.</w:t>
            </w:r>
          </w:p>
          <w:p w:rsidR="00A87C30" w:rsidRPr="00A87C30" w:rsidRDefault="00A87C30" w:rsidP="00CD649D">
            <w:pPr>
              <w:spacing w:after="0" w:line="240" w:lineRule="auto"/>
              <w:jc w:val="both"/>
              <w:rPr>
                <w:rFonts w:ascii="Times New Roman" w:eastAsia="Times New Roman" w:hAnsi="Times New Roman" w:cs="Times New Roman"/>
                <w:b/>
                <w:sz w:val="24"/>
                <w:szCs w:val="24"/>
              </w:rPr>
            </w:pPr>
          </w:p>
        </w:tc>
        <w:tc>
          <w:tcPr>
            <w:tcW w:w="1038" w:type="pct"/>
            <w:tcBorders>
              <w:left w:val="single" w:sz="6" w:space="0" w:color="000000"/>
              <w:bottom w:val="single" w:sz="4" w:space="0" w:color="auto"/>
              <w:right w:val="single" w:sz="6" w:space="0" w:color="000000"/>
            </w:tcBorders>
          </w:tcPr>
          <w:p w:rsidR="00A87C30" w:rsidRPr="003A66FF" w:rsidRDefault="00A87C30" w:rsidP="000F7AF4">
            <w:pPr>
              <w:spacing w:after="0" w:line="240" w:lineRule="auto"/>
              <w:rPr>
                <w:rFonts w:ascii="Times New Roman" w:eastAsia="Times New Roman" w:hAnsi="Times New Roman" w:cs="Times New Roman"/>
                <w:b/>
                <w:sz w:val="24"/>
                <w:szCs w:val="24"/>
                <w:lang w:eastAsia="lv-LV"/>
              </w:rPr>
            </w:pPr>
            <w:r w:rsidRPr="005A5DBB">
              <w:rPr>
                <w:rFonts w:ascii="Times New Roman" w:eastAsia="Times New Roman" w:hAnsi="Times New Roman" w:cs="Times New Roman"/>
                <w:b/>
                <w:sz w:val="24"/>
                <w:szCs w:val="24"/>
                <w:lang w:eastAsia="lv-LV"/>
              </w:rPr>
              <w:t>Iebildums ņemts vērā.</w:t>
            </w:r>
          </w:p>
          <w:p w:rsidR="00A87C30" w:rsidRDefault="00A87C30" w:rsidP="000F7AF4">
            <w:pPr>
              <w:spacing w:after="0" w:line="240" w:lineRule="auto"/>
              <w:rPr>
                <w:rFonts w:ascii="Times New Roman" w:eastAsia="Times New Roman" w:hAnsi="Times New Roman" w:cs="Times New Roman"/>
                <w:b/>
                <w:sz w:val="24"/>
                <w:szCs w:val="24"/>
                <w:lang w:eastAsia="lv-LV"/>
              </w:rPr>
            </w:pPr>
          </w:p>
          <w:p w:rsidR="00A87C30" w:rsidRPr="00FD1137" w:rsidRDefault="00A87C30" w:rsidP="000F7AF4">
            <w:pPr>
              <w:spacing w:after="0" w:line="240" w:lineRule="auto"/>
              <w:rPr>
                <w:rFonts w:ascii="Times New Roman" w:eastAsia="Times New Roman" w:hAnsi="Times New Roman" w:cs="Times New Roman"/>
                <w:sz w:val="24"/>
                <w:szCs w:val="24"/>
                <w:lang w:eastAsia="lv-LV"/>
              </w:rPr>
            </w:pPr>
          </w:p>
        </w:tc>
        <w:tc>
          <w:tcPr>
            <w:tcW w:w="970" w:type="pct"/>
            <w:tcBorders>
              <w:top w:val="single" w:sz="4" w:space="0" w:color="auto"/>
              <w:left w:val="single" w:sz="4" w:space="0" w:color="auto"/>
              <w:bottom w:val="single" w:sz="4" w:space="0" w:color="auto"/>
              <w:right w:val="single" w:sz="4" w:space="0" w:color="auto"/>
            </w:tcBorders>
          </w:tcPr>
          <w:p w:rsidR="00A87C30" w:rsidRDefault="00F45E3A" w:rsidP="000F7AF4">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4776E8" w:rsidRPr="004776E8">
              <w:rPr>
                <w:rFonts w:ascii="Times New Roman" w:eastAsia="Times New Roman" w:hAnsi="Times New Roman" w:cs="Times New Roman"/>
                <w:sz w:val="24"/>
                <w:szCs w:val="24"/>
              </w:rPr>
              <w:t>. Aizstāt 28.2. apakšpunktā vārdu “sniegto” ar vārdiem “licencē norādīto”.</w:t>
            </w:r>
          </w:p>
          <w:p w:rsidR="00A87C30" w:rsidRDefault="00A87C30" w:rsidP="000F7AF4">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DE0D4E" w:rsidTr="00CD649D">
        <w:tblPrEx>
          <w:tblBorders>
            <w:top w:val="single" w:sz="4" w:space="0" w:color="auto"/>
            <w:left w:val="single" w:sz="4" w:space="0" w:color="auto"/>
            <w:bottom w:val="single" w:sz="4" w:space="0" w:color="auto"/>
            <w:right w:val="single" w:sz="4" w:space="0" w:color="auto"/>
          </w:tblBorders>
        </w:tblPrEx>
        <w:trPr>
          <w:trHeight w:val="1685"/>
        </w:trPr>
        <w:tc>
          <w:tcPr>
            <w:tcW w:w="484" w:type="pct"/>
            <w:tcBorders>
              <w:left w:val="single" w:sz="6" w:space="0" w:color="000000"/>
              <w:bottom w:val="single" w:sz="4" w:space="0" w:color="auto"/>
              <w:right w:val="single" w:sz="6" w:space="0" w:color="000000"/>
            </w:tcBorders>
          </w:tcPr>
          <w:p w:rsidR="00DE0D4E" w:rsidRDefault="00DE0D4E" w:rsidP="000F7AF4">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822" w:type="pct"/>
            <w:gridSpan w:val="2"/>
            <w:tcBorders>
              <w:left w:val="single" w:sz="6" w:space="0" w:color="000000"/>
              <w:bottom w:val="single" w:sz="4" w:space="0" w:color="auto"/>
              <w:right w:val="single" w:sz="6" w:space="0" w:color="000000"/>
            </w:tcBorders>
            <w:shd w:val="clear" w:color="auto" w:fill="auto"/>
          </w:tcPr>
          <w:p w:rsidR="004C1B31" w:rsidRDefault="004C1B31" w:rsidP="000F7AF4">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MK noteikumu Nr.458 </w:t>
            </w:r>
            <w:r w:rsidRPr="004C1B31">
              <w:rPr>
                <w:rFonts w:ascii="Times New Roman" w:eastAsia="Times New Roman" w:hAnsi="Times New Roman" w:cs="Times New Roman"/>
                <w:sz w:val="24"/>
                <w:szCs w:val="24"/>
              </w:rPr>
              <w:t>28.</w:t>
            </w:r>
            <w:r w:rsidRPr="004C1B31">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punkts.</w:t>
            </w:r>
          </w:p>
          <w:p w:rsidR="004C1B31" w:rsidRDefault="004C1B31" w:rsidP="000F7AF4">
            <w:pPr>
              <w:tabs>
                <w:tab w:val="left" w:pos="284"/>
              </w:tabs>
              <w:spacing w:after="0" w:line="240" w:lineRule="auto"/>
              <w:contextualSpacing/>
              <w:jc w:val="both"/>
              <w:rPr>
                <w:rFonts w:ascii="Times New Roman" w:eastAsia="Times New Roman" w:hAnsi="Times New Roman" w:cs="Times New Roman"/>
                <w:sz w:val="24"/>
                <w:szCs w:val="24"/>
              </w:rPr>
            </w:pPr>
          </w:p>
          <w:p w:rsidR="004C1B31" w:rsidRDefault="004C1B31" w:rsidP="000F7AF4">
            <w:pPr>
              <w:tabs>
                <w:tab w:val="left" w:pos="284"/>
              </w:tabs>
              <w:spacing w:after="0" w:line="240" w:lineRule="auto"/>
              <w:contextualSpacing/>
              <w:jc w:val="both"/>
              <w:rPr>
                <w:rFonts w:ascii="Times New Roman" w:eastAsia="Times New Roman" w:hAnsi="Times New Roman" w:cs="Times New Roman"/>
                <w:sz w:val="24"/>
                <w:szCs w:val="24"/>
              </w:rPr>
            </w:pPr>
            <w:r w:rsidRPr="004C1B31">
              <w:rPr>
                <w:rFonts w:ascii="Times New Roman" w:eastAsia="Times New Roman" w:hAnsi="Times New Roman" w:cs="Times New Roman"/>
                <w:sz w:val="24"/>
                <w:szCs w:val="24"/>
              </w:rPr>
              <w:t>28.</w:t>
            </w:r>
            <w:r w:rsidRPr="004C1B31">
              <w:rPr>
                <w:rFonts w:ascii="Times New Roman" w:eastAsia="Times New Roman" w:hAnsi="Times New Roman" w:cs="Times New Roman"/>
                <w:sz w:val="24"/>
                <w:szCs w:val="24"/>
                <w:vertAlign w:val="superscript"/>
              </w:rPr>
              <w:t>1</w:t>
            </w:r>
            <w:r w:rsidRPr="004C1B31">
              <w:rPr>
                <w:rFonts w:ascii="Times New Roman" w:eastAsia="Times New Roman" w:hAnsi="Times New Roman" w:cs="Times New Roman"/>
                <w:sz w:val="24"/>
                <w:szCs w:val="24"/>
              </w:rPr>
              <w:t> Licences saņēmējs ir tiesīgs sniegt pakalpojumus atbilstoši Eiropas Parlamenta un Padomes 2016. gada 13. aprīļa Regulai (ES) </w:t>
            </w:r>
            <w:hyperlink r:id="rId8" w:tgtFrame="_blank" w:history="1">
              <w:r w:rsidRPr="004C1B31">
                <w:rPr>
                  <w:rStyle w:val="Hyperlink"/>
                  <w:rFonts w:ascii="Times New Roman" w:eastAsia="Times New Roman" w:hAnsi="Times New Roman" w:cs="Times New Roman"/>
                  <w:sz w:val="24"/>
                  <w:szCs w:val="24"/>
                </w:rPr>
                <w:t>2016/589</w:t>
              </w:r>
            </w:hyperlink>
            <w:r w:rsidRPr="004C1B31">
              <w:rPr>
                <w:rFonts w:ascii="Times New Roman" w:eastAsia="Times New Roman" w:hAnsi="Times New Roman" w:cs="Times New Roman"/>
                <w:sz w:val="24"/>
                <w:szCs w:val="24"/>
              </w:rPr>
              <w:t> par Eiropas Nodarbinātības dienestu tīklu (</w:t>
            </w:r>
            <w:r w:rsidRPr="004C1B31">
              <w:rPr>
                <w:rFonts w:ascii="Times New Roman" w:eastAsia="Times New Roman" w:hAnsi="Times New Roman" w:cs="Times New Roman"/>
                <w:i/>
                <w:iCs/>
                <w:sz w:val="24"/>
                <w:szCs w:val="24"/>
              </w:rPr>
              <w:t>EURES</w:t>
            </w:r>
            <w:r w:rsidRPr="004C1B31">
              <w:rPr>
                <w:rFonts w:ascii="Times New Roman" w:eastAsia="Times New Roman" w:hAnsi="Times New Roman" w:cs="Times New Roman"/>
                <w:sz w:val="24"/>
                <w:szCs w:val="24"/>
              </w:rPr>
              <w:t xml:space="preserve">), darba ņēmēju piekļuvi mobilitātes pakalpojumiem un turpmāku darba tirgus integrāciju un ar </w:t>
            </w:r>
            <w:r w:rsidRPr="004C1B31">
              <w:rPr>
                <w:rFonts w:ascii="Times New Roman" w:eastAsia="Times New Roman" w:hAnsi="Times New Roman" w:cs="Times New Roman"/>
                <w:sz w:val="24"/>
                <w:szCs w:val="24"/>
              </w:rPr>
              <w:lastRenderedPageBreak/>
              <w:t>ko groza Regulas (ES) Nr. </w:t>
            </w:r>
            <w:hyperlink r:id="rId9" w:tgtFrame="_blank" w:history="1">
              <w:r w:rsidRPr="004C1B31">
                <w:rPr>
                  <w:rStyle w:val="Hyperlink"/>
                  <w:rFonts w:ascii="Times New Roman" w:eastAsia="Times New Roman" w:hAnsi="Times New Roman" w:cs="Times New Roman"/>
                  <w:sz w:val="24"/>
                  <w:szCs w:val="24"/>
                </w:rPr>
                <w:t>492/2011</w:t>
              </w:r>
            </w:hyperlink>
            <w:r w:rsidRPr="004C1B31">
              <w:rPr>
                <w:rFonts w:ascii="Times New Roman" w:eastAsia="Times New Roman" w:hAnsi="Times New Roman" w:cs="Times New Roman"/>
                <w:sz w:val="24"/>
                <w:szCs w:val="24"/>
              </w:rPr>
              <w:t> un (ES) Nr. </w:t>
            </w:r>
            <w:hyperlink r:id="rId10" w:tgtFrame="_blank" w:history="1">
              <w:r w:rsidRPr="004C1B31">
                <w:rPr>
                  <w:rStyle w:val="Hyperlink"/>
                  <w:rFonts w:ascii="Times New Roman" w:eastAsia="Times New Roman" w:hAnsi="Times New Roman" w:cs="Times New Roman"/>
                  <w:sz w:val="24"/>
                  <w:szCs w:val="24"/>
                </w:rPr>
                <w:t>1296/2013</w:t>
              </w:r>
            </w:hyperlink>
            <w:r w:rsidRPr="004C1B31">
              <w:rPr>
                <w:rFonts w:ascii="Times New Roman" w:eastAsia="Times New Roman" w:hAnsi="Times New Roman" w:cs="Times New Roman"/>
                <w:sz w:val="24"/>
                <w:szCs w:val="24"/>
              </w:rPr>
              <w:t> (turpmāk – regula Nr. </w:t>
            </w:r>
            <w:hyperlink r:id="rId11" w:tgtFrame="_blank" w:history="1">
              <w:r w:rsidRPr="004C1B31">
                <w:rPr>
                  <w:rStyle w:val="Hyperlink"/>
                  <w:rFonts w:ascii="Times New Roman" w:eastAsia="Times New Roman" w:hAnsi="Times New Roman" w:cs="Times New Roman"/>
                  <w:sz w:val="24"/>
                  <w:szCs w:val="24"/>
                </w:rPr>
                <w:t>2016/589</w:t>
              </w:r>
            </w:hyperlink>
            <w:r w:rsidRPr="004C1B31">
              <w:rPr>
                <w:rFonts w:ascii="Times New Roman" w:eastAsia="Times New Roman" w:hAnsi="Times New Roman" w:cs="Times New Roman"/>
                <w:sz w:val="24"/>
                <w:szCs w:val="24"/>
              </w:rPr>
              <w:t>), ja aģentūra ir piešķīrusi licences saņēmējam </w:t>
            </w:r>
            <w:r w:rsidRPr="004C1B31">
              <w:rPr>
                <w:rFonts w:ascii="Times New Roman" w:eastAsia="Times New Roman" w:hAnsi="Times New Roman" w:cs="Times New Roman"/>
                <w:i/>
                <w:iCs/>
                <w:sz w:val="24"/>
                <w:szCs w:val="24"/>
              </w:rPr>
              <w:t>EURES</w:t>
            </w:r>
            <w:r w:rsidRPr="004C1B31">
              <w:rPr>
                <w:rFonts w:ascii="Times New Roman" w:eastAsia="Times New Roman" w:hAnsi="Times New Roman" w:cs="Times New Roman"/>
                <w:sz w:val="24"/>
                <w:szCs w:val="24"/>
              </w:rPr>
              <w:t> dalībnieka statusu un tas ir iekļauts aģentūras tīmekļvietnē publicētajā reģistrā.</w:t>
            </w:r>
          </w:p>
        </w:tc>
        <w:tc>
          <w:tcPr>
            <w:tcW w:w="1686" w:type="pct"/>
            <w:gridSpan w:val="2"/>
            <w:tcBorders>
              <w:left w:val="single" w:sz="6" w:space="0" w:color="000000"/>
              <w:bottom w:val="single" w:sz="4" w:space="0" w:color="auto"/>
              <w:right w:val="single" w:sz="6" w:space="0" w:color="000000"/>
            </w:tcBorders>
          </w:tcPr>
          <w:p w:rsidR="004C1B31" w:rsidRDefault="004C1B31" w:rsidP="000F7AF4">
            <w:pPr>
              <w:spacing w:after="0" w:line="240" w:lineRule="auto"/>
              <w:jc w:val="both"/>
              <w:rPr>
                <w:rFonts w:ascii="Times New Roman" w:eastAsia="Times New Roman" w:hAnsi="Times New Roman" w:cs="Times New Roman"/>
                <w:b/>
                <w:sz w:val="24"/>
                <w:szCs w:val="24"/>
              </w:rPr>
            </w:pPr>
            <w:r w:rsidRPr="004C1B31">
              <w:rPr>
                <w:rFonts w:ascii="Times New Roman" w:eastAsia="Times New Roman" w:hAnsi="Times New Roman" w:cs="Times New Roman"/>
                <w:b/>
                <w:sz w:val="24"/>
                <w:szCs w:val="24"/>
              </w:rPr>
              <w:lastRenderedPageBreak/>
              <w:t>Tieslietu ministrija</w:t>
            </w:r>
            <w:r>
              <w:rPr>
                <w:rFonts w:ascii="Times New Roman" w:eastAsia="Times New Roman" w:hAnsi="Times New Roman" w:cs="Times New Roman"/>
                <w:b/>
                <w:sz w:val="24"/>
                <w:szCs w:val="24"/>
              </w:rPr>
              <w:t xml:space="preserve"> </w:t>
            </w:r>
            <w:r w:rsidRPr="004C1B31">
              <w:rPr>
                <w:rFonts w:ascii="Times New Roman" w:eastAsia="Times New Roman" w:hAnsi="Times New Roman" w:cs="Times New Roman"/>
                <w:sz w:val="24"/>
                <w:szCs w:val="24"/>
              </w:rPr>
              <w:t>(priekšlikums)</w:t>
            </w:r>
            <w:r w:rsidRPr="004C1B31">
              <w:rPr>
                <w:rFonts w:ascii="Times New Roman" w:eastAsia="Times New Roman" w:hAnsi="Times New Roman" w:cs="Times New Roman"/>
                <w:b/>
                <w:sz w:val="24"/>
                <w:szCs w:val="24"/>
              </w:rPr>
              <w:t>:</w:t>
            </w:r>
          </w:p>
          <w:p w:rsidR="004C1B31" w:rsidRDefault="004C1B31" w:rsidP="000F7AF4">
            <w:pPr>
              <w:spacing w:after="0" w:line="240" w:lineRule="auto"/>
              <w:jc w:val="both"/>
              <w:rPr>
                <w:rFonts w:ascii="Times New Roman" w:eastAsia="Times New Roman" w:hAnsi="Times New Roman" w:cs="Times New Roman"/>
                <w:b/>
                <w:sz w:val="24"/>
                <w:szCs w:val="24"/>
              </w:rPr>
            </w:pPr>
          </w:p>
          <w:p w:rsidR="00DE0D4E" w:rsidRPr="004C1B31" w:rsidRDefault="004C1B31" w:rsidP="000F7A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w:t>
            </w:r>
            <w:r w:rsidRPr="004C1B31">
              <w:rPr>
                <w:rFonts w:ascii="Times New Roman" w:eastAsia="Times New Roman" w:hAnsi="Times New Roman" w:cs="Times New Roman"/>
                <w:sz w:val="24"/>
                <w:szCs w:val="24"/>
              </w:rPr>
              <w:t>epieciešams precizēt spēkā esošo noteikumu 28.</w:t>
            </w:r>
            <w:r w:rsidRPr="004C1B31">
              <w:rPr>
                <w:rFonts w:ascii="Times New Roman" w:eastAsia="Times New Roman" w:hAnsi="Times New Roman" w:cs="Times New Roman"/>
                <w:sz w:val="24"/>
                <w:szCs w:val="24"/>
                <w:vertAlign w:val="superscript"/>
              </w:rPr>
              <w:t>1</w:t>
            </w:r>
            <w:r w:rsidRPr="004C1B31">
              <w:rPr>
                <w:rFonts w:ascii="Times New Roman" w:eastAsia="Times New Roman" w:hAnsi="Times New Roman" w:cs="Times New Roman"/>
                <w:sz w:val="24"/>
                <w:szCs w:val="24"/>
              </w:rPr>
              <w:t> punktu, aizstājot norādi "atbilstoši Eiropas Parlamenta un Padomes 2016. gada 13. aprīļa Regulai (ES)  </w:t>
            </w:r>
            <w:hyperlink r:id="rId12" w:tgtFrame="_blank" w:history="1">
              <w:r w:rsidRPr="004C1B31">
                <w:rPr>
                  <w:rStyle w:val="Hyperlink"/>
                  <w:rFonts w:ascii="Times New Roman" w:eastAsia="Times New Roman" w:hAnsi="Times New Roman" w:cs="Times New Roman"/>
                  <w:sz w:val="24"/>
                  <w:szCs w:val="24"/>
                </w:rPr>
                <w:t>2016/589</w:t>
              </w:r>
            </w:hyperlink>
            <w:r w:rsidRPr="004C1B31">
              <w:rPr>
                <w:rFonts w:ascii="Times New Roman" w:eastAsia="Times New Roman" w:hAnsi="Times New Roman" w:cs="Times New Roman"/>
                <w:sz w:val="24"/>
                <w:szCs w:val="24"/>
              </w:rPr>
              <w:t> par Eiropas Nodarbinātības dienestu tīklu (</w:t>
            </w:r>
            <w:r w:rsidRPr="004C1B31">
              <w:rPr>
                <w:rFonts w:ascii="Times New Roman" w:eastAsia="Times New Roman" w:hAnsi="Times New Roman" w:cs="Times New Roman"/>
                <w:i/>
                <w:iCs/>
                <w:sz w:val="24"/>
                <w:szCs w:val="24"/>
              </w:rPr>
              <w:t>EURES</w:t>
            </w:r>
            <w:r w:rsidRPr="004C1B31">
              <w:rPr>
                <w:rFonts w:ascii="Times New Roman" w:eastAsia="Times New Roman" w:hAnsi="Times New Roman" w:cs="Times New Roman"/>
                <w:sz w:val="24"/>
                <w:szCs w:val="24"/>
              </w:rPr>
              <w:t>), darba ņēmēju piekļuvi mobilitātes pakalpojumiem un turpmāku darba tirgus integrāciju un ar ko groza Regulas (ES) Nr.  </w:t>
            </w:r>
            <w:hyperlink r:id="rId13" w:tgtFrame="_blank" w:history="1">
              <w:r w:rsidRPr="004C1B31">
                <w:rPr>
                  <w:rStyle w:val="Hyperlink"/>
                  <w:rFonts w:ascii="Times New Roman" w:eastAsia="Times New Roman" w:hAnsi="Times New Roman" w:cs="Times New Roman"/>
                  <w:sz w:val="24"/>
                  <w:szCs w:val="24"/>
                </w:rPr>
                <w:t>492/2011</w:t>
              </w:r>
            </w:hyperlink>
            <w:r w:rsidRPr="004C1B31">
              <w:rPr>
                <w:rFonts w:ascii="Times New Roman" w:eastAsia="Times New Roman" w:hAnsi="Times New Roman" w:cs="Times New Roman"/>
                <w:sz w:val="24"/>
                <w:szCs w:val="24"/>
              </w:rPr>
              <w:t> un (ES) Nr.  </w:t>
            </w:r>
            <w:hyperlink r:id="rId14" w:tgtFrame="_blank" w:history="1">
              <w:r w:rsidRPr="004C1B31">
                <w:rPr>
                  <w:rStyle w:val="Hyperlink"/>
                  <w:rFonts w:ascii="Times New Roman" w:eastAsia="Times New Roman" w:hAnsi="Times New Roman" w:cs="Times New Roman"/>
                  <w:sz w:val="24"/>
                  <w:szCs w:val="24"/>
                </w:rPr>
                <w:t>1296/2013</w:t>
              </w:r>
            </w:hyperlink>
            <w:r w:rsidRPr="004C1B31">
              <w:rPr>
                <w:rFonts w:ascii="Times New Roman" w:eastAsia="Times New Roman" w:hAnsi="Times New Roman" w:cs="Times New Roman"/>
                <w:sz w:val="24"/>
                <w:szCs w:val="24"/>
              </w:rPr>
              <w:t> (turpmāk – regula Nr.  </w:t>
            </w:r>
            <w:hyperlink r:id="rId15" w:tgtFrame="_blank" w:history="1">
              <w:r w:rsidRPr="004C1B31">
                <w:rPr>
                  <w:rStyle w:val="Hyperlink"/>
                  <w:rFonts w:ascii="Times New Roman" w:eastAsia="Times New Roman" w:hAnsi="Times New Roman" w:cs="Times New Roman"/>
                  <w:sz w:val="24"/>
                  <w:szCs w:val="24"/>
                </w:rPr>
                <w:t>2016/589</w:t>
              </w:r>
            </w:hyperlink>
            <w:r w:rsidRPr="004C1B31">
              <w:rPr>
                <w:rFonts w:ascii="Times New Roman" w:eastAsia="Times New Roman" w:hAnsi="Times New Roman" w:cs="Times New Roman"/>
                <w:sz w:val="24"/>
                <w:szCs w:val="24"/>
              </w:rPr>
              <w:t>)" ar norādi "atbilstoši regulai Nr. 2016/589".</w:t>
            </w:r>
          </w:p>
        </w:tc>
        <w:tc>
          <w:tcPr>
            <w:tcW w:w="1038" w:type="pct"/>
            <w:tcBorders>
              <w:left w:val="single" w:sz="6" w:space="0" w:color="000000"/>
              <w:bottom w:val="single" w:sz="4" w:space="0" w:color="auto"/>
              <w:right w:val="single" w:sz="6" w:space="0" w:color="000000"/>
            </w:tcBorders>
          </w:tcPr>
          <w:p w:rsidR="00DE0D4E" w:rsidRPr="005A5DBB" w:rsidRDefault="004C1B31" w:rsidP="000F7AF4">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Ņemts vērā.</w:t>
            </w:r>
          </w:p>
        </w:tc>
        <w:tc>
          <w:tcPr>
            <w:tcW w:w="970" w:type="pct"/>
            <w:tcBorders>
              <w:top w:val="single" w:sz="4" w:space="0" w:color="auto"/>
              <w:left w:val="single" w:sz="4" w:space="0" w:color="auto"/>
              <w:bottom w:val="single" w:sz="4" w:space="0" w:color="auto"/>
              <w:right w:val="single" w:sz="4" w:space="0" w:color="auto"/>
            </w:tcBorders>
          </w:tcPr>
          <w:p w:rsidR="00DE0D4E" w:rsidRPr="004776E8" w:rsidRDefault="00F45E3A" w:rsidP="000F7AF4">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4C1B31">
              <w:rPr>
                <w:rFonts w:ascii="Times New Roman" w:eastAsia="Times New Roman" w:hAnsi="Times New Roman" w:cs="Times New Roman"/>
                <w:sz w:val="24"/>
                <w:szCs w:val="24"/>
              </w:rPr>
              <w:t xml:space="preserve">Aizstāt </w:t>
            </w:r>
            <w:r w:rsidR="004C1B31" w:rsidRPr="004C1B31">
              <w:rPr>
                <w:rFonts w:ascii="Times New Roman" w:eastAsia="Times New Roman" w:hAnsi="Times New Roman" w:cs="Times New Roman"/>
                <w:sz w:val="24"/>
                <w:szCs w:val="24"/>
              </w:rPr>
              <w:t>28.</w:t>
            </w:r>
            <w:r w:rsidR="004C1B31" w:rsidRPr="004C1B31">
              <w:rPr>
                <w:rFonts w:ascii="Times New Roman" w:eastAsia="Times New Roman" w:hAnsi="Times New Roman" w:cs="Times New Roman"/>
                <w:sz w:val="24"/>
                <w:szCs w:val="24"/>
                <w:vertAlign w:val="superscript"/>
              </w:rPr>
              <w:t>1</w:t>
            </w:r>
            <w:r w:rsidR="004C1B31">
              <w:rPr>
                <w:rFonts w:ascii="Times New Roman" w:eastAsia="Times New Roman" w:hAnsi="Times New Roman" w:cs="Times New Roman"/>
                <w:sz w:val="24"/>
                <w:szCs w:val="24"/>
              </w:rPr>
              <w:t> punktā vārdus un skaitļus “</w:t>
            </w:r>
            <w:r w:rsidR="004C1B31" w:rsidRPr="004C1B31">
              <w:rPr>
                <w:rFonts w:ascii="Times New Roman" w:eastAsia="Times New Roman" w:hAnsi="Times New Roman" w:cs="Times New Roman"/>
                <w:sz w:val="24"/>
                <w:szCs w:val="24"/>
              </w:rPr>
              <w:t>Eiropas Parlamenta un Padomes 2016. gada 13. aprīļa Regulai (ES) </w:t>
            </w:r>
            <w:hyperlink r:id="rId16" w:tgtFrame="_blank" w:history="1">
              <w:r w:rsidR="004C1B31" w:rsidRPr="004C1B31">
                <w:rPr>
                  <w:rStyle w:val="Hyperlink"/>
                  <w:rFonts w:ascii="Times New Roman" w:eastAsia="Times New Roman" w:hAnsi="Times New Roman" w:cs="Times New Roman"/>
                  <w:sz w:val="24"/>
                  <w:szCs w:val="24"/>
                </w:rPr>
                <w:t>2016/589</w:t>
              </w:r>
            </w:hyperlink>
            <w:r w:rsidR="004C1B31" w:rsidRPr="004C1B31">
              <w:rPr>
                <w:rFonts w:ascii="Times New Roman" w:eastAsia="Times New Roman" w:hAnsi="Times New Roman" w:cs="Times New Roman"/>
                <w:sz w:val="24"/>
                <w:szCs w:val="24"/>
              </w:rPr>
              <w:t> par Eiropas Nodarbinātības dienestu tīklu (</w:t>
            </w:r>
            <w:r w:rsidR="004C1B31" w:rsidRPr="004C1B31">
              <w:rPr>
                <w:rFonts w:ascii="Times New Roman" w:eastAsia="Times New Roman" w:hAnsi="Times New Roman" w:cs="Times New Roman"/>
                <w:i/>
                <w:iCs/>
                <w:sz w:val="24"/>
                <w:szCs w:val="24"/>
              </w:rPr>
              <w:t>EURES</w:t>
            </w:r>
            <w:r w:rsidR="004C1B31" w:rsidRPr="004C1B31">
              <w:rPr>
                <w:rFonts w:ascii="Times New Roman" w:eastAsia="Times New Roman" w:hAnsi="Times New Roman" w:cs="Times New Roman"/>
                <w:sz w:val="24"/>
                <w:szCs w:val="24"/>
              </w:rPr>
              <w:t xml:space="preserve">), darba ņēmēju piekļuvi mobilitātes pakalpojumiem un turpmāku darba tirgus integrāciju un ar ko groza Regulas (ES) </w:t>
            </w:r>
            <w:r w:rsidR="004C1B31" w:rsidRPr="004C1B31">
              <w:rPr>
                <w:rFonts w:ascii="Times New Roman" w:eastAsia="Times New Roman" w:hAnsi="Times New Roman" w:cs="Times New Roman"/>
                <w:sz w:val="24"/>
                <w:szCs w:val="24"/>
              </w:rPr>
              <w:lastRenderedPageBreak/>
              <w:t>Nr. </w:t>
            </w:r>
            <w:hyperlink r:id="rId17" w:tgtFrame="_blank" w:history="1">
              <w:r w:rsidR="004C1B31" w:rsidRPr="004C1B31">
                <w:rPr>
                  <w:rStyle w:val="Hyperlink"/>
                  <w:rFonts w:ascii="Times New Roman" w:eastAsia="Times New Roman" w:hAnsi="Times New Roman" w:cs="Times New Roman"/>
                  <w:sz w:val="24"/>
                  <w:szCs w:val="24"/>
                </w:rPr>
                <w:t>492/2011</w:t>
              </w:r>
            </w:hyperlink>
            <w:r w:rsidR="004C1B31" w:rsidRPr="004C1B31">
              <w:rPr>
                <w:rFonts w:ascii="Times New Roman" w:eastAsia="Times New Roman" w:hAnsi="Times New Roman" w:cs="Times New Roman"/>
                <w:sz w:val="24"/>
                <w:szCs w:val="24"/>
              </w:rPr>
              <w:t> un (ES) Nr. </w:t>
            </w:r>
            <w:hyperlink r:id="rId18" w:tgtFrame="_blank" w:history="1">
              <w:r w:rsidR="004C1B31" w:rsidRPr="004C1B31">
                <w:rPr>
                  <w:rStyle w:val="Hyperlink"/>
                  <w:rFonts w:ascii="Times New Roman" w:eastAsia="Times New Roman" w:hAnsi="Times New Roman" w:cs="Times New Roman"/>
                  <w:sz w:val="24"/>
                  <w:szCs w:val="24"/>
                </w:rPr>
                <w:t>1296/2013</w:t>
              </w:r>
            </w:hyperlink>
            <w:r w:rsidR="004C1B31" w:rsidRPr="004C1B31">
              <w:rPr>
                <w:rFonts w:ascii="Times New Roman" w:eastAsia="Times New Roman" w:hAnsi="Times New Roman" w:cs="Times New Roman"/>
                <w:sz w:val="24"/>
                <w:szCs w:val="24"/>
              </w:rPr>
              <w:t> (turpmāk – regula Nr. </w:t>
            </w:r>
            <w:hyperlink r:id="rId19" w:tgtFrame="_blank" w:history="1">
              <w:r w:rsidR="004C1B31" w:rsidRPr="004C1B31">
                <w:rPr>
                  <w:rStyle w:val="Hyperlink"/>
                  <w:rFonts w:ascii="Times New Roman" w:eastAsia="Times New Roman" w:hAnsi="Times New Roman" w:cs="Times New Roman"/>
                  <w:sz w:val="24"/>
                  <w:szCs w:val="24"/>
                </w:rPr>
                <w:t>2016/589</w:t>
              </w:r>
            </w:hyperlink>
            <w:r w:rsidR="004C1B31">
              <w:rPr>
                <w:rFonts w:ascii="Times New Roman" w:eastAsia="Times New Roman" w:hAnsi="Times New Roman" w:cs="Times New Roman"/>
                <w:sz w:val="24"/>
                <w:szCs w:val="24"/>
              </w:rPr>
              <w:t>)” ar vārdu un skaitļiem “regulas</w:t>
            </w:r>
            <w:r w:rsidR="004C1B31" w:rsidRPr="004C1B31">
              <w:rPr>
                <w:rFonts w:ascii="Times New Roman" w:eastAsia="Times New Roman" w:hAnsi="Times New Roman" w:cs="Times New Roman"/>
                <w:sz w:val="24"/>
                <w:szCs w:val="24"/>
              </w:rPr>
              <w:t xml:space="preserve"> Nr. </w:t>
            </w:r>
            <w:hyperlink r:id="rId20" w:tgtFrame="_blank" w:history="1">
              <w:r w:rsidR="004C1B31" w:rsidRPr="004C1B31">
                <w:rPr>
                  <w:rStyle w:val="Hyperlink"/>
                  <w:rFonts w:ascii="Times New Roman" w:eastAsia="Times New Roman" w:hAnsi="Times New Roman" w:cs="Times New Roman"/>
                  <w:sz w:val="24"/>
                  <w:szCs w:val="24"/>
                </w:rPr>
                <w:t>2016/589</w:t>
              </w:r>
            </w:hyperlink>
            <w:r w:rsidR="004C1B31">
              <w:rPr>
                <w:rFonts w:ascii="Times New Roman" w:eastAsia="Times New Roman" w:hAnsi="Times New Roman" w:cs="Times New Roman"/>
                <w:sz w:val="24"/>
                <w:szCs w:val="24"/>
              </w:rPr>
              <w:t>”.</w:t>
            </w:r>
          </w:p>
        </w:tc>
      </w:tr>
      <w:tr w:rsidR="00A87C30" w:rsidTr="00CD649D">
        <w:tblPrEx>
          <w:tblBorders>
            <w:top w:val="single" w:sz="4" w:space="0" w:color="auto"/>
            <w:left w:val="single" w:sz="4" w:space="0" w:color="auto"/>
            <w:bottom w:val="single" w:sz="4" w:space="0" w:color="auto"/>
            <w:right w:val="single" w:sz="4" w:space="0" w:color="auto"/>
          </w:tblBorders>
        </w:tblPrEx>
        <w:trPr>
          <w:trHeight w:val="1685"/>
        </w:trPr>
        <w:tc>
          <w:tcPr>
            <w:tcW w:w="484" w:type="pct"/>
            <w:tcBorders>
              <w:left w:val="single" w:sz="6" w:space="0" w:color="000000"/>
              <w:bottom w:val="single" w:sz="4" w:space="0" w:color="auto"/>
              <w:right w:val="single" w:sz="6" w:space="0" w:color="000000"/>
            </w:tcBorders>
          </w:tcPr>
          <w:p w:rsidR="00A87C30" w:rsidRDefault="00A87C30" w:rsidP="000F7AF4">
            <w:pPr>
              <w:spacing w:after="0" w:line="240" w:lineRule="auto"/>
              <w:ind w:firstLine="720"/>
              <w:jc w:val="center"/>
              <w:rPr>
                <w:rFonts w:ascii="Times New Roman" w:eastAsia="Times New Roman" w:hAnsi="Times New Roman" w:cs="Times New Roman"/>
                <w:sz w:val="24"/>
                <w:szCs w:val="24"/>
                <w:lang w:eastAsia="lv-LV"/>
              </w:rPr>
            </w:pPr>
          </w:p>
          <w:p w:rsidR="00A87C30" w:rsidRPr="00664758" w:rsidRDefault="00DE0D4E" w:rsidP="000F7AF4">
            <w:pPr>
              <w:spacing w:after="0" w:line="240" w:lineRule="auto"/>
              <w:ind w:firstLine="72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7867B1">
              <w:rPr>
                <w:rFonts w:ascii="Times New Roman" w:eastAsia="Times New Roman" w:hAnsi="Times New Roman" w:cs="Times New Roman"/>
                <w:sz w:val="24"/>
                <w:szCs w:val="24"/>
                <w:lang w:eastAsia="lv-LV"/>
              </w:rPr>
              <w:t>.</w:t>
            </w:r>
          </w:p>
        </w:tc>
        <w:tc>
          <w:tcPr>
            <w:tcW w:w="822" w:type="pct"/>
            <w:gridSpan w:val="2"/>
            <w:tcBorders>
              <w:left w:val="single" w:sz="6" w:space="0" w:color="000000"/>
              <w:bottom w:val="single" w:sz="4" w:space="0" w:color="auto"/>
              <w:right w:val="single" w:sz="6" w:space="0" w:color="000000"/>
            </w:tcBorders>
          </w:tcPr>
          <w:p w:rsidR="00A87C30" w:rsidRPr="00527F10" w:rsidRDefault="00AE38E9" w:rsidP="000F7AF4">
            <w:pPr>
              <w:tabs>
                <w:tab w:val="left" w:pos="284"/>
              </w:tabs>
              <w:spacing w:after="0" w:line="240" w:lineRule="auto"/>
              <w:contextualSpacing/>
              <w:jc w:val="both"/>
              <w:rPr>
                <w:rFonts w:ascii="Times New Roman" w:eastAsia="Times New Roman" w:hAnsi="Times New Roman" w:cs="Times New Roman"/>
                <w:sz w:val="24"/>
                <w:szCs w:val="24"/>
              </w:rPr>
            </w:pPr>
            <w:r w:rsidRPr="00AE38E9">
              <w:rPr>
                <w:rFonts w:ascii="Times New Roman" w:eastAsia="Times New Roman" w:hAnsi="Times New Roman" w:cs="Times New Roman"/>
                <w:sz w:val="24"/>
                <w:szCs w:val="24"/>
              </w:rPr>
              <w:t xml:space="preserve">Par noteikumu projekta anotācijas </w:t>
            </w:r>
            <w:r w:rsidR="008261D0">
              <w:rPr>
                <w:rFonts w:ascii="Times New Roman" w:eastAsia="Times New Roman" w:hAnsi="Times New Roman" w:cs="Times New Roman"/>
                <w:sz w:val="24"/>
                <w:szCs w:val="24"/>
              </w:rPr>
              <w:br/>
            </w:r>
            <w:r w:rsidRPr="00AE38E9">
              <w:rPr>
                <w:rFonts w:ascii="Times New Roman" w:eastAsia="Times New Roman" w:hAnsi="Times New Roman" w:cs="Times New Roman"/>
                <w:sz w:val="24"/>
                <w:szCs w:val="24"/>
              </w:rPr>
              <w:t>I sadaļas 2.punktu</w:t>
            </w:r>
          </w:p>
        </w:tc>
        <w:tc>
          <w:tcPr>
            <w:tcW w:w="1686" w:type="pct"/>
            <w:gridSpan w:val="2"/>
            <w:tcBorders>
              <w:left w:val="single" w:sz="6" w:space="0" w:color="000000"/>
              <w:bottom w:val="single" w:sz="4" w:space="0" w:color="auto"/>
              <w:right w:val="single" w:sz="6" w:space="0" w:color="000000"/>
            </w:tcBorders>
          </w:tcPr>
          <w:p w:rsidR="0058516E" w:rsidRPr="0058516E" w:rsidRDefault="0058516E" w:rsidP="0058516E">
            <w:pPr>
              <w:spacing w:after="0" w:line="240" w:lineRule="auto"/>
              <w:jc w:val="both"/>
              <w:rPr>
                <w:rFonts w:ascii="Times New Roman" w:eastAsia="Times New Roman" w:hAnsi="Times New Roman" w:cs="Times New Roman"/>
                <w:b/>
                <w:sz w:val="24"/>
                <w:szCs w:val="24"/>
              </w:rPr>
            </w:pPr>
            <w:r w:rsidRPr="0058516E">
              <w:rPr>
                <w:rFonts w:ascii="Times New Roman" w:eastAsia="Times New Roman" w:hAnsi="Times New Roman" w:cs="Times New Roman"/>
                <w:b/>
                <w:sz w:val="24"/>
                <w:szCs w:val="24"/>
              </w:rPr>
              <w:t>Vides aizsardzības un reģionālās attīstības ministrija:</w:t>
            </w:r>
          </w:p>
          <w:p w:rsidR="0058516E" w:rsidRPr="0058516E" w:rsidRDefault="0058516E" w:rsidP="0058516E">
            <w:pPr>
              <w:spacing w:after="0" w:line="240" w:lineRule="auto"/>
              <w:jc w:val="both"/>
              <w:rPr>
                <w:rFonts w:ascii="Times New Roman" w:eastAsia="Times New Roman" w:hAnsi="Times New Roman" w:cs="Times New Roman"/>
                <w:b/>
                <w:sz w:val="24"/>
                <w:szCs w:val="24"/>
              </w:rPr>
            </w:pPr>
          </w:p>
          <w:p w:rsidR="0058516E" w:rsidRPr="0058516E" w:rsidRDefault="0058516E" w:rsidP="0058516E">
            <w:pPr>
              <w:spacing w:after="0" w:line="240" w:lineRule="auto"/>
              <w:jc w:val="both"/>
              <w:rPr>
                <w:rFonts w:ascii="Times New Roman" w:eastAsia="Times New Roman" w:hAnsi="Times New Roman" w:cs="Times New Roman"/>
                <w:sz w:val="24"/>
                <w:szCs w:val="24"/>
              </w:rPr>
            </w:pPr>
            <w:r w:rsidRPr="0058516E">
              <w:rPr>
                <w:rFonts w:ascii="Times New Roman" w:eastAsia="Times New Roman" w:hAnsi="Times New Roman" w:cs="Times New Roman"/>
                <w:sz w:val="24"/>
                <w:szCs w:val="24"/>
              </w:rPr>
              <w:t xml:space="preserve">Saskaņā ar Ministru kabineta 2009. gada 15. decembra instrukciju Nr. 19 “Tiesību akta projekta sākotnējās ietekmes izvērtēšanas kārtība” (turpmāk – MK instrukcija Nr. 19) 14.4. apakšpunktu anotācijas I sadaļas 2. punktā jānorāda paredzēto pakalpojumu nosaukumi, ja projekts paredz ieviest jaunus pakalpojumus vai arī pilnveidot esošos, kā arī to, vai pakalpojums tiks sniegts elektroniski (ja pakalpojums nav pieejams elektroniski, vai ir plānots veidot elektronisku kanālu). </w:t>
            </w:r>
          </w:p>
          <w:p w:rsidR="0058516E" w:rsidRPr="0058516E" w:rsidRDefault="0058516E" w:rsidP="0058516E">
            <w:pPr>
              <w:spacing w:after="0" w:line="240" w:lineRule="auto"/>
              <w:jc w:val="both"/>
              <w:rPr>
                <w:rFonts w:ascii="Times New Roman" w:eastAsia="Times New Roman" w:hAnsi="Times New Roman" w:cs="Times New Roman"/>
                <w:sz w:val="24"/>
                <w:szCs w:val="24"/>
              </w:rPr>
            </w:pPr>
            <w:r w:rsidRPr="0058516E">
              <w:rPr>
                <w:rFonts w:ascii="Times New Roman" w:eastAsia="Times New Roman" w:hAnsi="Times New Roman" w:cs="Times New Roman"/>
                <w:sz w:val="24"/>
                <w:szCs w:val="24"/>
              </w:rPr>
              <w:t>Ņemot vērā minēto, lūdzam atbilstoši MK</w:t>
            </w:r>
            <w:r w:rsidRPr="0058516E">
              <w:rPr>
                <w:rFonts w:ascii="Times New Roman" w:eastAsia="Times New Roman" w:hAnsi="Times New Roman" w:cs="Times New Roman"/>
                <w:b/>
                <w:sz w:val="24"/>
                <w:szCs w:val="24"/>
              </w:rPr>
              <w:t xml:space="preserve"> </w:t>
            </w:r>
            <w:r w:rsidRPr="0058516E">
              <w:rPr>
                <w:rFonts w:ascii="Times New Roman" w:eastAsia="Times New Roman" w:hAnsi="Times New Roman" w:cs="Times New Roman"/>
                <w:sz w:val="24"/>
                <w:szCs w:val="24"/>
              </w:rPr>
              <w:t xml:space="preserve">instrukcijas Nr. 19 14.4. apakšpunktā noteiktajam Noteikumu projekta anotācijas I sadaļas 2. punktā norādīt pilnveidotā pakalpojuma nosaukumu un tā sniegšanas kanālus. Saskaņā ar Ministru kabineta 2017. gada 4. jūlija noteikumu Nr. 399 “Valsts pārvaldes pakalpojumu uzskaites, kvalitātes </w:t>
            </w:r>
            <w:r w:rsidRPr="0058516E">
              <w:rPr>
                <w:rFonts w:ascii="Times New Roman" w:eastAsia="Times New Roman" w:hAnsi="Times New Roman" w:cs="Times New Roman"/>
                <w:sz w:val="24"/>
                <w:szCs w:val="24"/>
              </w:rPr>
              <w:lastRenderedPageBreak/>
              <w:t>kontroles un sniegšanas kārtība” 17. punktu pakalpojumu pieprasīšanas un saņemšanas kanāli iedalāmi klātienes un neklātienes kanālos.</w:t>
            </w:r>
          </w:p>
          <w:p w:rsidR="0058516E" w:rsidRPr="0058516E" w:rsidRDefault="0058516E" w:rsidP="0058516E">
            <w:pPr>
              <w:spacing w:after="0" w:line="240" w:lineRule="auto"/>
              <w:jc w:val="both"/>
              <w:rPr>
                <w:rFonts w:ascii="Times New Roman" w:eastAsia="Times New Roman" w:hAnsi="Times New Roman" w:cs="Times New Roman"/>
                <w:sz w:val="24"/>
                <w:szCs w:val="24"/>
              </w:rPr>
            </w:pPr>
            <w:r w:rsidRPr="0058516E">
              <w:rPr>
                <w:rFonts w:ascii="Times New Roman" w:eastAsia="Times New Roman" w:hAnsi="Times New Roman" w:cs="Times New Roman"/>
                <w:sz w:val="24"/>
                <w:szCs w:val="24"/>
              </w:rPr>
              <w:t xml:space="preserve">2. Pēc Noteikumu projekta spēkā stāšanās lūdzam pakalpojuma turētājam nodrošināt pakalpojuma “Licences saņemšana darbiekārtošanas pakalpojumu sniegšanai” (saite: https://www.latvija.lv/lv/PPK/dzives-situacija/apakssituacija/p695/ProcesaApraksts)  apraksta aktualizāciju valsts pārvaldes pakalpojumu portālā Latvija.lv saskaņā ar Ministru kabineta 2017. gada 4. jūlija noteikumu Nr. 399 “Valsts pārvaldes pakalpojumu uzskaites, kvalitātes kontroles un sniegšanas kārtība” 4.3. apakšpunktu. </w:t>
            </w:r>
          </w:p>
          <w:p w:rsidR="0058516E" w:rsidRPr="0058516E" w:rsidRDefault="0058516E" w:rsidP="0058516E">
            <w:pPr>
              <w:spacing w:after="0" w:line="240" w:lineRule="auto"/>
              <w:jc w:val="both"/>
              <w:rPr>
                <w:rFonts w:ascii="Times New Roman" w:eastAsia="Times New Roman" w:hAnsi="Times New Roman" w:cs="Times New Roman"/>
                <w:b/>
                <w:sz w:val="24"/>
                <w:szCs w:val="24"/>
              </w:rPr>
            </w:pPr>
          </w:p>
          <w:p w:rsidR="0058516E" w:rsidRPr="0058516E" w:rsidRDefault="0058516E" w:rsidP="0058516E">
            <w:pPr>
              <w:spacing w:after="0" w:line="240" w:lineRule="auto"/>
              <w:jc w:val="both"/>
              <w:rPr>
                <w:rFonts w:ascii="Times New Roman" w:eastAsia="Times New Roman" w:hAnsi="Times New Roman" w:cs="Times New Roman"/>
                <w:b/>
                <w:sz w:val="24"/>
                <w:szCs w:val="24"/>
              </w:rPr>
            </w:pPr>
          </w:p>
          <w:p w:rsidR="0058516E" w:rsidRPr="0058516E" w:rsidRDefault="0058516E" w:rsidP="0058516E">
            <w:pPr>
              <w:spacing w:after="0" w:line="240" w:lineRule="auto"/>
              <w:jc w:val="both"/>
              <w:rPr>
                <w:rFonts w:ascii="Times New Roman" w:eastAsia="Times New Roman" w:hAnsi="Times New Roman" w:cs="Times New Roman"/>
                <w:b/>
                <w:sz w:val="24"/>
                <w:szCs w:val="24"/>
              </w:rPr>
            </w:pPr>
            <w:r w:rsidRPr="0058516E">
              <w:rPr>
                <w:rFonts w:ascii="Times New Roman" w:eastAsia="Times New Roman" w:hAnsi="Times New Roman" w:cs="Times New Roman"/>
                <w:b/>
                <w:sz w:val="24"/>
                <w:szCs w:val="24"/>
              </w:rPr>
              <w:t xml:space="preserve">Ekonomikas ministrija </w:t>
            </w:r>
            <w:r w:rsidRPr="0058516E">
              <w:rPr>
                <w:rFonts w:ascii="Times New Roman" w:eastAsia="Times New Roman" w:hAnsi="Times New Roman" w:cs="Times New Roman"/>
                <w:sz w:val="24"/>
                <w:szCs w:val="24"/>
              </w:rPr>
              <w:t>(priekšlikums):</w:t>
            </w:r>
          </w:p>
          <w:p w:rsidR="0058516E" w:rsidRPr="0058516E" w:rsidRDefault="0058516E" w:rsidP="0058516E">
            <w:pPr>
              <w:spacing w:after="0" w:line="240" w:lineRule="auto"/>
              <w:jc w:val="both"/>
              <w:rPr>
                <w:rFonts w:ascii="Times New Roman" w:eastAsia="Times New Roman" w:hAnsi="Times New Roman" w:cs="Times New Roman"/>
                <w:b/>
                <w:sz w:val="24"/>
                <w:szCs w:val="24"/>
              </w:rPr>
            </w:pPr>
          </w:p>
          <w:p w:rsidR="0058516E" w:rsidRPr="0058516E" w:rsidRDefault="0058516E" w:rsidP="0058516E">
            <w:pPr>
              <w:spacing w:after="0" w:line="240" w:lineRule="auto"/>
              <w:jc w:val="both"/>
              <w:rPr>
                <w:rFonts w:ascii="Times New Roman" w:eastAsia="Times New Roman" w:hAnsi="Times New Roman" w:cs="Times New Roman"/>
                <w:sz w:val="24"/>
                <w:szCs w:val="24"/>
              </w:rPr>
            </w:pPr>
            <w:r w:rsidRPr="0058516E">
              <w:rPr>
                <w:rFonts w:ascii="Times New Roman" w:eastAsia="Times New Roman" w:hAnsi="Times New Roman" w:cs="Times New Roman"/>
                <w:sz w:val="24"/>
                <w:szCs w:val="24"/>
              </w:rPr>
              <w:t xml:space="preserve">Saskaņā ar Brīvas pakalpojumu sniegšanas likuma 17. pantu, aktuālajai informācijai par atbildīgajām iestādēm un to kompetenci, kā arī par darbībām, kas veicamas, lai pakalpojumu sniedzēji saņemtu attiecīgās atbildīgās iestādes atļauju, ir jābūt pieejamai valsts pārvaldes pakalpojumu portāla tīmekļa vietnē latvija.lv. Ņemot vērā minēto, lūdzam Nodarbinātības valsts aģentūru pēc noteikumu spēkā stāšanās aktualizēt portālā latvija.lv informāciju par licences izsniegšanu darbiekārtošanas </w:t>
            </w:r>
            <w:r w:rsidRPr="0058516E">
              <w:rPr>
                <w:rFonts w:ascii="Times New Roman" w:eastAsia="Times New Roman" w:hAnsi="Times New Roman" w:cs="Times New Roman"/>
                <w:sz w:val="24"/>
                <w:szCs w:val="24"/>
              </w:rPr>
              <w:lastRenderedPageBreak/>
              <w:t>pakalpojumu sniedzējiem, kā arī aktualizēt saites uz tīmekļvietnēm.</w:t>
            </w:r>
          </w:p>
          <w:p w:rsidR="00A87C30" w:rsidRPr="00984D1E" w:rsidRDefault="0058516E" w:rsidP="0058516E">
            <w:pPr>
              <w:spacing w:after="0" w:line="240" w:lineRule="auto"/>
              <w:jc w:val="both"/>
              <w:rPr>
                <w:rFonts w:ascii="Times New Roman" w:eastAsia="Times New Roman" w:hAnsi="Times New Roman" w:cs="Times New Roman"/>
                <w:sz w:val="24"/>
                <w:szCs w:val="24"/>
              </w:rPr>
            </w:pPr>
            <w:r w:rsidRPr="0058516E">
              <w:rPr>
                <w:rFonts w:ascii="Times New Roman" w:eastAsia="Times New Roman" w:hAnsi="Times New Roman" w:cs="Times New Roman"/>
                <w:sz w:val="24"/>
                <w:szCs w:val="24"/>
              </w:rPr>
              <w:t>Tāpat lūdzam Nodarbinātības valsts aģentūru informēt Ekonomikas ministriju par veikto informācijas aktualizēšanu.</w:t>
            </w:r>
          </w:p>
        </w:tc>
        <w:tc>
          <w:tcPr>
            <w:tcW w:w="1038" w:type="pct"/>
            <w:tcBorders>
              <w:left w:val="single" w:sz="6" w:space="0" w:color="000000"/>
              <w:bottom w:val="single" w:sz="4" w:space="0" w:color="auto"/>
              <w:right w:val="single" w:sz="6" w:space="0" w:color="000000"/>
            </w:tcBorders>
          </w:tcPr>
          <w:p w:rsidR="00A87C30" w:rsidRDefault="00AE38E9" w:rsidP="00CD649D">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Iebildums ņemts vērā</w:t>
            </w:r>
          </w:p>
          <w:p w:rsidR="00AE38E9" w:rsidRDefault="00AE38E9" w:rsidP="00CD649D">
            <w:pPr>
              <w:spacing w:after="0" w:line="240" w:lineRule="auto"/>
              <w:rPr>
                <w:rFonts w:ascii="Times New Roman" w:eastAsia="Times New Roman" w:hAnsi="Times New Roman" w:cs="Times New Roman"/>
                <w:b/>
                <w:sz w:val="24"/>
                <w:szCs w:val="24"/>
                <w:lang w:eastAsia="lv-LV"/>
              </w:rPr>
            </w:pPr>
          </w:p>
          <w:p w:rsidR="00AE38E9" w:rsidRDefault="00AE38E9" w:rsidP="00AE38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Pakalpojums “Licence darbiekārtošanas pakalpojumu sniegšanai” pieejams  portālā  latvija.lv.</w:t>
            </w:r>
          </w:p>
          <w:p w:rsidR="00AE38E9" w:rsidRDefault="00AE38E9" w:rsidP="00AE38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neparedz izmaiņas minētā pakalpojuma saņemšanas procesā.</w:t>
            </w:r>
          </w:p>
          <w:p w:rsidR="00AE38E9" w:rsidRDefault="00AE38E9" w:rsidP="00AE38E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Vienlaikus anotācija</w:t>
            </w:r>
            <w:r w:rsidR="008261D0">
              <w:rPr>
                <w:rFonts w:ascii="Times New Roman" w:eastAsia="Times New Roman" w:hAnsi="Times New Roman" w:cs="Times New Roman"/>
                <w:sz w:val="24"/>
                <w:szCs w:val="24"/>
                <w:lang w:eastAsia="lv-LV"/>
              </w:rPr>
              <w:t xml:space="preserve">s I sadaļas 2.punkts </w:t>
            </w:r>
            <w:r>
              <w:rPr>
                <w:rFonts w:ascii="Times New Roman" w:eastAsia="Times New Roman" w:hAnsi="Times New Roman" w:cs="Times New Roman"/>
                <w:sz w:val="24"/>
                <w:szCs w:val="24"/>
                <w:lang w:eastAsia="lv-LV"/>
              </w:rPr>
              <w:t>ir papildin</w:t>
            </w:r>
            <w:r w:rsidR="008261D0">
              <w:rPr>
                <w:rFonts w:ascii="Times New Roman" w:eastAsia="Times New Roman" w:hAnsi="Times New Roman" w:cs="Times New Roman"/>
                <w:sz w:val="24"/>
                <w:szCs w:val="24"/>
                <w:lang w:eastAsia="lv-LV"/>
              </w:rPr>
              <w:t>āts</w:t>
            </w:r>
            <w:r>
              <w:rPr>
                <w:rFonts w:ascii="Times New Roman" w:eastAsia="Times New Roman" w:hAnsi="Times New Roman" w:cs="Times New Roman"/>
                <w:sz w:val="24"/>
                <w:szCs w:val="24"/>
                <w:lang w:eastAsia="lv-LV"/>
              </w:rPr>
              <w:t xml:space="preserve"> ar informāciju par pakalpojuma saņemšanas kan</w:t>
            </w:r>
            <w:r w:rsidR="008261D0">
              <w:rPr>
                <w:rFonts w:ascii="Times New Roman" w:eastAsia="Times New Roman" w:hAnsi="Times New Roman" w:cs="Times New Roman"/>
                <w:sz w:val="24"/>
                <w:szCs w:val="24"/>
                <w:lang w:eastAsia="lv-LV"/>
              </w:rPr>
              <w:t>āliem un nepieciešamību precizēt pakalpojum</w:t>
            </w:r>
            <w:r w:rsidR="004B5AAD">
              <w:rPr>
                <w:rFonts w:ascii="Times New Roman" w:eastAsia="Times New Roman" w:hAnsi="Times New Roman" w:cs="Times New Roman"/>
                <w:sz w:val="24"/>
                <w:szCs w:val="24"/>
                <w:lang w:eastAsia="lv-LV"/>
              </w:rPr>
              <w:t>a</w:t>
            </w:r>
            <w:r w:rsidR="008261D0">
              <w:rPr>
                <w:rFonts w:ascii="Times New Roman" w:eastAsia="Times New Roman" w:hAnsi="Times New Roman" w:cs="Times New Roman"/>
                <w:sz w:val="24"/>
                <w:szCs w:val="24"/>
                <w:lang w:eastAsia="lv-LV"/>
              </w:rPr>
              <w:t xml:space="preserve"> aprakstu pēc Noteikumu projekta spēkā stāšanās.</w:t>
            </w: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Default="008261D0" w:rsidP="00AE38E9">
            <w:pPr>
              <w:spacing w:after="0" w:line="240" w:lineRule="auto"/>
              <w:jc w:val="both"/>
              <w:rPr>
                <w:rFonts w:ascii="Times New Roman" w:eastAsia="Times New Roman" w:hAnsi="Times New Roman" w:cs="Times New Roman"/>
                <w:sz w:val="24"/>
                <w:szCs w:val="24"/>
                <w:lang w:eastAsia="lv-LV"/>
              </w:rPr>
            </w:pPr>
          </w:p>
          <w:p w:rsidR="008261D0" w:rsidRPr="008261D0" w:rsidRDefault="008261D0" w:rsidP="00AE38E9">
            <w:pPr>
              <w:spacing w:after="0" w:line="240" w:lineRule="auto"/>
              <w:jc w:val="both"/>
              <w:rPr>
                <w:rFonts w:ascii="Times New Roman" w:eastAsia="Times New Roman" w:hAnsi="Times New Roman" w:cs="Times New Roman"/>
                <w:b/>
                <w:sz w:val="24"/>
                <w:szCs w:val="24"/>
                <w:lang w:eastAsia="lv-LV"/>
              </w:rPr>
            </w:pPr>
            <w:r w:rsidRPr="008261D0">
              <w:rPr>
                <w:rFonts w:ascii="Times New Roman" w:eastAsia="Times New Roman" w:hAnsi="Times New Roman" w:cs="Times New Roman"/>
                <w:b/>
                <w:sz w:val="24"/>
                <w:szCs w:val="24"/>
                <w:lang w:eastAsia="lv-LV"/>
              </w:rPr>
              <w:t>Ņemts vērā</w:t>
            </w:r>
          </w:p>
          <w:p w:rsidR="00AE38E9" w:rsidRPr="00A87C30" w:rsidRDefault="00AE38E9" w:rsidP="00CD649D">
            <w:pPr>
              <w:spacing w:after="0" w:line="240" w:lineRule="auto"/>
              <w:rPr>
                <w:rFonts w:ascii="Times New Roman" w:eastAsia="Times New Roman" w:hAnsi="Times New Roman" w:cs="Times New Roman"/>
                <w:b/>
                <w:sz w:val="24"/>
                <w:szCs w:val="24"/>
                <w:lang w:eastAsia="lv-LV"/>
              </w:rPr>
            </w:pPr>
          </w:p>
        </w:tc>
        <w:tc>
          <w:tcPr>
            <w:tcW w:w="970" w:type="pct"/>
            <w:tcBorders>
              <w:top w:val="single" w:sz="4" w:space="0" w:color="auto"/>
              <w:left w:val="single" w:sz="4" w:space="0" w:color="auto"/>
              <w:bottom w:val="single" w:sz="4" w:space="0" w:color="auto"/>
              <w:right w:val="single" w:sz="4" w:space="0" w:color="auto"/>
            </w:tcBorders>
          </w:tcPr>
          <w:p w:rsidR="00A87C30" w:rsidRDefault="008261D0" w:rsidP="000F7AF4">
            <w:pPr>
              <w:tabs>
                <w:tab w:val="left" w:pos="284"/>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Papildināts Noteikumu projekta anotācijas</w:t>
            </w:r>
            <w:r>
              <w:rPr>
                <w:rFonts w:ascii="Times New Roman" w:eastAsia="Times New Roman" w:hAnsi="Times New Roman" w:cs="Times New Roman"/>
                <w:sz w:val="24"/>
                <w:szCs w:val="24"/>
              </w:rPr>
              <w:br/>
              <w:t xml:space="preserve"> I sadaļas 2.punkts</w:t>
            </w:r>
            <w:r w:rsidR="005D7220">
              <w:rPr>
                <w:rFonts w:ascii="Times New Roman" w:eastAsia="Times New Roman" w:hAnsi="Times New Roman" w:cs="Times New Roman"/>
                <w:sz w:val="24"/>
                <w:szCs w:val="24"/>
              </w:rPr>
              <w:t xml:space="preserve"> (8.lp.)</w:t>
            </w:r>
            <w:r>
              <w:rPr>
                <w:rFonts w:ascii="Times New Roman" w:eastAsia="Times New Roman" w:hAnsi="Times New Roman" w:cs="Times New Roman"/>
                <w:sz w:val="24"/>
                <w:szCs w:val="24"/>
              </w:rPr>
              <w:t>.</w:t>
            </w:r>
          </w:p>
        </w:tc>
      </w:tr>
    </w:tbl>
    <w:p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p w:rsidR="003A66FF" w:rsidRPr="003A66FF" w:rsidRDefault="003A66FF" w:rsidP="003A66FF">
      <w:pPr>
        <w:spacing w:after="0" w:line="240" w:lineRule="auto"/>
        <w:ind w:firstLine="720"/>
        <w:jc w:val="both"/>
        <w:rPr>
          <w:rFonts w:ascii="Times New Roman" w:eastAsia="Times New Roman" w:hAnsi="Times New Roman" w:cs="Times New Roman"/>
          <w:sz w:val="24"/>
          <w:szCs w:val="24"/>
          <w:lang w:eastAsia="lv-LV"/>
        </w:rPr>
      </w:pPr>
    </w:p>
    <w:p w:rsidR="003A66FF" w:rsidRPr="003A66FF" w:rsidRDefault="003A66FF" w:rsidP="00040973">
      <w:pPr>
        <w:spacing w:after="0" w:line="240" w:lineRule="auto"/>
        <w:jc w:val="both"/>
        <w:rPr>
          <w:rFonts w:ascii="Times New Roman" w:eastAsia="Times New Roman" w:hAnsi="Times New Roman" w:cs="Times New Roman"/>
          <w:sz w:val="24"/>
          <w:szCs w:val="24"/>
          <w:lang w:eastAsia="lv-LV"/>
        </w:rPr>
      </w:pPr>
    </w:p>
    <w:p w:rsidR="003A66FF" w:rsidRPr="003A66FF" w:rsidRDefault="0081271D" w:rsidP="003A66FF">
      <w:pPr>
        <w:spacing w:after="0" w:line="240" w:lineRule="auto"/>
        <w:ind w:left="2880"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Olga Iļjina</w:t>
      </w:r>
    </w:p>
    <w:tbl>
      <w:tblPr>
        <w:tblW w:w="0" w:type="auto"/>
        <w:tblLook w:val="00A0" w:firstRow="1" w:lastRow="0" w:firstColumn="1" w:lastColumn="0" w:noHBand="0" w:noVBand="0"/>
      </w:tblPr>
      <w:tblGrid>
        <w:gridCol w:w="8268"/>
      </w:tblGrid>
      <w:tr w:rsidR="003A66FF" w:rsidRPr="003A66FF" w:rsidTr="00AE250B">
        <w:tc>
          <w:tcPr>
            <w:tcW w:w="8268" w:type="dxa"/>
            <w:tcBorders>
              <w:top w:val="single" w:sz="4" w:space="0" w:color="000000"/>
            </w:tcBorders>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(par projektu atbildīgās amatpersonas vārds un uzvārds)</w:t>
            </w:r>
          </w:p>
        </w:tc>
      </w:tr>
      <w:tr w:rsidR="003A66FF" w:rsidRPr="003A66FF" w:rsidTr="00AE250B">
        <w:tc>
          <w:tcPr>
            <w:tcW w:w="8268" w:type="dxa"/>
            <w:tcBorders>
              <w:bottom w:val="single" w:sz="4" w:space="0" w:color="000000"/>
            </w:tcBorders>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vecākā eksperte</w:t>
            </w:r>
          </w:p>
        </w:tc>
      </w:tr>
      <w:tr w:rsidR="003A66FF" w:rsidRPr="003A66FF" w:rsidTr="00AE250B">
        <w:tc>
          <w:tcPr>
            <w:tcW w:w="8268" w:type="dxa"/>
            <w:tcBorders>
              <w:top w:val="single" w:sz="4" w:space="0" w:color="000000"/>
            </w:tcBorders>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(amats)</w:t>
            </w:r>
          </w:p>
        </w:tc>
      </w:tr>
      <w:tr w:rsidR="003A66FF" w:rsidRPr="003A66FF" w:rsidTr="00AE250B">
        <w:tc>
          <w:tcPr>
            <w:tcW w:w="8268" w:type="dxa"/>
            <w:tcBorders>
              <w:bottom w:val="single" w:sz="4" w:space="0" w:color="000000"/>
            </w:tcBorders>
          </w:tcPr>
          <w:p w:rsidR="003A66FF" w:rsidRPr="003A66FF" w:rsidRDefault="003A66FF" w:rsidP="0081271D">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 xml:space="preserve">Tālr.: </w:t>
            </w:r>
            <w:r w:rsidR="0081271D">
              <w:rPr>
                <w:rFonts w:ascii="Times New Roman" w:eastAsia="Times New Roman" w:hAnsi="Times New Roman" w:cs="Times New Roman"/>
                <w:sz w:val="24"/>
                <w:szCs w:val="24"/>
                <w:lang w:eastAsia="lv-LV"/>
              </w:rPr>
              <w:t>67021616</w:t>
            </w:r>
            <w:r w:rsidRPr="003A66FF">
              <w:rPr>
                <w:rFonts w:ascii="Times New Roman" w:eastAsia="Times New Roman" w:hAnsi="Times New Roman" w:cs="Times New Roman"/>
                <w:sz w:val="24"/>
                <w:szCs w:val="24"/>
                <w:lang w:eastAsia="lv-LV"/>
              </w:rPr>
              <w:t>; fakss:</w:t>
            </w:r>
            <w:r w:rsidRPr="003A66FF">
              <w:rPr>
                <w:rFonts w:ascii="Times New Roman" w:eastAsia="Arial" w:hAnsi="Times New Roman" w:cs="Times New Roman"/>
                <w:kern w:val="1"/>
                <w:sz w:val="24"/>
                <w:szCs w:val="24"/>
                <w:lang w:eastAsia="ar-SA"/>
              </w:rPr>
              <w:t xml:space="preserve"> 67021505</w:t>
            </w:r>
          </w:p>
        </w:tc>
      </w:tr>
      <w:tr w:rsidR="003A66FF" w:rsidRPr="003A66FF" w:rsidTr="00AE250B">
        <w:tc>
          <w:tcPr>
            <w:tcW w:w="8268" w:type="dxa"/>
            <w:tcBorders>
              <w:top w:val="single" w:sz="4" w:space="0" w:color="000000"/>
            </w:tcBorders>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(tālruņa un faksa numurs)</w:t>
            </w:r>
          </w:p>
        </w:tc>
      </w:tr>
      <w:tr w:rsidR="003A66FF" w:rsidRPr="003A66FF" w:rsidTr="00AE250B">
        <w:tc>
          <w:tcPr>
            <w:tcW w:w="8268" w:type="dxa"/>
            <w:tcBorders>
              <w:bottom w:val="single" w:sz="4" w:space="0" w:color="000000"/>
            </w:tcBorders>
          </w:tcPr>
          <w:p w:rsidR="003A66FF" w:rsidRPr="003A66FF" w:rsidRDefault="00362739" w:rsidP="0081271D">
            <w:pPr>
              <w:spacing w:after="0" w:line="240" w:lineRule="auto"/>
              <w:jc w:val="center"/>
              <w:rPr>
                <w:rFonts w:ascii="Times New Roman" w:eastAsia="Times New Roman" w:hAnsi="Times New Roman" w:cs="Times New Roman"/>
                <w:sz w:val="24"/>
                <w:szCs w:val="24"/>
                <w:lang w:eastAsia="lv-LV"/>
              </w:rPr>
            </w:pPr>
            <w:hyperlink r:id="rId21" w:history="1">
              <w:r w:rsidR="0081271D" w:rsidRPr="00C56344">
                <w:rPr>
                  <w:rStyle w:val="Hyperlink"/>
                  <w:rFonts w:ascii="Times New Roman" w:eastAsia="Times New Roman" w:hAnsi="Times New Roman" w:cs="Times New Roman"/>
                  <w:sz w:val="24"/>
                  <w:szCs w:val="24"/>
                  <w:lang w:eastAsia="lv-LV"/>
                </w:rPr>
                <w:t>Olga.Iljina@lm.gov.lv</w:t>
              </w:r>
            </w:hyperlink>
          </w:p>
        </w:tc>
      </w:tr>
      <w:tr w:rsidR="003A66FF" w:rsidRPr="003A66FF" w:rsidTr="00AE250B">
        <w:tc>
          <w:tcPr>
            <w:tcW w:w="8268" w:type="dxa"/>
            <w:tcBorders>
              <w:top w:val="single" w:sz="4" w:space="0" w:color="000000"/>
            </w:tcBorders>
          </w:tcPr>
          <w:p w:rsidR="003A66FF" w:rsidRPr="003A66FF" w:rsidRDefault="003A66FF" w:rsidP="003A66FF">
            <w:pPr>
              <w:spacing w:after="0" w:line="240" w:lineRule="auto"/>
              <w:jc w:val="center"/>
              <w:rPr>
                <w:rFonts w:ascii="Times New Roman" w:eastAsia="Times New Roman" w:hAnsi="Times New Roman" w:cs="Times New Roman"/>
                <w:sz w:val="24"/>
                <w:szCs w:val="24"/>
                <w:lang w:eastAsia="lv-LV"/>
              </w:rPr>
            </w:pPr>
            <w:r w:rsidRPr="003A66FF">
              <w:rPr>
                <w:rFonts w:ascii="Times New Roman" w:eastAsia="Times New Roman" w:hAnsi="Times New Roman" w:cs="Times New Roman"/>
                <w:sz w:val="24"/>
                <w:szCs w:val="24"/>
                <w:lang w:eastAsia="lv-LV"/>
              </w:rPr>
              <w:t>(e-pasta adrese)</w:t>
            </w:r>
          </w:p>
        </w:tc>
      </w:tr>
    </w:tbl>
    <w:p w:rsidR="003A66FF" w:rsidRDefault="003A66FF" w:rsidP="003A66FF">
      <w:pPr>
        <w:spacing w:after="0" w:line="240" w:lineRule="auto"/>
        <w:rPr>
          <w:rFonts w:ascii="Times New Roman" w:eastAsia="Times New Roman" w:hAnsi="Times New Roman" w:cs="Times New Roman"/>
          <w:sz w:val="28"/>
          <w:szCs w:val="28"/>
          <w:lang w:eastAsia="lv-LV"/>
        </w:rPr>
      </w:pPr>
    </w:p>
    <w:p w:rsidR="00772175" w:rsidRPr="003A66FF" w:rsidRDefault="00772175" w:rsidP="003A66FF">
      <w:pPr>
        <w:spacing w:after="0" w:line="240" w:lineRule="auto"/>
        <w:rPr>
          <w:rFonts w:ascii="Times New Roman" w:eastAsia="Times New Roman" w:hAnsi="Times New Roman" w:cs="Times New Roman"/>
          <w:sz w:val="28"/>
          <w:szCs w:val="28"/>
          <w:lang w:eastAsia="lv-LV"/>
        </w:rPr>
      </w:pPr>
    </w:p>
    <w:p w:rsidR="00040973" w:rsidRDefault="0081271D" w:rsidP="00040973">
      <w:pPr>
        <w:spacing w:after="0" w:line="240" w:lineRule="auto"/>
        <w:rPr>
          <w:rFonts w:ascii="Times New Roman" w:eastAsia="Times New Roman" w:hAnsi="Times New Roman" w:cs="Times New Roman"/>
          <w:sz w:val="20"/>
          <w:szCs w:val="24"/>
          <w:lang w:eastAsia="lv-LV"/>
        </w:rPr>
      </w:pPr>
      <w:proofErr w:type="spellStart"/>
      <w:r>
        <w:rPr>
          <w:rFonts w:ascii="Times New Roman" w:eastAsia="Times New Roman" w:hAnsi="Times New Roman" w:cs="Times New Roman"/>
          <w:sz w:val="20"/>
          <w:szCs w:val="24"/>
          <w:lang w:eastAsia="lv-LV"/>
        </w:rPr>
        <w:t>O</w:t>
      </w:r>
      <w:r w:rsidR="00040973">
        <w:rPr>
          <w:rFonts w:ascii="Times New Roman" w:eastAsia="Times New Roman" w:hAnsi="Times New Roman" w:cs="Times New Roman"/>
          <w:sz w:val="20"/>
          <w:szCs w:val="24"/>
          <w:lang w:eastAsia="lv-LV"/>
        </w:rPr>
        <w:t>.</w:t>
      </w:r>
      <w:r>
        <w:rPr>
          <w:rFonts w:ascii="Times New Roman" w:eastAsia="Times New Roman" w:hAnsi="Times New Roman" w:cs="Times New Roman"/>
          <w:sz w:val="20"/>
          <w:szCs w:val="24"/>
          <w:lang w:eastAsia="lv-LV"/>
        </w:rPr>
        <w:t>Iļjina</w:t>
      </w:r>
      <w:proofErr w:type="spellEnd"/>
    </w:p>
    <w:p w:rsidR="001373E6" w:rsidRPr="003A66FF" w:rsidRDefault="00362739" w:rsidP="00040973">
      <w:pPr>
        <w:spacing w:after="0" w:line="240" w:lineRule="auto"/>
        <w:rPr>
          <w:rFonts w:ascii="Times New Roman" w:eastAsia="Times New Roman" w:hAnsi="Times New Roman" w:cs="Times New Roman"/>
          <w:sz w:val="20"/>
          <w:szCs w:val="24"/>
          <w:lang w:eastAsia="lv-LV"/>
        </w:rPr>
      </w:pPr>
      <w:hyperlink r:id="rId22" w:history="1">
        <w:r w:rsidR="001373E6" w:rsidRPr="00C56344">
          <w:rPr>
            <w:rStyle w:val="Hyperlink"/>
            <w:rFonts w:ascii="Times New Roman" w:eastAsia="Times New Roman" w:hAnsi="Times New Roman" w:cs="Times New Roman"/>
            <w:sz w:val="20"/>
            <w:szCs w:val="24"/>
            <w:lang w:eastAsia="lv-LV"/>
          </w:rPr>
          <w:t>Olga.Iljinae@lm.gov.lv</w:t>
        </w:r>
      </w:hyperlink>
      <w:r w:rsidR="001373E6" w:rsidRPr="003A66FF">
        <w:rPr>
          <w:rFonts w:ascii="Times New Roman" w:eastAsia="Times New Roman" w:hAnsi="Times New Roman" w:cs="Times New Roman"/>
          <w:sz w:val="20"/>
          <w:szCs w:val="24"/>
          <w:lang w:eastAsia="lv-LV"/>
        </w:rPr>
        <w:t xml:space="preserve"> </w:t>
      </w:r>
      <w:r w:rsidR="001373E6" w:rsidRPr="003A66FF">
        <w:rPr>
          <w:rFonts w:ascii="Times New Roman" w:eastAsia="Times New Roman" w:hAnsi="Times New Roman" w:cs="Times New Roman"/>
          <w:sz w:val="20"/>
          <w:szCs w:val="24"/>
          <w:lang w:eastAsia="lv-LV"/>
        </w:rPr>
        <w:tab/>
      </w:r>
    </w:p>
    <w:p w:rsidR="00040973" w:rsidRDefault="0081271D" w:rsidP="00040973">
      <w:pPr>
        <w:spacing w:after="0" w:line="240" w:lineRule="auto"/>
        <w:jc w:val="both"/>
        <w:rPr>
          <w:rFonts w:ascii="Times New Roman" w:eastAsia="Times New Roman" w:hAnsi="Times New Roman" w:cs="Times New Roman"/>
          <w:sz w:val="20"/>
          <w:szCs w:val="24"/>
          <w:lang w:eastAsia="lv-LV"/>
        </w:rPr>
      </w:pPr>
      <w:r>
        <w:rPr>
          <w:rFonts w:ascii="Times New Roman" w:eastAsia="Times New Roman" w:hAnsi="Times New Roman" w:cs="Times New Roman"/>
          <w:sz w:val="20"/>
          <w:szCs w:val="24"/>
          <w:lang w:eastAsia="lv-LV"/>
        </w:rPr>
        <w:t>67021616</w:t>
      </w:r>
    </w:p>
    <w:p w:rsidR="007F26CB" w:rsidRDefault="007F26CB"/>
    <w:sectPr w:rsidR="007F26CB" w:rsidSect="0013739F">
      <w:headerReference w:type="even" r:id="rId23"/>
      <w:headerReference w:type="default" r:id="rId24"/>
      <w:footerReference w:type="default" r:id="rId25"/>
      <w:footerReference w:type="first" r:id="rId26"/>
      <w:pgSz w:w="16838" w:h="11906" w:orient="landscape" w:code="9"/>
      <w:pgMar w:top="1418" w:right="1134" w:bottom="184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739" w:rsidRDefault="00362739" w:rsidP="00527F10">
      <w:pPr>
        <w:spacing w:after="0" w:line="240" w:lineRule="auto"/>
      </w:pPr>
      <w:r>
        <w:separator/>
      </w:r>
    </w:p>
  </w:endnote>
  <w:endnote w:type="continuationSeparator" w:id="0">
    <w:p w:rsidR="00362739" w:rsidRDefault="00362739" w:rsidP="005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F4" w:rsidRPr="00111CBC" w:rsidRDefault="00C46DFA" w:rsidP="00111CBC">
    <w:pPr>
      <w:pStyle w:val="Footer"/>
    </w:pPr>
    <w:r>
      <w:rPr>
        <w:sz w:val="20"/>
        <w:szCs w:val="20"/>
      </w:rPr>
      <w:t>LMizz_</w:t>
    </w:r>
    <w:r w:rsidR="00986DBC">
      <w:rPr>
        <w:sz w:val="20"/>
        <w:szCs w:val="20"/>
      </w:rPr>
      <w:t>26</w:t>
    </w:r>
    <w:r w:rsidR="00122E0F">
      <w:rPr>
        <w:sz w:val="20"/>
        <w:szCs w:val="20"/>
      </w:rPr>
      <w:t>11</w:t>
    </w:r>
    <w:r w:rsidR="00A92E2F">
      <w:rPr>
        <w:sz w:val="20"/>
        <w:szCs w:val="20"/>
      </w:rPr>
      <w:t>20</w:t>
    </w:r>
    <w:r w:rsidR="000F7AF4" w:rsidRPr="00111CBC">
      <w:rPr>
        <w:sz w:val="20"/>
        <w:szCs w:val="20"/>
      </w:rPr>
      <w:t>_</w:t>
    </w:r>
    <w:r w:rsidR="0008147B">
      <w:rPr>
        <w:sz w:val="20"/>
        <w:szCs w:val="20"/>
      </w:rPr>
      <w:t>458;</w:t>
    </w:r>
    <w:r w:rsidR="000F7AF4" w:rsidRPr="00111CBC">
      <w:rPr>
        <w:sz w:val="20"/>
        <w:szCs w:val="20"/>
      </w:rPr>
      <w:t xml:space="preserve"> „Grozījumi Ministru kabineta 2007.gada 3.jūlija noteikumos Nr.458 „Komersantu – darbiekārtošanas pakalpojumu sniedzēju – licencēšanas un uzraudzības kārtība”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F4" w:rsidRPr="00942E90" w:rsidRDefault="000F7AF4" w:rsidP="00AE250B">
    <w:pPr>
      <w:pStyle w:val="Footer"/>
      <w:rPr>
        <w:sz w:val="20"/>
        <w:szCs w:val="20"/>
      </w:rPr>
    </w:pPr>
    <w:r w:rsidRPr="00B42A35">
      <w:rPr>
        <w:sz w:val="20"/>
        <w:szCs w:val="20"/>
      </w:rPr>
      <w:t>LMizz_</w:t>
    </w:r>
    <w:r w:rsidR="00986DBC">
      <w:rPr>
        <w:sz w:val="20"/>
        <w:szCs w:val="20"/>
      </w:rPr>
      <w:t>26</w:t>
    </w:r>
    <w:r w:rsidR="00122E0F">
      <w:rPr>
        <w:sz w:val="20"/>
        <w:szCs w:val="20"/>
      </w:rPr>
      <w:t>11</w:t>
    </w:r>
    <w:r w:rsidR="00A92E2F">
      <w:rPr>
        <w:sz w:val="20"/>
        <w:szCs w:val="20"/>
      </w:rPr>
      <w:t>20</w:t>
    </w:r>
    <w:r>
      <w:rPr>
        <w:sz w:val="20"/>
        <w:szCs w:val="20"/>
      </w:rPr>
      <w:t>_</w:t>
    </w:r>
    <w:r w:rsidR="0008147B">
      <w:rPr>
        <w:sz w:val="20"/>
        <w:szCs w:val="20"/>
      </w:rPr>
      <w:t>458;</w:t>
    </w:r>
    <w:r w:rsidRPr="00847E84">
      <w:rPr>
        <w:sz w:val="20"/>
        <w:szCs w:val="20"/>
      </w:rPr>
      <w:t xml:space="preserve"> </w:t>
    </w:r>
    <w:r w:rsidRPr="001F295E">
      <w:rPr>
        <w:sz w:val="20"/>
        <w:szCs w:val="20"/>
      </w:rPr>
      <w:t>„</w:t>
    </w:r>
    <w:r>
      <w:rPr>
        <w:sz w:val="20"/>
        <w:szCs w:val="20"/>
      </w:rPr>
      <w:t>Grozījumi Ministru kabineta 2007.gada 3.jūlija noteikumos Nr.458</w:t>
    </w:r>
    <w:r w:rsidRPr="001F295E">
      <w:rPr>
        <w:sz w:val="20"/>
        <w:szCs w:val="20"/>
      </w:rPr>
      <w:t xml:space="preserve"> „</w:t>
    </w:r>
    <w:r>
      <w:rPr>
        <w:sz w:val="20"/>
        <w:szCs w:val="20"/>
      </w:rPr>
      <w:t>Komersantu – darbiekārtošanas pakalpojumu sniedzēju – licencēšanas un uzraudzības kārtība</w:t>
    </w:r>
    <w:r w:rsidRPr="001F295E">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739" w:rsidRDefault="00362739" w:rsidP="00527F10">
      <w:pPr>
        <w:spacing w:after="0" w:line="240" w:lineRule="auto"/>
      </w:pPr>
      <w:r>
        <w:separator/>
      </w:r>
    </w:p>
  </w:footnote>
  <w:footnote w:type="continuationSeparator" w:id="0">
    <w:p w:rsidR="00362739" w:rsidRDefault="00362739" w:rsidP="00527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F4" w:rsidRDefault="000F7AF4"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7AF4" w:rsidRDefault="000F7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AF4" w:rsidRDefault="000F7AF4" w:rsidP="00AE2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6DBC">
      <w:rPr>
        <w:rStyle w:val="PageNumber"/>
        <w:noProof/>
      </w:rPr>
      <w:t>2</w:t>
    </w:r>
    <w:r>
      <w:rPr>
        <w:rStyle w:val="PageNumber"/>
      </w:rPr>
      <w:fldChar w:fldCharType="end"/>
    </w:r>
  </w:p>
  <w:p w:rsidR="000F7AF4" w:rsidRDefault="000F7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34A4D"/>
    <w:multiLevelType w:val="hybridMultilevel"/>
    <w:tmpl w:val="5EAA0564"/>
    <w:lvl w:ilvl="0" w:tplc="973A1A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9E4587B"/>
    <w:multiLevelType w:val="hybridMultilevel"/>
    <w:tmpl w:val="0638EDC8"/>
    <w:lvl w:ilvl="0" w:tplc="DB2496F0">
      <w:start w:val="1"/>
      <w:numFmt w:val="decimal"/>
      <w:lvlText w:val="%1."/>
      <w:lvlJc w:val="left"/>
      <w:pPr>
        <w:ind w:left="3763" w:hanging="360"/>
      </w:pPr>
      <w:rPr>
        <w:rFonts w:ascii="Times New Roman" w:hAnsi="Times New Roman" w:cs="Times New Roman"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533FE0"/>
    <w:multiLevelType w:val="hybridMultilevel"/>
    <w:tmpl w:val="553E9CF8"/>
    <w:lvl w:ilvl="0" w:tplc="A5BCBCB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312009E"/>
    <w:multiLevelType w:val="hybridMultilevel"/>
    <w:tmpl w:val="F2F43210"/>
    <w:lvl w:ilvl="0" w:tplc="C6DEBB1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B820EA2"/>
    <w:multiLevelType w:val="hybridMultilevel"/>
    <w:tmpl w:val="ADAC1C1C"/>
    <w:lvl w:ilvl="0" w:tplc="42485A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FF"/>
    <w:rsid w:val="00005F5C"/>
    <w:rsid w:val="00006852"/>
    <w:rsid w:val="00015772"/>
    <w:rsid w:val="00040886"/>
    <w:rsid w:val="00040973"/>
    <w:rsid w:val="0005140C"/>
    <w:rsid w:val="000641CC"/>
    <w:rsid w:val="0007076D"/>
    <w:rsid w:val="0008147B"/>
    <w:rsid w:val="00084BDD"/>
    <w:rsid w:val="000C3F4F"/>
    <w:rsid w:val="000C7665"/>
    <w:rsid w:val="000F7AF4"/>
    <w:rsid w:val="000F7AF6"/>
    <w:rsid w:val="0010443F"/>
    <w:rsid w:val="00111CBC"/>
    <w:rsid w:val="0012045F"/>
    <w:rsid w:val="00121EF9"/>
    <w:rsid w:val="00122E0F"/>
    <w:rsid w:val="00124CF4"/>
    <w:rsid w:val="0013739F"/>
    <w:rsid w:val="001373E6"/>
    <w:rsid w:val="00142B47"/>
    <w:rsid w:val="00160F78"/>
    <w:rsid w:val="00175B0D"/>
    <w:rsid w:val="001903C5"/>
    <w:rsid w:val="001904E8"/>
    <w:rsid w:val="00190A2A"/>
    <w:rsid w:val="00196E96"/>
    <w:rsid w:val="001C41A8"/>
    <w:rsid w:val="001C627B"/>
    <w:rsid w:val="001E0ED9"/>
    <w:rsid w:val="001F295E"/>
    <w:rsid w:val="001F4274"/>
    <w:rsid w:val="00201D52"/>
    <w:rsid w:val="00214A83"/>
    <w:rsid w:val="00221340"/>
    <w:rsid w:val="002600B2"/>
    <w:rsid w:val="002738CB"/>
    <w:rsid w:val="00274EEE"/>
    <w:rsid w:val="00277A86"/>
    <w:rsid w:val="00296C03"/>
    <w:rsid w:val="002D01AB"/>
    <w:rsid w:val="002F48B0"/>
    <w:rsid w:val="003127C3"/>
    <w:rsid w:val="0031477E"/>
    <w:rsid w:val="0033402E"/>
    <w:rsid w:val="003413E7"/>
    <w:rsid w:val="003455B3"/>
    <w:rsid w:val="00347CAD"/>
    <w:rsid w:val="00357A01"/>
    <w:rsid w:val="00362739"/>
    <w:rsid w:val="003803A1"/>
    <w:rsid w:val="00395C5F"/>
    <w:rsid w:val="003A66FF"/>
    <w:rsid w:val="003B07A4"/>
    <w:rsid w:val="003B1757"/>
    <w:rsid w:val="00436395"/>
    <w:rsid w:val="00476C40"/>
    <w:rsid w:val="004776E8"/>
    <w:rsid w:val="00482996"/>
    <w:rsid w:val="00482EAE"/>
    <w:rsid w:val="004B5AAD"/>
    <w:rsid w:val="004C1B31"/>
    <w:rsid w:val="004D32AA"/>
    <w:rsid w:val="004E07A0"/>
    <w:rsid w:val="004E6541"/>
    <w:rsid w:val="004F224C"/>
    <w:rsid w:val="004F27C3"/>
    <w:rsid w:val="00501549"/>
    <w:rsid w:val="00527F10"/>
    <w:rsid w:val="005442EE"/>
    <w:rsid w:val="005475BA"/>
    <w:rsid w:val="00563691"/>
    <w:rsid w:val="005669E4"/>
    <w:rsid w:val="005846BA"/>
    <w:rsid w:val="0058516E"/>
    <w:rsid w:val="005A5DBB"/>
    <w:rsid w:val="005D202F"/>
    <w:rsid w:val="005D7220"/>
    <w:rsid w:val="005D7387"/>
    <w:rsid w:val="005F080D"/>
    <w:rsid w:val="00621CB0"/>
    <w:rsid w:val="00635DC1"/>
    <w:rsid w:val="00636C75"/>
    <w:rsid w:val="00641FA9"/>
    <w:rsid w:val="00642425"/>
    <w:rsid w:val="00647E38"/>
    <w:rsid w:val="00651405"/>
    <w:rsid w:val="00661C9A"/>
    <w:rsid w:val="00664758"/>
    <w:rsid w:val="00665483"/>
    <w:rsid w:val="00690E31"/>
    <w:rsid w:val="006B666B"/>
    <w:rsid w:val="006B78BC"/>
    <w:rsid w:val="006C6FC2"/>
    <w:rsid w:val="006D0DA8"/>
    <w:rsid w:val="006D34E5"/>
    <w:rsid w:val="006F134C"/>
    <w:rsid w:val="006F5887"/>
    <w:rsid w:val="007049DD"/>
    <w:rsid w:val="00725A05"/>
    <w:rsid w:val="00736415"/>
    <w:rsid w:val="007476B7"/>
    <w:rsid w:val="0075688D"/>
    <w:rsid w:val="00770E33"/>
    <w:rsid w:val="00772175"/>
    <w:rsid w:val="00781950"/>
    <w:rsid w:val="007867B1"/>
    <w:rsid w:val="00796882"/>
    <w:rsid w:val="007A6B8C"/>
    <w:rsid w:val="007B368E"/>
    <w:rsid w:val="007D283D"/>
    <w:rsid w:val="007E1961"/>
    <w:rsid w:val="007F26CB"/>
    <w:rsid w:val="007F494F"/>
    <w:rsid w:val="007F6E6A"/>
    <w:rsid w:val="0081271D"/>
    <w:rsid w:val="0081678D"/>
    <w:rsid w:val="008261D0"/>
    <w:rsid w:val="00841A25"/>
    <w:rsid w:val="00846F68"/>
    <w:rsid w:val="00847E84"/>
    <w:rsid w:val="00882A93"/>
    <w:rsid w:val="00885546"/>
    <w:rsid w:val="008A43ED"/>
    <w:rsid w:val="008C0113"/>
    <w:rsid w:val="008C224C"/>
    <w:rsid w:val="008C3003"/>
    <w:rsid w:val="008C4AF7"/>
    <w:rsid w:val="008C5E04"/>
    <w:rsid w:val="008D3A77"/>
    <w:rsid w:val="008D4A19"/>
    <w:rsid w:val="008F282F"/>
    <w:rsid w:val="00916668"/>
    <w:rsid w:val="00927686"/>
    <w:rsid w:val="009320B9"/>
    <w:rsid w:val="00937D58"/>
    <w:rsid w:val="00940882"/>
    <w:rsid w:val="00954812"/>
    <w:rsid w:val="00956CAE"/>
    <w:rsid w:val="0096301B"/>
    <w:rsid w:val="009679AD"/>
    <w:rsid w:val="00984D1E"/>
    <w:rsid w:val="00986DBC"/>
    <w:rsid w:val="009879DC"/>
    <w:rsid w:val="009901E2"/>
    <w:rsid w:val="00991A2A"/>
    <w:rsid w:val="0099556D"/>
    <w:rsid w:val="009972D9"/>
    <w:rsid w:val="009A5C65"/>
    <w:rsid w:val="009A6FE0"/>
    <w:rsid w:val="009B3A52"/>
    <w:rsid w:val="009C03CA"/>
    <w:rsid w:val="00A4006D"/>
    <w:rsid w:val="00A850CA"/>
    <w:rsid w:val="00A87C30"/>
    <w:rsid w:val="00A92E2F"/>
    <w:rsid w:val="00AC1C59"/>
    <w:rsid w:val="00AD5DBF"/>
    <w:rsid w:val="00AE250B"/>
    <w:rsid w:val="00AE38E9"/>
    <w:rsid w:val="00B07AAC"/>
    <w:rsid w:val="00B209EB"/>
    <w:rsid w:val="00B25339"/>
    <w:rsid w:val="00B34A42"/>
    <w:rsid w:val="00B425CF"/>
    <w:rsid w:val="00B43215"/>
    <w:rsid w:val="00B63EF6"/>
    <w:rsid w:val="00B67FD3"/>
    <w:rsid w:val="00BB548B"/>
    <w:rsid w:val="00BC5367"/>
    <w:rsid w:val="00BD174A"/>
    <w:rsid w:val="00BE673D"/>
    <w:rsid w:val="00C03290"/>
    <w:rsid w:val="00C11EB8"/>
    <w:rsid w:val="00C16E75"/>
    <w:rsid w:val="00C21188"/>
    <w:rsid w:val="00C24513"/>
    <w:rsid w:val="00C46DFA"/>
    <w:rsid w:val="00C51DB2"/>
    <w:rsid w:val="00C65B41"/>
    <w:rsid w:val="00C90AE6"/>
    <w:rsid w:val="00CA0557"/>
    <w:rsid w:val="00CA4ADC"/>
    <w:rsid w:val="00CD649D"/>
    <w:rsid w:val="00CF518A"/>
    <w:rsid w:val="00D01348"/>
    <w:rsid w:val="00D02457"/>
    <w:rsid w:val="00D04806"/>
    <w:rsid w:val="00D177DE"/>
    <w:rsid w:val="00D30A92"/>
    <w:rsid w:val="00D536EF"/>
    <w:rsid w:val="00D60566"/>
    <w:rsid w:val="00DA0430"/>
    <w:rsid w:val="00DA5170"/>
    <w:rsid w:val="00DD29C1"/>
    <w:rsid w:val="00DD7A78"/>
    <w:rsid w:val="00DE0D4E"/>
    <w:rsid w:val="00DE34F1"/>
    <w:rsid w:val="00DF7F53"/>
    <w:rsid w:val="00E12C7C"/>
    <w:rsid w:val="00E24FFC"/>
    <w:rsid w:val="00E276C1"/>
    <w:rsid w:val="00E27942"/>
    <w:rsid w:val="00E31B15"/>
    <w:rsid w:val="00E4705C"/>
    <w:rsid w:val="00E47168"/>
    <w:rsid w:val="00E6725B"/>
    <w:rsid w:val="00E90BD4"/>
    <w:rsid w:val="00E93AA6"/>
    <w:rsid w:val="00EA48D9"/>
    <w:rsid w:val="00EB43F3"/>
    <w:rsid w:val="00EB60AB"/>
    <w:rsid w:val="00EE43E7"/>
    <w:rsid w:val="00F113A1"/>
    <w:rsid w:val="00F2226D"/>
    <w:rsid w:val="00F27AE5"/>
    <w:rsid w:val="00F45E3A"/>
    <w:rsid w:val="00F53AE3"/>
    <w:rsid w:val="00F67C7A"/>
    <w:rsid w:val="00F70C8E"/>
    <w:rsid w:val="00F74633"/>
    <w:rsid w:val="00FA4B31"/>
    <w:rsid w:val="00FB57FF"/>
    <w:rsid w:val="00FD11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9C20D5-86C9-46A9-AC9F-F7C06AFF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3A66FF"/>
    <w:rPr>
      <w:rFonts w:ascii="Times New Roman" w:eastAsia="Times New Roman" w:hAnsi="Times New Roman" w:cs="Times New Roman"/>
      <w:sz w:val="24"/>
      <w:szCs w:val="24"/>
      <w:lang w:eastAsia="lv-LV"/>
    </w:rPr>
  </w:style>
  <w:style w:type="character" w:styleId="PageNumber">
    <w:name w:val="page number"/>
    <w:uiPriority w:val="99"/>
    <w:rsid w:val="003A66FF"/>
    <w:rPr>
      <w:rFonts w:cs="Times New Roman"/>
    </w:rPr>
  </w:style>
  <w:style w:type="paragraph" w:styleId="Footer">
    <w:name w:val="footer"/>
    <w:basedOn w:val="Normal"/>
    <w:link w:val="FooterChar"/>
    <w:uiPriority w:val="99"/>
    <w:rsid w:val="003A66F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3A66FF"/>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7F10"/>
    <w:rPr>
      <w:color w:val="0000FF" w:themeColor="hyperlink"/>
      <w:u w:val="single"/>
    </w:rPr>
  </w:style>
  <w:style w:type="paragraph" w:styleId="ListParagraph">
    <w:name w:val="List Paragraph"/>
    <w:basedOn w:val="Normal"/>
    <w:uiPriority w:val="34"/>
    <w:qFormat/>
    <w:rsid w:val="00C03290"/>
    <w:pPr>
      <w:ind w:left="720"/>
      <w:contextualSpacing/>
    </w:pPr>
  </w:style>
  <w:style w:type="paragraph" w:styleId="BalloonText">
    <w:name w:val="Balloon Text"/>
    <w:basedOn w:val="Normal"/>
    <w:link w:val="BalloonTextChar"/>
    <w:uiPriority w:val="99"/>
    <w:semiHidden/>
    <w:unhideWhenUsed/>
    <w:rsid w:val="00DD2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9C1"/>
    <w:rPr>
      <w:rFonts w:ascii="Tahoma" w:hAnsi="Tahoma" w:cs="Tahoma"/>
      <w:sz w:val="16"/>
      <w:szCs w:val="16"/>
    </w:rPr>
  </w:style>
  <w:style w:type="paragraph" w:styleId="NoSpacing">
    <w:name w:val="No Spacing"/>
    <w:uiPriority w:val="1"/>
    <w:qFormat/>
    <w:rsid w:val="00A87C30"/>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6/589/oj/?locale=LV" TargetMode="External"/><Relationship Id="rId13" Type="http://schemas.openxmlformats.org/officeDocument/2006/relationships/hyperlink" Target="http://eur-lex.europa.eu/eli/reg/2011/492/oj/?locale=LV" TargetMode="External"/><Relationship Id="rId18" Type="http://schemas.openxmlformats.org/officeDocument/2006/relationships/hyperlink" Target="http://eur-lex.europa.eu/eli/reg/2013/1296/oj/?locale=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Olga.Iljina@lm.gov.lv" TargetMode="External"/><Relationship Id="rId7" Type="http://schemas.openxmlformats.org/officeDocument/2006/relationships/endnotes" Target="endnotes.xml"/><Relationship Id="rId12" Type="http://schemas.openxmlformats.org/officeDocument/2006/relationships/hyperlink" Target="http://eur-lex.europa.eu/eli/reg/2016/589/oj/?locale=LV" TargetMode="External"/><Relationship Id="rId17" Type="http://schemas.openxmlformats.org/officeDocument/2006/relationships/hyperlink" Target="http://eur-lex.europa.eu/eli/reg/2011/492/oj/?locale=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reg/2016/589/oj/?locale=LV" TargetMode="External"/><Relationship Id="rId20" Type="http://schemas.openxmlformats.org/officeDocument/2006/relationships/hyperlink" Target="http://eur-lex.europa.eu/eli/reg/2016/589/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589/oj/?locale=L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ur-lex.europa.eu/eli/reg/2016/589/oj/?locale=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eur-lex.europa.eu/eli/reg/2013/1296/oj/?locale=LV" TargetMode="External"/><Relationship Id="rId19" Type="http://schemas.openxmlformats.org/officeDocument/2006/relationships/hyperlink" Target="http://eur-lex.europa.eu/eli/reg/2016/589/oj/?locale=LV" TargetMode="External"/><Relationship Id="rId4" Type="http://schemas.openxmlformats.org/officeDocument/2006/relationships/settings" Target="settings.xml"/><Relationship Id="rId9" Type="http://schemas.openxmlformats.org/officeDocument/2006/relationships/hyperlink" Target="http://eur-lex.europa.eu/eli/reg/2011/492/oj/?locale=LV" TargetMode="External"/><Relationship Id="rId14" Type="http://schemas.openxmlformats.org/officeDocument/2006/relationships/hyperlink" Target="http://eur-lex.europa.eu/eli/reg/2013/1296/oj/?locale=LV" TargetMode="External"/><Relationship Id="rId22" Type="http://schemas.openxmlformats.org/officeDocument/2006/relationships/hyperlink" Target="mailto:Olga.Iljinae@lm.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4B3A-5746-4C6A-BF98-AA6C2FFD3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12044</Words>
  <Characters>6866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LM MK noteikumi</vt:lpstr>
    </vt:vector>
  </TitlesOfParts>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 MK noteikumi</dc:title>
  <dc:subject>Izziņa</dc:subject>
  <dc:creator>Liga Emule-Konone</dc:creator>
  <dc:description>Tālr. 67021616; fakss 67021505, E-pasts: olga.iljina@lm.gov.lv</dc:description>
  <cp:lastModifiedBy>Olga Iljina</cp:lastModifiedBy>
  <cp:revision>2</cp:revision>
  <cp:lastPrinted>2017-11-08T14:04:00Z</cp:lastPrinted>
  <dcterms:created xsi:type="dcterms:W3CDTF">2020-11-27T13:51:00Z</dcterms:created>
  <dcterms:modified xsi:type="dcterms:W3CDTF">2020-11-27T13:51:00Z</dcterms:modified>
</cp:coreProperties>
</file>