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1F" w:rsidRPr="00E70DDA" w:rsidRDefault="00CF0A1F" w:rsidP="004D5976">
      <w:pPr>
        <w:suppressAutoHyphens/>
        <w:autoSpaceDN w:val="0"/>
        <w:spacing w:after="0" w:line="240" w:lineRule="auto"/>
        <w:ind w:firstLine="720"/>
        <w:jc w:val="center"/>
        <w:rPr>
          <w:rFonts w:ascii="Times New Roman" w:eastAsia="Times New Roman" w:hAnsi="Times New Roman" w:cs="Times New Roman"/>
          <w:b/>
          <w:bCs/>
          <w:sz w:val="24"/>
          <w:szCs w:val="24"/>
          <w:lang w:eastAsia="lv-LV"/>
        </w:rPr>
      </w:pPr>
      <w:r w:rsidRPr="00E70DDA">
        <w:rPr>
          <w:rFonts w:ascii="Times New Roman" w:eastAsia="Times New Roman" w:hAnsi="Times New Roman" w:cs="Times New Roman"/>
          <w:b/>
          <w:bCs/>
          <w:sz w:val="24"/>
          <w:szCs w:val="24"/>
          <w:lang w:eastAsia="lv-LV"/>
        </w:rPr>
        <w:t>Izziņa par atzinumos sniegtajiem iebildumiem</w:t>
      </w:r>
    </w:p>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13958"/>
      </w:tblGrid>
      <w:tr w:rsidR="00CF0A1F" w:rsidRPr="00E70DDA" w:rsidTr="00E9621B">
        <w:trPr>
          <w:jc w:val="center"/>
        </w:trPr>
        <w:tc>
          <w:tcPr>
            <w:tcW w:w="14003" w:type="dxa"/>
            <w:tcBorders>
              <w:top w:val="nil"/>
              <w:left w:val="nil"/>
              <w:bottom w:val="single" w:sz="6" w:space="0" w:color="000000"/>
              <w:right w:val="nil"/>
            </w:tcBorders>
            <w:tcMar>
              <w:top w:w="0" w:type="dxa"/>
              <w:left w:w="108" w:type="dxa"/>
              <w:bottom w:w="0" w:type="dxa"/>
              <w:right w:w="108" w:type="dxa"/>
            </w:tcMar>
            <w:hideMark/>
          </w:tcPr>
          <w:p w:rsidR="00CF0A1F" w:rsidRPr="00E70DDA" w:rsidRDefault="00D975C2"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b/>
                <w:bCs/>
                <w:sz w:val="24"/>
                <w:szCs w:val="24"/>
              </w:rPr>
              <w:t>Noteikumu projekts “Noteikumi par valsts sociālo pabalstu Černobiļas atomelektrostacijas avārijas seku likvidēšanas dalībniekiem un mirušo Černobiļas atomelektrostacijas avārijas seku likvidēšanas dalībnieku ģimenēm</w:t>
            </w:r>
            <w:r w:rsidR="00003FAB" w:rsidRPr="00E70DDA">
              <w:rPr>
                <w:rFonts w:ascii="Times New Roman" w:eastAsia="Times New Roman" w:hAnsi="Times New Roman" w:cs="Times New Roman"/>
                <w:b/>
                <w:sz w:val="24"/>
                <w:szCs w:val="24"/>
              </w:rPr>
              <w:t>”</w:t>
            </w:r>
          </w:p>
        </w:tc>
      </w:tr>
    </w:tbl>
    <w:p w:rsidR="00CF0A1F" w:rsidRPr="00E70DDA" w:rsidRDefault="00CF0A1F" w:rsidP="004D5976">
      <w:pPr>
        <w:suppressAutoHyphens/>
        <w:autoSpaceDN w:val="0"/>
        <w:spacing w:after="0" w:line="240" w:lineRule="auto"/>
        <w:ind w:firstLine="1080"/>
        <w:jc w:val="center"/>
        <w:rPr>
          <w:rFonts w:ascii="Times New Roman" w:eastAsia="Times New Roman" w:hAnsi="Times New Roman" w:cs="Times New Roman"/>
          <w:sz w:val="24"/>
          <w:szCs w:val="24"/>
          <w:lang w:eastAsia="lv-LV"/>
        </w:rPr>
      </w:pPr>
      <w:r w:rsidRPr="00E70DDA">
        <w:rPr>
          <w:rFonts w:ascii="Times New Roman" w:eastAsia="Times New Roman" w:hAnsi="Times New Roman" w:cs="Times New Roman"/>
          <w:sz w:val="24"/>
          <w:szCs w:val="24"/>
          <w:lang w:eastAsia="lv-LV"/>
        </w:rPr>
        <w:t>(dokumenta veids un nosaukums)</w:t>
      </w:r>
    </w:p>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F0A1F" w:rsidRPr="00E70DDA" w:rsidRDefault="00CF0A1F" w:rsidP="004D5976">
      <w:pPr>
        <w:suppressAutoHyphens/>
        <w:autoSpaceDN w:val="0"/>
        <w:spacing w:after="0" w:line="240" w:lineRule="auto"/>
        <w:jc w:val="center"/>
        <w:rPr>
          <w:rFonts w:ascii="Times New Roman" w:eastAsia="Times New Roman" w:hAnsi="Times New Roman" w:cs="Times New Roman"/>
          <w:b/>
          <w:sz w:val="24"/>
          <w:szCs w:val="24"/>
          <w:lang w:eastAsia="lv-LV"/>
        </w:rPr>
      </w:pPr>
      <w:r w:rsidRPr="00E70DDA">
        <w:rPr>
          <w:rFonts w:ascii="Times New Roman" w:eastAsia="Times New Roman" w:hAnsi="Times New Roman" w:cs="Times New Roman"/>
          <w:b/>
          <w:sz w:val="24"/>
          <w:szCs w:val="24"/>
          <w:lang w:eastAsia="lv-LV"/>
        </w:rPr>
        <w:t>I. Jautājumi, par kuriem saskaņošanā vienošanās nav panākta</w:t>
      </w:r>
    </w:p>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694"/>
        <w:gridCol w:w="3014"/>
        <w:gridCol w:w="3046"/>
        <w:gridCol w:w="2909"/>
        <w:gridCol w:w="2405"/>
        <w:gridCol w:w="1877"/>
      </w:tblGrid>
      <w:tr w:rsidR="00CF0A1F" w:rsidRPr="00E70DDA"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Nr. p.k.</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ind w:firstLine="12"/>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Saskaņošanai nosūtītā projekta redakcija (konkrēta punkta (panta) redakcija)</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ind w:right="3"/>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ind w:firstLine="21"/>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Atbildīgās ministrijas pamatojums iebilduma noraidījumam</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Atzinuma sniedzēja uzturētais iebildums, ja tas atšķiras no atzinumā norādītā iebilduma pamatojuma</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Projekta attiecīgā punkta (panta) galīgā redakcija</w:t>
            </w:r>
          </w:p>
        </w:tc>
      </w:tr>
      <w:tr w:rsidR="00CF0A1F" w:rsidRPr="00E70DDA"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1</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2</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3</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4</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5</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6</w:t>
            </w:r>
          </w:p>
        </w:tc>
      </w:tr>
      <w:tr w:rsidR="00CF0A1F" w:rsidRPr="00E70DDA"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rPr>
            </w:pPr>
          </w:p>
        </w:tc>
      </w:tr>
      <w:tr w:rsidR="00CF0A1F" w:rsidRPr="00E70DDA"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rPr>
            </w:pPr>
          </w:p>
        </w:tc>
      </w:tr>
    </w:tbl>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lang w:eastAsia="lv-LV"/>
        </w:rPr>
      </w:pPr>
    </w:p>
    <w:p w:rsidR="00CF0A1F" w:rsidRPr="00E70DDA" w:rsidRDefault="00CF0A1F" w:rsidP="004D5976">
      <w:pPr>
        <w:suppressAutoHyphens/>
        <w:autoSpaceDN w:val="0"/>
        <w:spacing w:after="0" w:line="240" w:lineRule="auto"/>
        <w:jc w:val="both"/>
        <w:rPr>
          <w:rFonts w:ascii="Times New Roman" w:eastAsia="Times New Roman" w:hAnsi="Times New Roman" w:cs="Times New Roman"/>
          <w:b/>
          <w:sz w:val="24"/>
          <w:szCs w:val="24"/>
          <w:lang w:eastAsia="lv-LV"/>
        </w:rPr>
      </w:pPr>
      <w:r w:rsidRPr="00E70DDA">
        <w:rPr>
          <w:rFonts w:ascii="Times New Roman" w:eastAsia="Times New Roman" w:hAnsi="Times New Roman" w:cs="Times New Roman"/>
          <w:b/>
          <w:sz w:val="24"/>
          <w:szCs w:val="24"/>
          <w:lang w:eastAsia="lv-LV"/>
        </w:rPr>
        <w:t xml:space="preserve">Informācija par </w:t>
      </w:r>
      <w:proofErr w:type="spellStart"/>
      <w:r w:rsidRPr="00E70DDA">
        <w:rPr>
          <w:rFonts w:ascii="Times New Roman" w:eastAsia="Times New Roman" w:hAnsi="Times New Roman" w:cs="Times New Roman"/>
          <w:b/>
          <w:sz w:val="24"/>
          <w:szCs w:val="24"/>
          <w:lang w:eastAsia="lv-LV"/>
        </w:rPr>
        <w:t>starpministriju</w:t>
      </w:r>
      <w:proofErr w:type="spellEnd"/>
      <w:r w:rsidRPr="00E70DDA">
        <w:rPr>
          <w:rFonts w:ascii="Times New Roman" w:eastAsia="Times New Roman" w:hAnsi="Times New Roman" w:cs="Times New Roman"/>
          <w:b/>
          <w:sz w:val="24"/>
          <w:szCs w:val="24"/>
          <w:lang w:eastAsia="lv-LV"/>
        </w:rPr>
        <w:t xml:space="preserve"> (starpinstitūciju) sanāksmi vai elektronisko saskaņošanu</w:t>
      </w:r>
    </w:p>
    <w:p w:rsidR="00CF0A1F" w:rsidRPr="00E70DDA" w:rsidRDefault="00CF0A1F" w:rsidP="004D5976">
      <w:pPr>
        <w:suppressAutoHyphens/>
        <w:autoSpaceDN w:val="0"/>
        <w:spacing w:after="0" w:line="240" w:lineRule="auto"/>
        <w:jc w:val="both"/>
        <w:rPr>
          <w:rFonts w:ascii="Times New Roman" w:eastAsia="Times New Roman" w:hAnsi="Times New Roman" w:cs="Times New Roman"/>
          <w:b/>
          <w:sz w:val="24"/>
          <w:szCs w:val="24"/>
          <w:lang w:eastAsia="lv-LV"/>
        </w:rPr>
      </w:pPr>
    </w:p>
    <w:tbl>
      <w:tblPr>
        <w:tblW w:w="5027" w:type="pct"/>
        <w:tblCellMar>
          <w:left w:w="10" w:type="dxa"/>
          <w:right w:w="10" w:type="dxa"/>
        </w:tblCellMar>
        <w:tblLook w:val="04A0" w:firstRow="1" w:lastRow="0" w:firstColumn="1" w:lastColumn="0" w:noHBand="0" w:noVBand="1"/>
      </w:tblPr>
      <w:tblGrid>
        <w:gridCol w:w="2933"/>
        <w:gridCol w:w="753"/>
        <w:gridCol w:w="10255"/>
        <w:gridCol w:w="92"/>
      </w:tblGrid>
      <w:tr w:rsidR="00CF0A1F" w:rsidRPr="00E70DDA" w:rsidTr="00003FAB">
        <w:trPr>
          <w:trHeight w:val="269"/>
        </w:trPr>
        <w:tc>
          <w:tcPr>
            <w:tcW w:w="3686" w:type="dxa"/>
            <w:gridSpan w:val="2"/>
            <w:tcMar>
              <w:top w:w="0" w:type="dxa"/>
              <w:left w:w="108" w:type="dxa"/>
              <w:bottom w:w="0" w:type="dxa"/>
              <w:right w:w="108" w:type="dxa"/>
            </w:tcMar>
            <w:hideMark/>
          </w:tcPr>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Datums</w:t>
            </w:r>
          </w:p>
        </w:tc>
        <w:tc>
          <w:tcPr>
            <w:tcW w:w="10348" w:type="dxa"/>
            <w:gridSpan w:val="2"/>
            <w:tcBorders>
              <w:top w:val="nil"/>
              <w:left w:val="nil"/>
              <w:bottom w:val="single" w:sz="4" w:space="0" w:color="000000"/>
              <w:right w:val="nil"/>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ind w:firstLine="720"/>
              <w:rPr>
                <w:rFonts w:ascii="Times New Roman" w:eastAsia="Times New Roman" w:hAnsi="Times New Roman" w:cs="Times New Roman"/>
                <w:sz w:val="24"/>
                <w:szCs w:val="24"/>
              </w:rPr>
            </w:pPr>
          </w:p>
        </w:tc>
      </w:tr>
      <w:tr w:rsidR="00CF0A1F" w:rsidRPr="00E70DDA" w:rsidTr="00003FAB">
        <w:trPr>
          <w:trHeight w:val="283"/>
        </w:trPr>
        <w:tc>
          <w:tcPr>
            <w:tcW w:w="3686" w:type="dxa"/>
            <w:gridSpan w:val="2"/>
            <w:tcMar>
              <w:top w:w="0" w:type="dxa"/>
              <w:left w:w="108" w:type="dxa"/>
              <w:bottom w:w="0" w:type="dxa"/>
              <w:right w:w="108" w:type="dxa"/>
            </w:tcMar>
          </w:tcPr>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rPr>
            </w:pPr>
          </w:p>
        </w:tc>
        <w:tc>
          <w:tcPr>
            <w:tcW w:w="10348" w:type="dxa"/>
            <w:gridSpan w:val="2"/>
            <w:tcBorders>
              <w:top w:val="single" w:sz="4" w:space="0" w:color="000000"/>
              <w:left w:val="nil"/>
              <w:bottom w:val="nil"/>
              <w:right w:val="nil"/>
            </w:tcBorders>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rPr>
                <w:rFonts w:ascii="Times New Roman" w:eastAsia="Times New Roman" w:hAnsi="Times New Roman" w:cs="Times New Roman"/>
                <w:sz w:val="24"/>
                <w:szCs w:val="24"/>
              </w:rPr>
            </w:pPr>
          </w:p>
        </w:tc>
      </w:tr>
      <w:tr w:rsidR="00CF0A1F" w:rsidRPr="00E70DDA" w:rsidTr="00003FAB">
        <w:trPr>
          <w:trHeight w:val="269"/>
        </w:trPr>
        <w:tc>
          <w:tcPr>
            <w:tcW w:w="3686" w:type="dxa"/>
            <w:gridSpan w:val="2"/>
            <w:tcMar>
              <w:top w:w="0" w:type="dxa"/>
              <w:left w:w="108" w:type="dxa"/>
              <w:bottom w:w="0" w:type="dxa"/>
              <w:right w:w="108" w:type="dxa"/>
            </w:tcMar>
            <w:hideMark/>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Saskaņošanas dalībnieki</w:t>
            </w:r>
          </w:p>
        </w:tc>
        <w:tc>
          <w:tcPr>
            <w:tcW w:w="10348" w:type="dxa"/>
            <w:gridSpan w:val="2"/>
            <w:tcMar>
              <w:top w:w="0" w:type="dxa"/>
              <w:left w:w="108" w:type="dxa"/>
              <w:bottom w:w="0" w:type="dxa"/>
              <w:right w:w="108" w:type="dxa"/>
            </w:tcMar>
            <w:hideMark/>
          </w:tcPr>
          <w:p w:rsidR="00CF0A1F" w:rsidRPr="00E70DDA" w:rsidRDefault="00CF0A1F" w:rsidP="004D5976">
            <w:pPr>
              <w:suppressAutoHyphens/>
              <w:autoSpaceDN w:val="0"/>
              <w:spacing w:after="0" w:line="240" w:lineRule="auto"/>
              <w:ind w:firstLine="720"/>
              <w:rPr>
                <w:rFonts w:ascii="Times New Roman" w:eastAsia="Times New Roman" w:hAnsi="Times New Roman" w:cs="Times New Roman"/>
                <w:sz w:val="24"/>
                <w:szCs w:val="24"/>
              </w:rPr>
            </w:pPr>
          </w:p>
        </w:tc>
      </w:tr>
      <w:tr w:rsidR="00CF0A1F" w:rsidRPr="00E70DDA" w:rsidTr="00003FAB">
        <w:trPr>
          <w:gridAfter w:val="1"/>
          <w:wAfter w:w="92" w:type="dxa"/>
          <w:trHeight w:val="283"/>
        </w:trPr>
        <w:tc>
          <w:tcPr>
            <w:tcW w:w="2933" w:type="dxa"/>
            <w:tcMar>
              <w:top w:w="0" w:type="dxa"/>
              <w:left w:w="108" w:type="dxa"/>
              <w:bottom w:w="0" w:type="dxa"/>
              <w:right w:w="108" w:type="dxa"/>
            </w:tcMar>
            <w:hideMark/>
          </w:tcPr>
          <w:p w:rsidR="00CF0A1F" w:rsidRPr="00E70DDA" w:rsidRDefault="00CF0A1F" w:rsidP="004D5976">
            <w:pPr>
              <w:suppressAutoHyphens/>
              <w:autoSpaceDN w:val="0"/>
              <w:spacing w:after="0" w:line="240" w:lineRule="auto"/>
              <w:ind w:firstLine="720"/>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  </w:t>
            </w:r>
          </w:p>
        </w:tc>
        <w:tc>
          <w:tcPr>
            <w:tcW w:w="11009" w:type="dxa"/>
            <w:gridSpan w:val="2"/>
            <w:tcBorders>
              <w:top w:val="single" w:sz="6" w:space="0" w:color="000000"/>
              <w:left w:val="nil"/>
              <w:bottom w:val="single" w:sz="6" w:space="0" w:color="000000"/>
              <w:right w:val="nil"/>
            </w:tcBorders>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rPr>
                <w:rFonts w:ascii="Times New Roman" w:eastAsia="Times New Roman" w:hAnsi="Times New Roman" w:cs="Times New Roman"/>
                <w:sz w:val="24"/>
                <w:szCs w:val="24"/>
              </w:rPr>
            </w:pPr>
          </w:p>
        </w:tc>
      </w:tr>
    </w:tbl>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lang w:eastAsia="lv-LV"/>
        </w:rPr>
      </w:pPr>
    </w:p>
    <w:tbl>
      <w:tblPr>
        <w:tblW w:w="5260" w:type="pct"/>
        <w:tblCellMar>
          <w:left w:w="10" w:type="dxa"/>
          <w:right w:w="10" w:type="dxa"/>
        </w:tblCellMar>
        <w:tblLook w:val="04A0" w:firstRow="1" w:lastRow="0" w:firstColumn="1" w:lastColumn="0" w:noHBand="0" w:noVBand="1"/>
      </w:tblPr>
      <w:tblGrid>
        <w:gridCol w:w="3686"/>
        <w:gridCol w:w="10206"/>
        <w:gridCol w:w="792"/>
      </w:tblGrid>
      <w:tr w:rsidR="00CF0A1F" w:rsidRPr="00E70DDA" w:rsidTr="00003FAB">
        <w:trPr>
          <w:gridAfter w:val="1"/>
          <w:wAfter w:w="792" w:type="dxa"/>
          <w:trHeight w:val="269"/>
        </w:trPr>
        <w:tc>
          <w:tcPr>
            <w:tcW w:w="3686" w:type="dxa"/>
            <w:tcMar>
              <w:top w:w="0" w:type="dxa"/>
              <w:left w:w="108" w:type="dxa"/>
              <w:bottom w:w="0" w:type="dxa"/>
              <w:right w:w="108" w:type="dxa"/>
            </w:tcMar>
            <w:hideMark/>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Saskaņošanas dalībnieki izskatīja šādu ministriju (citu institūciju) iebildumus</w:t>
            </w:r>
          </w:p>
        </w:tc>
        <w:tc>
          <w:tcPr>
            <w:tcW w:w="10206" w:type="dxa"/>
            <w:tcBorders>
              <w:top w:val="nil"/>
              <w:left w:val="nil"/>
              <w:bottom w:val="single" w:sz="4" w:space="0" w:color="000000"/>
              <w:right w:val="nil"/>
            </w:tcBorders>
            <w:tcMar>
              <w:top w:w="0" w:type="dxa"/>
              <w:left w:w="108" w:type="dxa"/>
              <w:bottom w:w="0" w:type="dxa"/>
              <w:right w:w="108" w:type="dxa"/>
            </w:tcMar>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tc>
      </w:tr>
      <w:tr w:rsidR="00CF0A1F" w:rsidRPr="00E70DDA" w:rsidTr="00003FAB">
        <w:trPr>
          <w:gridAfter w:val="1"/>
          <w:wAfter w:w="792" w:type="dxa"/>
          <w:trHeight w:val="1926"/>
        </w:trPr>
        <w:tc>
          <w:tcPr>
            <w:tcW w:w="3686" w:type="dxa"/>
            <w:tcMar>
              <w:top w:w="0" w:type="dxa"/>
              <w:left w:w="108" w:type="dxa"/>
              <w:bottom w:w="0" w:type="dxa"/>
              <w:right w:w="108" w:type="dxa"/>
            </w:tcMar>
            <w:hideMark/>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Ministrijas (citas institūcijas), kuras nav ieradušās uz sanāksmi vai kuras nav atbildējušas uz uzaicinājumu piedalīties elektroniskajā saskaņošanā</w:t>
            </w:r>
          </w:p>
        </w:tc>
        <w:tc>
          <w:tcPr>
            <w:tcW w:w="10206" w:type="dxa"/>
            <w:tcBorders>
              <w:top w:val="nil"/>
              <w:left w:val="nil"/>
              <w:bottom w:val="single" w:sz="4" w:space="0" w:color="000000"/>
              <w:right w:val="nil"/>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ind w:firstLine="720"/>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 xml:space="preserve">    </w:t>
            </w:r>
          </w:p>
        </w:tc>
      </w:tr>
      <w:tr w:rsidR="00CF0A1F" w:rsidRPr="00E70DDA" w:rsidTr="00003FAB">
        <w:trPr>
          <w:trHeight w:val="283"/>
        </w:trPr>
        <w:tc>
          <w:tcPr>
            <w:tcW w:w="3686" w:type="dxa"/>
            <w:tcMar>
              <w:top w:w="0" w:type="dxa"/>
              <w:left w:w="108" w:type="dxa"/>
              <w:bottom w:w="0" w:type="dxa"/>
              <w:right w:w="108" w:type="dxa"/>
            </w:tcMar>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rPr>
                <w:rFonts w:ascii="Times New Roman" w:eastAsia="Times New Roman" w:hAnsi="Times New Roman" w:cs="Times New Roman"/>
                <w:sz w:val="24"/>
                <w:szCs w:val="24"/>
              </w:rPr>
            </w:pPr>
          </w:p>
        </w:tc>
      </w:tr>
      <w:tr w:rsidR="00CF0A1F" w:rsidRPr="00E70DDA" w:rsidTr="00003FAB">
        <w:trPr>
          <w:trHeight w:val="269"/>
        </w:trPr>
        <w:tc>
          <w:tcPr>
            <w:tcW w:w="3686" w:type="dxa"/>
            <w:tcMar>
              <w:top w:w="0" w:type="dxa"/>
              <w:left w:w="108" w:type="dxa"/>
              <w:bottom w:w="0" w:type="dxa"/>
              <w:right w:w="108" w:type="dxa"/>
            </w:tcMar>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rsidR="00CF0A1F" w:rsidRPr="00E70DDA" w:rsidRDefault="00CF0A1F" w:rsidP="004D5976">
            <w:pPr>
              <w:suppressAutoHyphens/>
              <w:autoSpaceDN w:val="0"/>
              <w:spacing w:after="0" w:line="240" w:lineRule="auto"/>
              <w:ind w:firstLine="720"/>
              <w:rPr>
                <w:rFonts w:ascii="Times New Roman" w:eastAsia="Times New Roman" w:hAnsi="Times New Roman" w:cs="Times New Roman"/>
                <w:sz w:val="24"/>
                <w:szCs w:val="24"/>
              </w:rPr>
            </w:pPr>
          </w:p>
        </w:tc>
      </w:tr>
    </w:tbl>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F0A1F" w:rsidRPr="00E70DDA" w:rsidRDefault="00CF0A1F" w:rsidP="004D5976">
      <w:pPr>
        <w:suppressAutoHyphens/>
        <w:autoSpaceDN w:val="0"/>
        <w:spacing w:after="0" w:line="240" w:lineRule="auto"/>
        <w:jc w:val="center"/>
        <w:rPr>
          <w:rFonts w:ascii="Times New Roman" w:eastAsia="Times New Roman" w:hAnsi="Times New Roman" w:cs="Times New Roman"/>
          <w:b/>
          <w:sz w:val="24"/>
          <w:szCs w:val="24"/>
          <w:lang w:eastAsia="lv-LV"/>
        </w:rPr>
      </w:pPr>
      <w:r w:rsidRPr="00E70DDA">
        <w:rPr>
          <w:rFonts w:ascii="Times New Roman" w:eastAsia="Times New Roman" w:hAnsi="Times New Roman" w:cs="Times New Roman"/>
          <w:b/>
          <w:sz w:val="24"/>
          <w:szCs w:val="24"/>
          <w:lang w:eastAsia="lv-LV"/>
        </w:rPr>
        <w:t>II. Jautājumi, par kuriem saskaņošanā vienošanās ir panākta</w:t>
      </w:r>
    </w:p>
    <w:p w:rsidR="00CF0A1F" w:rsidRPr="00E70DDA" w:rsidRDefault="00CF0A1F" w:rsidP="004D5976">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77" w:type="pct"/>
        <w:tblCellMar>
          <w:left w:w="10" w:type="dxa"/>
          <w:right w:w="10" w:type="dxa"/>
        </w:tblCellMar>
        <w:tblLook w:val="04A0" w:firstRow="1" w:lastRow="0" w:firstColumn="1" w:lastColumn="0" w:noHBand="0" w:noVBand="1"/>
      </w:tblPr>
      <w:tblGrid>
        <w:gridCol w:w="576"/>
        <w:gridCol w:w="3385"/>
        <w:gridCol w:w="4371"/>
        <w:gridCol w:w="874"/>
        <w:gridCol w:w="1805"/>
        <w:gridCol w:w="180"/>
        <w:gridCol w:w="2969"/>
      </w:tblGrid>
      <w:tr w:rsidR="00CF0A1F" w:rsidRPr="00E70DDA" w:rsidTr="00462C99">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Nr. p.k.</w:t>
            </w:r>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ind w:firstLine="12"/>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Saskaņošanai nosūtītā projekta redakcija (konkrēta punkta (panta) redakcija)</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ind w:right="3"/>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ind w:firstLine="21"/>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Atbildīgās ministrijas norāde par to, ka iebildums ir ņemts vērā, vai informācija par saskaņošanā panākto alternatīvo risinājumu</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Projekta attiecīgā punkta (panta) galīgā redakcija</w:t>
            </w:r>
          </w:p>
        </w:tc>
      </w:tr>
      <w:tr w:rsidR="00CF0A1F" w:rsidRPr="00E70DDA" w:rsidTr="00462C99">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1</w:t>
            </w:r>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2</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3</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4</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5</w:t>
            </w:r>
          </w:p>
        </w:tc>
      </w:tr>
      <w:tr w:rsidR="00CF0A1F" w:rsidRPr="00E70DDA" w:rsidTr="00462C99">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1.</w:t>
            </w:r>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4202" w:rsidRPr="00E70DDA" w:rsidRDefault="006B4202" w:rsidP="004D5976">
            <w:pPr>
              <w:suppressAutoHyphens/>
              <w:autoSpaceDN w:val="0"/>
              <w:spacing w:after="0" w:line="240" w:lineRule="auto"/>
              <w:jc w:val="both"/>
              <w:rPr>
                <w:rFonts w:ascii="Times New Roman" w:eastAsia="Times New Roman" w:hAnsi="Times New Roman" w:cs="Times New Roman"/>
                <w:sz w:val="24"/>
                <w:szCs w:val="24"/>
              </w:rPr>
            </w:pPr>
            <w:r w:rsidRPr="006B4202">
              <w:rPr>
                <w:rFonts w:ascii="Times New Roman" w:eastAsia="Times New Roman" w:hAnsi="Times New Roman" w:cs="Times New Roman"/>
                <w:sz w:val="24"/>
                <w:szCs w:val="24"/>
              </w:rPr>
              <w:t>Noteikumu projekt</w:t>
            </w:r>
            <w:r w:rsidR="001049AA">
              <w:rPr>
                <w:rFonts w:ascii="Times New Roman" w:eastAsia="Times New Roman" w:hAnsi="Times New Roman" w:cs="Times New Roman"/>
                <w:sz w:val="24"/>
                <w:szCs w:val="24"/>
              </w:rPr>
              <w:t>a</w:t>
            </w:r>
            <w:r w:rsidR="000762FC">
              <w:rPr>
                <w:rFonts w:ascii="Times New Roman" w:eastAsia="Times New Roman" w:hAnsi="Times New Roman" w:cs="Times New Roman"/>
                <w:sz w:val="24"/>
                <w:szCs w:val="24"/>
              </w:rPr>
              <w:t xml:space="preserve"> “</w:t>
            </w:r>
            <w:r w:rsidR="000762FC" w:rsidRPr="000762FC">
              <w:rPr>
                <w:rFonts w:ascii="Times New Roman" w:eastAsia="Times New Roman" w:hAnsi="Times New Roman" w:cs="Times New Roman"/>
                <w:bCs/>
                <w:sz w:val="24"/>
                <w:szCs w:val="24"/>
              </w:rPr>
              <w:t>Noteikumi par valsts sociālo pabalstu Černobiļas atomelektrostacijas avārijas seku likvidēšanas dalībniekiem un mirušo Černobiļas atomelektrostacijas avārijas seku likvidēšanas dalībnieku ģimenēm</w:t>
            </w:r>
            <w:r w:rsidR="000762FC">
              <w:rPr>
                <w:rFonts w:ascii="Times New Roman" w:eastAsia="Times New Roman" w:hAnsi="Times New Roman" w:cs="Times New Roman"/>
                <w:bCs/>
                <w:sz w:val="24"/>
                <w:szCs w:val="24"/>
              </w:rPr>
              <w:t>” (turpmāk – Noteikumu projekts)</w:t>
            </w:r>
            <w:r w:rsidR="001049AA">
              <w:rPr>
                <w:rFonts w:ascii="Times New Roman" w:eastAsia="Times New Roman" w:hAnsi="Times New Roman" w:cs="Times New Roman"/>
                <w:bCs/>
                <w:sz w:val="24"/>
                <w:szCs w:val="24"/>
              </w:rPr>
              <w:t xml:space="preserve"> </w:t>
            </w:r>
            <w:r w:rsidRPr="00680977">
              <w:rPr>
                <w:rFonts w:ascii="Times New Roman" w:eastAsia="Times New Roman" w:hAnsi="Times New Roman" w:cs="Times New Roman"/>
                <w:b/>
                <w:sz w:val="24"/>
                <w:szCs w:val="24"/>
              </w:rPr>
              <w:t>15.punkts</w:t>
            </w:r>
            <w:r w:rsidR="001049AA">
              <w:rPr>
                <w:rFonts w:ascii="Times New Roman" w:eastAsia="Times New Roman" w:hAnsi="Times New Roman" w:cs="Times New Roman"/>
                <w:sz w:val="24"/>
                <w:szCs w:val="24"/>
              </w:rPr>
              <w:t>:</w:t>
            </w:r>
            <w:r w:rsidRPr="006B4202">
              <w:rPr>
                <w:rFonts w:ascii="Times New Roman" w:eastAsia="Times New Roman" w:hAnsi="Times New Roman" w:cs="Times New Roman"/>
                <w:sz w:val="24"/>
                <w:szCs w:val="24"/>
              </w:rPr>
              <w:t xml:space="preserve"> </w:t>
            </w:r>
            <w:r w:rsidR="001049AA">
              <w:rPr>
                <w:rFonts w:ascii="Times New Roman" w:eastAsia="Times New Roman" w:hAnsi="Times New Roman" w:cs="Times New Roman"/>
                <w:sz w:val="24"/>
                <w:szCs w:val="24"/>
              </w:rPr>
              <w:t>“</w:t>
            </w:r>
            <w:r w:rsidRPr="006B4202">
              <w:rPr>
                <w:rFonts w:ascii="Times New Roman" w:hAnsi="Times New Roman" w:cs="Times New Roman"/>
                <w:sz w:val="24"/>
                <w:szCs w:val="24"/>
              </w:rPr>
              <w:t xml:space="preserve">Personai vecumā no 18 līdz 24 </w:t>
            </w:r>
            <w:r w:rsidRPr="006B4202">
              <w:rPr>
                <w:rFonts w:ascii="Times New Roman" w:hAnsi="Times New Roman" w:cs="Times New Roman"/>
                <w:sz w:val="24"/>
                <w:szCs w:val="24"/>
              </w:rPr>
              <w:lastRenderedPageBreak/>
              <w:t>gadiem, kurai pabalsta izmaksa tika pārtraukta saskaņā ar šo noteikumu 14.1. vai 14.3.</w:t>
            </w:r>
            <w:r>
              <w:rPr>
                <w:rFonts w:ascii="Times New Roman" w:hAnsi="Times New Roman" w:cs="Times New Roman"/>
                <w:sz w:val="24"/>
                <w:szCs w:val="24"/>
              </w:rPr>
              <w:t xml:space="preserve"> </w:t>
            </w:r>
            <w:r w:rsidRPr="006B4202">
              <w:rPr>
                <w:rFonts w:ascii="Times New Roman" w:hAnsi="Times New Roman" w:cs="Times New Roman"/>
                <w:sz w:val="24"/>
                <w:szCs w:val="24"/>
              </w:rPr>
              <w:t>apakšpunktu, bet kura mācības turpina, pēc šo noteikumu 6.2. vai 6.3.apakšpunktā minētās izziņas vai šo noteikumu 7.3.apakšpunktā minētās informācijas saņemšanas pabalsta izmaksu atjauno ar nākamo kalendāra mēnesi, pieskaitot neizmaksāto pabalsta summu, kas pienākas par iepriekšējiem mēnešiem</w:t>
            </w:r>
            <w:r w:rsidR="00073730">
              <w:rPr>
                <w:rFonts w:ascii="Times New Roman" w:hAnsi="Times New Roman" w:cs="Times New Roman"/>
                <w:sz w:val="24"/>
                <w:szCs w:val="24"/>
              </w:rPr>
              <w:t>.</w:t>
            </w:r>
            <w:r w:rsidR="001049AA">
              <w:rPr>
                <w:rFonts w:ascii="Times New Roman" w:hAnsi="Times New Roman" w:cs="Times New Roman"/>
                <w:sz w:val="24"/>
                <w:szCs w:val="24"/>
              </w:rPr>
              <w:t>”</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F0A1F" w:rsidRPr="00E70DDA" w:rsidRDefault="008D1327" w:rsidP="004D5976">
            <w:pPr>
              <w:widowControl w:val="0"/>
              <w:spacing w:after="0" w:line="240" w:lineRule="auto"/>
              <w:ind w:hanging="2"/>
              <w:contextualSpacing/>
              <w:jc w:val="center"/>
              <w:rPr>
                <w:rFonts w:ascii="Times New Roman" w:eastAsia="Times New Roman" w:hAnsi="Times New Roman" w:cs="Times New Roman"/>
                <w:b/>
                <w:sz w:val="24"/>
                <w:szCs w:val="24"/>
              </w:rPr>
            </w:pPr>
            <w:r w:rsidRPr="00E70DDA">
              <w:rPr>
                <w:rFonts w:ascii="Times New Roman" w:eastAsia="Times New Roman" w:hAnsi="Times New Roman" w:cs="Times New Roman"/>
                <w:b/>
                <w:sz w:val="24"/>
                <w:szCs w:val="24"/>
              </w:rPr>
              <w:lastRenderedPageBreak/>
              <w:t>Tieslietu</w:t>
            </w:r>
            <w:r w:rsidR="00003FAB" w:rsidRPr="00E70DDA">
              <w:rPr>
                <w:rFonts w:ascii="Times New Roman" w:eastAsia="Times New Roman" w:hAnsi="Times New Roman" w:cs="Times New Roman"/>
                <w:b/>
                <w:sz w:val="24"/>
                <w:szCs w:val="24"/>
              </w:rPr>
              <w:t xml:space="preserve"> ministrija</w:t>
            </w:r>
          </w:p>
          <w:p w:rsidR="00003FAB" w:rsidRPr="006B4202" w:rsidRDefault="006B4202" w:rsidP="004D5976">
            <w:pPr>
              <w:widowControl w:val="0"/>
              <w:spacing w:after="0" w:line="240" w:lineRule="auto"/>
              <w:contextualSpacing/>
              <w:jc w:val="both"/>
              <w:rPr>
                <w:rFonts w:ascii="Times New Roman" w:eastAsia="Times New Roman" w:hAnsi="Times New Roman" w:cs="Times New Roman"/>
                <w:sz w:val="24"/>
                <w:szCs w:val="24"/>
              </w:rPr>
            </w:pPr>
            <w:r w:rsidRPr="006B4202">
              <w:rPr>
                <w:rFonts w:ascii="Times New Roman" w:hAnsi="Times New Roman" w:cs="Times New Roman"/>
                <w:sz w:val="24"/>
                <w:szCs w:val="24"/>
              </w:rPr>
              <w:t xml:space="preserve">Projekta 15.punkts paredz, ka personai vecumā no 18 līdz 24 gadiem, kurai pabalsta izmaksa tika pārtraukta saskaņā ar šo noteikumu 14.1. vai 14.3.apakšpunktu, bet kura mācības turpina, pēc šo noteikumu 6.2. vai 6.3.apakšpunktā minētās izziņas vai šo noteikumu 7.3.apakšpunktā minētās informācijas saņemšanas pabalsta izmaksu atjauno ar nākamo kalendāra mēnesi, pieskaitot neizmaksāto pabalsta summu, kas pienākas par iepriekšējiem </w:t>
            </w:r>
            <w:r w:rsidRPr="006B4202">
              <w:rPr>
                <w:rFonts w:ascii="Times New Roman" w:hAnsi="Times New Roman" w:cs="Times New Roman"/>
                <w:sz w:val="24"/>
                <w:szCs w:val="24"/>
              </w:rPr>
              <w:lastRenderedPageBreak/>
              <w:t>mēnešiem. Vēršam uzmanību, ka projekta 6.2. un 6.5. apakšpunktā ir noteiktas prasības projekta 4.2. un 4.3. apakšpunktā minētajai izziņai, attiecīgi lūdzam precizēt projekt 15.punktā minētās atsauces, jo minētās izziņas ir norādītas projekta 4.2. un 4.3. apakšpunktā, attiecīgi pašreizējā redakcijā projekta 15.punkts nav skaidrs.</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jc w:val="center"/>
              <w:rPr>
                <w:rFonts w:ascii="Times New Roman" w:eastAsia="Times New Roman" w:hAnsi="Times New Roman" w:cs="Times New Roman"/>
                <w:b/>
                <w:sz w:val="24"/>
                <w:szCs w:val="24"/>
              </w:rPr>
            </w:pPr>
            <w:r w:rsidRPr="00E70DDA">
              <w:rPr>
                <w:rFonts w:ascii="Times New Roman" w:eastAsia="Times New Roman" w:hAnsi="Times New Roman" w:cs="Times New Roman"/>
                <w:b/>
                <w:sz w:val="24"/>
                <w:szCs w:val="24"/>
              </w:rPr>
              <w:lastRenderedPageBreak/>
              <w:t>Ņemts vērā.</w:t>
            </w:r>
          </w:p>
          <w:p w:rsidR="00CF0A1F" w:rsidRPr="00E70DDA" w:rsidRDefault="00CF0A1F" w:rsidP="004D5976">
            <w:pPr>
              <w:suppressAutoHyphens/>
              <w:autoSpaceDN w:val="0"/>
              <w:spacing w:after="0" w:line="240" w:lineRule="auto"/>
              <w:jc w:val="both"/>
              <w:rPr>
                <w:rFonts w:ascii="Times New Roman" w:eastAsia="Times New Roman" w:hAnsi="Times New Roman" w:cs="Times New Roman"/>
                <w:sz w:val="24"/>
                <w:szCs w:val="24"/>
              </w:rPr>
            </w:pP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Default="00073730" w:rsidP="004D5976">
            <w:pPr>
              <w:widowControl w:val="0"/>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projekta 15.punkts izteiks sekojošā redakcijā:</w:t>
            </w:r>
          </w:p>
          <w:p w:rsidR="00073730" w:rsidRPr="00E70DDA" w:rsidRDefault="00073730" w:rsidP="004D5976">
            <w:pPr>
              <w:widowControl w:val="0"/>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B4202">
              <w:rPr>
                <w:rFonts w:ascii="Times New Roman" w:eastAsia="Times New Roman" w:hAnsi="Times New Roman" w:cs="Times New Roman"/>
                <w:sz w:val="24"/>
                <w:szCs w:val="24"/>
              </w:rPr>
              <w:t xml:space="preserve">15.punkts </w:t>
            </w:r>
            <w:r w:rsidRPr="006B4202">
              <w:rPr>
                <w:rFonts w:ascii="Times New Roman" w:hAnsi="Times New Roman" w:cs="Times New Roman"/>
                <w:sz w:val="24"/>
                <w:szCs w:val="24"/>
              </w:rPr>
              <w:t>Personai vecumā no 18 līdz 24 gadiem, kurai pabalsta izmaksa tika pārtraukta saskaņā ar šo noteikumu 14.1. vai 14.3.</w:t>
            </w:r>
            <w:r>
              <w:rPr>
                <w:rFonts w:ascii="Times New Roman" w:hAnsi="Times New Roman" w:cs="Times New Roman"/>
                <w:sz w:val="24"/>
                <w:szCs w:val="24"/>
              </w:rPr>
              <w:t xml:space="preserve"> </w:t>
            </w:r>
            <w:r w:rsidRPr="006B4202">
              <w:rPr>
                <w:rFonts w:ascii="Times New Roman" w:hAnsi="Times New Roman" w:cs="Times New Roman"/>
                <w:sz w:val="24"/>
                <w:szCs w:val="24"/>
              </w:rPr>
              <w:t xml:space="preserve">apakšpunktu, bet kura mācības turpina, pēc šo </w:t>
            </w:r>
            <w:r w:rsidRPr="006B4202">
              <w:rPr>
                <w:rFonts w:ascii="Times New Roman" w:hAnsi="Times New Roman" w:cs="Times New Roman"/>
                <w:sz w:val="24"/>
                <w:szCs w:val="24"/>
              </w:rPr>
              <w:lastRenderedPageBreak/>
              <w:t xml:space="preserve">noteikumu </w:t>
            </w:r>
            <w:r w:rsidRPr="00956BF0">
              <w:rPr>
                <w:rFonts w:ascii="Times New Roman" w:hAnsi="Times New Roman" w:cs="Times New Roman"/>
                <w:sz w:val="24"/>
                <w:szCs w:val="24"/>
                <w:u w:val="single"/>
              </w:rPr>
              <w:t>4.2. vai 4.3</w:t>
            </w:r>
            <w:r w:rsidRPr="006B4202">
              <w:rPr>
                <w:rFonts w:ascii="Times New Roman" w:hAnsi="Times New Roman" w:cs="Times New Roman"/>
                <w:sz w:val="24"/>
                <w:szCs w:val="24"/>
              </w:rPr>
              <w:t>.</w:t>
            </w:r>
            <w:r w:rsidR="00956BF0">
              <w:rPr>
                <w:rFonts w:ascii="Times New Roman" w:hAnsi="Times New Roman" w:cs="Times New Roman"/>
                <w:sz w:val="24"/>
                <w:szCs w:val="24"/>
              </w:rPr>
              <w:t xml:space="preserve"> </w:t>
            </w:r>
            <w:r w:rsidRPr="006B4202">
              <w:rPr>
                <w:rFonts w:ascii="Times New Roman" w:hAnsi="Times New Roman" w:cs="Times New Roman"/>
                <w:sz w:val="24"/>
                <w:szCs w:val="24"/>
              </w:rPr>
              <w:t>apakšpunktā minētās izziņas vai šo noteikumu 7.3.apakšpunktā minētās informācijas saņemšanas pabalsta izmaksu atjauno ar nākamo kalendāra mēnesi, pieskaitot neizmaksāto pabalsta summu, kas pienākas par iepriekšējiem mēnešiem</w:t>
            </w:r>
            <w:r>
              <w:rPr>
                <w:rFonts w:ascii="Times New Roman" w:hAnsi="Times New Roman" w:cs="Times New Roman"/>
                <w:sz w:val="24"/>
                <w:szCs w:val="24"/>
              </w:rPr>
              <w:t>.”</w:t>
            </w:r>
          </w:p>
        </w:tc>
      </w:tr>
      <w:tr w:rsidR="00073730" w:rsidRPr="00E70DDA" w:rsidTr="00462C99">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3730" w:rsidRPr="00E70DDA" w:rsidRDefault="00073730" w:rsidP="004D5976">
            <w:pPr>
              <w:suppressAutoHyphens/>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3730" w:rsidRPr="007C6A1C" w:rsidRDefault="004A45C2" w:rsidP="004D5976">
            <w:pPr>
              <w:suppressAutoHyphens/>
              <w:autoSpaceDN w:val="0"/>
              <w:spacing w:after="0" w:line="240" w:lineRule="auto"/>
              <w:jc w:val="both"/>
              <w:rPr>
                <w:rFonts w:ascii="Times New Roman" w:eastAsia="Times New Roman" w:hAnsi="Times New Roman" w:cs="Times New Roman"/>
                <w:sz w:val="24"/>
                <w:szCs w:val="24"/>
              </w:rPr>
            </w:pPr>
            <w:r w:rsidRPr="007C6A1C">
              <w:rPr>
                <w:rFonts w:ascii="Times New Roman" w:eastAsia="Times New Roman" w:hAnsi="Times New Roman" w:cs="Times New Roman"/>
                <w:sz w:val="24"/>
                <w:szCs w:val="24"/>
              </w:rPr>
              <w:t xml:space="preserve">Noteikumu projekta </w:t>
            </w:r>
            <w:r w:rsidRPr="00E121EF">
              <w:rPr>
                <w:rFonts w:ascii="Times New Roman" w:eastAsia="Times New Roman" w:hAnsi="Times New Roman" w:cs="Times New Roman"/>
                <w:b/>
                <w:sz w:val="24"/>
                <w:szCs w:val="24"/>
              </w:rPr>
              <w:t>4.3.apakšpunkts</w:t>
            </w:r>
            <w:r w:rsidRPr="007C6A1C">
              <w:rPr>
                <w:rFonts w:ascii="Times New Roman" w:eastAsia="Times New Roman" w:hAnsi="Times New Roman" w:cs="Times New Roman"/>
                <w:sz w:val="24"/>
                <w:szCs w:val="24"/>
              </w:rPr>
              <w:t>:</w:t>
            </w:r>
          </w:p>
          <w:p w:rsidR="004A45C2" w:rsidRPr="007C6A1C" w:rsidRDefault="004A45C2" w:rsidP="004D5976">
            <w:pPr>
              <w:suppressAutoHyphens/>
              <w:autoSpaceDN w:val="0"/>
              <w:spacing w:after="0" w:line="240" w:lineRule="auto"/>
              <w:jc w:val="both"/>
              <w:rPr>
                <w:rFonts w:ascii="Times New Roman" w:eastAsia="Times New Roman" w:hAnsi="Times New Roman" w:cs="Times New Roman"/>
                <w:sz w:val="24"/>
                <w:szCs w:val="24"/>
              </w:rPr>
            </w:pPr>
            <w:r w:rsidRPr="007C6A1C">
              <w:rPr>
                <w:rFonts w:ascii="Times New Roman" w:eastAsia="Times New Roman" w:hAnsi="Times New Roman" w:cs="Times New Roman"/>
                <w:sz w:val="24"/>
                <w:szCs w:val="24"/>
              </w:rPr>
              <w:t>“</w:t>
            </w:r>
            <w:r w:rsidRPr="007C6A1C">
              <w:rPr>
                <w:rFonts w:ascii="Times New Roman" w:hAnsi="Times New Roman" w:cs="Times New Roman"/>
                <w:sz w:val="24"/>
                <w:szCs w:val="24"/>
              </w:rPr>
              <w:t>ārvalsts augstākās izglītības iestādes izziņu (par katru mācību gadu), ja pabalstu pieprasa mirušā dalībnieka bērns, kurš nav vecāks par 24 gadiem un mācās augstākās izglītības iestādes dienas nodaļā.”</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19C9" w:rsidRPr="00E70DDA" w:rsidRDefault="000819C9" w:rsidP="004D5976">
            <w:pPr>
              <w:widowControl w:val="0"/>
              <w:spacing w:after="0" w:line="240" w:lineRule="auto"/>
              <w:ind w:hanging="2"/>
              <w:contextualSpacing/>
              <w:jc w:val="center"/>
              <w:rPr>
                <w:rFonts w:ascii="Times New Roman" w:eastAsia="Times New Roman" w:hAnsi="Times New Roman" w:cs="Times New Roman"/>
                <w:b/>
                <w:sz w:val="24"/>
                <w:szCs w:val="24"/>
              </w:rPr>
            </w:pPr>
            <w:r w:rsidRPr="00E70DDA">
              <w:rPr>
                <w:rFonts w:ascii="Times New Roman" w:eastAsia="Times New Roman" w:hAnsi="Times New Roman" w:cs="Times New Roman"/>
                <w:b/>
                <w:sz w:val="24"/>
                <w:szCs w:val="24"/>
              </w:rPr>
              <w:t>Tieslietu ministrija</w:t>
            </w:r>
          </w:p>
          <w:p w:rsidR="00073730" w:rsidRPr="007C6A1C" w:rsidRDefault="00C055C6" w:rsidP="004D5976">
            <w:pPr>
              <w:widowControl w:val="0"/>
              <w:spacing w:after="0" w:line="240" w:lineRule="auto"/>
              <w:ind w:hanging="2"/>
              <w:contextualSpacing/>
              <w:jc w:val="both"/>
              <w:rPr>
                <w:rFonts w:ascii="Times New Roman" w:eastAsia="Times New Roman" w:hAnsi="Times New Roman" w:cs="Times New Roman"/>
                <w:b/>
                <w:sz w:val="24"/>
                <w:szCs w:val="24"/>
              </w:rPr>
            </w:pPr>
            <w:r w:rsidRPr="007C6A1C">
              <w:rPr>
                <w:rFonts w:ascii="Times New Roman" w:hAnsi="Times New Roman" w:cs="Times New Roman"/>
                <w:sz w:val="24"/>
                <w:szCs w:val="24"/>
              </w:rPr>
              <w:t xml:space="preserve">Ministru kabineta 2010.gada 30.novembra noteikumu Nr.1077 “Noteikumi par valsts sociālo pabalstu Černobiļas atomelektrostacijas avārijas seku likvidēšanas dalībniekiem un mirušo Černobiļas atomelektrostacijas avārijas seku likvidēšanas dalībnieku ģimenēm” 6.3. apakšpunkts noteic, ka, lai saņemtu pabalstu, tā pieprasītājs jebkurā Valsts sociālās apdrošināšanas aģentūras nodaļā iesniedz Latvijas vai ārvalsts augstākās izglītības iestādes izziņu (par katru mācību gadu), ja pabalstu pieprasa mirušā dalībnieka bērns, kurš nav vecāks par 24 gadiem un mācās augstākās izglītības iestādes dienas nodaļā. Savukārt projekta 4.3. apakšpunkts paredz, ka, lai saņemtu pabalstu, tā pieprasītājs jebkurā Valsts sociālās apdrošināšanas aģentūras nodaļā iesniedz ārvalsts augstākās izglītības iestādes izziņu (par katru mācību gadu), ja pabalstu pieprasa mirušā dalībnieka bērns, kurš nav </w:t>
            </w:r>
            <w:r w:rsidRPr="007C6A1C">
              <w:rPr>
                <w:rFonts w:ascii="Times New Roman" w:hAnsi="Times New Roman" w:cs="Times New Roman"/>
                <w:sz w:val="24"/>
                <w:szCs w:val="24"/>
              </w:rPr>
              <w:lastRenderedPageBreak/>
              <w:t>vecāks par 24 gadiem un mācās augstākās izglītības iestādes dienas nodaļā. Attiecīgi projekta 4.3. apakšpunkts vairs neiekļauj Latvijas augstākās izglītības iestādes izziņu. Lūdzam anotācijā skaidrot, kādēļ nebūs nepieciešams vairs iesniegt izziņas no Latvijas augstākās izglītības iestādes.</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3730" w:rsidRPr="00E70DDA" w:rsidRDefault="004A45C2" w:rsidP="004D5976">
            <w:pPr>
              <w:suppressAutoHyphens/>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Ņemts vērā</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730" w:rsidRDefault="004A45C2" w:rsidP="004D5976">
            <w:pPr>
              <w:widowControl w:val="0"/>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Papildināta anotācijas I.</w:t>
            </w:r>
            <w:r w:rsidR="00D5172D">
              <w:rPr>
                <w:rFonts w:ascii="Times New Roman" w:eastAsia="Calibri" w:hAnsi="Times New Roman" w:cs="Times New Roman"/>
                <w:sz w:val="24"/>
                <w:szCs w:val="24"/>
              </w:rPr>
              <w:t> </w:t>
            </w:r>
            <w:r>
              <w:rPr>
                <w:rFonts w:ascii="Times New Roman" w:eastAsia="Calibri" w:hAnsi="Times New Roman" w:cs="Times New Roman"/>
                <w:sz w:val="24"/>
                <w:szCs w:val="24"/>
              </w:rPr>
              <w:t>daļas 2.punkts.</w:t>
            </w:r>
          </w:p>
          <w:p w:rsidR="004A45C2" w:rsidRPr="00E70DDA" w:rsidRDefault="00853831" w:rsidP="004D5976">
            <w:pPr>
              <w:widowControl w:val="0"/>
              <w:suppressAutoHyphens/>
              <w:autoSpaceDN w:val="0"/>
              <w:spacing w:after="0" w:line="240" w:lineRule="auto"/>
              <w:jc w:val="both"/>
              <w:rPr>
                <w:rFonts w:ascii="Times New Roman" w:eastAsia="Calibri" w:hAnsi="Times New Roman" w:cs="Times New Roman"/>
                <w:sz w:val="24"/>
                <w:szCs w:val="24"/>
              </w:rPr>
            </w:pPr>
            <w:r w:rsidRPr="00D5172D">
              <w:rPr>
                <w:rFonts w:ascii="Times New Roman" w:hAnsi="Times New Roman" w:cs="Times New Roman"/>
                <w:sz w:val="24"/>
                <w:szCs w:val="24"/>
              </w:rPr>
              <w:t xml:space="preserve">Saskaņā ar </w:t>
            </w:r>
            <w:r w:rsidRPr="00D5172D">
              <w:rPr>
                <w:rFonts w:ascii="Times New Roman" w:hAnsi="Times New Roman" w:cs="Times New Roman"/>
                <w:sz w:val="24"/>
                <w:szCs w:val="24"/>
                <w:lang w:eastAsia="lv-LV"/>
              </w:rPr>
              <w:t>VSAA un Izglītības un zinātnes ministrijas  2018.gada 21.marta starpresoru vienošanos „</w:t>
            </w:r>
            <w:r w:rsidRPr="00D5172D">
              <w:rPr>
                <w:rFonts w:ascii="Times New Roman" w:hAnsi="Times New Roman" w:cs="Times New Roman"/>
                <w:sz w:val="24"/>
                <w:szCs w:val="24"/>
              </w:rPr>
              <w:t>Par informācijas apmaiņu starp Izglītības un zinātnes ministriju un Valsts sociālās apdrošināšanas aģentūru</w:t>
            </w:r>
            <w:r w:rsidRPr="00D5172D">
              <w:rPr>
                <w:rFonts w:ascii="Times New Roman" w:hAnsi="Times New Roman" w:cs="Times New Roman"/>
                <w:sz w:val="24"/>
                <w:szCs w:val="24"/>
                <w:lang w:eastAsia="lv-LV"/>
              </w:rPr>
              <w:t>” informāciju no IZM, tai skaitā arī par mācībām augstākajās mācību iestādēs</w:t>
            </w:r>
            <w:r w:rsidR="00E857CF" w:rsidRPr="00D5172D">
              <w:rPr>
                <w:rFonts w:ascii="Times New Roman" w:hAnsi="Times New Roman" w:cs="Times New Roman"/>
                <w:sz w:val="24"/>
                <w:szCs w:val="24"/>
                <w:lang w:eastAsia="lv-LV"/>
              </w:rPr>
              <w:t>,</w:t>
            </w:r>
            <w:r w:rsidRPr="00D5172D">
              <w:rPr>
                <w:rFonts w:ascii="Times New Roman" w:hAnsi="Times New Roman" w:cs="Times New Roman"/>
                <w:sz w:val="24"/>
                <w:szCs w:val="24"/>
                <w:lang w:eastAsia="lv-LV"/>
              </w:rPr>
              <w:t xml:space="preserve"> </w:t>
            </w:r>
            <w:r w:rsidR="00B44B2B" w:rsidRPr="00D5172D">
              <w:rPr>
                <w:rFonts w:ascii="Times New Roman" w:hAnsi="Times New Roman" w:cs="Times New Roman"/>
                <w:sz w:val="24"/>
                <w:szCs w:val="24"/>
                <w:lang w:eastAsia="lv-LV"/>
              </w:rPr>
              <w:t xml:space="preserve">VSAA </w:t>
            </w:r>
            <w:r w:rsidRPr="00D5172D">
              <w:rPr>
                <w:rFonts w:ascii="Times New Roman" w:hAnsi="Times New Roman" w:cs="Times New Roman"/>
                <w:sz w:val="24"/>
                <w:szCs w:val="24"/>
                <w:lang w:eastAsia="lv-LV"/>
              </w:rPr>
              <w:t>saņem vienu reizi nedēļā</w:t>
            </w:r>
            <w:r w:rsidRPr="00D5172D">
              <w:rPr>
                <w:rFonts w:ascii="Times New Roman" w:hAnsi="Times New Roman" w:cs="Times New Roman"/>
                <w:sz w:val="24"/>
                <w:szCs w:val="24"/>
              </w:rPr>
              <w:t xml:space="preserve">. Līdz ar to noteikumu projekts vairs neparedz personām pēc 18 gadu vecuma, kuras studē Latvijas </w:t>
            </w:r>
            <w:r w:rsidRPr="00D5172D">
              <w:rPr>
                <w:rFonts w:ascii="Times New Roman" w:hAnsi="Times New Roman" w:cs="Times New Roman"/>
                <w:sz w:val="24"/>
                <w:szCs w:val="24"/>
              </w:rPr>
              <w:lastRenderedPageBreak/>
              <w:t>augstākajās izglītības iestādēs, iesniegt izziņu no augstākās izglītības iestādes, kas apliecina</w:t>
            </w:r>
            <w:r w:rsidR="005D02A0">
              <w:rPr>
                <w:rFonts w:ascii="Times New Roman" w:hAnsi="Times New Roman" w:cs="Times New Roman"/>
                <w:sz w:val="24"/>
                <w:szCs w:val="24"/>
              </w:rPr>
              <w:t>,</w:t>
            </w:r>
            <w:r w:rsidRPr="00D5172D">
              <w:rPr>
                <w:rFonts w:ascii="Times New Roman" w:hAnsi="Times New Roman" w:cs="Times New Roman"/>
                <w:sz w:val="24"/>
                <w:szCs w:val="24"/>
              </w:rPr>
              <w:t xml:space="preserve"> ka persona iegūst izglītību attiecīgajā izglītības iestādē.</w:t>
            </w:r>
          </w:p>
        </w:tc>
      </w:tr>
      <w:tr w:rsidR="00073730" w:rsidRPr="00E70DDA" w:rsidTr="00462C99">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3730" w:rsidRPr="00E70DDA" w:rsidRDefault="00073730" w:rsidP="004D5976">
            <w:pPr>
              <w:suppressAutoHyphens/>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3730" w:rsidRPr="0045512E" w:rsidRDefault="00073730" w:rsidP="004D5976">
            <w:pPr>
              <w:suppressAutoHyphens/>
              <w:autoSpaceDN w:val="0"/>
              <w:spacing w:after="0" w:line="240" w:lineRule="auto"/>
              <w:jc w:val="both"/>
              <w:rPr>
                <w:rFonts w:ascii="Times New Roman" w:eastAsia="Times New Roman" w:hAnsi="Times New Roman" w:cs="Times New Roman"/>
                <w:sz w:val="24"/>
                <w:szCs w:val="24"/>
              </w:rPr>
            </w:pP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60344" w:rsidRPr="0045512E" w:rsidRDefault="00C60344" w:rsidP="004D5976">
            <w:pPr>
              <w:widowControl w:val="0"/>
              <w:spacing w:after="0" w:line="240" w:lineRule="auto"/>
              <w:ind w:hanging="2"/>
              <w:contextualSpacing/>
              <w:jc w:val="center"/>
              <w:rPr>
                <w:rFonts w:ascii="Times New Roman" w:eastAsia="Times New Roman" w:hAnsi="Times New Roman" w:cs="Times New Roman"/>
                <w:b/>
                <w:sz w:val="24"/>
                <w:szCs w:val="24"/>
              </w:rPr>
            </w:pPr>
            <w:r w:rsidRPr="0045512E">
              <w:rPr>
                <w:rFonts w:ascii="Times New Roman" w:eastAsia="Times New Roman" w:hAnsi="Times New Roman" w:cs="Times New Roman"/>
                <w:b/>
                <w:sz w:val="24"/>
                <w:szCs w:val="24"/>
              </w:rPr>
              <w:t>Tieslietu ministrija</w:t>
            </w:r>
          </w:p>
          <w:p w:rsidR="00073730" w:rsidRPr="0045512E" w:rsidRDefault="00F80A97" w:rsidP="004D5976">
            <w:pPr>
              <w:widowControl w:val="0"/>
              <w:spacing w:after="0" w:line="240" w:lineRule="auto"/>
              <w:ind w:hanging="2"/>
              <w:contextualSpacing/>
              <w:jc w:val="both"/>
              <w:rPr>
                <w:rFonts w:ascii="Times New Roman" w:eastAsia="Times New Roman" w:hAnsi="Times New Roman" w:cs="Times New Roman"/>
                <w:b/>
                <w:sz w:val="24"/>
                <w:szCs w:val="24"/>
              </w:rPr>
            </w:pPr>
            <w:r w:rsidRPr="0045512E">
              <w:rPr>
                <w:rFonts w:ascii="Times New Roman" w:hAnsi="Times New Roman" w:cs="Times New Roman"/>
                <w:sz w:val="24"/>
                <w:szCs w:val="24"/>
              </w:rPr>
              <w:t>Ņemot vērā to, ka ar projekta spēkā stāšanos līdzšinējie Ministru kabineta 2010.gada 30.novembra noteikumi Nr.1077 “Noteikumi par valsts sociālo pabalstu Černobiļas atomelektrostacijas avārijas seku likvidēšanas dalībniekiem un mirušo Černobiļas atomelektrostacijas avārijas seku likvidēšanas dalībnieku ģimenēm” zaudēs spēku, lūdzam norādīt projektā, ka ar projektu atzīst par spēku zaudējušiem Ministru kabineta 2010.gada 30.novembra noteikumus Nr.1077 “Noteikumi par valsts sociālo pabalstu Černobiļas atomelektrostacijas avārijas seku likvidēšanas dalībniekiem un mirušo Černobiļas atomelektrostacijas avārijas seku likvidēšanas dalībnieku ģimenēm”, vienlaikus aizpildot projekta anotācijas IV sadaļu</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3730" w:rsidRPr="00E70DDA" w:rsidRDefault="00C60344" w:rsidP="004D5976">
            <w:pPr>
              <w:suppressAutoHyphens/>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Ņemts vērā</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730" w:rsidRPr="008D3734" w:rsidRDefault="00C64B47" w:rsidP="004D5976">
            <w:pPr>
              <w:widowControl w:val="0"/>
              <w:suppressAutoHyphens/>
              <w:autoSpaceDN w:val="0"/>
              <w:spacing w:after="0" w:line="240" w:lineRule="auto"/>
              <w:jc w:val="both"/>
              <w:rPr>
                <w:rFonts w:ascii="Times New Roman" w:eastAsia="Calibri" w:hAnsi="Times New Roman" w:cs="Times New Roman"/>
                <w:sz w:val="24"/>
                <w:szCs w:val="24"/>
              </w:rPr>
            </w:pPr>
            <w:r w:rsidRPr="008D3734">
              <w:rPr>
                <w:rFonts w:ascii="Times New Roman" w:eastAsia="Calibri" w:hAnsi="Times New Roman" w:cs="Times New Roman"/>
                <w:sz w:val="24"/>
                <w:szCs w:val="24"/>
              </w:rPr>
              <w:t>Noteikum</w:t>
            </w:r>
            <w:r w:rsidR="008D3734">
              <w:rPr>
                <w:rFonts w:ascii="Times New Roman" w:eastAsia="Calibri" w:hAnsi="Times New Roman" w:cs="Times New Roman"/>
                <w:sz w:val="24"/>
                <w:szCs w:val="24"/>
              </w:rPr>
              <w:t>u projekts</w:t>
            </w:r>
            <w:r w:rsidRPr="008D3734">
              <w:rPr>
                <w:rFonts w:ascii="Times New Roman" w:eastAsia="Calibri" w:hAnsi="Times New Roman" w:cs="Times New Roman"/>
                <w:sz w:val="24"/>
                <w:szCs w:val="24"/>
              </w:rPr>
              <w:t xml:space="preserve"> papildināt</w:t>
            </w:r>
            <w:r w:rsidR="008D3734">
              <w:rPr>
                <w:rFonts w:ascii="Times New Roman" w:eastAsia="Calibri" w:hAnsi="Times New Roman" w:cs="Times New Roman"/>
                <w:sz w:val="24"/>
                <w:szCs w:val="24"/>
              </w:rPr>
              <w:t>s</w:t>
            </w:r>
            <w:r w:rsidRPr="008D3734">
              <w:rPr>
                <w:rFonts w:ascii="Times New Roman" w:eastAsia="Calibri" w:hAnsi="Times New Roman" w:cs="Times New Roman"/>
                <w:sz w:val="24"/>
                <w:szCs w:val="24"/>
              </w:rPr>
              <w:t xml:space="preserve"> ar 17.punktu šādā redakcijā:</w:t>
            </w:r>
          </w:p>
          <w:p w:rsidR="00C64B47" w:rsidRDefault="00C64B47" w:rsidP="004D5976">
            <w:pPr>
              <w:widowControl w:val="0"/>
              <w:suppressAutoHyphens/>
              <w:autoSpaceDN w:val="0"/>
              <w:spacing w:after="0" w:line="240" w:lineRule="auto"/>
              <w:jc w:val="both"/>
              <w:rPr>
                <w:rFonts w:ascii="Times New Roman" w:hAnsi="Times New Roman" w:cs="Times New Roman"/>
                <w:color w:val="000000"/>
                <w:sz w:val="24"/>
                <w:szCs w:val="24"/>
              </w:rPr>
            </w:pPr>
            <w:r w:rsidRPr="008D3734">
              <w:rPr>
                <w:rFonts w:ascii="Times New Roman" w:eastAsia="Calibri" w:hAnsi="Times New Roman" w:cs="Times New Roman"/>
                <w:sz w:val="24"/>
                <w:szCs w:val="24"/>
              </w:rPr>
              <w:t>“</w:t>
            </w:r>
            <w:r w:rsidRPr="008D3734">
              <w:rPr>
                <w:rFonts w:ascii="Times New Roman" w:hAnsi="Times New Roman" w:cs="Times New Roman"/>
                <w:color w:val="000000"/>
                <w:sz w:val="24"/>
                <w:szCs w:val="24"/>
              </w:rPr>
              <w:t>Atzīt par spēku zaudējušiem Ministru kabineta 2010.gada 30.novembra noteikumos Nr.1077 “Noteikumi par valsts sociālo pabalstu Černobiļas atomelektrostacijas avārijas seku likvidēšanas dalībniekiem un mirušo Černobiļas atomelektrostacijas avārijas seku likvidēšanas dalībnieku ģimenēm” (Latvijas Vēstnesis, 2010, 192.nr.; 2013, 159.nr.; 2014, 252.nr.).”</w:t>
            </w:r>
          </w:p>
          <w:p w:rsidR="003939E1" w:rsidRDefault="003939E1" w:rsidP="004D5976">
            <w:pPr>
              <w:widowControl w:val="0"/>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Papildināta anotācijas I sadaļas 2.daļa ar šādu tekstu:</w:t>
            </w:r>
          </w:p>
          <w:p w:rsidR="003939E1" w:rsidRPr="008D3734" w:rsidRDefault="003939E1" w:rsidP="004D5976">
            <w:pPr>
              <w:widowControl w:val="0"/>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1A6D19">
              <w:rPr>
                <w:rFonts w:ascii="Times New Roman" w:eastAsia="Times New Roman" w:hAnsi="Times New Roman" w:cs="Times New Roman"/>
                <w:sz w:val="24"/>
                <w:szCs w:val="24"/>
                <w:lang w:eastAsia="lv-LV"/>
              </w:rPr>
              <w:t xml:space="preserve">Noteikts, ka noteikumu projekts stāsies spēkā 2021.gada 1.janvārī vienlaikus ar Likuma </w:t>
            </w:r>
            <w:r w:rsidRPr="001A6D19">
              <w:rPr>
                <w:rFonts w:ascii="Times New Roman" w:eastAsia="Times New Roman" w:hAnsi="Times New Roman" w:cs="Times New Roman"/>
                <w:sz w:val="24"/>
                <w:szCs w:val="24"/>
                <w:lang w:eastAsia="lv-LV"/>
              </w:rPr>
              <w:lastRenderedPageBreak/>
              <w:t>grozījumu stāšanos spēkā, un par spēku zaudējušiem tiek atzīti MK noteikumi Nr.1</w:t>
            </w:r>
            <w:r>
              <w:rPr>
                <w:rFonts w:ascii="Times New Roman" w:eastAsia="Times New Roman" w:hAnsi="Times New Roman" w:cs="Times New Roman"/>
                <w:sz w:val="24"/>
                <w:szCs w:val="24"/>
                <w:lang w:eastAsia="lv-LV"/>
              </w:rPr>
              <w:t>077.”</w:t>
            </w:r>
          </w:p>
        </w:tc>
      </w:tr>
      <w:tr w:rsidR="00073730" w:rsidRPr="00E70DDA" w:rsidTr="00462C99">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3730" w:rsidRPr="00E70DDA" w:rsidRDefault="00073730" w:rsidP="004D5976">
            <w:pPr>
              <w:suppressAutoHyphens/>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ECF" w:rsidRPr="0045512E" w:rsidRDefault="00E46ECF" w:rsidP="004D5976">
            <w:pPr>
              <w:suppressAutoHyphens/>
              <w:autoSpaceDN w:val="0"/>
              <w:spacing w:after="0" w:line="240" w:lineRule="auto"/>
              <w:jc w:val="both"/>
              <w:rPr>
                <w:rFonts w:ascii="Times New Roman" w:hAnsi="Times New Roman" w:cs="Times New Roman"/>
                <w:sz w:val="24"/>
                <w:szCs w:val="24"/>
              </w:rPr>
            </w:pPr>
            <w:r w:rsidRPr="0045512E">
              <w:rPr>
                <w:rFonts w:ascii="Times New Roman" w:hAnsi="Times New Roman" w:cs="Times New Roman"/>
                <w:sz w:val="24"/>
                <w:szCs w:val="24"/>
              </w:rPr>
              <w:t xml:space="preserve">Noteikumu projekta </w:t>
            </w:r>
            <w:r w:rsidRPr="00E121EF">
              <w:rPr>
                <w:rFonts w:ascii="Times New Roman" w:hAnsi="Times New Roman" w:cs="Times New Roman"/>
                <w:b/>
                <w:sz w:val="24"/>
                <w:szCs w:val="24"/>
              </w:rPr>
              <w:t>16.punkts</w:t>
            </w:r>
            <w:r w:rsidRPr="0045512E">
              <w:rPr>
                <w:rFonts w:ascii="Times New Roman" w:hAnsi="Times New Roman" w:cs="Times New Roman"/>
                <w:sz w:val="24"/>
                <w:szCs w:val="24"/>
              </w:rPr>
              <w:t>:</w:t>
            </w:r>
          </w:p>
          <w:p w:rsidR="00073730" w:rsidRPr="0045512E" w:rsidRDefault="00E46ECF" w:rsidP="004D5976">
            <w:pPr>
              <w:suppressAutoHyphens/>
              <w:autoSpaceDN w:val="0"/>
              <w:spacing w:after="0" w:line="240" w:lineRule="auto"/>
              <w:jc w:val="both"/>
              <w:rPr>
                <w:rFonts w:ascii="Times New Roman" w:eastAsia="Times New Roman" w:hAnsi="Times New Roman" w:cs="Times New Roman"/>
                <w:sz w:val="24"/>
                <w:szCs w:val="24"/>
              </w:rPr>
            </w:pPr>
            <w:r w:rsidRPr="0045512E">
              <w:rPr>
                <w:rFonts w:ascii="Times New Roman" w:hAnsi="Times New Roman" w:cs="Times New Roman"/>
                <w:sz w:val="24"/>
                <w:szCs w:val="24"/>
              </w:rPr>
              <w:t>“Citi jautājumi, kas saistīti ar pabalsta saņemšanu, pabalsta pieprasīšanas termiņiem, pabalsta pieprasītāja pienākumiem, kā arī nosacījumiem pabalsta izmaksas pārtraukšanai un pabalsta aplikšanai ar nodokļiem, noteikti Valsts sociālo pabalstu likuma 17., 18., 19., 20. pirmajā daļā un 22.pantā.”</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60344" w:rsidRPr="0045512E" w:rsidRDefault="00C60344" w:rsidP="004D5976">
            <w:pPr>
              <w:widowControl w:val="0"/>
              <w:spacing w:after="0" w:line="240" w:lineRule="auto"/>
              <w:ind w:hanging="2"/>
              <w:contextualSpacing/>
              <w:jc w:val="center"/>
              <w:rPr>
                <w:rFonts w:ascii="Times New Roman" w:eastAsia="Times New Roman" w:hAnsi="Times New Roman" w:cs="Times New Roman"/>
                <w:b/>
                <w:sz w:val="24"/>
                <w:szCs w:val="24"/>
              </w:rPr>
            </w:pPr>
            <w:r w:rsidRPr="0045512E">
              <w:rPr>
                <w:rFonts w:ascii="Times New Roman" w:eastAsia="Times New Roman" w:hAnsi="Times New Roman" w:cs="Times New Roman"/>
                <w:b/>
                <w:sz w:val="24"/>
                <w:szCs w:val="24"/>
              </w:rPr>
              <w:t>Tieslietu ministrija</w:t>
            </w:r>
          </w:p>
          <w:p w:rsidR="00073730" w:rsidRPr="0045512E" w:rsidRDefault="00F80A97" w:rsidP="004D5976">
            <w:pPr>
              <w:widowControl w:val="0"/>
              <w:spacing w:after="0" w:line="240" w:lineRule="auto"/>
              <w:ind w:hanging="2"/>
              <w:contextualSpacing/>
              <w:jc w:val="both"/>
              <w:rPr>
                <w:rFonts w:ascii="Times New Roman" w:eastAsia="Times New Roman" w:hAnsi="Times New Roman" w:cs="Times New Roman"/>
                <w:b/>
                <w:sz w:val="24"/>
                <w:szCs w:val="24"/>
              </w:rPr>
            </w:pPr>
            <w:r w:rsidRPr="0045512E">
              <w:rPr>
                <w:rFonts w:ascii="Times New Roman" w:hAnsi="Times New Roman" w:cs="Times New Roman"/>
                <w:sz w:val="24"/>
                <w:szCs w:val="24"/>
              </w:rPr>
              <w:t xml:space="preserve">Lūdzam precizēt atsauci 16.punktā, jo frāze “Valsts sociālo pabalstu likuma 17., 18., 19., </w:t>
            </w:r>
            <w:r w:rsidRPr="0045512E">
              <w:rPr>
                <w:rFonts w:ascii="Times New Roman" w:hAnsi="Times New Roman" w:cs="Times New Roman"/>
                <w:i/>
                <w:iCs/>
                <w:sz w:val="24"/>
                <w:szCs w:val="24"/>
              </w:rPr>
              <w:t>20. pirmajā daļā</w:t>
            </w:r>
            <w:r w:rsidRPr="0045512E">
              <w:rPr>
                <w:rFonts w:ascii="Times New Roman" w:hAnsi="Times New Roman" w:cs="Times New Roman"/>
                <w:sz w:val="24"/>
                <w:szCs w:val="24"/>
              </w:rPr>
              <w:t xml:space="preserve"> un 22.pantā” nav uztverama</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73730" w:rsidRPr="00E70DDA" w:rsidRDefault="00C60344" w:rsidP="004D5976">
            <w:pPr>
              <w:suppressAutoHyphens/>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Ņemts vērā</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730" w:rsidRDefault="00E46ECF" w:rsidP="004D5976">
            <w:pPr>
              <w:widowControl w:val="0"/>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Precizēt</w:t>
            </w:r>
            <w:r w:rsidR="005D02A0">
              <w:rPr>
                <w:rFonts w:ascii="Times New Roman" w:eastAsia="Calibri" w:hAnsi="Times New Roman" w:cs="Times New Roman"/>
                <w:sz w:val="24"/>
                <w:szCs w:val="24"/>
              </w:rPr>
              <w:t>a</w:t>
            </w:r>
            <w:r>
              <w:rPr>
                <w:rFonts w:ascii="Times New Roman" w:eastAsia="Calibri" w:hAnsi="Times New Roman" w:cs="Times New Roman"/>
                <w:sz w:val="24"/>
                <w:szCs w:val="24"/>
              </w:rPr>
              <w:t xml:space="preserve"> noteikumu projekta 16.punkta redakcija:</w:t>
            </w:r>
          </w:p>
          <w:p w:rsidR="00E46ECF" w:rsidRPr="00E70DDA" w:rsidRDefault="00E46ECF" w:rsidP="004D5976">
            <w:pPr>
              <w:widowControl w:val="0"/>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5512E">
              <w:rPr>
                <w:rFonts w:ascii="Times New Roman" w:hAnsi="Times New Roman" w:cs="Times New Roman"/>
                <w:sz w:val="24"/>
                <w:szCs w:val="24"/>
              </w:rPr>
              <w:t>Citi jautājumi, kas saistīti ar pabalsta saņemšanu, pabalsta pieprasīšanas termiņiem, pabalsta pieprasītāja pienākumiem, kā arī nosacījumiem pabalsta izmaksas pārtraukšanai un pabalsta aplikšanai ar nodokļiem, noteikti Valsts sociālo pabalstu likuma 17., 18., 19.</w:t>
            </w:r>
            <w:r>
              <w:rPr>
                <w:rFonts w:ascii="Times New Roman" w:hAnsi="Times New Roman" w:cs="Times New Roman"/>
                <w:sz w:val="24"/>
                <w:szCs w:val="24"/>
              </w:rPr>
              <w:t xml:space="preserve">, </w:t>
            </w:r>
            <w:r w:rsidRPr="00DC1900">
              <w:rPr>
                <w:rFonts w:ascii="Times New Roman" w:hAnsi="Times New Roman" w:cs="Times New Roman"/>
                <w:sz w:val="24"/>
                <w:szCs w:val="24"/>
                <w:u w:val="single"/>
              </w:rPr>
              <w:t>22.pantā un 20.panta pirmajā daļā</w:t>
            </w:r>
            <w:r>
              <w:rPr>
                <w:rFonts w:ascii="Times New Roman" w:hAnsi="Times New Roman" w:cs="Times New Roman"/>
                <w:sz w:val="24"/>
                <w:szCs w:val="24"/>
              </w:rPr>
              <w:t>.”</w:t>
            </w:r>
          </w:p>
        </w:tc>
      </w:tr>
      <w:tr w:rsidR="00CF0A1F" w:rsidRPr="00E70DDA" w:rsidTr="008E75A2">
        <w:tc>
          <w:tcPr>
            <w:tcW w:w="3961" w:type="dxa"/>
            <w:gridSpan w:val="2"/>
            <w:tcMar>
              <w:top w:w="0" w:type="dxa"/>
              <w:left w:w="108" w:type="dxa"/>
              <w:bottom w:w="0" w:type="dxa"/>
              <w:right w:w="108" w:type="dxa"/>
            </w:tcMar>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 xml:space="preserve">Atbildīgā amatpersona </w:t>
            </w:r>
          </w:p>
        </w:tc>
        <w:tc>
          <w:tcPr>
            <w:tcW w:w="4371" w:type="dxa"/>
            <w:tcMar>
              <w:top w:w="0" w:type="dxa"/>
              <w:left w:w="108" w:type="dxa"/>
              <w:bottom w:w="0" w:type="dxa"/>
              <w:right w:w="108" w:type="dxa"/>
            </w:tcMar>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p w:rsidR="00CF0A1F" w:rsidRPr="00E70DDA" w:rsidRDefault="00724E4D" w:rsidP="004D5976">
            <w:pPr>
              <w:suppressAutoHyphens/>
              <w:autoSpaceDN w:val="0"/>
              <w:spacing w:after="0" w:line="240" w:lineRule="auto"/>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Zanda Beinare</w:t>
            </w:r>
            <w:r w:rsidR="00CF0A1F" w:rsidRPr="00E70DDA">
              <w:rPr>
                <w:rFonts w:ascii="Times New Roman" w:eastAsia="Times New Roman" w:hAnsi="Times New Roman" w:cs="Times New Roman"/>
                <w:sz w:val="24"/>
                <w:szCs w:val="24"/>
              </w:rPr>
              <w:t>  </w:t>
            </w:r>
          </w:p>
        </w:tc>
        <w:tc>
          <w:tcPr>
            <w:tcW w:w="2679" w:type="dxa"/>
            <w:gridSpan w:val="2"/>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tc>
        <w:tc>
          <w:tcPr>
            <w:tcW w:w="3149" w:type="dxa"/>
            <w:gridSpan w:val="2"/>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tc>
      </w:tr>
      <w:tr w:rsidR="00CF0A1F" w:rsidRPr="00E70DDA" w:rsidTr="008E75A2">
        <w:tc>
          <w:tcPr>
            <w:tcW w:w="3961" w:type="dxa"/>
            <w:gridSpan w:val="2"/>
            <w:tcMar>
              <w:top w:w="0" w:type="dxa"/>
              <w:left w:w="108" w:type="dxa"/>
              <w:bottom w:w="0" w:type="dxa"/>
              <w:right w:w="108" w:type="dxa"/>
            </w:tcMar>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tc>
        <w:tc>
          <w:tcPr>
            <w:tcW w:w="4371" w:type="dxa"/>
            <w:tcBorders>
              <w:top w:val="single" w:sz="6" w:space="0" w:color="000000"/>
              <w:left w:val="nil"/>
              <w:bottom w:val="nil"/>
              <w:right w:val="nil"/>
            </w:tcBorders>
            <w:tcMar>
              <w:top w:w="0" w:type="dxa"/>
              <w:left w:w="108" w:type="dxa"/>
              <w:bottom w:w="0" w:type="dxa"/>
              <w:right w:w="108" w:type="dxa"/>
            </w:tcMar>
            <w:hideMark/>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r w:rsidRPr="00E70DDA">
              <w:rPr>
                <w:rFonts w:ascii="Times New Roman" w:eastAsia="Times New Roman" w:hAnsi="Times New Roman" w:cs="Times New Roman"/>
                <w:sz w:val="24"/>
                <w:szCs w:val="24"/>
              </w:rPr>
              <w:t xml:space="preserve">                           (vārds un uzvārds)</w:t>
            </w:r>
          </w:p>
        </w:tc>
        <w:tc>
          <w:tcPr>
            <w:tcW w:w="2679" w:type="dxa"/>
            <w:gridSpan w:val="2"/>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tc>
        <w:tc>
          <w:tcPr>
            <w:tcW w:w="3149" w:type="dxa"/>
            <w:gridSpan w:val="2"/>
          </w:tcPr>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rPr>
            </w:pPr>
          </w:p>
        </w:tc>
      </w:tr>
    </w:tbl>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lang w:eastAsia="lv-LV"/>
        </w:rPr>
      </w:pPr>
    </w:p>
    <w:p w:rsidR="004D5976" w:rsidRDefault="004D5976" w:rsidP="004D5976">
      <w:pPr>
        <w:suppressAutoHyphens/>
        <w:autoSpaceDN w:val="0"/>
        <w:spacing w:after="0" w:line="240" w:lineRule="auto"/>
        <w:rPr>
          <w:rFonts w:ascii="Times New Roman" w:eastAsia="Times New Roman" w:hAnsi="Times New Roman" w:cs="Times New Roman"/>
          <w:sz w:val="24"/>
          <w:szCs w:val="24"/>
          <w:lang w:eastAsia="lv-LV"/>
        </w:rPr>
      </w:pPr>
    </w:p>
    <w:p w:rsidR="00CF0A1F" w:rsidRPr="00E70DDA" w:rsidRDefault="008D1327" w:rsidP="004D5976">
      <w:pPr>
        <w:suppressAutoHyphens/>
        <w:autoSpaceDN w:val="0"/>
        <w:spacing w:after="0" w:line="240" w:lineRule="auto"/>
        <w:rPr>
          <w:rFonts w:ascii="Times New Roman" w:eastAsia="Times New Roman" w:hAnsi="Times New Roman" w:cs="Times New Roman"/>
          <w:sz w:val="24"/>
          <w:szCs w:val="24"/>
          <w:lang w:eastAsia="lv-LV"/>
        </w:rPr>
      </w:pPr>
      <w:bookmarkStart w:id="0" w:name="_GoBack"/>
      <w:bookmarkEnd w:id="0"/>
      <w:r w:rsidRPr="00E70DDA">
        <w:rPr>
          <w:rFonts w:ascii="Times New Roman" w:eastAsia="Times New Roman" w:hAnsi="Times New Roman" w:cs="Times New Roman"/>
          <w:sz w:val="24"/>
          <w:szCs w:val="24"/>
          <w:lang w:eastAsia="lv-LV"/>
        </w:rPr>
        <w:t>Zanda Beinare</w:t>
      </w:r>
    </w:p>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lang w:eastAsia="lv-LV"/>
        </w:rPr>
      </w:pPr>
      <w:r w:rsidRPr="00E70DDA">
        <w:rPr>
          <w:rFonts w:ascii="Times New Roman" w:eastAsia="Times New Roman" w:hAnsi="Times New Roman" w:cs="Times New Roman"/>
          <w:sz w:val="24"/>
          <w:szCs w:val="24"/>
          <w:lang w:eastAsia="lv-LV"/>
        </w:rPr>
        <w:t>Labklājības ministrijas</w:t>
      </w:r>
    </w:p>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lang w:eastAsia="lv-LV"/>
        </w:rPr>
      </w:pPr>
      <w:r w:rsidRPr="00E70DDA">
        <w:rPr>
          <w:rFonts w:ascii="Times New Roman" w:eastAsia="Times New Roman" w:hAnsi="Times New Roman" w:cs="Times New Roman"/>
          <w:sz w:val="24"/>
          <w:szCs w:val="24"/>
          <w:lang w:eastAsia="lv-LV"/>
        </w:rPr>
        <w:t xml:space="preserve">Sociālās iekļaušanas politikas departamenta </w:t>
      </w:r>
      <w:r w:rsidR="008D1327" w:rsidRPr="00E70DDA">
        <w:rPr>
          <w:rFonts w:ascii="Times New Roman" w:eastAsia="Times New Roman" w:hAnsi="Times New Roman" w:cs="Times New Roman"/>
          <w:sz w:val="24"/>
          <w:szCs w:val="24"/>
          <w:lang w:eastAsia="lv-LV"/>
        </w:rPr>
        <w:t>vecākā referente</w:t>
      </w:r>
    </w:p>
    <w:p w:rsidR="00CF0A1F" w:rsidRPr="00E70DDA" w:rsidRDefault="00CF0A1F" w:rsidP="004D5976">
      <w:pPr>
        <w:suppressAutoHyphens/>
        <w:autoSpaceDN w:val="0"/>
        <w:spacing w:after="0" w:line="240" w:lineRule="auto"/>
        <w:rPr>
          <w:rFonts w:ascii="Times New Roman" w:eastAsia="Times New Roman" w:hAnsi="Times New Roman" w:cs="Times New Roman"/>
          <w:sz w:val="24"/>
          <w:szCs w:val="24"/>
          <w:lang w:eastAsia="lv-LV"/>
        </w:rPr>
      </w:pPr>
      <w:r w:rsidRPr="00E70DDA">
        <w:rPr>
          <w:rFonts w:ascii="Times New Roman" w:eastAsia="Times New Roman" w:hAnsi="Times New Roman" w:cs="Times New Roman"/>
          <w:sz w:val="24"/>
          <w:szCs w:val="24"/>
          <w:lang w:eastAsia="lv-LV"/>
        </w:rPr>
        <w:t>Tālr.67021</w:t>
      </w:r>
      <w:r w:rsidR="008D1327" w:rsidRPr="00E70DDA">
        <w:rPr>
          <w:rFonts w:ascii="Times New Roman" w:eastAsia="Times New Roman" w:hAnsi="Times New Roman" w:cs="Times New Roman"/>
          <w:sz w:val="24"/>
          <w:szCs w:val="24"/>
          <w:lang w:eastAsia="lv-LV"/>
        </w:rPr>
        <w:t>619</w:t>
      </w:r>
      <w:r w:rsidRPr="00E70DDA">
        <w:rPr>
          <w:rFonts w:ascii="Times New Roman" w:eastAsia="Times New Roman" w:hAnsi="Times New Roman" w:cs="Times New Roman"/>
          <w:sz w:val="24"/>
          <w:szCs w:val="24"/>
          <w:lang w:eastAsia="lv-LV"/>
        </w:rPr>
        <w:t xml:space="preserve">, </w:t>
      </w:r>
    </w:p>
    <w:p w:rsidR="00A507EB" w:rsidRPr="00E70DDA" w:rsidRDefault="004D5976" w:rsidP="004D5976">
      <w:pPr>
        <w:suppressAutoHyphens/>
        <w:autoSpaceDN w:val="0"/>
        <w:spacing w:after="0" w:line="240" w:lineRule="auto"/>
        <w:rPr>
          <w:rFonts w:ascii="Times New Roman" w:hAnsi="Times New Roman" w:cs="Times New Roman"/>
          <w:sz w:val="24"/>
          <w:szCs w:val="24"/>
        </w:rPr>
      </w:pPr>
      <w:hyperlink r:id="rId6" w:history="1">
        <w:r w:rsidR="008D1327" w:rsidRPr="00E70DDA">
          <w:rPr>
            <w:rStyle w:val="Hyperlink"/>
            <w:rFonts w:ascii="Times New Roman" w:eastAsia="Times New Roman" w:hAnsi="Times New Roman" w:cs="Times New Roman"/>
            <w:sz w:val="24"/>
            <w:szCs w:val="24"/>
            <w:lang w:eastAsia="lv-LV"/>
          </w:rPr>
          <w:t>Zanda.Beinare@lm.gov.lv</w:t>
        </w:r>
      </w:hyperlink>
    </w:p>
    <w:sectPr w:rsidR="00A507EB" w:rsidRPr="00E70DDA" w:rsidSect="00003FAB">
      <w:headerReference w:type="default" r:id="rId7"/>
      <w:footerReference w:type="default" r:id="rId8"/>
      <w:footerReference w:type="first" r:id="rId9"/>
      <w:pgSz w:w="16838" w:h="11906" w:orient="landscape"/>
      <w:pgMar w:top="1418"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70D" w:rsidRDefault="00CA470D">
      <w:pPr>
        <w:spacing w:after="0" w:line="240" w:lineRule="auto"/>
      </w:pPr>
      <w:r>
        <w:separator/>
      </w:r>
    </w:p>
  </w:endnote>
  <w:endnote w:type="continuationSeparator" w:id="0">
    <w:p w:rsidR="00CA470D" w:rsidRDefault="00CA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7B" w:rsidRPr="00B0617B" w:rsidRDefault="00B0617B" w:rsidP="00B0617B">
    <w:pPr>
      <w:pStyle w:val="Footer"/>
      <w:rPr>
        <w:rFonts w:ascii="Times New Roman" w:hAnsi="Times New Roman" w:cs="Times New Roman"/>
      </w:rPr>
    </w:pPr>
    <w:r w:rsidRPr="00B0617B">
      <w:rPr>
        <w:rFonts w:ascii="Times New Roman" w:hAnsi="Times New Roman" w:cs="Times New Roman"/>
      </w:rPr>
      <w:t>LMizz_</w:t>
    </w:r>
    <w:r w:rsidR="00AC2040">
      <w:rPr>
        <w:rFonts w:ascii="Times New Roman" w:hAnsi="Times New Roman" w:cs="Times New Roman"/>
      </w:rPr>
      <w:t>CAES</w:t>
    </w:r>
    <w:r w:rsidRPr="00B0617B">
      <w:rPr>
        <w:rFonts w:ascii="Times New Roman" w:hAnsi="Times New Roman" w:cs="Times New Roman"/>
      </w:rPr>
      <w:t>_</w:t>
    </w:r>
    <w:r w:rsidR="00C34186" w:rsidRPr="00C34186">
      <w:rPr>
        <w:rFonts w:ascii="Times New Roman" w:hAnsi="Times New Roman" w:cs="Times New Roman"/>
      </w:rPr>
      <w:t>0</w:t>
    </w:r>
    <w:r w:rsidR="0075727B">
      <w:rPr>
        <w:rFonts w:ascii="Times New Roman" w:hAnsi="Times New Roman" w:cs="Times New Roman"/>
      </w:rPr>
      <w:t>7</w:t>
    </w:r>
    <w:r w:rsidR="00C34186" w:rsidRPr="00C34186">
      <w:rPr>
        <w:rFonts w:ascii="Times New Roman" w:hAnsi="Times New Roman" w:cs="Times New Roman"/>
      </w:rPr>
      <w:t>12</w:t>
    </w:r>
    <w:r w:rsidRPr="00C34186">
      <w:rPr>
        <w:rFonts w:ascii="Times New Roman" w:hAnsi="Times New Roman" w:cs="Times New Roman"/>
      </w:rPr>
      <w:t>2020</w:t>
    </w:r>
  </w:p>
  <w:p w:rsidR="00B0617B" w:rsidRDefault="00B0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7B" w:rsidRPr="00B0617B" w:rsidRDefault="00B0617B">
    <w:pPr>
      <w:pStyle w:val="Footer"/>
      <w:rPr>
        <w:rFonts w:ascii="Times New Roman" w:hAnsi="Times New Roman" w:cs="Times New Roman"/>
      </w:rPr>
    </w:pPr>
    <w:r w:rsidRPr="00B0617B">
      <w:rPr>
        <w:rFonts w:ascii="Times New Roman" w:hAnsi="Times New Roman" w:cs="Times New Roman"/>
      </w:rPr>
      <w:t>LMizz_</w:t>
    </w:r>
    <w:r w:rsidR="00AC2040">
      <w:rPr>
        <w:rFonts w:ascii="Times New Roman" w:hAnsi="Times New Roman" w:cs="Times New Roman"/>
      </w:rPr>
      <w:t>CAES</w:t>
    </w:r>
    <w:r w:rsidRPr="00B0617B">
      <w:rPr>
        <w:rFonts w:ascii="Times New Roman" w:hAnsi="Times New Roman" w:cs="Times New Roman"/>
      </w:rPr>
      <w:t>_</w:t>
    </w:r>
    <w:r w:rsidR="00C34186" w:rsidRPr="00C34186">
      <w:rPr>
        <w:rFonts w:ascii="Times New Roman" w:hAnsi="Times New Roman" w:cs="Times New Roman"/>
      </w:rPr>
      <w:t>0</w:t>
    </w:r>
    <w:r w:rsidR="0075727B">
      <w:rPr>
        <w:rFonts w:ascii="Times New Roman" w:hAnsi="Times New Roman" w:cs="Times New Roman"/>
      </w:rPr>
      <w:t>7</w:t>
    </w:r>
    <w:r w:rsidR="00C34186" w:rsidRPr="00C34186">
      <w:rPr>
        <w:rFonts w:ascii="Times New Roman" w:hAnsi="Times New Roman" w:cs="Times New Roman"/>
      </w:rPr>
      <w:t>12</w:t>
    </w:r>
    <w:r w:rsidRPr="00C34186">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70D" w:rsidRDefault="00CA470D">
      <w:pPr>
        <w:spacing w:after="0" w:line="240" w:lineRule="auto"/>
      </w:pPr>
      <w:r>
        <w:separator/>
      </w:r>
    </w:p>
  </w:footnote>
  <w:footnote w:type="continuationSeparator" w:id="0">
    <w:p w:rsidR="00CA470D" w:rsidRDefault="00CA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80035"/>
      <w:docPartObj>
        <w:docPartGallery w:val="Page Numbers (Top of Page)"/>
        <w:docPartUnique/>
      </w:docPartObj>
    </w:sdtPr>
    <w:sdtEndPr>
      <w:rPr>
        <w:noProof/>
      </w:rPr>
    </w:sdtEndPr>
    <w:sdtContent>
      <w:p w:rsidR="007375AC" w:rsidRDefault="00003F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375AC" w:rsidRDefault="004D5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F"/>
    <w:rsid w:val="00003FAB"/>
    <w:rsid w:val="00073730"/>
    <w:rsid w:val="000762FC"/>
    <w:rsid w:val="000819C9"/>
    <w:rsid w:val="001049AA"/>
    <w:rsid w:val="003939E1"/>
    <w:rsid w:val="003E2040"/>
    <w:rsid w:val="0045512E"/>
    <w:rsid w:val="00462C99"/>
    <w:rsid w:val="004A45C2"/>
    <w:rsid w:val="004D5976"/>
    <w:rsid w:val="0056173A"/>
    <w:rsid w:val="005B3808"/>
    <w:rsid w:val="005D02A0"/>
    <w:rsid w:val="00680977"/>
    <w:rsid w:val="006B4202"/>
    <w:rsid w:val="00724E4D"/>
    <w:rsid w:val="0075727B"/>
    <w:rsid w:val="007C6A1C"/>
    <w:rsid w:val="00853831"/>
    <w:rsid w:val="008B7798"/>
    <w:rsid w:val="008D1327"/>
    <w:rsid w:val="008D3734"/>
    <w:rsid w:val="008E75A2"/>
    <w:rsid w:val="00956BF0"/>
    <w:rsid w:val="009C7286"/>
    <w:rsid w:val="00A507EB"/>
    <w:rsid w:val="00AC2040"/>
    <w:rsid w:val="00B046B0"/>
    <w:rsid w:val="00B0617B"/>
    <w:rsid w:val="00B44B2B"/>
    <w:rsid w:val="00C055C6"/>
    <w:rsid w:val="00C34186"/>
    <w:rsid w:val="00C60344"/>
    <w:rsid w:val="00C64B47"/>
    <w:rsid w:val="00CA470D"/>
    <w:rsid w:val="00CF0A1F"/>
    <w:rsid w:val="00D5172D"/>
    <w:rsid w:val="00D975C2"/>
    <w:rsid w:val="00DC1900"/>
    <w:rsid w:val="00E121EF"/>
    <w:rsid w:val="00E46ECF"/>
    <w:rsid w:val="00E70DDA"/>
    <w:rsid w:val="00E857CF"/>
    <w:rsid w:val="00F07728"/>
    <w:rsid w:val="00F80A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CEBA"/>
  <w15:chartTrackingRefBased/>
  <w15:docId w15:val="{E8E56AFA-357E-452A-A58C-486BB74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A1F"/>
  </w:style>
  <w:style w:type="paragraph" w:styleId="Footer">
    <w:name w:val="footer"/>
    <w:basedOn w:val="Normal"/>
    <w:link w:val="FooterChar"/>
    <w:uiPriority w:val="99"/>
    <w:unhideWhenUsed/>
    <w:rsid w:val="00B061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17B"/>
  </w:style>
  <w:style w:type="character" w:styleId="Hyperlink">
    <w:name w:val="Hyperlink"/>
    <w:basedOn w:val="DefaultParagraphFont"/>
    <w:uiPriority w:val="99"/>
    <w:unhideWhenUsed/>
    <w:rsid w:val="008D1327"/>
    <w:rPr>
      <w:color w:val="0563C1" w:themeColor="hyperlink"/>
      <w:u w:val="single"/>
    </w:rPr>
  </w:style>
  <w:style w:type="character" w:styleId="UnresolvedMention">
    <w:name w:val="Unresolved Mention"/>
    <w:basedOn w:val="DefaultParagraphFont"/>
    <w:uiPriority w:val="99"/>
    <w:semiHidden/>
    <w:unhideWhenUsed/>
    <w:rsid w:val="008D1327"/>
    <w:rPr>
      <w:color w:val="605E5C"/>
      <w:shd w:val="clear" w:color="auto" w:fill="E1DFDD"/>
    </w:rPr>
  </w:style>
  <w:style w:type="character" w:styleId="CommentReference">
    <w:name w:val="annotation reference"/>
    <w:uiPriority w:val="99"/>
    <w:semiHidden/>
    <w:unhideWhenUsed/>
    <w:rsid w:val="006B4202"/>
    <w:rPr>
      <w:sz w:val="16"/>
      <w:szCs w:val="16"/>
    </w:rPr>
  </w:style>
  <w:style w:type="paragraph" w:styleId="CommentText">
    <w:name w:val="annotation text"/>
    <w:basedOn w:val="Normal"/>
    <w:link w:val="CommentTextChar"/>
    <w:uiPriority w:val="99"/>
    <w:semiHidden/>
    <w:unhideWhenUsed/>
    <w:rsid w:val="006B4202"/>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6B4202"/>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6B4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da.Beinare@l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5238</Words>
  <Characters>2987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Zanda Beinare</cp:lastModifiedBy>
  <cp:revision>4</cp:revision>
  <dcterms:created xsi:type="dcterms:W3CDTF">2020-12-04T19:05:00Z</dcterms:created>
  <dcterms:modified xsi:type="dcterms:W3CDTF">2020-12-07T12:46:00Z</dcterms:modified>
</cp:coreProperties>
</file>