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20255" w:rsidR="00F80D3E" w:rsidP="00614E98" w:rsidRDefault="000A6FB6" w14:paraId="3F079542" w14:textId="77777777">
      <w:pPr>
        <w:tabs>
          <w:tab w:val="left" w:pos="7440"/>
        </w:tabs>
        <w:jc w:val="center"/>
        <w:rPr>
          <w:b/>
          <w:lang w:val="lv-LV"/>
        </w:rPr>
      </w:pPr>
      <w:r w:rsidRPr="00E20255">
        <w:rPr>
          <w:b/>
          <w:lang w:val="lv-LV"/>
        </w:rPr>
        <w:t>Izziņa par atzinumos sniegtajiem iebildumiem</w:t>
      </w:r>
    </w:p>
    <w:p w:rsidRPr="00E20255" w:rsidR="00873AB5" w:rsidP="00614E98" w:rsidRDefault="00BD00F1" w14:paraId="3F061C52" w14:textId="648C9E47">
      <w:pPr>
        <w:pStyle w:val="Heading4"/>
        <w:rPr>
          <w:rStyle w:val="Strong"/>
          <w:b/>
          <w:sz w:val="24"/>
        </w:rPr>
      </w:pPr>
      <w:bookmarkStart w:name="_Hlk55227684" w:id="0"/>
      <w:r w:rsidRPr="00E20255">
        <w:rPr>
          <w:rStyle w:val="Strong"/>
          <w:b/>
          <w:sz w:val="24"/>
        </w:rPr>
        <w:t xml:space="preserve">par informatīvā ziņojuma projektu "Par </w:t>
      </w:r>
      <w:bookmarkStart w:name="_Hlk55225607" w:id="1"/>
      <w:r w:rsidRPr="00E20255">
        <w:rPr>
          <w:rStyle w:val="Strong"/>
          <w:b/>
          <w:sz w:val="24"/>
        </w:rPr>
        <w:t>valsts līdzdalības pārvērtēšanu valsts akciju sabiedrībā "Ceļu satiksmes drošības direkcija" un tās vispārējo stratēģisko mērķi</w:t>
      </w:r>
      <w:bookmarkEnd w:id="1"/>
      <w:r w:rsidRPr="00E20255">
        <w:rPr>
          <w:rStyle w:val="Strong"/>
          <w:b/>
          <w:sz w:val="24"/>
        </w:rPr>
        <w:t>"" (VSS-850)</w:t>
      </w:r>
    </w:p>
    <w:bookmarkEnd w:id="0"/>
    <w:p w:rsidRPr="00E20255" w:rsidR="00BD00F1" w:rsidP="00BD00F1" w:rsidRDefault="00BD00F1" w14:paraId="01A0FCBD" w14:textId="77777777">
      <w:pPr>
        <w:rPr>
          <w:lang w:val="lv-LV"/>
        </w:rPr>
      </w:pPr>
    </w:p>
    <w:p w:rsidRPr="00E20255" w:rsidR="007104F2" w:rsidP="00614E98" w:rsidRDefault="007104F2" w14:paraId="68795CD0" w14:textId="77777777">
      <w:pPr>
        <w:spacing w:before="100" w:beforeAutospacing="1" w:after="100" w:afterAutospacing="1"/>
        <w:rPr>
          <w:b/>
          <w:lang w:val="lv-LV" w:eastAsia="lv-LV"/>
        </w:rPr>
      </w:pPr>
      <w:r w:rsidRPr="00E20255">
        <w:rPr>
          <w:b/>
          <w:lang w:val="lv-LV" w:eastAsia="lv-LV"/>
        </w:rPr>
        <w:t>I. Jautājumi, par kuriem saskaņošanā vienošanās nav panākta</w:t>
      </w:r>
    </w:p>
    <w:tbl>
      <w:tblPr>
        <w:tblW w:w="13741" w:type="dxa"/>
        <w:tblCellSpacing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495"/>
        <w:gridCol w:w="2419"/>
        <w:gridCol w:w="3166"/>
        <w:gridCol w:w="2440"/>
        <w:gridCol w:w="2606"/>
        <w:gridCol w:w="2615"/>
      </w:tblGrid>
      <w:tr w:rsidRPr="00E20255" w:rsidR="007104F2" w:rsidTr="00DD05EC" w14:paraId="0FBD4728"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tcPr>
          <w:p w:rsidRPr="00E20255" w:rsidR="007104F2" w:rsidP="00614E98" w:rsidRDefault="007104F2" w14:paraId="12EA8E67" w14:textId="77777777">
            <w:pPr>
              <w:spacing w:before="100" w:beforeAutospacing="1" w:after="100" w:afterAutospacing="1"/>
              <w:jc w:val="center"/>
              <w:rPr>
                <w:lang w:val="lv-LV" w:eastAsia="lv-LV"/>
              </w:rPr>
            </w:pPr>
            <w:r w:rsidRPr="00E20255">
              <w:rPr>
                <w:lang w:val="lv-LV" w:eastAsia="lv-LV"/>
              </w:rPr>
              <w:t>Nr.</w:t>
            </w:r>
            <w:r w:rsidRPr="00E20255">
              <w:rPr>
                <w:lang w:val="lv-LV" w:eastAsia="lv-LV"/>
              </w:rPr>
              <w:br/>
              <w:t> p.k.</w:t>
            </w:r>
          </w:p>
        </w:tc>
        <w:tc>
          <w:tcPr>
            <w:tcW w:w="2419" w:type="dxa"/>
            <w:tcBorders>
              <w:top w:val="single" w:color="808080" w:sz="6" w:space="0"/>
              <w:left w:val="single" w:color="808080" w:sz="6" w:space="0"/>
              <w:bottom w:val="single" w:color="808080" w:sz="6" w:space="0"/>
              <w:right w:val="single" w:color="808080" w:sz="6" w:space="0"/>
            </w:tcBorders>
            <w:vAlign w:val="center"/>
          </w:tcPr>
          <w:p w:rsidRPr="00E20255" w:rsidR="007104F2" w:rsidP="00614E98" w:rsidRDefault="007104F2" w14:paraId="4B65BC0A" w14:textId="77777777">
            <w:pPr>
              <w:spacing w:before="100" w:beforeAutospacing="1" w:after="100" w:afterAutospacing="1"/>
              <w:jc w:val="center"/>
              <w:rPr>
                <w:lang w:val="lv-LV" w:eastAsia="lv-LV"/>
              </w:rPr>
            </w:pPr>
            <w:r w:rsidRPr="00E20255">
              <w:rPr>
                <w:lang w:val="lv-LV" w:eastAsia="lv-LV"/>
              </w:rPr>
              <w:t>Saskaņošanai nosūtītā projekta redakcija (konkrēta punkta (panta) redakcija)</w:t>
            </w:r>
          </w:p>
        </w:tc>
        <w:tc>
          <w:tcPr>
            <w:tcW w:w="3166" w:type="dxa"/>
            <w:tcBorders>
              <w:top w:val="single" w:color="808080" w:sz="6" w:space="0"/>
              <w:left w:val="single" w:color="808080" w:sz="6" w:space="0"/>
              <w:bottom w:val="single" w:color="808080" w:sz="6" w:space="0"/>
              <w:right w:val="single" w:color="808080" w:sz="6" w:space="0"/>
            </w:tcBorders>
            <w:vAlign w:val="center"/>
          </w:tcPr>
          <w:p w:rsidRPr="00E20255" w:rsidR="007104F2" w:rsidP="00614E98" w:rsidRDefault="007104F2" w14:paraId="18EBB56F" w14:textId="77777777">
            <w:pPr>
              <w:spacing w:before="100" w:beforeAutospacing="1" w:after="100" w:afterAutospacing="1"/>
              <w:jc w:val="center"/>
              <w:rPr>
                <w:lang w:val="lv-LV" w:eastAsia="lv-LV"/>
              </w:rPr>
            </w:pPr>
            <w:r w:rsidRPr="00E20255">
              <w:rPr>
                <w:lang w:val="lv-LV" w:eastAsia="lv-LV"/>
              </w:rPr>
              <w:t>Atzinumā norādītais ministrijas (citas institūcijas) iebildums, kā arī saskaņošanā papildus izteiktais iebildums par projekta konkrēto punktu (pantu)</w:t>
            </w:r>
          </w:p>
        </w:tc>
        <w:tc>
          <w:tcPr>
            <w:tcW w:w="2440" w:type="dxa"/>
            <w:tcBorders>
              <w:top w:val="single" w:color="808080" w:sz="6" w:space="0"/>
              <w:left w:val="single" w:color="808080" w:sz="6" w:space="0"/>
              <w:bottom w:val="single" w:color="808080" w:sz="6" w:space="0"/>
              <w:right w:val="single" w:color="808080" w:sz="6" w:space="0"/>
            </w:tcBorders>
            <w:vAlign w:val="center"/>
          </w:tcPr>
          <w:p w:rsidRPr="00E20255" w:rsidR="007104F2" w:rsidP="00614E98" w:rsidRDefault="007104F2" w14:paraId="259C2916" w14:textId="77777777">
            <w:pPr>
              <w:spacing w:before="100" w:beforeAutospacing="1" w:after="100" w:afterAutospacing="1"/>
              <w:jc w:val="center"/>
              <w:rPr>
                <w:lang w:val="lv-LV" w:eastAsia="lv-LV"/>
              </w:rPr>
            </w:pPr>
            <w:r w:rsidRPr="00E20255">
              <w:rPr>
                <w:lang w:val="lv-LV" w:eastAsia="lv-LV"/>
              </w:rPr>
              <w:t>Atbildīgās ministrijas pamatojums iebilduma noraidījumam</w:t>
            </w:r>
          </w:p>
        </w:tc>
        <w:tc>
          <w:tcPr>
            <w:tcW w:w="2606" w:type="dxa"/>
            <w:tcBorders>
              <w:top w:val="single" w:color="808080" w:sz="6" w:space="0"/>
              <w:left w:val="single" w:color="808080" w:sz="6" w:space="0"/>
              <w:bottom w:val="single" w:color="808080" w:sz="6" w:space="0"/>
              <w:right w:val="single" w:color="808080" w:sz="6" w:space="0"/>
            </w:tcBorders>
            <w:vAlign w:val="center"/>
          </w:tcPr>
          <w:p w:rsidRPr="00E20255" w:rsidR="007104F2" w:rsidP="00614E98" w:rsidRDefault="007104F2" w14:paraId="72E0E896" w14:textId="77777777">
            <w:pPr>
              <w:spacing w:before="100" w:beforeAutospacing="1" w:after="100" w:afterAutospacing="1"/>
              <w:jc w:val="center"/>
              <w:rPr>
                <w:lang w:val="lv-LV" w:eastAsia="lv-LV"/>
              </w:rPr>
            </w:pPr>
            <w:r w:rsidRPr="00E20255">
              <w:rPr>
                <w:lang w:val="lv-LV" w:eastAsia="lv-LV"/>
              </w:rPr>
              <w:t>Atzinuma sniedzēja uzturētais iebildums, ja tas atšķiras no atzinumā norādītā iebilduma pamatojuma</w:t>
            </w:r>
          </w:p>
        </w:tc>
        <w:tc>
          <w:tcPr>
            <w:tcW w:w="2615" w:type="dxa"/>
            <w:tcBorders>
              <w:top w:val="single" w:color="808080" w:sz="6" w:space="0"/>
              <w:left w:val="single" w:color="808080" w:sz="6" w:space="0"/>
              <w:bottom w:val="single" w:color="808080" w:sz="6" w:space="0"/>
              <w:right w:val="single" w:color="808080" w:sz="6" w:space="0"/>
            </w:tcBorders>
            <w:vAlign w:val="center"/>
          </w:tcPr>
          <w:p w:rsidRPr="00E20255" w:rsidR="007104F2" w:rsidP="00614E98" w:rsidRDefault="007104F2" w14:paraId="3947BA27" w14:textId="77777777">
            <w:pPr>
              <w:spacing w:before="100" w:beforeAutospacing="1" w:after="100" w:afterAutospacing="1"/>
              <w:jc w:val="center"/>
              <w:rPr>
                <w:lang w:val="lv-LV" w:eastAsia="lv-LV"/>
              </w:rPr>
            </w:pPr>
            <w:r w:rsidRPr="00E20255">
              <w:rPr>
                <w:lang w:val="lv-LV" w:eastAsia="lv-LV"/>
              </w:rPr>
              <w:t>Projekta attiecīgā punkta (panta) galīgā redakcija</w:t>
            </w:r>
          </w:p>
        </w:tc>
      </w:tr>
      <w:tr w:rsidRPr="00E20255" w:rsidR="007104F2" w:rsidTr="00A453F5" w14:paraId="36A695B6"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E20255" w:rsidR="007104F2" w:rsidP="00614E98" w:rsidRDefault="007104F2" w14:paraId="6B5F8CF7" w14:textId="77777777">
            <w:pPr>
              <w:spacing w:before="100" w:beforeAutospacing="1" w:after="100" w:afterAutospacing="1"/>
              <w:rPr>
                <w:lang w:val="lv-LV" w:eastAsia="lv-LV"/>
              </w:rPr>
            </w:pPr>
          </w:p>
        </w:tc>
        <w:tc>
          <w:tcPr>
            <w:tcW w:w="2419" w:type="dxa"/>
            <w:tcBorders>
              <w:top w:val="single" w:color="808080" w:sz="6" w:space="0"/>
              <w:left w:val="single" w:color="808080" w:sz="6" w:space="0"/>
              <w:bottom w:val="single" w:color="808080" w:sz="6" w:space="0"/>
              <w:right w:val="single" w:color="808080" w:sz="6" w:space="0"/>
            </w:tcBorders>
          </w:tcPr>
          <w:p w:rsidRPr="00E20255" w:rsidR="007104F2" w:rsidP="00614E98" w:rsidRDefault="007104F2" w14:paraId="4BAFCBDA" w14:textId="77777777">
            <w:pPr>
              <w:spacing w:before="100" w:beforeAutospacing="1" w:after="100" w:afterAutospacing="1"/>
              <w:rPr>
                <w:lang w:val="lv-LV" w:eastAsia="lv-LV"/>
              </w:rPr>
            </w:pPr>
          </w:p>
        </w:tc>
        <w:tc>
          <w:tcPr>
            <w:tcW w:w="3166" w:type="dxa"/>
            <w:tcBorders>
              <w:top w:val="single" w:color="808080" w:sz="6" w:space="0"/>
              <w:left w:val="single" w:color="808080" w:sz="6" w:space="0"/>
              <w:bottom w:val="single" w:color="808080" w:sz="6" w:space="0"/>
              <w:right w:val="single" w:color="808080" w:sz="6" w:space="0"/>
            </w:tcBorders>
          </w:tcPr>
          <w:p w:rsidRPr="00E20255" w:rsidR="007104F2" w:rsidP="00614E98" w:rsidRDefault="007104F2" w14:paraId="322C483B" w14:textId="77777777">
            <w:pPr>
              <w:spacing w:before="100" w:beforeAutospacing="1" w:after="100" w:afterAutospacing="1"/>
              <w:rPr>
                <w:lang w:val="lv-LV" w:eastAsia="lv-LV"/>
              </w:rPr>
            </w:pPr>
          </w:p>
        </w:tc>
        <w:tc>
          <w:tcPr>
            <w:tcW w:w="2440" w:type="dxa"/>
            <w:tcBorders>
              <w:top w:val="single" w:color="808080" w:sz="6" w:space="0"/>
              <w:left w:val="single" w:color="808080" w:sz="6" w:space="0"/>
              <w:bottom w:val="single" w:color="808080" w:sz="6" w:space="0"/>
              <w:right w:val="single" w:color="808080" w:sz="6" w:space="0"/>
            </w:tcBorders>
          </w:tcPr>
          <w:p w:rsidRPr="00E20255" w:rsidR="007104F2" w:rsidP="00614E98" w:rsidRDefault="007104F2" w14:paraId="67DBD7B2" w14:textId="77777777">
            <w:pPr>
              <w:spacing w:before="100" w:beforeAutospacing="1" w:after="100" w:afterAutospacing="1"/>
              <w:rPr>
                <w:lang w:val="lv-LV" w:eastAsia="lv-LV"/>
              </w:rPr>
            </w:pPr>
          </w:p>
        </w:tc>
        <w:tc>
          <w:tcPr>
            <w:tcW w:w="2606" w:type="dxa"/>
            <w:tcBorders>
              <w:top w:val="single" w:color="808080" w:sz="6" w:space="0"/>
              <w:left w:val="single" w:color="808080" w:sz="6" w:space="0"/>
              <w:bottom w:val="single" w:color="808080" w:sz="6" w:space="0"/>
              <w:right w:val="single" w:color="808080" w:sz="6" w:space="0"/>
            </w:tcBorders>
          </w:tcPr>
          <w:p w:rsidRPr="00E20255" w:rsidR="007104F2" w:rsidP="00614E98" w:rsidRDefault="007104F2" w14:paraId="77EEC6D0" w14:textId="77777777">
            <w:pPr>
              <w:spacing w:before="100" w:beforeAutospacing="1" w:after="100" w:afterAutospacing="1"/>
              <w:rPr>
                <w:lang w:val="lv-LV" w:eastAsia="lv-LV"/>
              </w:rPr>
            </w:pPr>
          </w:p>
        </w:tc>
        <w:tc>
          <w:tcPr>
            <w:tcW w:w="2615" w:type="dxa"/>
            <w:tcBorders>
              <w:top w:val="single" w:color="808080" w:sz="6" w:space="0"/>
              <w:left w:val="single" w:color="808080" w:sz="6" w:space="0"/>
              <w:bottom w:val="single" w:color="808080" w:sz="6" w:space="0"/>
              <w:right w:val="single" w:color="808080" w:sz="6" w:space="0"/>
            </w:tcBorders>
          </w:tcPr>
          <w:p w:rsidRPr="00E20255" w:rsidR="007104F2" w:rsidP="00614E98" w:rsidRDefault="007104F2" w14:paraId="1E4E2322" w14:textId="77777777">
            <w:pPr>
              <w:spacing w:before="100" w:beforeAutospacing="1" w:after="100" w:afterAutospacing="1"/>
              <w:rPr>
                <w:lang w:val="lv-LV" w:eastAsia="lv-LV"/>
              </w:rPr>
            </w:pPr>
          </w:p>
        </w:tc>
      </w:tr>
    </w:tbl>
    <w:p w:rsidRPr="00E20255" w:rsidR="007104F2" w:rsidP="00614E98" w:rsidRDefault="007104F2" w14:paraId="2FCA3019" w14:textId="77777777">
      <w:pPr>
        <w:jc w:val="both"/>
        <w:rPr>
          <w:b/>
          <w:bCs/>
          <w:lang w:val="lv-LV"/>
        </w:rPr>
      </w:pPr>
    </w:p>
    <w:p w:rsidRPr="00E20255" w:rsidR="00D63736" w:rsidP="00614E98" w:rsidRDefault="00D63736" w14:paraId="7AA405C5" w14:textId="77777777">
      <w:pPr>
        <w:jc w:val="both"/>
        <w:rPr>
          <w:b/>
          <w:bCs/>
          <w:lang w:val="lv-LV"/>
        </w:rPr>
      </w:pPr>
    </w:p>
    <w:p w:rsidRPr="00E20255" w:rsidR="007104F2" w:rsidP="00614E98" w:rsidRDefault="007104F2" w14:paraId="017E5CD8" w14:textId="46AF6A7B">
      <w:pPr>
        <w:pStyle w:val="naiskr"/>
      </w:pPr>
      <w:r w:rsidRPr="00E20255">
        <w:t>Informācija par starpministriju (starpinstitūciju) sanāksmi vai elektronisko saskaņošanu</w:t>
      </w:r>
      <w:r w:rsidR="0059736C">
        <w:t xml:space="preserve"> 13.11.2020;  </w:t>
      </w:r>
      <w:r w:rsidR="00A00D9B">
        <w:t>01.12</w:t>
      </w:r>
      <w:r w:rsidR="0059736C">
        <w:t>.2020</w:t>
      </w:r>
    </w:p>
    <w:p w:rsidRPr="00E20255" w:rsidR="00133AA8" w:rsidP="00614E98" w:rsidRDefault="00133AA8" w14:paraId="67BC6AC3" w14:textId="77777777">
      <w:pPr>
        <w:jc w:val="right"/>
        <w:rPr>
          <w:b/>
          <w:bCs/>
          <w:lang w:val="lv-LV"/>
        </w:rPr>
      </w:pPr>
    </w:p>
    <w:p w:rsidRPr="00E20255" w:rsidR="00133AA8" w:rsidP="00614E98" w:rsidRDefault="00133AA8" w14:paraId="42589FB2" w14:textId="77777777">
      <w:pPr>
        <w:jc w:val="right"/>
        <w:rPr>
          <w:b/>
          <w:bCs/>
          <w:lang w:val="lv-LV"/>
        </w:rPr>
      </w:pPr>
    </w:p>
    <w:p w:rsidRPr="00E20255" w:rsidR="004F37B7" w:rsidP="00614E98" w:rsidRDefault="00133AA8" w14:paraId="5CF34156" w14:textId="6F284BB4">
      <w:pPr>
        <w:ind w:left="5760" w:hanging="5760"/>
        <w:rPr>
          <w:lang w:val="lv-LV"/>
        </w:rPr>
      </w:pPr>
      <w:r w:rsidRPr="00E20255">
        <w:rPr>
          <w:lang w:val="lv-LV"/>
        </w:rPr>
        <w:t xml:space="preserve">Saskaņošanas dalībnieki </w:t>
      </w:r>
      <w:r w:rsidRPr="00E20255">
        <w:rPr>
          <w:lang w:val="lv-LV"/>
        </w:rPr>
        <w:tab/>
      </w:r>
      <w:r w:rsidRPr="00E20255" w:rsidR="007F73DC">
        <w:rPr>
          <w:lang w:val="lv-LV"/>
        </w:rPr>
        <w:t xml:space="preserve">Satiksmes ministrija, </w:t>
      </w:r>
      <w:r w:rsidRPr="00E20255" w:rsidR="0072789D">
        <w:rPr>
          <w:lang w:val="lv-LV"/>
        </w:rPr>
        <w:t>Tieslietu ministrij</w:t>
      </w:r>
      <w:r w:rsidRPr="00E20255" w:rsidR="00BF2D80">
        <w:rPr>
          <w:lang w:val="lv-LV"/>
        </w:rPr>
        <w:t>a</w:t>
      </w:r>
      <w:r w:rsidRPr="00E20255" w:rsidR="0072789D">
        <w:rPr>
          <w:lang w:val="lv-LV"/>
        </w:rPr>
        <w:t xml:space="preserve">, </w:t>
      </w:r>
      <w:r w:rsidRPr="00E20255" w:rsidR="00BD00F1">
        <w:rPr>
          <w:lang w:val="lv-LV"/>
        </w:rPr>
        <w:t>Vides aizsardzības un reģionālās attīstības ministrija</w:t>
      </w:r>
      <w:r w:rsidRPr="00E20255" w:rsidR="0072789D">
        <w:rPr>
          <w:lang w:val="lv-LV"/>
        </w:rPr>
        <w:t xml:space="preserve">, </w:t>
      </w:r>
      <w:r w:rsidRPr="00E20255" w:rsidR="00BD00F1">
        <w:rPr>
          <w:lang w:val="lv-LV"/>
        </w:rPr>
        <w:t xml:space="preserve">Konkurences padome, </w:t>
      </w:r>
      <w:proofErr w:type="spellStart"/>
      <w:r w:rsidRPr="00E20255" w:rsidR="007F73DC">
        <w:rPr>
          <w:lang w:val="lv-LV"/>
        </w:rPr>
        <w:t>Pārresoru</w:t>
      </w:r>
      <w:proofErr w:type="spellEnd"/>
      <w:r w:rsidRPr="00E20255" w:rsidR="007F73DC">
        <w:rPr>
          <w:lang w:val="lv-LV"/>
        </w:rPr>
        <w:t xml:space="preserve"> koordinācijas centrs</w:t>
      </w:r>
      <w:r w:rsidR="00C07D47">
        <w:rPr>
          <w:lang w:val="lv-LV"/>
        </w:rPr>
        <w:t>, Finanšu ministrija</w:t>
      </w:r>
    </w:p>
    <w:p w:rsidRPr="00E20255" w:rsidR="00133AA8" w:rsidP="00614E98" w:rsidRDefault="00133AA8" w14:paraId="7B1E59A1" w14:textId="77777777">
      <w:pPr>
        <w:ind w:left="5760"/>
        <w:jc w:val="both"/>
        <w:rPr>
          <w:lang w:val="lv-LV"/>
        </w:rPr>
      </w:pPr>
    </w:p>
    <w:p w:rsidRPr="00E20255" w:rsidR="00D63736" w:rsidP="00614E98" w:rsidRDefault="00D63736" w14:paraId="56616A13" w14:textId="77777777">
      <w:pPr>
        <w:ind w:left="5760" w:hanging="5760"/>
        <w:jc w:val="both"/>
        <w:rPr>
          <w:lang w:val="lv-LV"/>
        </w:rPr>
      </w:pPr>
    </w:p>
    <w:p w:rsidRPr="00E20255" w:rsidR="00B673E5" w:rsidP="00614E98" w:rsidRDefault="00133AA8" w14:paraId="722F4D04" w14:textId="77777777">
      <w:pPr>
        <w:ind w:left="5760" w:hanging="5760"/>
        <w:jc w:val="both"/>
        <w:rPr>
          <w:lang w:val="lv-LV"/>
        </w:rPr>
      </w:pPr>
      <w:r w:rsidRPr="00E20255">
        <w:rPr>
          <w:lang w:val="lv-LV"/>
        </w:rPr>
        <w:t xml:space="preserve">Saskaņošanas dalībnieki izskatīja šādu ministriju (citu </w:t>
      </w:r>
    </w:p>
    <w:p w:rsidRPr="00E20255" w:rsidR="00BD00F1" w:rsidP="00BD00F1" w:rsidRDefault="00B673E5" w14:paraId="3A74B6E2" w14:textId="45C98539">
      <w:pPr>
        <w:ind w:left="5760" w:hanging="5760"/>
        <w:rPr>
          <w:lang w:val="lv-LV"/>
        </w:rPr>
      </w:pPr>
      <w:r w:rsidRPr="00E20255">
        <w:rPr>
          <w:lang w:val="lv-LV"/>
        </w:rPr>
        <w:t>institūciju) iebildumus</w:t>
      </w:r>
      <w:r w:rsidRPr="00E20255" w:rsidR="00133AA8">
        <w:rPr>
          <w:lang w:val="lv-LV"/>
        </w:rPr>
        <w:tab/>
      </w:r>
      <w:r w:rsidRPr="00E20255" w:rsidR="00BD00F1">
        <w:rPr>
          <w:lang w:val="lv-LV"/>
        </w:rPr>
        <w:t>Tieslietu ministrija,</w:t>
      </w:r>
      <w:r w:rsidR="002D0DF3">
        <w:rPr>
          <w:lang w:val="lv-LV"/>
        </w:rPr>
        <w:t xml:space="preserve"> </w:t>
      </w:r>
      <w:proofErr w:type="spellStart"/>
      <w:r w:rsidRPr="00E20255" w:rsidR="00BD00F1">
        <w:rPr>
          <w:lang w:val="lv-LV"/>
        </w:rPr>
        <w:t>Pārresoru</w:t>
      </w:r>
      <w:proofErr w:type="spellEnd"/>
      <w:r w:rsidRPr="00E20255" w:rsidR="00BD00F1">
        <w:rPr>
          <w:lang w:val="lv-LV"/>
        </w:rPr>
        <w:t xml:space="preserve"> koordinācijas centrs</w:t>
      </w:r>
    </w:p>
    <w:p w:rsidRPr="00E20255" w:rsidR="00133AA8" w:rsidP="00614E98" w:rsidRDefault="00133AA8" w14:paraId="1BAA84CC" w14:textId="1DFE28EC">
      <w:pPr>
        <w:ind w:left="5760" w:hanging="5760"/>
        <w:jc w:val="both"/>
        <w:rPr>
          <w:lang w:val="lv-LV"/>
        </w:rPr>
      </w:pPr>
    </w:p>
    <w:p w:rsidRPr="00E20255" w:rsidR="005568B8" w:rsidP="00614E98" w:rsidRDefault="005568B8" w14:paraId="77B540C6" w14:textId="77777777">
      <w:pPr>
        <w:ind w:left="5760" w:hanging="5760"/>
        <w:jc w:val="both"/>
        <w:rPr>
          <w:lang w:val="lv-LV"/>
        </w:rPr>
      </w:pPr>
    </w:p>
    <w:p w:rsidRPr="00E20255" w:rsidR="0096570E" w:rsidP="00614E98" w:rsidRDefault="00133AA8" w14:paraId="7CFA5ECF" w14:textId="77777777">
      <w:pPr>
        <w:ind w:left="5760" w:hanging="5760"/>
        <w:rPr>
          <w:lang w:val="lv-LV"/>
        </w:rPr>
      </w:pPr>
      <w:r w:rsidRPr="00E20255">
        <w:rPr>
          <w:lang w:val="lv-LV"/>
        </w:rPr>
        <w:t xml:space="preserve">Ministrijas (citas institūcijas), kuras nav ieradušās uz </w:t>
      </w:r>
      <w:r w:rsidRPr="00E20255" w:rsidR="0096570E">
        <w:rPr>
          <w:lang w:val="lv-LV"/>
        </w:rPr>
        <w:tab/>
      </w:r>
      <w:r w:rsidRPr="00E20255" w:rsidR="001638F1">
        <w:rPr>
          <w:lang w:val="lv-LV"/>
        </w:rPr>
        <w:t xml:space="preserve"> </w:t>
      </w:r>
    </w:p>
    <w:p w:rsidRPr="00E20255" w:rsidR="0096570E" w:rsidP="00614E98" w:rsidRDefault="00133AA8" w14:paraId="2C14233C" w14:textId="77777777">
      <w:pPr>
        <w:ind w:left="5760" w:hanging="5760"/>
        <w:jc w:val="both"/>
        <w:rPr>
          <w:lang w:val="lv-LV"/>
        </w:rPr>
      </w:pPr>
      <w:r w:rsidRPr="00E20255">
        <w:rPr>
          <w:lang w:val="lv-LV"/>
        </w:rPr>
        <w:t>sanāksmi vai kuras nav atbildējušas uz uzaicinājumu</w:t>
      </w:r>
      <w:r w:rsidRPr="00E20255" w:rsidR="0096570E">
        <w:rPr>
          <w:lang w:val="lv-LV"/>
        </w:rPr>
        <w:tab/>
      </w:r>
    </w:p>
    <w:p w:rsidRPr="00E20255" w:rsidR="005568B8" w:rsidP="00614E98" w:rsidRDefault="0096570E" w14:paraId="1B988E57" w14:textId="77777777">
      <w:pPr>
        <w:jc w:val="both"/>
        <w:rPr>
          <w:lang w:val="lv-LV"/>
        </w:rPr>
      </w:pPr>
      <w:r w:rsidRPr="00E20255">
        <w:rPr>
          <w:lang w:val="lv-LV"/>
        </w:rPr>
        <w:t xml:space="preserve">piedalīties elektroniskajā saskaņošanā </w:t>
      </w:r>
      <w:r w:rsidRPr="00E20255">
        <w:rPr>
          <w:lang w:val="lv-LV"/>
        </w:rPr>
        <w:tab/>
      </w:r>
    </w:p>
    <w:p w:rsidRPr="00E20255" w:rsidR="0096570E" w:rsidP="00614E98" w:rsidRDefault="0096570E" w14:paraId="46995567" w14:textId="77777777">
      <w:pPr>
        <w:jc w:val="both"/>
        <w:rPr>
          <w:lang w:val="lv-LV"/>
        </w:rPr>
      </w:pPr>
      <w:r w:rsidRPr="00E20255">
        <w:rPr>
          <w:lang w:val="lv-LV"/>
        </w:rPr>
        <w:tab/>
      </w:r>
      <w:r w:rsidRPr="00E20255">
        <w:rPr>
          <w:lang w:val="lv-LV"/>
        </w:rPr>
        <w:tab/>
      </w:r>
    </w:p>
    <w:p w:rsidRPr="00E20255" w:rsidR="00133AA8" w:rsidP="00614E98" w:rsidRDefault="00133AA8" w14:paraId="036E3A4C" w14:textId="77777777">
      <w:pPr>
        <w:jc w:val="right"/>
        <w:rPr>
          <w:b/>
          <w:bCs/>
          <w:lang w:val="lv-LV"/>
        </w:rPr>
      </w:pPr>
    </w:p>
    <w:p w:rsidRPr="00E20255" w:rsidR="007F73DC" w:rsidP="00614E98" w:rsidRDefault="007F73DC" w14:paraId="36BF1BF9" w14:textId="77777777">
      <w:pPr>
        <w:tabs>
          <w:tab w:val="left" w:pos="3210"/>
        </w:tabs>
        <w:rPr>
          <w:lang w:val="lv-LV"/>
        </w:rPr>
      </w:pPr>
    </w:p>
    <w:p w:rsidR="007F73DC" w:rsidP="00614E98" w:rsidRDefault="007F73DC" w14:paraId="5CA0F94B" w14:textId="51688855">
      <w:pPr>
        <w:tabs>
          <w:tab w:val="left" w:pos="3210"/>
        </w:tabs>
        <w:rPr>
          <w:lang w:val="lv-LV"/>
        </w:rPr>
      </w:pPr>
    </w:p>
    <w:p w:rsidRPr="00E20255" w:rsidR="00C04D25" w:rsidP="00614E98" w:rsidRDefault="00C04D25" w14:paraId="324303F7" w14:textId="77777777">
      <w:pPr>
        <w:tabs>
          <w:tab w:val="left" w:pos="3210"/>
        </w:tabs>
        <w:rPr>
          <w:lang w:val="lv-LV"/>
        </w:rPr>
      </w:pPr>
    </w:p>
    <w:p w:rsidRPr="00E20255" w:rsidR="00A62779" w:rsidP="00614E98" w:rsidRDefault="00BB63FA" w14:paraId="2688AA48" w14:textId="77777777">
      <w:pPr>
        <w:tabs>
          <w:tab w:val="left" w:pos="3210"/>
        </w:tabs>
        <w:rPr>
          <w:lang w:val="lv-LV"/>
        </w:rPr>
      </w:pPr>
      <w:r w:rsidRPr="00E20255">
        <w:rPr>
          <w:lang w:val="lv-LV"/>
        </w:rPr>
        <w:lastRenderedPageBreak/>
        <w:tab/>
      </w:r>
    </w:p>
    <w:p w:rsidRPr="00E20255" w:rsidR="00A5556A" w:rsidP="00614E98" w:rsidRDefault="00A5556A" w14:paraId="63F9658B" w14:textId="77777777">
      <w:pPr>
        <w:pStyle w:val="naisnod"/>
        <w:rPr>
          <w:b/>
        </w:rPr>
      </w:pPr>
      <w:r w:rsidRPr="00E20255">
        <w:rPr>
          <w:b/>
        </w:rPr>
        <w:t>II. Jautājumi, par kuriem saskaņošanā vienošanās ir panākta</w:t>
      </w:r>
    </w:p>
    <w:p w:rsidRPr="00E20255" w:rsidR="00F23B79" w:rsidP="00614E98" w:rsidRDefault="00F23B79" w14:paraId="71B97A15" w14:textId="77777777">
      <w:pPr>
        <w:jc w:val="both"/>
        <w:rPr>
          <w:lang w:val="lv-LV"/>
        </w:rPr>
      </w:pPr>
    </w:p>
    <w:tbl>
      <w:tblPr>
        <w:tblW w:w="13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2"/>
        <w:gridCol w:w="2835"/>
        <w:gridCol w:w="3770"/>
        <w:gridCol w:w="3176"/>
        <w:gridCol w:w="3398"/>
      </w:tblGrid>
      <w:tr w:rsidRPr="00E20255" w:rsidR="005125E2" w:rsidTr="00F626E1" w14:paraId="21EE565C" w14:textId="77777777">
        <w:trPr>
          <w:trHeight w:val="2455"/>
          <w:jc w:val="center"/>
        </w:trPr>
        <w:tc>
          <w:tcPr>
            <w:tcW w:w="562" w:type="dxa"/>
          </w:tcPr>
          <w:p w:rsidRPr="00E20255" w:rsidR="005125E2" w:rsidP="00614E98" w:rsidRDefault="005125E2" w14:paraId="738D69BE" w14:textId="77777777">
            <w:pPr>
              <w:jc w:val="center"/>
              <w:rPr>
                <w:lang w:val="lv-LV"/>
              </w:rPr>
            </w:pPr>
            <w:proofErr w:type="spellStart"/>
            <w:r w:rsidRPr="00E20255">
              <w:rPr>
                <w:lang w:val="lv-LV"/>
              </w:rPr>
              <w:t>Nr.</w:t>
            </w:r>
            <w:r w:rsidRPr="00E20255" w:rsidR="007F73DC">
              <w:rPr>
                <w:lang w:val="lv-LV"/>
              </w:rPr>
              <w:t>p</w:t>
            </w:r>
            <w:r w:rsidRPr="00E20255">
              <w:rPr>
                <w:lang w:val="lv-LV"/>
              </w:rPr>
              <w:t>.k</w:t>
            </w:r>
            <w:proofErr w:type="spellEnd"/>
            <w:r w:rsidRPr="00E20255">
              <w:rPr>
                <w:lang w:val="lv-LV"/>
              </w:rPr>
              <w:t>.</w:t>
            </w:r>
          </w:p>
        </w:tc>
        <w:tc>
          <w:tcPr>
            <w:tcW w:w="2835" w:type="dxa"/>
            <w:vAlign w:val="center"/>
          </w:tcPr>
          <w:p w:rsidRPr="00E20255" w:rsidR="005125E2" w:rsidP="00614E98" w:rsidRDefault="005125E2" w14:paraId="131E9071" w14:textId="77777777">
            <w:pPr>
              <w:jc w:val="center"/>
              <w:rPr>
                <w:lang w:val="lv-LV"/>
              </w:rPr>
            </w:pPr>
            <w:r w:rsidRPr="00E20255">
              <w:rPr>
                <w:lang w:val="lv-LV"/>
              </w:rPr>
              <w:t>Saskaņošanai nosūtītā projekta redakcija (konkrēta punkta (panta) redakcija)</w:t>
            </w:r>
          </w:p>
        </w:tc>
        <w:tc>
          <w:tcPr>
            <w:tcW w:w="3770" w:type="dxa"/>
            <w:vAlign w:val="center"/>
          </w:tcPr>
          <w:p w:rsidRPr="00E20255" w:rsidR="005125E2" w:rsidP="00614E98" w:rsidRDefault="005125E2" w14:paraId="1698009E" w14:textId="77777777">
            <w:pPr>
              <w:jc w:val="center"/>
              <w:rPr>
                <w:lang w:val="lv-LV"/>
              </w:rPr>
            </w:pPr>
            <w:r w:rsidRPr="00E20255">
              <w:rPr>
                <w:lang w:val="lv-LV"/>
              </w:rPr>
              <w:t>Atzinumā norādītais ministrijas (citas institūcijas) iebildums par projekta konkrēto punktu (pantu)</w:t>
            </w:r>
          </w:p>
        </w:tc>
        <w:tc>
          <w:tcPr>
            <w:tcW w:w="3176" w:type="dxa"/>
            <w:vAlign w:val="center"/>
          </w:tcPr>
          <w:p w:rsidRPr="00E20255" w:rsidR="005125E2" w:rsidP="00614E98" w:rsidRDefault="005125E2" w14:paraId="605C5E66" w14:textId="77777777">
            <w:pPr>
              <w:jc w:val="center"/>
              <w:rPr>
                <w:lang w:val="lv-LV"/>
              </w:rPr>
            </w:pPr>
            <w:r w:rsidRPr="00E20255">
              <w:rPr>
                <w:lang w:val="lv-LV"/>
              </w:rPr>
              <w:t>Ministrijas (citas institūcijas) viedoklis par izteikto iebildumu (attiecīgi norādot, vai iebildums ir ņemts vērā, noraidīts vai panākta vienošanās starpinstitūciju sanāksmē)</w:t>
            </w:r>
          </w:p>
        </w:tc>
        <w:tc>
          <w:tcPr>
            <w:tcW w:w="3398" w:type="dxa"/>
            <w:vAlign w:val="center"/>
          </w:tcPr>
          <w:p w:rsidRPr="00E20255" w:rsidR="005125E2" w:rsidP="00614E98" w:rsidRDefault="005125E2" w14:paraId="529E6750" w14:textId="77777777">
            <w:pPr>
              <w:jc w:val="center"/>
              <w:rPr>
                <w:lang w:val="lv-LV"/>
              </w:rPr>
            </w:pPr>
            <w:r w:rsidRPr="00E20255">
              <w:rPr>
                <w:lang w:val="lv-LV"/>
              </w:rPr>
              <w:t>Projekta attiecīgā punkta (panta) galīgā redakcija vai atsauce uz starpinstitūciju sanāksmes protokola punktu, kurā ir formulēta attiecīgā punkta (panta) redakcija vai atšķirīgie viedokļi par konkrēto punktu (pantu)</w:t>
            </w:r>
          </w:p>
        </w:tc>
      </w:tr>
      <w:tr w:rsidRPr="00E20255" w:rsidR="005125E2" w:rsidTr="00F626E1" w14:paraId="7FD48241" w14:textId="77777777">
        <w:trPr>
          <w:jc w:val="center"/>
        </w:trPr>
        <w:tc>
          <w:tcPr>
            <w:tcW w:w="562" w:type="dxa"/>
          </w:tcPr>
          <w:p w:rsidRPr="00E20255" w:rsidR="005125E2" w:rsidP="00614E98" w:rsidRDefault="005125E2" w14:paraId="4F73C949" w14:textId="77777777">
            <w:pPr>
              <w:jc w:val="both"/>
              <w:rPr>
                <w:lang w:val="lv-LV"/>
              </w:rPr>
            </w:pPr>
            <w:r w:rsidRPr="00E20255">
              <w:rPr>
                <w:lang w:val="lv-LV"/>
              </w:rPr>
              <w:t>1.</w:t>
            </w:r>
          </w:p>
        </w:tc>
        <w:tc>
          <w:tcPr>
            <w:tcW w:w="2835" w:type="dxa"/>
          </w:tcPr>
          <w:p w:rsidRPr="00E20255" w:rsidR="00BC5286" w:rsidP="00614E98" w:rsidRDefault="00BC5286" w14:paraId="27FDC266" w14:textId="77777777">
            <w:pPr>
              <w:jc w:val="both"/>
              <w:rPr>
                <w:color w:val="FF0000"/>
                <w:lang w:val="lv-LV"/>
              </w:rPr>
            </w:pPr>
          </w:p>
        </w:tc>
        <w:tc>
          <w:tcPr>
            <w:tcW w:w="3770" w:type="dxa"/>
          </w:tcPr>
          <w:p w:rsidRPr="00E20255" w:rsidR="005125E2" w:rsidP="00BD00F1" w:rsidRDefault="00BD00F1" w14:paraId="3F494714" w14:textId="77777777">
            <w:pPr>
              <w:pStyle w:val="ListParagraph"/>
              <w:ind w:left="66" w:firstLine="0"/>
              <w:rPr>
                <w:b/>
                <w:bCs/>
              </w:rPr>
            </w:pPr>
            <w:r w:rsidRPr="00E20255">
              <w:rPr>
                <w:b/>
                <w:bCs/>
              </w:rPr>
              <w:t>Tieslietu ministrijas 22.10.2020. atzinums Nr. 1-9.1/1101</w:t>
            </w:r>
          </w:p>
          <w:p w:rsidRPr="00E20255" w:rsidR="00166DAE" w:rsidP="00166DAE" w:rsidRDefault="00166DAE" w14:paraId="02273B2D" w14:textId="77777777">
            <w:pPr>
              <w:pStyle w:val="ListParagraph"/>
              <w:ind w:left="66" w:firstLine="0"/>
            </w:pPr>
          </w:p>
          <w:p w:rsidRPr="00E20255" w:rsidR="00BD00F1" w:rsidP="00166DAE" w:rsidRDefault="00166DAE" w14:paraId="23C711F9" w14:textId="2794CFDD">
            <w:pPr>
              <w:pStyle w:val="ListParagraph"/>
              <w:ind w:left="66" w:firstLine="0"/>
            </w:pPr>
            <w:r w:rsidRPr="00E20255">
              <w:t xml:space="preserve">Ņemot vērā, ka informatīvajā ziņojumā iekļautā informācija par valsts līdzdalību valsts akciju sabiedrībā </w:t>
            </w:r>
            <w:r w:rsidR="003A5E8A">
              <w:t>‘’</w:t>
            </w:r>
            <w:r w:rsidRPr="00E20255">
              <w:t>Ceļu satiksmes drošības direkcija</w:t>
            </w:r>
            <w:r w:rsidR="003A5E8A">
              <w:t>’’</w:t>
            </w:r>
            <w:r w:rsidRPr="00E20255">
              <w:t xml:space="preserve"> nesatur informāciju, ka publiskā persona ir konsultējusies ar kompetentajām institūcijām konkurences aizsardzības jomā un komersantus pārstāvošām biedrībām un nodibinājumiem, kā arī ievēro komercdarbības atbalsta kontroles jomu regulējošu normatīvo aktu prasības, atbilstoši Valsts pārvaldes iekārtas likuma 88. panta otrās daļas prasībām. Līdz ar to aicinām pilnveidot valsts līdzdalības valsts akciju sabiedrībā </w:t>
            </w:r>
            <w:r w:rsidR="003A5E8A">
              <w:t>‘’</w:t>
            </w:r>
            <w:r w:rsidRPr="00E20255">
              <w:t>Ceļu satiksmes drošības direkcija</w:t>
            </w:r>
            <w:r w:rsidR="003A5E8A">
              <w:t>’’</w:t>
            </w:r>
            <w:r w:rsidRPr="00E20255">
              <w:t xml:space="preserve"> </w:t>
            </w:r>
            <w:proofErr w:type="spellStart"/>
            <w:r w:rsidRPr="00E20255">
              <w:t>izvērtējumu</w:t>
            </w:r>
            <w:proofErr w:type="spellEnd"/>
            <w:r w:rsidRPr="00E20255">
              <w:t xml:space="preserve"> un konsultēties ar kompetentajām institūcijām konkurences </w:t>
            </w:r>
            <w:r w:rsidRPr="00E20255">
              <w:lastRenderedPageBreak/>
              <w:t>aizsardzības jomā un komersantus pārstāvošām biedrībām vai nodibinājumiem.</w:t>
            </w:r>
          </w:p>
        </w:tc>
        <w:tc>
          <w:tcPr>
            <w:tcW w:w="3176" w:type="dxa"/>
          </w:tcPr>
          <w:p w:rsidRPr="00E20255" w:rsidR="005125E2" w:rsidP="00614E98" w:rsidRDefault="005125E2" w14:paraId="2709465D" w14:textId="77777777">
            <w:pPr>
              <w:jc w:val="both"/>
              <w:rPr>
                <w:b/>
                <w:lang w:val="lv-LV"/>
              </w:rPr>
            </w:pPr>
            <w:r w:rsidRPr="00E20255">
              <w:rPr>
                <w:b/>
                <w:lang w:val="lv-LV"/>
              </w:rPr>
              <w:lastRenderedPageBreak/>
              <w:t>Iebildums ņemts vērā.</w:t>
            </w:r>
          </w:p>
          <w:p w:rsidRPr="00E20255" w:rsidR="005125E2" w:rsidP="00614E98" w:rsidRDefault="005125E2" w14:paraId="29DD2D83" w14:textId="1FC6B5BD">
            <w:pPr>
              <w:jc w:val="both"/>
              <w:rPr>
                <w:lang w:val="lv-LV"/>
              </w:rPr>
            </w:pPr>
          </w:p>
        </w:tc>
        <w:tc>
          <w:tcPr>
            <w:tcW w:w="3398" w:type="dxa"/>
          </w:tcPr>
          <w:p w:rsidRPr="00E20255" w:rsidR="00E20255" w:rsidP="00E20255" w:rsidRDefault="009A79F4" w14:paraId="4B8A5AAD" w14:textId="212149D7">
            <w:pPr>
              <w:jc w:val="both"/>
              <w:rPr>
                <w:lang w:val="lv-LV"/>
              </w:rPr>
            </w:pPr>
            <w:r w:rsidRPr="00E20255">
              <w:rPr>
                <w:lang w:val="lv-LV"/>
              </w:rPr>
              <w:t>Skat.</w:t>
            </w:r>
            <w:r w:rsidRPr="00E20255" w:rsidR="00F65F4A">
              <w:rPr>
                <w:lang w:val="lv-LV"/>
              </w:rPr>
              <w:t xml:space="preserve"> </w:t>
            </w:r>
            <w:r w:rsidRPr="00E20255">
              <w:rPr>
                <w:lang w:val="lv-LV"/>
              </w:rPr>
              <w:t xml:space="preserve">precizēto </w:t>
            </w:r>
            <w:r w:rsidRPr="00E20255" w:rsidR="003A025A">
              <w:rPr>
                <w:lang w:val="lv-LV"/>
              </w:rPr>
              <w:t>informatīvā ziņojuma projektu</w:t>
            </w:r>
            <w:r w:rsidRPr="00E20255">
              <w:rPr>
                <w:lang w:val="lv-LV"/>
              </w:rPr>
              <w:t>.</w:t>
            </w:r>
            <w:r w:rsidRPr="00E20255" w:rsidR="00E20255">
              <w:rPr>
                <w:lang w:val="lv-LV"/>
              </w:rPr>
              <w:t xml:space="preserve"> </w:t>
            </w:r>
          </w:p>
          <w:p w:rsidRPr="00E20255" w:rsidR="00FF1309" w:rsidP="00E20255" w:rsidRDefault="00FF1309" w14:paraId="2527B842" w14:textId="0CED45B6">
            <w:pPr>
              <w:ind w:right="-8"/>
              <w:jc w:val="both"/>
              <w:rPr>
                <w:lang w:val="lv-LV"/>
              </w:rPr>
            </w:pPr>
          </w:p>
        </w:tc>
      </w:tr>
      <w:tr w:rsidRPr="00E20255" w:rsidR="003A5E8A" w:rsidTr="00F626E1" w14:paraId="60A2666B" w14:textId="77777777">
        <w:trPr>
          <w:jc w:val="center"/>
        </w:trPr>
        <w:tc>
          <w:tcPr>
            <w:tcW w:w="562" w:type="dxa"/>
          </w:tcPr>
          <w:p w:rsidRPr="00E20255" w:rsidR="003A5E8A" w:rsidP="00614E98" w:rsidRDefault="003A5E8A" w14:paraId="0D78B6E9" w14:textId="201D13FF">
            <w:pPr>
              <w:jc w:val="both"/>
              <w:rPr>
                <w:lang w:val="lv-LV"/>
              </w:rPr>
            </w:pPr>
            <w:r>
              <w:rPr>
                <w:lang w:val="lv-LV"/>
              </w:rPr>
              <w:t>2.</w:t>
            </w:r>
          </w:p>
        </w:tc>
        <w:tc>
          <w:tcPr>
            <w:tcW w:w="2835" w:type="dxa"/>
          </w:tcPr>
          <w:p w:rsidRPr="00E20255" w:rsidR="003A5E8A" w:rsidP="00614E98" w:rsidRDefault="003A5E8A" w14:paraId="6B0DD020" w14:textId="77777777">
            <w:pPr>
              <w:jc w:val="both"/>
              <w:rPr>
                <w:color w:val="FF0000"/>
                <w:lang w:val="lv-LV"/>
              </w:rPr>
            </w:pPr>
          </w:p>
        </w:tc>
        <w:tc>
          <w:tcPr>
            <w:tcW w:w="3770" w:type="dxa"/>
          </w:tcPr>
          <w:p w:rsidR="003A5E8A" w:rsidP="00BD00F1" w:rsidRDefault="003A5E8A" w14:paraId="1C8A7A79" w14:textId="3F38312C">
            <w:pPr>
              <w:pStyle w:val="ListParagraph"/>
              <w:ind w:left="66" w:firstLine="0"/>
              <w:rPr>
                <w:b/>
                <w:bCs/>
              </w:rPr>
            </w:pPr>
            <w:r>
              <w:rPr>
                <w:b/>
                <w:bCs/>
              </w:rPr>
              <w:t>Tieslietu ministrija</w:t>
            </w:r>
            <w:r w:rsidR="00EB191B">
              <w:rPr>
                <w:b/>
                <w:bCs/>
              </w:rPr>
              <w:t>s 19.11.2020 atzinums</w:t>
            </w:r>
            <w:r>
              <w:rPr>
                <w:b/>
                <w:bCs/>
              </w:rPr>
              <w:t xml:space="preserve"> </w:t>
            </w:r>
          </w:p>
          <w:p w:rsidR="003A5E8A" w:rsidP="003A5E8A" w:rsidRDefault="003A5E8A" w14:paraId="77FB2443" w14:textId="526CA6AB">
            <w:pPr>
              <w:jc w:val="both"/>
              <w:rPr>
                <w:color w:val="000000"/>
              </w:rPr>
            </w:pPr>
            <w:proofErr w:type="spellStart"/>
            <w:r>
              <w:rPr>
                <w:color w:val="000000"/>
              </w:rPr>
              <w:t>Informatīvais</w:t>
            </w:r>
            <w:proofErr w:type="spellEnd"/>
            <w:r>
              <w:rPr>
                <w:color w:val="000000"/>
              </w:rPr>
              <w:t xml:space="preserve"> </w:t>
            </w:r>
            <w:proofErr w:type="spellStart"/>
            <w:r>
              <w:rPr>
                <w:color w:val="000000"/>
              </w:rPr>
              <w:t>ziņojums</w:t>
            </w:r>
            <w:proofErr w:type="spellEnd"/>
            <w:r>
              <w:rPr>
                <w:color w:val="000000"/>
              </w:rPr>
              <w:t xml:space="preserve"> </w:t>
            </w:r>
            <w:r>
              <w:rPr>
                <w:color w:val="000000"/>
                <w:shd w:val="clear" w:color="auto" w:fill="FFFFFF"/>
              </w:rPr>
              <w:t>“</w:t>
            </w:r>
            <w:r>
              <w:rPr>
                <w:color w:val="000000"/>
              </w:rPr>
              <w:t xml:space="preserve">Par </w:t>
            </w:r>
            <w:proofErr w:type="spellStart"/>
            <w:r>
              <w:rPr>
                <w:color w:val="000000"/>
              </w:rPr>
              <w:t>valsts</w:t>
            </w:r>
            <w:proofErr w:type="spellEnd"/>
            <w:r>
              <w:rPr>
                <w:color w:val="000000"/>
              </w:rPr>
              <w:t xml:space="preserve"> </w:t>
            </w:r>
            <w:proofErr w:type="spellStart"/>
            <w:r>
              <w:rPr>
                <w:color w:val="000000"/>
              </w:rPr>
              <w:t>līdzdalības</w:t>
            </w:r>
            <w:proofErr w:type="spellEnd"/>
            <w:r>
              <w:rPr>
                <w:color w:val="000000"/>
              </w:rPr>
              <w:t xml:space="preserve"> </w:t>
            </w:r>
            <w:proofErr w:type="spellStart"/>
            <w:r>
              <w:rPr>
                <w:color w:val="000000"/>
              </w:rPr>
              <w:t>pārvērtēšanu</w:t>
            </w:r>
            <w:proofErr w:type="spellEnd"/>
            <w:r>
              <w:rPr>
                <w:color w:val="000000"/>
              </w:rPr>
              <w:t xml:space="preserve"> </w:t>
            </w:r>
            <w:proofErr w:type="spellStart"/>
            <w:r>
              <w:rPr>
                <w:color w:val="000000"/>
              </w:rPr>
              <w:t>valsts</w:t>
            </w:r>
            <w:proofErr w:type="spellEnd"/>
            <w:r>
              <w:rPr>
                <w:color w:val="000000"/>
              </w:rPr>
              <w:t xml:space="preserve"> </w:t>
            </w:r>
            <w:proofErr w:type="spellStart"/>
            <w:r>
              <w:rPr>
                <w:color w:val="000000"/>
              </w:rPr>
              <w:t>akciju</w:t>
            </w:r>
            <w:proofErr w:type="spellEnd"/>
            <w:r>
              <w:rPr>
                <w:color w:val="000000"/>
              </w:rPr>
              <w:t xml:space="preserve"> </w:t>
            </w:r>
            <w:proofErr w:type="spellStart"/>
            <w:r>
              <w:rPr>
                <w:color w:val="000000"/>
              </w:rPr>
              <w:t>sabiedrībā</w:t>
            </w:r>
            <w:proofErr w:type="spellEnd"/>
            <w:r>
              <w:rPr>
                <w:color w:val="000000"/>
              </w:rPr>
              <w:t xml:space="preserve"> “</w:t>
            </w:r>
            <w:proofErr w:type="spellStart"/>
            <w:r>
              <w:rPr>
                <w:color w:val="000000"/>
              </w:rPr>
              <w:t>Ceļu</w:t>
            </w:r>
            <w:proofErr w:type="spellEnd"/>
            <w:r>
              <w:rPr>
                <w:color w:val="000000"/>
              </w:rPr>
              <w:t xml:space="preserve"> </w:t>
            </w:r>
            <w:proofErr w:type="spellStart"/>
            <w:r>
              <w:rPr>
                <w:color w:val="000000"/>
              </w:rPr>
              <w:t>satiksmes</w:t>
            </w:r>
            <w:proofErr w:type="spellEnd"/>
            <w:r>
              <w:rPr>
                <w:color w:val="000000"/>
              </w:rPr>
              <w:t xml:space="preserve"> </w:t>
            </w:r>
            <w:proofErr w:type="spellStart"/>
            <w:r>
              <w:rPr>
                <w:color w:val="000000"/>
              </w:rPr>
              <w:t>drošības</w:t>
            </w:r>
            <w:proofErr w:type="spellEnd"/>
            <w:r>
              <w:rPr>
                <w:color w:val="000000"/>
              </w:rPr>
              <w:t xml:space="preserve"> </w:t>
            </w:r>
            <w:proofErr w:type="spellStart"/>
            <w:r>
              <w:rPr>
                <w:color w:val="000000"/>
              </w:rPr>
              <w:t>direkcija</w:t>
            </w:r>
            <w:proofErr w:type="spellEnd"/>
            <w:r>
              <w:rPr>
                <w:color w:val="000000"/>
              </w:rPr>
              <w:t xml:space="preserve">” un </w:t>
            </w:r>
            <w:proofErr w:type="spellStart"/>
            <w:r>
              <w:rPr>
                <w:color w:val="000000"/>
              </w:rPr>
              <w:t>tās</w:t>
            </w:r>
            <w:proofErr w:type="spellEnd"/>
            <w:r>
              <w:rPr>
                <w:color w:val="000000"/>
              </w:rPr>
              <w:t xml:space="preserve"> </w:t>
            </w:r>
            <w:proofErr w:type="spellStart"/>
            <w:r>
              <w:rPr>
                <w:color w:val="000000"/>
              </w:rPr>
              <w:t>vispārējo</w:t>
            </w:r>
            <w:proofErr w:type="spellEnd"/>
            <w:r>
              <w:rPr>
                <w:color w:val="000000"/>
              </w:rPr>
              <w:t xml:space="preserve"> </w:t>
            </w:r>
            <w:proofErr w:type="spellStart"/>
            <w:r>
              <w:rPr>
                <w:color w:val="000000"/>
              </w:rPr>
              <w:t>stratēģisko</w:t>
            </w:r>
            <w:proofErr w:type="spellEnd"/>
            <w:r>
              <w:rPr>
                <w:color w:val="000000"/>
              </w:rPr>
              <w:t xml:space="preserve"> </w:t>
            </w:r>
            <w:proofErr w:type="spellStart"/>
            <w:r>
              <w:rPr>
                <w:color w:val="000000"/>
              </w:rPr>
              <w:t>mērķi</w:t>
            </w:r>
            <w:proofErr w:type="spellEnd"/>
            <w:r>
              <w:rPr>
                <w:color w:val="000000"/>
              </w:rPr>
              <w:t xml:space="preserve">” </w:t>
            </w:r>
            <w:proofErr w:type="spellStart"/>
            <w:r>
              <w:rPr>
                <w:color w:val="000000"/>
              </w:rPr>
              <w:t>nesatur</w:t>
            </w:r>
            <w:proofErr w:type="spellEnd"/>
            <w:r>
              <w:rPr>
                <w:color w:val="000000"/>
              </w:rPr>
              <w:t xml:space="preserve"> </w:t>
            </w:r>
            <w:proofErr w:type="spellStart"/>
            <w:r>
              <w:rPr>
                <w:color w:val="000000"/>
              </w:rPr>
              <w:t>informāciju</w:t>
            </w:r>
            <w:proofErr w:type="spellEnd"/>
            <w:r>
              <w:rPr>
                <w:color w:val="000000"/>
              </w:rPr>
              <w:t xml:space="preserve">, ka </w:t>
            </w:r>
            <w:proofErr w:type="spellStart"/>
            <w:r>
              <w:rPr>
                <w:color w:val="000000"/>
              </w:rPr>
              <w:t>publiskā</w:t>
            </w:r>
            <w:proofErr w:type="spellEnd"/>
            <w:r>
              <w:rPr>
                <w:color w:val="000000"/>
              </w:rPr>
              <w:t xml:space="preserve"> persona </w:t>
            </w:r>
            <w:proofErr w:type="spellStart"/>
            <w:r>
              <w:rPr>
                <w:color w:val="000000"/>
              </w:rPr>
              <w:t>ir</w:t>
            </w:r>
            <w:proofErr w:type="spellEnd"/>
            <w:r>
              <w:rPr>
                <w:color w:val="000000"/>
              </w:rPr>
              <w:t xml:space="preserve"> </w:t>
            </w:r>
            <w:proofErr w:type="spellStart"/>
            <w:r>
              <w:rPr>
                <w:color w:val="000000"/>
              </w:rPr>
              <w:t>konsultējusies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kompetentajām</w:t>
            </w:r>
            <w:proofErr w:type="spellEnd"/>
            <w:r>
              <w:rPr>
                <w:color w:val="000000"/>
              </w:rPr>
              <w:t xml:space="preserve"> </w:t>
            </w:r>
            <w:proofErr w:type="spellStart"/>
            <w:r>
              <w:rPr>
                <w:color w:val="000000"/>
              </w:rPr>
              <w:t>institūcijām</w:t>
            </w:r>
            <w:proofErr w:type="spellEnd"/>
            <w:r>
              <w:rPr>
                <w:color w:val="000000"/>
              </w:rPr>
              <w:t xml:space="preserve"> </w:t>
            </w:r>
            <w:proofErr w:type="spellStart"/>
            <w:r>
              <w:rPr>
                <w:color w:val="000000"/>
              </w:rPr>
              <w:t>konkurences</w:t>
            </w:r>
            <w:proofErr w:type="spellEnd"/>
            <w:r>
              <w:rPr>
                <w:color w:val="000000"/>
              </w:rPr>
              <w:t xml:space="preserve"> </w:t>
            </w:r>
            <w:proofErr w:type="spellStart"/>
            <w:r>
              <w:rPr>
                <w:color w:val="000000"/>
              </w:rPr>
              <w:t>aizsardzības</w:t>
            </w:r>
            <w:proofErr w:type="spellEnd"/>
            <w:r>
              <w:rPr>
                <w:color w:val="000000"/>
              </w:rPr>
              <w:t xml:space="preserve"> </w:t>
            </w:r>
            <w:proofErr w:type="spellStart"/>
            <w:r>
              <w:rPr>
                <w:color w:val="000000"/>
              </w:rPr>
              <w:t>jomā</w:t>
            </w:r>
            <w:proofErr w:type="spellEnd"/>
            <w:r>
              <w:rPr>
                <w:color w:val="000000"/>
              </w:rPr>
              <w:t xml:space="preserve">, </w:t>
            </w:r>
            <w:proofErr w:type="spellStart"/>
            <w:r>
              <w:rPr>
                <w:color w:val="000000"/>
              </w:rPr>
              <w:t>atbilstoši</w:t>
            </w:r>
            <w:proofErr w:type="spellEnd"/>
            <w:r>
              <w:rPr>
                <w:color w:val="000000"/>
              </w:rPr>
              <w:t xml:space="preserve"> </w:t>
            </w:r>
            <w:proofErr w:type="spellStart"/>
            <w:r>
              <w:rPr>
                <w:color w:val="000000"/>
              </w:rPr>
              <w:t>Valsts</w:t>
            </w:r>
            <w:proofErr w:type="spellEnd"/>
            <w:r>
              <w:rPr>
                <w:color w:val="000000"/>
              </w:rPr>
              <w:t xml:space="preserve"> </w:t>
            </w:r>
            <w:proofErr w:type="spellStart"/>
            <w:r>
              <w:rPr>
                <w:color w:val="000000"/>
              </w:rPr>
              <w:t>pārvaldes</w:t>
            </w:r>
            <w:proofErr w:type="spellEnd"/>
            <w:r>
              <w:rPr>
                <w:color w:val="000000"/>
              </w:rPr>
              <w:t xml:space="preserve"> </w:t>
            </w:r>
            <w:proofErr w:type="spellStart"/>
            <w:r>
              <w:rPr>
                <w:color w:val="000000"/>
              </w:rPr>
              <w:t>iekārtas</w:t>
            </w:r>
            <w:proofErr w:type="spellEnd"/>
            <w:r>
              <w:rPr>
                <w:color w:val="000000"/>
              </w:rPr>
              <w:t xml:space="preserve"> </w:t>
            </w:r>
            <w:proofErr w:type="spellStart"/>
            <w:r>
              <w:rPr>
                <w:color w:val="000000"/>
              </w:rPr>
              <w:t>likuma</w:t>
            </w:r>
            <w:proofErr w:type="spellEnd"/>
            <w:r>
              <w:rPr>
                <w:color w:val="000000"/>
              </w:rPr>
              <w:t xml:space="preserve"> 88. </w:t>
            </w:r>
            <w:proofErr w:type="spellStart"/>
            <w:r>
              <w:rPr>
                <w:color w:val="000000"/>
              </w:rPr>
              <w:t>panta</w:t>
            </w:r>
            <w:proofErr w:type="spellEnd"/>
            <w:r>
              <w:rPr>
                <w:color w:val="000000"/>
              </w:rPr>
              <w:t xml:space="preserve"> </w:t>
            </w:r>
            <w:proofErr w:type="spellStart"/>
            <w:r>
              <w:rPr>
                <w:color w:val="000000"/>
              </w:rPr>
              <w:t>otrās</w:t>
            </w:r>
            <w:proofErr w:type="spellEnd"/>
            <w:r>
              <w:rPr>
                <w:color w:val="000000"/>
              </w:rPr>
              <w:t xml:space="preserve"> </w:t>
            </w:r>
            <w:proofErr w:type="spellStart"/>
            <w:r>
              <w:rPr>
                <w:color w:val="000000"/>
              </w:rPr>
              <w:t>daļas</w:t>
            </w:r>
            <w:proofErr w:type="spellEnd"/>
            <w:r>
              <w:rPr>
                <w:color w:val="000000"/>
              </w:rPr>
              <w:t xml:space="preserve"> </w:t>
            </w:r>
            <w:proofErr w:type="spellStart"/>
            <w:r>
              <w:rPr>
                <w:color w:val="000000"/>
              </w:rPr>
              <w:t>prasībām</w:t>
            </w:r>
            <w:proofErr w:type="spellEnd"/>
            <w:r>
              <w:rPr>
                <w:color w:val="000000"/>
              </w:rPr>
              <w:t xml:space="preserve">. </w:t>
            </w:r>
            <w:proofErr w:type="spellStart"/>
            <w:r>
              <w:rPr>
                <w:color w:val="000000"/>
              </w:rPr>
              <w:t>Līdz</w:t>
            </w:r>
            <w:proofErr w:type="spellEnd"/>
            <w:r>
              <w:rPr>
                <w:color w:val="000000"/>
              </w:rPr>
              <w:t xml:space="preserve"> </w:t>
            </w:r>
            <w:proofErr w:type="spellStart"/>
            <w:r>
              <w:rPr>
                <w:color w:val="000000"/>
              </w:rPr>
              <w:t>ar</w:t>
            </w:r>
            <w:proofErr w:type="spellEnd"/>
            <w:r>
              <w:rPr>
                <w:color w:val="000000"/>
              </w:rPr>
              <w:t xml:space="preserve"> to </w:t>
            </w:r>
            <w:proofErr w:type="spellStart"/>
            <w:r>
              <w:rPr>
                <w:color w:val="000000"/>
              </w:rPr>
              <w:t>aicinām</w:t>
            </w:r>
            <w:proofErr w:type="spellEnd"/>
            <w:r>
              <w:rPr>
                <w:color w:val="000000"/>
              </w:rPr>
              <w:t xml:space="preserve"> </w:t>
            </w:r>
            <w:proofErr w:type="spellStart"/>
            <w:r>
              <w:rPr>
                <w:color w:val="000000"/>
              </w:rPr>
              <w:t>pilnveidot</w:t>
            </w:r>
            <w:proofErr w:type="spellEnd"/>
            <w:r>
              <w:rPr>
                <w:color w:val="000000"/>
              </w:rPr>
              <w:t xml:space="preserve"> </w:t>
            </w:r>
            <w:proofErr w:type="spellStart"/>
            <w:r>
              <w:rPr>
                <w:color w:val="000000"/>
              </w:rPr>
              <w:t>valsts</w:t>
            </w:r>
            <w:proofErr w:type="spellEnd"/>
            <w:r>
              <w:rPr>
                <w:color w:val="000000"/>
              </w:rPr>
              <w:t xml:space="preserve"> </w:t>
            </w:r>
            <w:proofErr w:type="spellStart"/>
            <w:r>
              <w:rPr>
                <w:color w:val="000000"/>
              </w:rPr>
              <w:t>līdzdalības</w:t>
            </w:r>
            <w:proofErr w:type="spellEnd"/>
            <w:r>
              <w:rPr>
                <w:color w:val="000000"/>
              </w:rPr>
              <w:t xml:space="preserve"> </w:t>
            </w:r>
            <w:proofErr w:type="spellStart"/>
            <w:r>
              <w:rPr>
                <w:color w:val="000000"/>
              </w:rPr>
              <w:t>valsts</w:t>
            </w:r>
            <w:proofErr w:type="spellEnd"/>
            <w:r>
              <w:rPr>
                <w:color w:val="000000"/>
              </w:rPr>
              <w:t xml:space="preserve"> </w:t>
            </w:r>
            <w:proofErr w:type="spellStart"/>
            <w:r>
              <w:rPr>
                <w:color w:val="000000"/>
              </w:rPr>
              <w:t>akciju</w:t>
            </w:r>
            <w:proofErr w:type="spellEnd"/>
            <w:r>
              <w:rPr>
                <w:color w:val="000000"/>
              </w:rPr>
              <w:t xml:space="preserve"> </w:t>
            </w:r>
            <w:proofErr w:type="spellStart"/>
            <w:r>
              <w:rPr>
                <w:color w:val="000000"/>
              </w:rPr>
              <w:t>sabiedrībā</w:t>
            </w:r>
            <w:proofErr w:type="spellEnd"/>
            <w:r>
              <w:rPr>
                <w:color w:val="000000"/>
              </w:rPr>
              <w:t xml:space="preserve"> </w:t>
            </w:r>
            <w:r>
              <w:rPr>
                <w:color w:val="000000"/>
                <w:shd w:val="clear" w:color="auto" w:fill="FFFFFF"/>
              </w:rPr>
              <w:t>“</w:t>
            </w:r>
            <w:proofErr w:type="spellStart"/>
            <w:r>
              <w:rPr>
                <w:color w:val="000000"/>
              </w:rPr>
              <w:t>Ceļu</w:t>
            </w:r>
            <w:proofErr w:type="spellEnd"/>
            <w:r>
              <w:rPr>
                <w:color w:val="000000"/>
              </w:rPr>
              <w:t xml:space="preserve"> </w:t>
            </w:r>
            <w:proofErr w:type="spellStart"/>
            <w:r>
              <w:rPr>
                <w:color w:val="000000"/>
              </w:rPr>
              <w:t>satiksmes</w:t>
            </w:r>
            <w:proofErr w:type="spellEnd"/>
            <w:r>
              <w:rPr>
                <w:color w:val="000000"/>
              </w:rPr>
              <w:t xml:space="preserve"> </w:t>
            </w:r>
            <w:proofErr w:type="spellStart"/>
            <w:r>
              <w:rPr>
                <w:color w:val="000000"/>
              </w:rPr>
              <w:t>drošības</w:t>
            </w:r>
            <w:proofErr w:type="spellEnd"/>
            <w:r>
              <w:rPr>
                <w:color w:val="000000"/>
              </w:rPr>
              <w:t xml:space="preserve"> </w:t>
            </w:r>
            <w:proofErr w:type="spellStart"/>
            <w:r w:rsidR="006F773D">
              <w:rPr>
                <w:color w:val="000000"/>
              </w:rPr>
              <w:t>direkcija</w:t>
            </w:r>
            <w:proofErr w:type="spellEnd"/>
            <w:r w:rsidR="006F773D">
              <w:rPr>
                <w:color w:val="000000"/>
                <w:shd w:val="clear" w:color="auto" w:fill="FFFFFF"/>
              </w:rPr>
              <w:t xml:space="preserve">” </w:t>
            </w:r>
            <w:proofErr w:type="spellStart"/>
            <w:r w:rsidR="006F773D">
              <w:rPr>
                <w:color w:val="000000"/>
                <w:shd w:val="clear" w:color="auto" w:fill="FFFFFF"/>
              </w:rPr>
              <w:t>izvērtējumu</w:t>
            </w:r>
            <w:proofErr w:type="spellEnd"/>
            <w:r>
              <w:rPr>
                <w:color w:val="000000"/>
              </w:rPr>
              <w:t xml:space="preserve"> un </w:t>
            </w:r>
            <w:proofErr w:type="spellStart"/>
            <w:r>
              <w:rPr>
                <w:color w:val="000000"/>
              </w:rPr>
              <w:t>konsultēties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kompetentajām</w:t>
            </w:r>
            <w:proofErr w:type="spellEnd"/>
            <w:r>
              <w:rPr>
                <w:color w:val="000000"/>
              </w:rPr>
              <w:t xml:space="preserve"> </w:t>
            </w:r>
            <w:proofErr w:type="spellStart"/>
            <w:r>
              <w:rPr>
                <w:color w:val="000000"/>
              </w:rPr>
              <w:t>institūcijām</w:t>
            </w:r>
            <w:proofErr w:type="spellEnd"/>
            <w:r>
              <w:rPr>
                <w:color w:val="000000"/>
              </w:rPr>
              <w:t xml:space="preserve"> </w:t>
            </w:r>
            <w:proofErr w:type="spellStart"/>
            <w:r>
              <w:rPr>
                <w:color w:val="000000"/>
              </w:rPr>
              <w:t>konkurences</w:t>
            </w:r>
            <w:proofErr w:type="spellEnd"/>
            <w:r>
              <w:rPr>
                <w:color w:val="000000"/>
              </w:rPr>
              <w:t xml:space="preserve"> </w:t>
            </w:r>
            <w:proofErr w:type="spellStart"/>
            <w:r>
              <w:rPr>
                <w:color w:val="000000"/>
              </w:rPr>
              <w:t>aizsardzības</w:t>
            </w:r>
            <w:proofErr w:type="spellEnd"/>
            <w:r>
              <w:rPr>
                <w:color w:val="000000"/>
              </w:rPr>
              <w:t xml:space="preserve"> </w:t>
            </w:r>
            <w:proofErr w:type="spellStart"/>
            <w:r>
              <w:rPr>
                <w:color w:val="000000"/>
              </w:rPr>
              <w:t>jomā</w:t>
            </w:r>
            <w:proofErr w:type="spellEnd"/>
            <w:r>
              <w:rPr>
                <w:color w:val="000000"/>
              </w:rPr>
              <w:t>.  </w:t>
            </w:r>
          </w:p>
          <w:p w:rsidRPr="00E20255" w:rsidR="003A5E8A" w:rsidP="00BD00F1" w:rsidRDefault="003A5E8A" w14:paraId="0BF64068" w14:textId="31AB87EE">
            <w:pPr>
              <w:pStyle w:val="ListParagraph"/>
              <w:ind w:left="66" w:firstLine="0"/>
              <w:rPr>
                <w:b/>
                <w:bCs/>
              </w:rPr>
            </w:pPr>
          </w:p>
        </w:tc>
        <w:tc>
          <w:tcPr>
            <w:tcW w:w="3176" w:type="dxa"/>
          </w:tcPr>
          <w:p w:rsidRPr="00E20255" w:rsidR="003A5E8A" w:rsidP="00614E98" w:rsidRDefault="003A5E8A" w14:paraId="0111951A" w14:textId="37E67942">
            <w:pPr>
              <w:jc w:val="both"/>
              <w:rPr>
                <w:b/>
                <w:lang w:val="lv-LV"/>
              </w:rPr>
            </w:pPr>
            <w:r w:rsidRPr="00E20255">
              <w:rPr>
                <w:b/>
                <w:lang w:val="lv-LV"/>
              </w:rPr>
              <w:t>Iebildums ņemts vērā.</w:t>
            </w:r>
          </w:p>
        </w:tc>
        <w:tc>
          <w:tcPr>
            <w:tcW w:w="3398" w:type="dxa"/>
          </w:tcPr>
          <w:p w:rsidRPr="00E20255" w:rsidR="003A5E8A" w:rsidP="003A5E8A" w:rsidRDefault="003A5E8A" w14:paraId="5FA53997" w14:textId="77777777">
            <w:pPr>
              <w:jc w:val="both"/>
              <w:rPr>
                <w:lang w:val="lv-LV"/>
              </w:rPr>
            </w:pPr>
            <w:r w:rsidRPr="00E20255">
              <w:rPr>
                <w:lang w:val="lv-LV"/>
              </w:rPr>
              <w:t xml:space="preserve">Skat. precizēto informatīvā ziņojuma projektu. </w:t>
            </w:r>
          </w:p>
          <w:p w:rsidRPr="00E20255" w:rsidR="003A5E8A" w:rsidP="00E20255" w:rsidRDefault="003A5E8A" w14:paraId="1A91A638" w14:textId="77777777">
            <w:pPr>
              <w:jc w:val="both"/>
              <w:rPr>
                <w:lang w:val="lv-LV"/>
              </w:rPr>
            </w:pPr>
          </w:p>
        </w:tc>
      </w:tr>
      <w:tr w:rsidRPr="00E20255" w:rsidR="007F73DC" w:rsidTr="00F626E1" w14:paraId="00771BE9" w14:textId="77777777">
        <w:trPr>
          <w:jc w:val="center"/>
        </w:trPr>
        <w:tc>
          <w:tcPr>
            <w:tcW w:w="562" w:type="dxa"/>
          </w:tcPr>
          <w:p w:rsidRPr="00E20255" w:rsidR="007F73DC" w:rsidP="00614E98" w:rsidRDefault="0041174E" w14:paraId="32F98F56" w14:textId="073D3A58">
            <w:pPr>
              <w:jc w:val="both"/>
              <w:rPr>
                <w:lang w:val="lv-LV"/>
              </w:rPr>
            </w:pPr>
            <w:r>
              <w:rPr>
                <w:lang w:val="lv-LV"/>
              </w:rPr>
              <w:t>3</w:t>
            </w:r>
            <w:r w:rsidRPr="00E20255" w:rsidR="007F73DC">
              <w:rPr>
                <w:lang w:val="lv-LV"/>
              </w:rPr>
              <w:t>.</w:t>
            </w:r>
          </w:p>
        </w:tc>
        <w:tc>
          <w:tcPr>
            <w:tcW w:w="2835" w:type="dxa"/>
          </w:tcPr>
          <w:p w:rsidRPr="00E20255" w:rsidR="007F73DC" w:rsidP="00614E98" w:rsidRDefault="007F73DC" w14:paraId="2AFC964F" w14:textId="77777777">
            <w:pPr>
              <w:jc w:val="both"/>
              <w:rPr>
                <w:color w:val="FF0000"/>
                <w:lang w:val="lv-LV"/>
              </w:rPr>
            </w:pPr>
          </w:p>
        </w:tc>
        <w:tc>
          <w:tcPr>
            <w:tcW w:w="3770" w:type="dxa"/>
          </w:tcPr>
          <w:p w:rsidRPr="00F800D8" w:rsidR="00166DAE" w:rsidP="00F800D8" w:rsidRDefault="00166DAE" w14:paraId="32206C56" w14:textId="70C89961">
            <w:pPr>
              <w:rPr>
                <w:rFonts w:eastAsia="Calibri"/>
                <w:b/>
                <w:lang w:val="lv-LV"/>
              </w:rPr>
            </w:pPr>
            <w:r w:rsidRPr="00E20255">
              <w:rPr>
                <w:rFonts w:eastAsia="Calibri"/>
                <w:b/>
                <w:lang w:val="lv-LV"/>
              </w:rPr>
              <w:t>Konkurences padomes atzinums Nr. 1.8-2/1136</w:t>
            </w:r>
          </w:p>
          <w:p w:rsidRPr="00E20255" w:rsidR="007F73DC" w:rsidP="00614E98" w:rsidRDefault="00166DAE" w14:paraId="79C0D387" w14:textId="2BFD5E89">
            <w:pPr>
              <w:pStyle w:val="ListParagraph"/>
              <w:ind w:left="40" w:firstLine="0"/>
              <w:rPr>
                <w:bCs/>
              </w:rPr>
            </w:pPr>
            <w:r w:rsidRPr="00E20255">
              <w:rPr>
                <w:bCs/>
              </w:rPr>
              <w:t>1.</w:t>
            </w:r>
            <w:r w:rsidRPr="00E20255">
              <w:t xml:space="preserve"> </w:t>
            </w:r>
            <w:r w:rsidRPr="00E20255">
              <w:rPr>
                <w:bCs/>
              </w:rPr>
              <w:t xml:space="preserve">KP aicina Informatīvajā ziņojumā detalizētāk pamatot tehniskās kontroles tirgū īstenotos CSDD pasākumus un darbības, kas ietekmē tehniskās kontroles tirgu pakalpojuma tirgu, t.i., tādus, kam ir tirgus dalībnieku esošo un potenciālo konkurenci ierobežojošs raksturs. Piemēram, CSDD būtiski ierobežo tehniskās kontroles staciju </w:t>
            </w:r>
            <w:r w:rsidRPr="00E20255">
              <w:rPr>
                <w:bCs/>
              </w:rPr>
              <w:lastRenderedPageBreak/>
              <w:t>savstarpējo konkurenci, nosakot to izvietojumu un skaitu, rada būtiskas barjeras ienākšanai tirgū, nodrošinot priekšrocības atsevišķiem privātajiem tirgus dalībniekiem, kas darbojas tirgū. Minētie aspekti līdz šim nav pilnvērtīgi izvērtēti, ņemot vērā to ietekmes uz tirgu ekonomiskos aspektus un iespējamo kaitējumu vai ieguvumu patērētājiem. Kā jau KP norādījusi Tirgus uzraudzības ziņojumā, ja ir noteiktas stingras un objektīvas akreditācijas prasības, nav objektīva pamata ierobežot tirgus dalībnieku skaitu un nepieļaut konkurenci starp tiem par patērētāju. Tirgus atvēršana palielinātu pakalpojuma pieejamību patērētājiem, kā arī samazinātu risku pārmērīgi augstu cenu piemērošanai.</w:t>
            </w:r>
          </w:p>
          <w:p w:rsidRPr="00E20255" w:rsidR="00166DAE" w:rsidP="00614E98" w:rsidRDefault="00166DAE" w14:paraId="371F13CA" w14:textId="4CE1492B">
            <w:pPr>
              <w:pStyle w:val="ListParagraph"/>
              <w:ind w:left="40" w:firstLine="0"/>
              <w:rPr>
                <w:b/>
              </w:rPr>
            </w:pPr>
          </w:p>
        </w:tc>
        <w:tc>
          <w:tcPr>
            <w:tcW w:w="3176" w:type="dxa"/>
          </w:tcPr>
          <w:p w:rsidR="00B72724" w:rsidP="00A31332" w:rsidRDefault="00B72724" w14:paraId="22D363AF" w14:textId="156DB132">
            <w:pPr>
              <w:jc w:val="both"/>
              <w:rPr>
                <w:b/>
              </w:rPr>
            </w:pPr>
            <w:r>
              <w:rPr>
                <w:b/>
              </w:rPr>
              <w:lastRenderedPageBreak/>
              <w:t xml:space="preserve"> </w:t>
            </w:r>
            <w:proofErr w:type="spellStart"/>
            <w:r w:rsidR="00EB191B">
              <w:rPr>
                <w:b/>
              </w:rPr>
              <w:t>Panākta</w:t>
            </w:r>
            <w:proofErr w:type="spellEnd"/>
            <w:r w:rsidR="00EB191B">
              <w:rPr>
                <w:b/>
              </w:rPr>
              <w:t xml:space="preserve"> </w:t>
            </w:r>
            <w:proofErr w:type="spellStart"/>
            <w:r w:rsidR="00EB191B">
              <w:rPr>
                <w:b/>
              </w:rPr>
              <w:t>vienošanās</w:t>
            </w:r>
            <w:proofErr w:type="spellEnd"/>
            <w:r w:rsidR="00EB191B">
              <w:rPr>
                <w:b/>
              </w:rPr>
              <w:t xml:space="preserve"> </w:t>
            </w:r>
            <w:proofErr w:type="spellStart"/>
            <w:r w:rsidR="00EB191B">
              <w:rPr>
                <w:b/>
              </w:rPr>
              <w:t>elektroniskās</w:t>
            </w:r>
            <w:proofErr w:type="spellEnd"/>
            <w:r w:rsidR="00EB191B">
              <w:rPr>
                <w:b/>
              </w:rPr>
              <w:t xml:space="preserve"> </w:t>
            </w:r>
            <w:proofErr w:type="spellStart"/>
            <w:r w:rsidR="00EB191B">
              <w:rPr>
                <w:b/>
              </w:rPr>
              <w:t>saskaņošanas</w:t>
            </w:r>
            <w:proofErr w:type="spellEnd"/>
            <w:r w:rsidR="00EB191B">
              <w:rPr>
                <w:b/>
              </w:rPr>
              <w:t xml:space="preserve"> </w:t>
            </w:r>
            <w:proofErr w:type="spellStart"/>
            <w:r w:rsidR="00EB191B">
              <w:rPr>
                <w:b/>
              </w:rPr>
              <w:t>sanāksmē</w:t>
            </w:r>
            <w:proofErr w:type="spellEnd"/>
            <w:r w:rsidR="00EB191B">
              <w:rPr>
                <w:b/>
              </w:rPr>
              <w:t>.</w:t>
            </w:r>
          </w:p>
          <w:p w:rsidRPr="00E20255" w:rsidR="007F73DC" w:rsidP="00614E98" w:rsidRDefault="007F73DC" w14:paraId="2DA67E0A" w14:textId="22A3F00A">
            <w:pPr>
              <w:jc w:val="both"/>
              <w:rPr>
                <w:b/>
                <w:lang w:val="lv-LV"/>
              </w:rPr>
            </w:pPr>
          </w:p>
          <w:p w:rsidRPr="00E20255" w:rsidR="007F73DC" w:rsidP="00614E98" w:rsidRDefault="006D23C7" w14:paraId="3E4703F9" w14:textId="26EA0C48">
            <w:pPr>
              <w:jc w:val="both"/>
              <w:rPr>
                <w:b/>
                <w:lang w:val="lv-LV"/>
              </w:rPr>
            </w:pPr>
            <w:r w:rsidRPr="00E20255">
              <w:rPr>
                <w:lang w:val="lv-LV"/>
              </w:rPr>
              <w:t xml:space="preserve">2020.gada 11.augustā Ministru kabinetā tika pieņemts zināšanai informatīvais ziņojums “Par tehniskās apskates pakalpojuma attīstību 2021.-2030.gadam” un atbalstīta tajā paredzēto pasākumu īstenošana. </w:t>
            </w:r>
            <w:r w:rsidRPr="00E20255">
              <w:rPr>
                <w:lang w:val="lv-LV"/>
              </w:rPr>
              <w:lastRenderedPageBreak/>
              <w:t>Inform</w:t>
            </w:r>
            <w:r>
              <w:rPr>
                <w:lang w:val="lv-LV"/>
              </w:rPr>
              <w:t>a</w:t>
            </w:r>
            <w:r w:rsidRPr="00E20255">
              <w:rPr>
                <w:lang w:val="lv-LV"/>
              </w:rPr>
              <w:t>t</w:t>
            </w:r>
            <w:r>
              <w:rPr>
                <w:lang w:val="lv-LV"/>
              </w:rPr>
              <w:t>ī</w:t>
            </w:r>
            <w:r w:rsidRPr="00E20255">
              <w:rPr>
                <w:lang w:val="lv-LV"/>
              </w:rPr>
              <w:t>vajā ziņojumā “Par tehniskās apskates pakalpojuma attīstību 2021.-2030.gadam” jau ir noteikti CSDD pasākumi un darbības tehniskās kontroles pakalpojumu tirgū. Lai novērstu pasākumu un darbību dublēšanos, detalizācijas pakāpes vai atšķirīgu saturisko izklāstu dažādos plānošanas dokumentos, CSDD pasākumu un darbību tehniskās kontroles pakalpojumu tirgū detalizācijas informatīvajā ziņojumā</w:t>
            </w:r>
            <w:r>
              <w:t xml:space="preserve"> “</w:t>
            </w:r>
            <w:r w:rsidRPr="00E20255">
              <w:rPr>
                <w:lang w:val="lv-LV"/>
              </w:rPr>
              <w:t xml:space="preserve">Par valsts līdzdalības pārvērtēšanu valsts akciju sabiedrībā </w:t>
            </w:r>
            <w:r>
              <w:rPr>
                <w:lang w:val="lv-LV"/>
              </w:rPr>
              <w:t>“</w:t>
            </w:r>
            <w:r w:rsidRPr="00E20255">
              <w:rPr>
                <w:lang w:val="lv-LV"/>
              </w:rPr>
              <w:t>Ceļu satiksmes drošības direkcija</w:t>
            </w:r>
            <w:r>
              <w:rPr>
                <w:lang w:val="lv-LV"/>
              </w:rPr>
              <w:t>”</w:t>
            </w:r>
            <w:r w:rsidRPr="00E20255">
              <w:rPr>
                <w:lang w:val="lv-LV"/>
              </w:rPr>
              <w:t xml:space="preserve"> un tās vispārējo stratēģisko mērķi</w:t>
            </w:r>
            <w:r>
              <w:rPr>
                <w:lang w:val="lv-LV"/>
              </w:rPr>
              <w:t>”</w:t>
            </w:r>
            <w:r w:rsidRPr="00E20255">
              <w:rPr>
                <w:lang w:val="lv-LV"/>
              </w:rPr>
              <w:t xml:space="preserve"> nebūtu pieļaujama.</w:t>
            </w:r>
          </w:p>
        </w:tc>
        <w:tc>
          <w:tcPr>
            <w:tcW w:w="3398" w:type="dxa"/>
          </w:tcPr>
          <w:p w:rsidRPr="00E20255" w:rsidR="007F73DC" w:rsidP="00E20255" w:rsidRDefault="007F73DC" w14:paraId="45704E42" w14:textId="461B787C">
            <w:pPr>
              <w:ind w:right="-8"/>
              <w:jc w:val="both"/>
              <w:rPr>
                <w:lang w:val="lv-LV"/>
              </w:rPr>
            </w:pPr>
          </w:p>
        </w:tc>
      </w:tr>
      <w:tr w:rsidRPr="00E20255" w:rsidR="00166DAE" w:rsidTr="00F626E1" w14:paraId="34F19198" w14:textId="77777777">
        <w:trPr>
          <w:jc w:val="center"/>
        </w:trPr>
        <w:tc>
          <w:tcPr>
            <w:tcW w:w="562" w:type="dxa"/>
          </w:tcPr>
          <w:p w:rsidRPr="00E20255" w:rsidR="00166DAE" w:rsidP="00614E98" w:rsidRDefault="0041174E" w14:paraId="4E9531BF" w14:textId="73894EAE">
            <w:pPr>
              <w:jc w:val="both"/>
              <w:rPr>
                <w:lang w:val="lv-LV"/>
              </w:rPr>
            </w:pPr>
            <w:r>
              <w:rPr>
                <w:lang w:val="lv-LV"/>
              </w:rPr>
              <w:t>4</w:t>
            </w:r>
            <w:r w:rsidRPr="00E20255" w:rsidR="00166DAE">
              <w:rPr>
                <w:lang w:val="lv-LV"/>
              </w:rPr>
              <w:t>.</w:t>
            </w:r>
          </w:p>
        </w:tc>
        <w:tc>
          <w:tcPr>
            <w:tcW w:w="2835" w:type="dxa"/>
          </w:tcPr>
          <w:p w:rsidRPr="00E20255" w:rsidR="00166DAE" w:rsidP="00614E98" w:rsidRDefault="00166DAE" w14:paraId="4CA25D14" w14:textId="77777777">
            <w:pPr>
              <w:jc w:val="both"/>
              <w:rPr>
                <w:bCs/>
                <w:color w:val="FF0000"/>
                <w:lang w:val="lv-LV"/>
              </w:rPr>
            </w:pPr>
          </w:p>
        </w:tc>
        <w:tc>
          <w:tcPr>
            <w:tcW w:w="3770" w:type="dxa"/>
          </w:tcPr>
          <w:p w:rsidRPr="00F800D8" w:rsidR="00F800D8" w:rsidP="00F800D8" w:rsidRDefault="00F800D8" w14:paraId="75E7D431" w14:textId="5BBCF31C">
            <w:pPr>
              <w:rPr>
                <w:rFonts w:eastAsia="Calibri"/>
                <w:b/>
                <w:lang w:val="lv-LV"/>
              </w:rPr>
            </w:pPr>
            <w:r w:rsidRPr="00E20255">
              <w:rPr>
                <w:rFonts w:eastAsia="Calibri"/>
                <w:b/>
                <w:lang w:val="lv-LV"/>
              </w:rPr>
              <w:t>Konkurences padomes atzinums Nr. 1.8-2/1136</w:t>
            </w:r>
          </w:p>
          <w:p w:rsidRPr="00E20255" w:rsidR="00166DAE" w:rsidP="006D23C7" w:rsidRDefault="00166DAE" w14:paraId="0BD9A94D" w14:textId="1287918F">
            <w:pPr>
              <w:jc w:val="both"/>
              <w:rPr>
                <w:rFonts w:eastAsia="Calibri"/>
                <w:bCs/>
                <w:lang w:val="lv-LV"/>
              </w:rPr>
            </w:pPr>
            <w:r w:rsidRPr="00E20255">
              <w:rPr>
                <w:rFonts w:eastAsia="Calibri"/>
                <w:bCs/>
                <w:lang w:val="lv-LV"/>
              </w:rPr>
              <w:t xml:space="preserve">2. </w:t>
            </w:r>
            <w:proofErr w:type="spellStart"/>
            <w:r w:rsidRPr="00E20255">
              <w:rPr>
                <w:rFonts w:eastAsia="Calibri"/>
                <w:bCs/>
                <w:lang w:val="lv-LV"/>
              </w:rPr>
              <w:t>Elektrotransportlīdzekļu</w:t>
            </w:r>
            <w:proofErr w:type="spellEnd"/>
            <w:r w:rsidRPr="00E20255">
              <w:rPr>
                <w:rFonts w:eastAsia="Calibri"/>
                <w:bCs/>
                <w:lang w:val="lv-LV"/>
              </w:rPr>
              <w:t xml:space="preserve"> uzlādes pakalpojumus sniedz arī citi komersanti, tomēr tas nav pietiekoši, lai nodrošinātu </w:t>
            </w:r>
            <w:proofErr w:type="spellStart"/>
            <w:r w:rsidRPr="00E20255">
              <w:rPr>
                <w:rFonts w:eastAsia="Calibri"/>
                <w:bCs/>
                <w:lang w:val="lv-LV"/>
              </w:rPr>
              <w:t>elektrotransportlīdzekļu</w:t>
            </w:r>
            <w:proofErr w:type="spellEnd"/>
            <w:r w:rsidRPr="00E20255">
              <w:rPr>
                <w:rFonts w:eastAsia="Calibri"/>
                <w:bCs/>
                <w:lang w:val="lv-LV"/>
              </w:rPr>
              <w:t xml:space="preserve"> tirgus attīstībai nepieciešamo uzlādes tīkla infrastruktūru. Tādējādi secināms, ka CSDD, sniedzot </w:t>
            </w:r>
            <w:proofErr w:type="spellStart"/>
            <w:r w:rsidRPr="00E20255">
              <w:rPr>
                <w:rFonts w:eastAsia="Calibri"/>
                <w:bCs/>
                <w:lang w:val="lv-LV"/>
              </w:rPr>
              <w:t>elektrotransportlīdzekļu</w:t>
            </w:r>
            <w:proofErr w:type="spellEnd"/>
            <w:r w:rsidRPr="00E20255">
              <w:rPr>
                <w:rFonts w:eastAsia="Calibri"/>
                <w:bCs/>
                <w:lang w:val="lv-LV"/>
              </w:rPr>
              <w:t xml:space="preserve"> ātrās uzlādes staciju tīkla izveidi un uzturēšanu, pašreiz novērš tirgus nepilnību, vienlaikus KP ieskatā </w:t>
            </w:r>
            <w:r w:rsidRPr="00E20255">
              <w:rPr>
                <w:rFonts w:eastAsia="Calibri"/>
                <w:bCs/>
                <w:lang w:val="lv-LV"/>
              </w:rPr>
              <w:lastRenderedPageBreak/>
              <w:t xml:space="preserve">nepieciešams informatīvo ziņojumu papildināt ar iespējamo rīcības modeli tālākā tirgus attīstības stadijā, vērtējot iespēju </w:t>
            </w:r>
            <w:proofErr w:type="spellStart"/>
            <w:r w:rsidRPr="00E20255">
              <w:rPr>
                <w:rFonts w:eastAsia="Calibri"/>
                <w:bCs/>
                <w:lang w:val="lv-LV"/>
              </w:rPr>
              <w:t>elektrotransportlīdzekļu</w:t>
            </w:r>
            <w:proofErr w:type="spellEnd"/>
            <w:r w:rsidRPr="00E20255">
              <w:rPr>
                <w:rFonts w:eastAsia="Calibri"/>
                <w:bCs/>
                <w:lang w:val="lv-LV"/>
              </w:rPr>
              <w:t xml:space="preserve"> uzlādes tīkla infrastruktūru iznomāt privātajiem tirgus dalībniekiem.</w:t>
            </w:r>
          </w:p>
        </w:tc>
        <w:tc>
          <w:tcPr>
            <w:tcW w:w="3176" w:type="dxa"/>
          </w:tcPr>
          <w:p w:rsidR="00B72724" w:rsidP="00614E98" w:rsidRDefault="0041174E" w14:paraId="13EB195B" w14:textId="723AB63B">
            <w:pPr>
              <w:jc w:val="both"/>
              <w:rPr>
                <w:b/>
              </w:rPr>
            </w:pPr>
            <w:proofErr w:type="spellStart"/>
            <w:r>
              <w:rPr>
                <w:b/>
              </w:rPr>
              <w:lastRenderedPageBreak/>
              <w:t>Panākta</w:t>
            </w:r>
            <w:proofErr w:type="spellEnd"/>
            <w:r>
              <w:rPr>
                <w:b/>
              </w:rPr>
              <w:t xml:space="preserve"> </w:t>
            </w:r>
            <w:proofErr w:type="spellStart"/>
            <w:r>
              <w:rPr>
                <w:b/>
              </w:rPr>
              <w:t>vienošanās</w:t>
            </w:r>
            <w:proofErr w:type="spellEnd"/>
            <w:r w:rsidR="00B72724">
              <w:rPr>
                <w:b/>
              </w:rPr>
              <w:t xml:space="preserve"> </w:t>
            </w:r>
            <w:proofErr w:type="spellStart"/>
            <w:r w:rsidR="00B72724">
              <w:rPr>
                <w:b/>
              </w:rPr>
              <w:t>elektroniskās</w:t>
            </w:r>
            <w:proofErr w:type="spellEnd"/>
            <w:r w:rsidR="00B72724">
              <w:rPr>
                <w:b/>
              </w:rPr>
              <w:t xml:space="preserve"> </w:t>
            </w:r>
            <w:proofErr w:type="spellStart"/>
            <w:r w:rsidR="00B72724">
              <w:rPr>
                <w:b/>
              </w:rPr>
              <w:t>saskaņošanas</w:t>
            </w:r>
            <w:proofErr w:type="spellEnd"/>
            <w:r w:rsidR="00B72724">
              <w:rPr>
                <w:b/>
              </w:rPr>
              <w:t xml:space="preserve"> </w:t>
            </w:r>
            <w:proofErr w:type="spellStart"/>
            <w:r w:rsidR="00B72724">
              <w:rPr>
                <w:b/>
              </w:rPr>
              <w:t>sanāksmē</w:t>
            </w:r>
            <w:proofErr w:type="spellEnd"/>
            <w:r w:rsidR="00B72724">
              <w:rPr>
                <w:b/>
              </w:rPr>
              <w:t>.</w:t>
            </w:r>
          </w:p>
          <w:p w:rsidRPr="006D23C7" w:rsidR="006D23C7" w:rsidP="00614E98" w:rsidRDefault="006D23C7" w14:paraId="3840AB11" w14:textId="4D857520">
            <w:pPr>
              <w:jc w:val="both"/>
              <w:rPr>
                <w:bCs/>
                <w:lang w:val="lv-LV"/>
              </w:rPr>
            </w:pPr>
            <w:r w:rsidRPr="006D23C7">
              <w:rPr>
                <w:bCs/>
                <w:lang w:val="lv-LV"/>
              </w:rPr>
              <w:t xml:space="preserve">Atbilstoši 2015.gada 3.novembra Ministru kabineta noteikumiem Nr.637 “Darbības programmas "Izaugsme un nodarbinātība" 4.4.1. specifiskā atbalsta mērķa “Attīstīt ETL uzlādes infrastruktūru Latvijā” īstenošanas noteikumi” CSDD jānodrošina ERAF projekta Nr.4.4.1.0/16/I/001 rezultātu </w:t>
            </w:r>
            <w:r w:rsidRPr="006D23C7">
              <w:rPr>
                <w:bCs/>
                <w:lang w:val="lv-LV"/>
              </w:rPr>
              <w:lastRenderedPageBreak/>
              <w:t xml:space="preserve">ilgtspēja līdz 2022.gada 9.janvārī. Savukārt 2016.gada 9.februārī noslēgtā Satiksmes ministrijas un CSDD deleģēšanas līguma Nr.SM2016/-9 par </w:t>
            </w:r>
            <w:proofErr w:type="spellStart"/>
            <w:r w:rsidRPr="006D23C7">
              <w:rPr>
                <w:bCs/>
                <w:lang w:val="lv-LV"/>
              </w:rPr>
              <w:t>elektromobilitātes</w:t>
            </w:r>
            <w:proofErr w:type="spellEnd"/>
            <w:r w:rsidRPr="006D23C7">
              <w:rPr>
                <w:bCs/>
                <w:lang w:val="lv-LV"/>
              </w:rPr>
              <w:t xml:space="preserve"> infrastruktūras izveidošanu un uzturēšanu darbības termiņš ir līdz 2027.gada 31.augustam, kas arī ir  termiņš līdz kuram CSDD nepieciešams nodrošināt nacionālā līmeņa </w:t>
            </w:r>
            <w:proofErr w:type="spellStart"/>
            <w:r w:rsidRPr="006D23C7">
              <w:rPr>
                <w:bCs/>
                <w:lang w:val="lv-LV"/>
              </w:rPr>
              <w:t>elektrotransportlīdzekļu</w:t>
            </w:r>
            <w:proofErr w:type="spellEnd"/>
            <w:r w:rsidRPr="006D23C7">
              <w:rPr>
                <w:bCs/>
                <w:lang w:val="lv-LV"/>
              </w:rPr>
              <w:t xml:space="preserve"> uzlādes infrastruktūras objektu tīkla uzturēšanu, nodrošinot </w:t>
            </w:r>
            <w:proofErr w:type="spellStart"/>
            <w:r w:rsidRPr="006D23C7">
              <w:rPr>
                <w:bCs/>
                <w:lang w:val="lv-LV"/>
              </w:rPr>
              <w:t>elektrotransportlīdzekļu</w:t>
            </w:r>
            <w:proofErr w:type="spellEnd"/>
            <w:r w:rsidRPr="006D23C7">
              <w:rPr>
                <w:bCs/>
                <w:lang w:val="lv-LV"/>
              </w:rPr>
              <w:t xml:space="preserve"> lietošanas iespēju visā Latvijas teritorijā. Šobrīd informatīvajā ziņojumā nav iespējams ietvert iespējamo rīcības modeli tālākā tirgus attīstības stadijā, jo šādus plānus, pieņēmumus un prognozes var veikt tikai pēc ERAF projekta Nr.4.4.1.0/16/I/001 termiņa un deleģēšanas līguma darbības beigām, kā arī ievērojot tā brīža ekonomiskos, tirgus, sociālos u.c. apsvērumus.</w:t>
            </w:r>
          </w:p>
        </w:tc>
        <w:tc>
          <w:tcPr>
            <w:tcW w:w="3398" w:type="dxa"/>
          </w:tcPr>
          <w:p w:rsidRPr="00E20255" w:rsidR="00096983" w:rsidP="00096983" w:rsidRDefault="00096983" w14:paraId="23EF7894" w14:textId="78EB7C51">
            <w:pPr>
              <w:ind w:right="-8"/>
              <w:jc w:val="both"/>
              <w:rPr>
                <w:lang w:val="lv-LV"/>
              </w:rPr>
            </w:pPr>
          </w:p>
        </w:tc>
      </w:tr>
      <w:tr w:rsidRPr="00E20255" w:rsidR="00166DAE" w:rsidTr="00F626E1" w14:paraId="57367190" w14:textId="77777777">
        <w:trPr>
          <w:trHeight w:val="1975"/>
          <w:jc w:val="center"/>
        </w:trPr>
        <w:tc>
          <w:tcPr>
            <w:tcW w:w="562" w:type="dxa"/>
          </w:tcPr>
          <w:p w:rsidRPr="00E20255" w:rsidR="00166DAE" w:rsidP="00614E98" w:rsidRDefault="0041174E" w14:paraId="0D4256C6" w14:textId="072246F9">
            <w:pPr>
              <w:jc w:val="both"/>
              <w:rPr>
                <w:lang w:val="lv-LV"/>
              </w:rPr>
            </w:pPr>
            <w:r>
              <w:rPr>
                <w:lang w:val="lv-LV"/>
              </w:rPr>
              <w:lastRenderedPageBreak/>
              <w:t>5</w:t>
            </w:r>
            <w:r w:rsidRPr="00E20255" w:rsidR="00166DAE">
              <w:rPr>
                <w:lang w:val="lv-LV"/>
              </w:rPr>
              <w:t>.</w:t>
            </w:r>
          </w:p>
          <w:p w:rsidRPr="00E20255" w:rsidR="00166DAE" w:rsidP="00614E98" w:rsidRDefault="00166DAE" w14:paraId="51BB1E9B" w14:textId="77777777">
            <w:pPr>
              <w:jc w:val="both"/>
              <w:rPr>
                <w:lang w:val="lv-LV"/>
              </w:rPr>
            </w:pPr>
          </w:p>
          <w:p w:rsidRPr="00E20255" w:rsidR="00166DAE" w:rsidP="00614E98" w:rsidRDefault="00166DAE" w14:paraId="0627CA9E" w14:textId="77777777">
            <w:pPr>
              <w:jc w:val="both"/>
              <w:rPr>
                <w:lang w:val="lv-LV"/>
              </w:rPr>
            </w:pPr>
          </w:p>
          <w:p w:rsidRPr="00E20255" w:rsidR="00166DAE" w:rsidP="00614E98" w:rsidRDefault="00166DAE" w14:paraId="0DD378C9" w14:textId="12920072">
            <w:pPr>
              <w:jc w:val="both"/>
              <w:rPr>
                <w:lang w:val="lv-LV"/>
              </w:rPr>
            </w:pPr>
          </w:p>
        </w:tc>
        <w:tc>
          <w:tcPr>
            <w:tcW w:w="2835" w:type="dxa"/>
          </w:tcPr>
          <w:p w:rsidRPr="00E20255" w:rsidR="00166DAE" w:rsidP="00614E98" w:rsidRDefault="00166DAE" w14:paraId="04CD66AE" w14:textId="77777777">
            <w:pPr>
              <w:jc w:val="both"/>
              <w:rPr>
                <w:bCs/>
                <w:color w:val="FF0000"/>
                <w:lang w:val="lv-LV"/>
              </w:rPr>
            </w:pPr>
          </w:p>
        </w:tc>
        <w:tc>
          <w:tcPr>
            <w:tcW w:w="3770" w:type="dxa"/>
          </w:tcPr>
          <w:p w:rsidRPr="00F800D8" w:rsidR="00F800D8" w:rsidP="00F800D8" w:rsidRDefault="00F800D8" w14:paraId="4F68E1FD" w14:textId="2DB14406">
            <w:pPr>
              <w:rPr>
                <w:rFonts w:eastAsia="Calibri"/>
                <w:b/>
                <w:lang w:val="lv-LV"/>
              </w:rPr>
            </w:pPr>
            <w:r w:rsidRPr="00E20255">
              <w:rPr>
                <w:rFonts w:eastAsia="Calibri"/>
                <w:b/>
                <w:lang w:val="lv-LV"/>
              </w:rPr>
              <w:t>Konkurences padomes atzinums Nr. 1.8-2/1136</w:t>
            </w:r>
          </w:p>
          <w:p w:rsidR="00166DAE" w:rsidP="00D022D1" w:rsidRDefault="00166DAE" w14:paraId="4F463CB6" w14:textId="7AC76B36">
            <w:pPr>
              <w:jc w:val="both"/>
              <w:rPr>
                <w:rFonts w:eastAsia="Calibri"/>
                <w:bCs/>
                <w:lang w:val="lv-LV"/>
              </w:rPr>
            </w:pPr>
            <w:r w:rsidRPr="00E20255">
              <w:rPr>
                <w:rFonts w:eastAsia="Calibri"/>
                <w:bCs/>
                <w:lang w:val="lv-LV"/>
              </w:rPr>
              <w:t xml:space="preserve">3. </w:t>
            </w:r>
            <w:r w:rsidRPr="00E20255" w:rsidR="00EA7352">
              <w:rPr>
                <w:rFonts w:eastAsia="Calibri"/>
                <w:bCs/>
                <w:lang w:val="lv-LV"/>
              </w:rPr>
              <w:t xml:space="preserve">Informatīvais ziņojums neietver informāciju par VPIL 88.panta otrajā daļā noteiktā pienākuma </w:t>
            </w:r>
            <w:bookmarkStart w:name="_Hlk55225563" w:id="2"/>
            <w:r w:rsidRPr="00E20255" w:rsidR="00EA7352">
              <w:rPr>
                <w:rFonts w:eastAsia="Calibri"/>
                <w:bCs/>
                <w:lang w:val="lv-LV"/>
              </w:rPr>
              <w:t>konsultēties ar komersantus pārstāvošām biedrībām vai nodibinājumiem izpildi</w:t>
            </w:r>
            <w:bookmarkEnd w:id="2"/>
            <w:r w:rsidRPr="00E20255" w:rsidR="00EA7352">
              <w:rPr>
                <w:rFonts w:eastAsia="Calibri"/>
                <w:bCs/>
                <w:lang w:val="lv-LV"/>
              </w:rPr>
              <w:t>.</w:t>
            </w:r>
          </w:p>
          <w:p w:rsidR="00F626E1" w:rsidP="00D022D1" w:rsidRDefault="00F626E1" w14:paraId="4D7EBD42" w14:textId="77777777">
            <w:pPr>
              <w:jc w:val="both"/>
              <w:rPr>
                <w:rFonts w:eastAsia="Calibri"/>
                <w:bCs/>
                <w:lang w:val="lv-LV"/>
              </w:rPr>
            </w:pPr>
          </w:p>
          <w:p w:rsidRPr="00E20255" w:rsidR="00F626E1" w:rsidP="00D022D1" w:rsidRDefault="00F626E1" w14:paraId="56E8C267" w14:textId="122F5D61">
            <w:pPr>
              <w:jc w:val="both"/>
              <w:rPr>
                <w:rFonts w:eastAsia="Calibri"/>
                <w:bCs/>
                <w:lang w:val="lv-LV"/>
              </w:rPr>
            </w:pPr>
          </w:p>
        </w:tc>
        <w:tc>
          <w:tcPr>
            <w:tcW w:w="3176" w:type="dxa"/>
          </w:tcPr>
          <w:p w:rsidRPr="00E20255" w:rsidR="00166DAE" w:rsidP="00614E98" w:rsidRDefault="00F40A4B" w14:paraId="3A76D52A" w14:textId="16DF1F64">
            <w:pPr>
              <w:jc w:val="both"/>
              <w:rPr>
                <w:b/>
                <w:lang w:val="lv-LV"/>
              </w:rPr>
            </w:pPr>
            <w:r w:rsidRPr="00E20255">
              <w:rPr>
                <w:b/>
                <w:lang w:val="lv-LV"/>
              </w:rPr>
              <w:t>Iebildums ņemts vērā.</w:t>
            </w:r>
          </w:p>
        </w:tc>
        <w:tc>
          <w:tcPr>
            <w:tcW w:w="3398" w:type="dxa"/>
          </w:tcPr>
          <w:p w:rsidRPr="008B4411" w:rsidR="00166DAE" w:rsidP="00614E98" w:rsidRDefault="00F40A4B" w14:paraId="7BDC8DBC" w14:textId="22E9D3D9">
            <w:pPr>
              <w:ind w:right="-8"/>
              <w:jc w:val="both"/>
              <w:rPr>
                <w:lang w:val="lv-LV"/>
              </w:rPr>
            </w:pPr>
            <w:r w:rsidRPr="008B4411">
              <w:rPr>
                <w:lang w:val="lv-LV"/>
              </w:rPr>
              <w:t>Skat. precizēto informatīvā ziņojuma projektu.</w:t>
            </w:r>
          </w:p>
        </w:tc>
      </w:tr>
      <w:tr w:rsidRPr="00E20255" w:rsidR="00F626E1" w:rsidTr="007E3CCD" w14:paraId="7E871241" w14:textId="77777777">
        <w:trPr>
          <w:trHeight w:val="982"/>
          <w:jc w:val="center"/>
        </w:trPr>
        <w:tc>
          <w:tcPr>
            <w:tcW w:w="562" w:type="dxa"/>
          </w:tcPr>
          <w:p w:rsidRPr="00F626E1" w:rsidR="00F626E1" w:rsidP="00676B37" w:rsidRDefault="00F626E1" w14:paraId="060DAD9F" w14:textId="6856FF3D">
            <w:pPr>
              <w:jc w:val="both"/>
              <w:rPr>
                <w:lang w:val="lv-LV"/>
              </w:rPr>
            </w:pPr>
            <w:r w:rsidRPr="00F626E1">
              <w:rPr>
                <w:lang w:val="lv-LV"/>
              </w:rPr>
              <w:t>6.</w:t>
            </w:r>
          </w:p>
        </w:tc>
        <w:tc>
          <w:tcPr>
            <w:tcW w:w="2835" w:type="dxa"/>
          </w:tcPr>
          <w:p w:rsidRPr="00471D8D" w:rsidR="00F626E1" w:rsidP="008B4411" w:rsidRDefault="00F626E1" w14:paraId="0362DED2" w14:textId="77777777">
            <w:pPr>
              <w:spacing w:after="160" w:line="259" w:lineRule="auto"/>
              <w:jc w:val="both"/>
              <w:rPr>
                <w:rFonts w:eastAsiaTheme="minorHAnsi"/>
                <w:sz w:val="26"/>
                <w:szCs w:val="26"/>
                <w:lang w:val="lv-LV"/>
              </w:rPr>
            </w:pPr>
            <w:r w:rsidRPr="00471D8D">
              <w:rPr>
                <w:rFonts w:eastAsia="Calibri"/>
                <w:bCs/>
                <w:lang w:val="lv-LV"/>
              </w:rPr>
              <w:t>nodrošināt sabiedrības interešu īstenošanu un sniegt kvalitatīvu un inovatīvu ieguldījumu ilgtspējīgas satiksmes drošības paaugstināšanā, uzturēt un attīstīt transportlīdzekļu un iekšējo ūdeņu kuģošanas līdzekļu uzskaites un vadītāju kvalifikācijas pakalpojumus, transportlīdzekļu tehniskā stāvokļa apskates un kontroles pakalpojumu</w:t>
            </w:r>
            <w:r>
              <w:rPr>
                <w:rFonts w:eastAsia="Calibri"/>
                <w:bCs/>
                <w:lang w:val="lv-LV"/>
              </w:rPr>
              <w:t>s</w:t>
            </w:r>
            <w:r w:rsidRPr="00471D8D">
              <w:rPr>
                <w:rFonts w:eastAsia="Calibri"/>
                <w:bCs/>
                <w:lang w:val="lv-LV"/>
              </w:rPr>
              <w:t>, veicināt drošu satiksmi, kā arī uzturēt nozīmīgus infrastruktūras objektus</w:t>
            </w:r>
            <w:r w:rsidRPr="00471D8D">
              <w:rPr>
                <w:rFonts w:eastAsiaTheme="minorHAnsi"/>
                <w:sz w:val="26"/>
                <w:szCs w:val="26"/>
                <w:lang w:val="lv-LV"/>
              </w:rPr>
              <w:t xml:space="preserve">. </w:t>
            </w:r>
          </w:p>
          <w:p w:rsidRPr="00E20255" w:rsidR="00F626E1" w:rsidP="00A642E3" w:rsidRDefault="00F626E1" w14:paraId="55CA633C" w14:textId="77777777">
            <w:pPr>
              <w:spacing w:line="276" w:lineRule="auto"/>
              <w:jc w:val="both"/>
              <w:rPr>
                <w:bCs/>
                <w:color w:val="FF0000"/>
                <w:lang w:val="lv-LV"/>
              </w:rPr>
            </w:pPr>
          </w:p>
        </w:tc>
        <w:tc>
          <w:tcPr>
            <w:tcW w:w="3770" w:type="dxa"/>
          </w:tcPr>
          <w:p w:rsidRPr="00E20255" w:rsidR="00F626E1" w:rsidP="00D022D1" w:rsidRDefault="00F626E1" w14:paraId="595BD969" w14:textId="584DD659">
            <w:pPr>
              <w:jc w:val="both"/>
              <w:rPr>
                <w:rFonts w:eastAsia="Calibri"/>
                <w:b/>
                <w:lang w:val="lv-LV"/>
              </w:rPr>
            </w:pPr>
            <w:r w:rsidRPr="00E20255">
              <w:rPr>
                <w:rFonts w:eastAsia="Calibri"/>
                <w:b/>
                <w:lang w:val="lv-LV"/>
              </w:rPr>
              <w:t>Pārresoru koordinācijas centrs 23.10.2020. atzinums Nr.1.2-7/164</w:t>
            </w:r>
          </w:p>
          <w:p w:rsidRPr="00E20255" w:rsidR="00F626E1" w:rsidP="00D022D1" w:rsidRDefault="00F626E1" w14:paraId="3D24F2F8" w14:textId="77777777">
            <w:pPr>
              <w:jc w:val="both"/>
              <w:rPr>
                <w:rFonts w:eastAsia="Calibri"/>
                <w:bCs/>
                <w:lang w:val="lv-LV"/>
              </w:rPr>
            </w:pPr>
          </w:p>
          <w:p w:rsidRPr="00E20255" w:rsidR="00F626E1" w:rsidP="00D022D1" w:rsidRDefault="00F626E1" w14:paraId="20409222" w14:textId="77777777">
            <w:pPr>
              <w:jc w:val="both"/>
              <w:rPr>
                <w:rFonts w:eastAsia="Calibri"/>
                <w:bCs/>
                <w:lang w:val="lv-LV"/>
              </w:rPr>
            </w:pPr>
            <w:r w:rsidRPr="00E20255">
              <w:rPr>
                <w:rFonts w:eastAsia="Calibri"/>
                <w:bCs/>
                <w:lang w:val="lv-LV"/>
              </w:rPr>
              <w:t xml:space="preserve">PKC norāda, ka, neskatoties uz CSDD rīcībā esošajiem sabiedrībai nozīmīgajiem resursiem (tās rīcībā esošās augsti tehnoloģiski attīstītās datu bāzes, profesionāls personāls u.c.), kas spēj nodrošināt ne tikai CSDD pamatdarbību, bet arī citu tai doto uzdevumu izpildi (Rīgas Motormuzejs un Biķernieku kompleksā sporta bāze), Ministru kabineta sēdes protokollēmuma projektā noteiktais vispārējais stratēģiskais mērķis satiksmes drošības jomā ir sašaurināts uz transportlīdzekļu uzskaites, tehniskā stāvokļa kontroles un vadītāju kvalifikācijas pakalpojumu attīstīšanu, kas CSDD darbību tuvina aģentūras formai. Ņemot vērā minēto, PKC lūdz precizēt CSDD vispārējo stratēģisko mērķi, iekļaujot tajā citas jomas, kas ir būtiskas </w:t>
            </w:r>
            <w:r w:rsidRPr="00E20255">
              <w:rPr>
                <w:rFonts w:eastAsia="Calibri"/>
                <w:bCs/>
                <w:lang w:val="lv-LV"/>
              </w:rPr>
              <w:lastRenderedPageBreak/>
              <w:t>satiksmes drošības paaugstināšanā, piemēram, sabiedrības izglītošanu, pētījumu veikšanu drošības jomā, nākotnes mobilitātes risinājumi, pakalpojumu attīstība sadarbībā ar citiem uzņēmumiem un citi, kas izrietētu no nozares politikas plānošanas dokumentiem. Tāpat lūdzam precizēt vispārējo stratēģisko mērķi atbilstoši ziņojuma projektā minētajam, iekļaujot tajā kuģošanas līdzekļus un aizstājot terminu “tehniskā stāvokļa kontroles” ar “tehniskā stāvokļa apskates“.</w:t>
            </w:r>
          </w:p>
          <w:p w:rsidR="00F626E1" w:rsidP="00D022D1" w:rsidRDefault="00F626E1" w14:paraId="6832D8D3" w14:textId="6BA7E075">
            <w:pPr>
              <w:jc w:val="both"/>
              <w:rPr>
                <w:rFonts w:eastAsia="Calibri"/>
                <w:b/>
                <w:lang w:val="lv-LV"/>
              </w:rPr>
            </w:pPr>
            <w:proofErr w:type="spellStart"/>
            <w:r w:rsidRPr="00E20255">
              <w:rPr>
                <w:rFonts w:eastAsia="Calibri"/>
                <w:b/>
                <w:lang w:val="lv-LV"/>
              </w:rPr>
              <w:t>Pārresoru</w:t>
            </w:r>
            <w:proofErr w:type="spellEnd"/>
            <w:r w:rsidRPr="00E20255">
              <w:rPr>
                <w:rFonts w:eastAsia="Calibri"/>
                <w:b/>
                <w:lang w:val="lv-LV"/>
              </w:rPr>
              <w:t xml:space="preserve"> koordinācijas centr</w:t>
            </w:r>
            <w:r>
              <w:rPr>
                <w:rFonts w:eastAsia="Calibri"/>
                <w:b/>
                <w:lang w:val="lv-LV"/>
              </w:rPr>
              <w:t>a 20.11.2020.atzi</w:t>
            </w:r>
            <w:r w:rsidR="00F800D8">
              <w:rPr>
                <w:rFonts w:eastAsia="Calibri"/>
                <w:b/>
                <w:lang w:val="lv-LV"/>
              </w:rPr>
              <w:t>n</w:t>
            </w:r>
            <w:r>
              <w:rPr>
                <w:rFonts w:eastAsia="Calibri"/>
                <w:b/>
                <w:lang w:val="lv-LV"/>
              </w:rPr>
              <w:t xml:space="preserve">ums </w:t>
            </w:r>
          </w:p>
          <w:p w:rsidR="00F626E1" w:rsidP="0041174E" w:rsidRDefault="00F626E1" w14:paraId="01B4F285" w14:textId="77777777">
            <w:pPr>
              <w:ind w:firstLine="720"/>
              <w:jc w:val="both"/>
            </w:pPr>
            <w:r>
              <w:t xml:space="preserve">Lai </w:t>
            </w:r>
            <w:proofErr w:type="spellStart"/>
            <w:r>
              <w:t>novērstu</w:t>
            </w:r>
            <w:proofErr w:type="spellEnd"/>
            <w:r>
              <w:t xml:space="preserve"> </w:t>
            </w:r>
            <w:proofErr w:type="spellStart"/>
            <w:r>
              <w:t>pārāk</w:t>
            </w:r>
            <w:proofErr w:type="spellEnd"/>
            <w:r>
              <w:t xml:space="preserve"> </w:t>
            </w:r>
            <w:proofErr w:type="spellStart"/>
            <w:r>
              <w:t>deklaratīva</w:t>
            </w:r>
            <w:proofErr w:type="spellEnd"/>
            <w:r>
              <w:t xml:space="preserve"> </w:t>
            </w:r>
            <w:proofErr w:type="spellStart"/>
            <w:r>
              <w:t>vispārējā</w:t>
            </w:r>
            <w:proofErr w:type="spellEnd"/>
            <w:r>
              <w:t xml:space="preserve"> </w:t>
            </w:r>
            <w:proofErr w:type="spellStart"/>
            <w:r>
              <w:t>stratēģiskā</w:t>
            </w:r>
            <w:proofErr w:type="spellEnd"/>
            <w:r>
              <w:t xml:space="preserve"> </w:t>
            </w:r>
            <w:proofErr w:type="spellStart"/>
            <w:r>
              <w:t>mērķa</w:t>
            </w:r>
            <w:proofErr w:type="spellEnd"/>
            <w:r>
              <w:t xml:space="preserve"> </w:t>
            </w:r>
            <w:proofErr w:type="spellStart"/>
            <w:r>
              <w:t>noteikšanu</w:t>
            </w:r>
            <w:proofErr w:type="spellEnd"/>
            <w:r>
              <w:t xml:space="preserve"> un </w:t>
            </w:r>
            <w:proofErr w:type="spellStart"/>
            <w:r>
              <w:t>ņemot</w:t>
            </w:r>
            <w:proofErr w:type="spellEnd"/>
            <w:r>
              <w:t xml:space="preserve"> </w:t>
            </w:r>
            <w:proofErr w:type="spellStart"/>
            <w:r>
              <w:t>vērā</w:t>
            </w:r>
            <w:proofErr w:type="spellEnd"/>
            <w:r>
              <w:t xml:space="preserve">, ka </w:t>
            </w:r>
            <w:proofErr w:type="spellStart"/>
            <w:r>
              <w:t>sabiedrības</w:t>
            </w:r>
            <w:proofErr w:type="spellEnd"/>
            <w:r>
              <w:t xml:space="preserve"> </w:t>
            </w:r>
            <w:proofErr w:type="spellStart"/>
            <w:r>
              <w:t>interešu</w:t>
            </w:r>
            <w:proofErr w:type="spellEnd"/>
            <w:r>
              <w:t xml:space="preserve"> </w:t>
            </w:r>
            <w:proofErr w:type="spellStart"/>
            <w:r>
              <w:t>īstenošana</w:t>
            </w:r>
            <w:proofErr w:type="spellEnd"/>
            <w:r>
              <w:t xml:space="preserve"> </w:t>
            </w:r>
            <w:proofErr w:type="spellStart"/>
            <w:r>
              <w:t>ir</w:t>
            </w:r>
            <w:proofErr w:type="spellEnd"/>
            <w:r>
              <w:t xml:space="preserve"> </w:t>
            </w:r>
            <w:proofErr w:type="spellStart"/>
            <w:r>
              <w:t>pamats</w:t>
            </w:r>
            <w:proofErr w:type="spellEnd"/>
            <w:r>
              <w:t xml:space="preserve"> </w:t>
            </w:r>
            <w:proofErr w:type="spellStart"/>
            <w:r>
              <w:t>valsts</w:t>
            </w:r>
            <w:proofErr w:type="spellEnd"/>
            <w:r>
              <w:t xml:space="preserve"> </w:t>
            </w:r>
            <w:proofErr w:type="spellStart"/>
            <w:r>
              <w:t>līdzdalībai</w:t>
            </w:r>
            <w:proofErr w:type="spellEnd"/>
            <w:r>
              <w:t xml:space="preserve"> </w:t>
            </w:r>
            <w:proofErr w:type="spellStart"/>
            <w:r>
              <w:t>jebkurā</w:t>
            </w:r>
            <w:proofErr w:type="spellEnd"/>
            <w:r>
              <w:t xml:space="preserve"> </w:t>
            </w:r>
            <w:proofErr w:type="spellStart"/>
            <w:r>
              <w:t>kapitālsabiedrībā</w:t>
            </w:r>
            <w:proofErr w:type="spellEnd"/>
            <w:r>
              <w:t xml:space="preserve">, </w:t>
            </w:r>
            <w:proofErr w:type="spellStart"/>
            <w:r>
              <w:t>lūdzam</w:t>
            </w:r>
            <w:proofErr w:type="spellEnd"/>
            <w:r>
              <w:t xml:space="preserve"> </w:t>
            </w:r>
            <w:proofErr w:type="spellStart"/>
            <w:r>
              <w:t>svītrot</w:t>
            </w:r>
            <w:proofErr w:type="spellEnd"/>
            <w:r>
              <w:t xml:space="preserve"> </w:t>
            </w:r>
            <w:proofErr w:type="spellStart"/>
            <w:r>
              <w:t>vārus</w:t>
            </w:r>
            <w:proofErr w:type="spellEnd"/>
            <w:r>
              <w:t xml:space="preserve"> “</w:t>
            </w:r>
            <w:proofErr w:type="spellStart"/>
            <w:r>
              <w:t>sabiedrības</w:t>
            </w:r>
            <w:proofErr w:type="spellEnd"/>
            <w:r>
              <w:t xml:space="preserve"> </w:t>
            </w:r>
            <w:proofErr w:type="spellStart"/>
            <w:r>
              <w:t>interešu</w:t>
            </w:r>
            <w:proofErr w:type="spellEnd"/>
            <w:r>
              <w:t xml:space="preserve"> </w:t>
            </w:r>
            <w:proofErr w:type="spellStart"/>
            <w:r>
              <w:t>īstenošanu</w:t>
            </w:r>
            <w:proofErr w:type="spellEnd"/>
            <w:r>
              <w:t xml:space="preserve"> un </w:t>
            </w:r>
            <w:proofErr w:type="spellStart"/>
            <w:r>
              <w:t>sniegt</w:t>
            </w:r>
            <w:proofErr w:type="spellEnd"/>
            <w:r>
              <w:t xml:space="preserve">”. </w:t>
            </w:r>
            <w:proofErr w:type="spellStart"/>
            <w:r>
              <w:t>Tāpat</w:t>
            </w:r>
            <w:proofErr w:type="spellEnd"/>
            <w:r>
              <w:t xml:space="preserve"> </w:t>
            </w:r>
            <w:proofErr w:type="spellStart"/>
            <w:r>
              <w:t>lūdzam</w:t>
            </w:r>
            <w:proofErr w:type="spellEnd"/>
            <w:r>
              <w:t xml:space="preserve"> </w:t>
            </w:r>
            <w:proofErr w:type="spellStart"/>
            <w:r>
              <w:t>vispārējajā</w:t>
            </w:r>
            <w:proofErr w:type="spellEnd"/>
            <w:r>
              <w:t xml:space="preserve"> </w:t>
            </w:r>
            <w:proofErr w:type="spellStart"/>
            <w:r>
              <w:t>stratēģiskajā</w:t>
            </w:r>
            <w:proofErr w:type="spellEnd"/>
            <w:r>
              <w:t xml:space="preserve"> </w:t>
            </w:r>
            <w:proofErr w:type="spellStart"/>
            <w:r>
              <w:t>mērķī</w:t>
            </w:r>
            <w:proofErr w:type="spellEnd"/>
            <w:r>
              <w:t xml:space="preserve"> </w:t>
            </w:r>
            <w:proofErr w:type="spellStart"/>
            <w:r>
              <w:t>svītrot</w:t>
            </w:r>
            <w:proofErr w:type="spellEnd"/>
            <w:r>
              <w:t xml:space="preserve"> </w:t>
            </w:r>
            <w:proofErr w:type="spellStart"/>
            <w:r>
              <w:t>atkārtoto</w:t>
            </w:r>
            <w:proofErr w:type="spellEnd"/>
            <w:r>
              <w:t xml:space="preserve"> </w:t>
            </w:r>
            <w:proofErr w:type="spellStart"/>
            <w:r>
              <w:t>norādi</w:t>
            </w:r>
            <w:proofErr w:type="spellEnd"/>
            <w:r>
              <w:t xml:space="preserve"> </w:t>
            </w:r>
            <w:proofErr w:type="spellStart"/>
            <w:r>
              <w:t>uz</w:t>
            </w:r>
            <w:proofErr w:type="spellEnd"/>
            <w:r>
              <w:t xml:space="preserve"> </w:t>
            </w:r>
            <w:proofErr w:type="spellStart"/>
            <w:r>
              <w:t>drošas</w:t>
            </w:r>
            <w:proofErr w:type="spellEnd"/>
            <w:r>
              <w:t xml:space="preserve"> </w:t>
            </w:r>
            <w:proofErr w:type="spellStart"/>
            <w:r>
              <w:t>satiksmes</w:t>
            </w:r>
            <w:proofErr w:type="spellEnd"/>
            <w:r>
              <w:t xml:space="preserve"> </w:t>
            </w:r>
            <w:proofErr w:type="spellStart"/>
            <w:r>
              <w:t>veicināšanu</w:t>
            </w:r>
            <w:proofErr w:type="spellEnd"/>
            <w:r>
              <w:t xml:space="preserve">, jo </w:t>
            </w:r>
            <w:proofErr w:type="spellStart"/>
            <w:r>
              <w:t>minētais</w:t>
            </w:r>
            <w:proofErr w:type="spellEnd"/>
            <w:r>
              <w:t xml:space="preserve"> </w:t>
            </w:r>
            <w:proofErr w:type="spellStart"/>
            <w:r>
              <w:t>aspekts</w:t>
            </w:r>
            <w:proofErr w:type="spellEnd"/>
            <w:r>
              <w:t xml:space="preserve"> </w:t>
            </w:r>
            <w:proofErr w:type="spellStart"/>
            <w:r>
              <w:t>ir</w:t>
            </w:r>
            <w:proofErr w:type="spellEnd"/>
            <w:r>
              <w:t xml:space="preserve"> </w:t>
            </w:r>
            <w:proofErr w:type="spellStart"/>
            <w:r>
              <w:t>iekļauts</w:t>
            </w:r>
            <w:proofErr w:type="spellEnd"/>
            <w:r>
              <w:t xml:space="preserve"> </w:t>
            </w:r>
            <w:proofErr w:type="spellStart"/>
            <w:r>
              <w:t>vispārējā</w:t>
            </w:r>
            <w:proofErr w:type="spellEnd"/>
            <w:r>
              <w:t xml:space="preserve"> </w:t>
            </w:r>
            <w:proofErr w:type="spellStart"/>
            <w:r>
              <w:t>stratēģiskā</w:t>
            </w:r>
            <w:proofErr w:type="spellEnd"/>
            <w:r>
              <w:t xml:space="preserve"> </w:t>
            </w:r>
            <w:proofErr w:type="spellStart"/>
            <w:r>
              <w:t>mērķa</w:t>
            </w:r>
            <w:proofErr w:type="spellEnd"/>
            <w:r>
              <w:t xml:space="preserve"> </w:t>
            </w:r>
            <w:proofErr w:type="spellStart"/>
            <w:r>
              <w:t>ievaddaļā</w:t>
            </w:r>
            <w:proofErr w:type="spellEnd"/>
            <w:r>
              <w:t xml:space="preserve">, </w:t>
            </w:r>
            <w:proofErr w:type="spellStart"/>
            <w:r>
              <w:t>kā</w:t>
            </w:r>
            <w:proofErr w:type="spellEnd"/>
            <w:r>
              <w:t xml:space="preserve"> </w:t>
            </w:r>
            <w:proofErr w:type="spellStart"/>
            <w:r>
              <w:t>arī</w:t>
            </w:r>
            <w:proofErr w:type="spellEnd"/>
            <w:r>
              <w:t xml:space="preserve"> </w:t>
            </w:r>
            <w:proofErr w:type="spellStart"/>
            <w:r>
              <w:t>lūdzam</w:t>
            </w:r>
            <w:proofErr w:type="spellEnd"/>
            <w:r>
              <w:t xml:space="preserve"> </w:t>
            </w:r>
            <w:proofErr w:type="spellStart"/>
            <w:r>
              <w:t>precizēt</w:t>
            </w:r>
            <w:proofErr w:type="spellEnd"/>
            <w:r>
              <w:t xml:space="preserve"> </w:t>
            </w:r>
            <w:proofErr w:type="spellStart"/>
            <w:r>
              <w:t>mērķa</w:t>
            </w:r>
            <w:proofErr w:type="spellEnd"/>
            <w:r>
              <w:t xml:space="preserve"> </w:t>
            </w:r>
            <w:proofErr w:type="spellStart"/>
            <w:r>
              <w:t>sadaļu</w:t>
            </w:r>
            <w:proofErr w:type="spellEnd"/>
            <w:r>
              <w:t xml:space="preserve"> </w:t>
            </w:r>
            <w:proofErr w:type="spellStart"/>
            <w:r>
              <w:t>attiecībā</w:t>
            </w:r>
            <w:proofErr w:type="spellEnd"/>
            <w:r>
              <w:t xml:space="preserve"> </w:t>
            </w:r>
            <w:proofErr w:type="spellStart"/>
            <w:r>
              <w:t>uz</w:t>
            </w:r>
            <w:proofErr w:type="spellEnd"/>
            <w:r>
              <w:t xml:space="preserve"> </w:t>
            </w:r>
            <w:proofErr w:type="spellStart"/>
            <w:r>
              <w:t>nozīmīgu</w:t>
            </w:r>
            <w:proofErr w:type="spellEnd"/>
            <w:r>
              <w:t xml:space="preserve"> </w:t>
            </w:r>
            <w:proofErr w:type="spellStart"/>
            <w:r>
              <w:t>infrastruktūras</w:t>
            </w:r>
            <w:proofErr w:type="spellEnd"/>
            <w:r>
              <w:t xml:space="preserve"> </w:t>
            </w:r>
            <w:proofErr w:type="spellStart"/>
            <w:r>
              <w:t>objektu</w:t>
            </w:r>
            <w:proofErr w:type="spellEnd"/>
            <w:r>
              <w:t xml:space="preserve"> </w:t>
            </w:r>
            <w:r w:rsidRPr="00D0044D">
              <w:rPr>
                <w:lang w:val="lv-LV"/>
              </w:rPr>
              <w:t>uzturēšanu, nosakot, ka</w:t>
            </w:r>
            <w:r>
              <w:t xml:space="preserve"> tie </w:t>
            </w:r>
            <w:proofErr w:type="spellStart"/>
            <w:r>
              <w:t>saistīti</w:t>
            </w:r>
            <w:proofErr w:type="spellEnd"/>
            <w:r>
              <w:t xml:space="preserve"> </w:t>
            </w:r>
            <w:proofErr w:type="spellStart"/>
            <w:proofErr w:type="gramStart"/>
            <w:r>
              <w:t>ar</w:t>
            </w:r>
            <w:proofErr w:type="spellEnd"/>
            <w:r>
              <w:t xml:space="preserve">  </w:t>
            </w:r>
            <w:proofErr w:type="spellStart"/>
            <w:r>
              <w:t>satiksmes</w:t>
            </w:r>
            <w:proofErr w:type="spellEnd"/>
            <w:proofErr w:type="gramEnd"/>
            <w:r>
              <w:t xml:space="preserve"> </w:t>
            </w:r>
            <w:proofErr w:type="spellStart"/>
            <w:r>
              <w:t>jomu</w:t>
            </w:r>
            <w:proofErr w:type="spellEnd"/>
            <w:r>
              <w:t>.</w:t>
            </w:r>
          </w:p>
          <w:p w:rsidR="00F626E1" w:rsidP="0041174E" w:rsidRDefault="00F626E1" w14:paraId="15C87FF5" w14:textId="77777777">
            <w:pPr>
              <w:jc w:val="both"/>
            </w:pPr>
            <w:proofErr w:type="spellStart"/>
            <w:r>
              <w:t>Ņemot</w:t>
            </w:r>
            <w:proofErr w:type="spellEnd"/>
            <w:r>
              <w:t xml:space="preserve"> </w:t>
            </w:r>
            <w:proofErr w:type="spellStart"/>
            <w:r>
              <w:t>vērā</w:t>
            </w:r>
            <w:proofErr w:type="spellEnd"/>
            <w:r>
              <w:t xml:space="preserve"> </w:t>
            </w:r>
            <w:proofErr w:type="spellStart"/>
            <w:r>
              <w:t>minēto</w:t>
            </w:r>
            <w:proofErr w:type="spellEnd"/>
            <w:r>
              <w:t xml:space="preserve">, </w:t>
            </w:r>
            <w:proofErr w:type="spellStart"/>
            <w:r>
              <w:t>Pārresoru</w:t>
            </w:r>
            <w:proofErr w:type="spellEnd"/>
            <w:r>
              <w:t xml:space="preserve"> </w:t>
            </w:r>
            <w:proofErr w:type="spellStart"/>
            <w:r>
              <w:t>koordinācijas</w:t>
            </w:r>
            <w:proofErr w:type="spellEnd"/>
            <w:r>
              <w:t xml:space="preserve"> </w:t>
            </w:r>
            <w:proofErr w:type="spellStart"/>
            <w:r>
              <w:t>centrs</w:t>
            </w:r>
            <w:proofErr w:type="spellEnd"/>
            <w:r>
              <w:t xml:space="preserve"> </w:t>
            </w:r>
            <w:proofErr w:type="spellStart"/>
            <w:r>
              <w:t>piedāvā</w:t>
            </w:r>
            <w:proofErr w:type="spellEnd"/>
            <w:r>
              <w:t xml:space="preserve"> </w:t>
            </w:r>
            <w:proofErr w:type="spellStart"/>
            <w:r>
              <w:t>noteikt</w:t>
            </w:r>
            <w:proofErr w:type="spellEnd"/>
            <w:r>
              <w:t xml:space="preserve"> </w:t>
            </w:r>
            <w:proofErr w:type="spellStart"/>
            <w:r>
              <w:lastRenderedPageBreak/>
              <w:t>šādu</w:t>
            </w:r>
            <w:proofErr w:type="spellEnd"/>
            <w:r>
              <w:t xml:space="preserve"> </w:t>
            </w:r>
            <w:proofErr w:type="spellStart"/>
            <w:r>
              <w:t>valsts</w:t>
            </w:r>
            <w:proofErr w:type="spellEnd"/>
            <w:r>
              <w:t xml:space="preserve"> </w:t>
            </w:r>
            <w:proofErr w:type="spellStart"/>
            <w:r>
              <w:t>akciju</w:t>
            </w:r>
            <w:proofErr w:type="spellEnd"/>
            <w:r>
              <w:t xml:space="preserve"> </w:t>
            </w:r>
            <w:proofErr w:type="spellStart"/>
            <w:r>
              <w:t>sabiedrības</w:t>
            </w:r>
            <w:proofErr w:type="spellEnd"/>
            <w:r>
              <w:t xml:space="preserve"> “</w:t>
            </w:r>
            <w:proofErr w:type="spellStart"/>
            <w:r>
              <w:t>Ceļu</w:t>
            </w:r>
            <w:proofErr w:type="spellEnd"/>
            <w:r>
              <w:t xml:space="preserve"> </w:t>
            </w:r>
            <w:proofErr w:type="spellStart"/>
            <w:r>
              <w:t>satiksmes</w:t>
            </w:r>
            <w:proofErr w:type="spellEnd"/>
            <w:r>
              <w:t xml:space="preserve"> </w:t>
            </w:r>
            <w:proofErr w:type="spellStart"/>
            <w:r>
              <w:t>drošības</w:t>
            </w:r>
            <w:proofErr w:type="spellEnd"/>
            <w:r>
              <w:t xml:space="preserve"> </w:t>
            </w:r>
            <w:proofErr w:type="spellStart"/>
            <w:r>
              <w:t>direkcija</w:t>
            </w:r>
            <w:proofErr w:type="spellEnd"/>
            <w:r>
              <w:t xml:space="preserve">” </w:t>
            </w:r>
            <w:proofErr w:type="spellStart"/>
            <w:r>
              <w:t>vispārējo</w:t>
            </w:r>
            <w:proofErr w:type="spellEnd"/>
            <w:r>
              <w:t xml:space="preserve"> </w:t>
            </w:r>
            <w:proofErr w:type="spellStart"/>
            <w:r>
              <w:t>stratēģisko</w:t>
            </w:r>
            <w:proofErr w:type="spellEnd"/>
            <w:r>
              <w:t xml:space="preserve"> </w:t>
            </w:r>
            <w:proofErr w:type="spellStart"/>
            <w:r>
              <w:t>mērķi</w:t>
            </w:r>
            <w:proofErr w:type="spellEnd"/>
            <w:r>
              <w:t xml:space="preserve"> - </w:t>
            </w:r>
            <w:proofErr w:type="spellStart"/>
            <w:r>
              <w:rPr>
                <w:i/>
                <w:iCs/>
              </w:rPr>
              <w:t>nodrošināt</w:t>
            </w:r>
            <w:proofErr w:type="spellEnd"/>
            <w:r>
              <w:rPr>
                <w:i/>
                <w:iCs/>
              </w:rPr>
              <w:t xml:space="preserve"> </w:t>
            </w:r>
            <w:proofErr w:type="spellStart"/>
            <w:r>
              <w:rPr>
                <w:i/>
                <w:iCs/>
              </w:rPr>
              <w:t>kvalitatīvu</w:t>
            </w:r>
            <w:proofErr w:type="spellEnd"/>
            <w:r>
              <w:rPr>
                <w:i/>
                <w:iCs/>
              </w:rPr>
              <w:t xml:space="preserve"> un </w:t>
            </w:r>
            <w:proofErr w:type="spellStart"/>
            <w:r>
              <w:rPr>
                <w:i/>
                <w:iCs/>
              </w:rPr>
              <w:t>inovatīvu</w:t>
            </w:r>
            <w:proofErr w:type="spellEnd"/>
            <w:r>
              <w:rPr>
                <w:i/>
                <w:iCs/>
              </w:rPr>
              <w:t xml:space="preserve"> </w:t>
            </w:r>
            <w:proofErr w:type="spellStart"/>
            <w:r>
              <w:rPr>
                <w:i/>
                <w:iCs/>
              </w:rPr>
              <w:t>ieguldījumu</w:t>
            </w:r>
            <w:proofErr w:type="spellEnd"/>
            <w:r>
              <w:rPr>
                <w:i/>
                <w:iCs/>
              </w:rPr>
              <w:t xml:space="preserve"> </w:t>
            </w:r>
            <w:proofErr w:type="spellStart"/>
            <w:r>
              <w:rPr>
                <w:i/>
                <w:iCs/>
              </w:rPr>
              <w:t>ilgtspējīgas</w:t>
            </w:r>
            <w:proofErr w:type="spellEnd"/>
            <w:r>
              <w:rPr>
                <w:i/>
                <w:iCs/>
              </w:rPr>
              <w:t xml:space="preserve"> </w:t>
            </w:r>
            <w:proofErr w:type="spellStart"/>
            <w:r>
              <w:rPr>
                <w:i/>
                <w:iCs/>
              </w:rPr>
              <w:t>satiksmes</w:t>
            </w:r>
            <w:proofErr w:type="spellEnd"/>
            <w:r>
              <w:rPr>
                <w:i/>
                <w:iCs/>
              </w:rPr>
              <w:t xml:space="preserve"> </w:t>
            </w:r>
            <w:proofErr w:type="spellStart"/>
            <w:r>
              <w:rPr>
                <w:i/>
                <w:iCs/>
              </w:rPr>
              <w:t>drošības</w:t>
            </w:r>
            <w:proofErr w:type="spellEnd"/>
            <w:r>
              <w:rPr>
                <w:i/>
                <w:iCs/>
              </w:rPr>
              <w:t xml:space="preserve"> </w:t>
            </w:r>
            <w:proofErr w:type="spellStart"/>
            <w:r>
              <w:rPr>
                <w:i/>
                <w:iCs/>
              </w:rPr>
              <w:t>paaugstināšanā</w:t>
            </w:r>
            <w:proofErr w:type="spellEnd"/>
            <w:r>
              <w:rPr>
                <w:i/>
                <w:iCs/>
              </w:rPr>
              <w:t xml:space="preserve">, </w:t>
            </w:r>
            <w:proofErr w:type="spellStart"/>
            <w:r>
              <w:rPr>
                <w:i/>
                <w:iCs/>
              </w:rPr>
              <w:t>uzturēt</w:t>
            </w:r>
            <w:proofErr w:type="spellEnd"/>
            <w:r>
              <w:rPr>
                <w:i/>
                <w:iCs/>
              </w:rPr>
              <w:t xml:space="preserve"> un </w:t>
            </w:r>
            <w:proofErr w:type="spellStart"/>
            <w:r>
              <w:rPr>
                <w:i/>
                <w:iCs/>
              </w:rPr>
              <w:t>attīstīt</w:t>
            </w:r>
            <w:proofErr w:type="spellEnd"/>
            <w:r>
              <w:rPr>
                <w:i/>
                <w:iCs/>
              </w:rPr>
              <w:t xml:space="preserve"> </w:t>
            </w:r>
            <w:proofErr w:type="spellStart"/>
            <w:r>
              <w:rPr>
                <w:i/>
                <w:iCs/>
              </w:rPr>
              <w:t>transportlīdzekļu</w:t>
            </w:r>
            <w:proofErr w:type="spellEnd"/>
            <w:r>
              <w:rPr>
                <w:i/>
                <w:iCs/>
              </w:rPr>
              <w:t xml:space="preserve"> un </w:t>
            </w:r>
            <w:proofErr w:type="spellStart"/>
            <w:r>
              <w:rPr>
                <w:i/>
                <w:iCs/>
              </w:rPr>
              <w:t>iekšējo</w:t>
            </w:r>
            <w:proofErr w:type="spellEnd"/>
            <w:r>
              <w:rPr>
                <w:i/>
                <w:iCs/>
              </w:rPr>
              <w:t xml:space="preserve"> </w:t>
            </w:r>
            <w:proofErr w:type="spellStart"/>
            <w:r>
              <w:rPr>
                <w:i/>
                <w:iCs/>
              </w:rPr>
              <w:t>ūdeņu</w:t>
            </w:r>
            <w:proofErr w:type="spellEnd"/>
            <w:r>
              <w:rPr>
                <w:i/>
                <w:iCs/>
              </w:rPr>
              <w:t xml:space="preserve"> </w:t>
            </w:r>
            <w:proofErr w:type="spellStart"/>
            <w:r>
              <w:rPr>
                <w:i/>
                <w:iCs/>
              </w:rPr>
              <w:t>kuģošanas</w:t>
            </w:r>
            <w:proofErr w:type="spellEnd"/>
            <w:r>
              <w:rPr>
                <w:i/>
                <w:iCs/>
              </w:rPr>
              <w:t xml:space="preserve"> </w:t>
            </w:r>
            <w:proofErr w:type="spellStart"/>
            <w:r>
              <w:rPr>
                <w:i/>
                <w:iCs/>
              </w:rPr>
              <w:t>līdzekļu</w:t>
            </w:r>
            <w:proofErr w:type="spellEnd"/>
            <w:r>
              <w:rPr>
                <w:i/>
                <w:iCs/>
              </w:rPr>
              <w:t xml:space="preserve"> </w:t>
            </w:r>
            <w:proofErr w:type="spellStart"/>
            <w:r>
              <w:rPr>
                <w:i/>
                <w:iCs/>
              </w:rPr>
              <w:t>uzskaites</w:t>
            </w:r>
            <w:proofErr w:type="spellEnd"/>
            <w:r>
              <w:rPr>
                <w:i/>
                <w:iCs/>
              </w:rPr>
              <w:t xml:space="preserve"> un </w:t>
            </w:r>
            <w:proofErr w:type="spellStart"/>
            <w:r>
              <w:rPr>
                <w:i/>
                <w:iCs/>
              </w:rPr>
              <w:t>vadītāju</w:t>
            </w:r>
            <w:proofErr w:type="spellEnd"/>
            <w:r>
              <w:rPr>
                <w:i/>
                <w:iCs/>
              </w:rPr>
              <w:t xml:space="preserve"> </w:t>
            </w:r>
            <w:proofErr w:type="spellStart"/>
            <w:r>
              <w:rPr>
                <w:i/>
                <w:iCs/>
              </w:rPr>
              <w:t>kvalifikācijas</w:t>
            </w:r>
            <w:proofErr w:type="spellEnd"/>
            <w:r>
              <w:rPr>
                <w:i/>
                <w:iCs/>
              </w:rPr>
              <w:t xml:space="preserve"> </w:t>
            </w:r>
            <w:proofErr w:type="spellStart"/>
            <w:r>
              <w:rPr>
                <w:i/>
                <w:iCs/>
              </w:rPr>
              <w:t>pakalpojumus</w:t>
            </w:r>
            <w:proofErr w:type="spellEnd"/>
            <w:r>
              <w:rPr>
                <w:i/>
                <w:iCs/>
              </w:rPr>
              <w:t xml:space="preserve">, </w:t>
            </w:r>
            <w:proofErr w:type="spellStart"/>
            <w:r>
              <w:rPr>
                <w:i/>
                <w:iCs/>
              </w:rPr>
              <w:t>transportlīdzekļu</w:t>
            </w:r>
            <w:proofErr w:type="spellEnd"/>
            <w:r>
              <w:rPr>
                <w:i/>
                <w:iCs/>
              </w:rPr>
              <w:t xml:space="preserve"> </w:t>
            </w:r>
            <w:proofErr w:type="spellStart"/>
            <w:r>
              <w:rPr>
                <w:i/>
                <w:iCs/>
              </w:rPr>
              <w:t>tehniskā</w:t>
            </w:r>
            <w:proofErr w:type="spellEnd"/>
            <w:r>
              <w:rPr>
                <w:i/>
                <w:iCs/>
              </w:rPr>
              <w:t xml:space="preserve"> </w:t>
            </w:r>
            <w:proofErr w:type="spellStart"/>
            <w:r>
              <w:rPr>
                <w:i/>
                <w:iCs/>
              </w:rPr>
              <w:t>stāvokļa</w:t>
            </w:r>
            <w:proofErr w:type="spellEnd"/>
            <w:r>
              <w:rPr>
                <w:i/>
                <w:iCs/>
              </w:rPr>
              <w:t xml:space="preserve"> </w:t>
            </w:r>
            <w:proofErr w:type="spellStart"/>
            <w:r>
              <w:rPr>
                <w:i/>
                <w:iCs/>
              </w:rPr>
              <w:t>apskates</w:t>
            </w:r>
            <w:proofErr w:type="spellEnd"/>
            <w:r>
              <w:rPr>
                <w:i/>
                <w:iCs/>
              </w:rPr>
              <w:t xml:space="preserve"> un </w:t>
            </w:r>
            <w:proofErr w:type="spellStart"/>
            <w:r>
              <w:rPr>
                <w:i/>
                <w:iCs/>
              </w:rPr>
              <w:t>kontroles</w:t>
            </w:r>
            <w:proofErr w:type="spellEnd"/>
            <w:r>
              <w:rPr>
                <w:i/>
                <w:iCs/>
              </w:rPr>
              <w:t xml:space="preserve"> </w:t>
            </w:r>
            <w:proofErr w:type="spellStart"/>
            <w:r>
              <w:rPr>
                <w:i/>
                <w:iCs/>
              </w:rPr>
              <w:t>pakalpojumus</w:t>
            </w:r>
            <w:proofErr w:type="spellEnd"/>
            <w:r>
              <w:rPr>
                <w:i/>
                <w:iCs/>
              </w:rPr>
              <w:t xml:space="preserve">, </w:t>
            </w:r>
            <w:proofErr w:type="spellStart"/>
            <w:r>
              <w:rPr>
                <w:i/>
                <w:iCs/>
              </w:rPr>
              <w:t>kā</w:t>
            </w:r>
            <w:proofErr w:type="spellEnd"/>
            <w:r>
              <w:rPr>
                <w:i/>
                <w:iCs/>
              </w:rPr>
              <w:t xml:space="preserve"> </w:t>
            </w:r>
            <w:proofErr w:type="spellStart"/>
            <w:r>
              <w:rPr>
                <w:i/>
                <w:iCs/>
              </w:rPr>
              <w:t>arī</w:t>
            </w:r>
            <w:proofErr w:type="spellEnd"/>
            <w:r>
              <w:rPr>
                <w:i/>
                <w:iCs/>
              </w:rPr>
              <w:t xml:space="preserve"> </w:t>
            </w:r>
            <w:proofErr w:type="spellStart"/>
            <w:r>
              <w:rPr>
                <w:i/>
                <w:iCs/>
              </w:rPr>
              <w:t>uzturēt</w:t>
            </w:r>
            <w:proofErr w:type="spellEnd"/>
            <w:r>
              <w:rPr>
                <w:i/>
                <w:iCs/>
              </w:rPr>
              <w:t xml:space="preserve"> </w:t>
            </w:r>
            <w:proofErr w:type="spellStart"/>
            <w:r>
              <w:rPr>
                <w:i/>
                <w:iCs/>
              </w:rPr>
              <w:t>nozīmīgus</w:t>
            </w:r>
            <w:proofErr w:type="spellEnd"/>
            <w:r>
              <w:rPr>
                <w:i/>
                <w:iCs/>
              </w:rPr>
              <w:t xml:space="preserve"> </w:t>
            </w:r>
            <w:proofErr w:type="spellStart"/>
            <w:r>
              <w:rPr>
                <w:i/>
                <w:iCs/>
              </w:rPr>
              <w:t>ar</w:t>
            </w:r>
            <w:proofErr w:type="spellEnd"/>
            <w:r>
              <w:rPr>
                <w:i/>
                <w:iCs/>
              </w:rPr>
              <w:t xml:space="preserve"> </w:t>
            </w:r>
            <w:proofErr w:type="spellStart"/>
            <w:r>
              <w:rPr>
                <w:i/>
                <w:iCs/>
              </w:rPr>
              <w:t>satiksmes</w:t>
            </w:r>
            <w:proofErr w:type="spellEnd"/>
            <w:r>
              <w:rPr>
                <w:i/>
                <w:iCs/>
              </w:rPr>
              <w:t xml:space="preserve"> </w:t>
            </w:r>
            <w:proofErr w:type="spellStart"/>
            <w:r>
              <w:rPr>
                <w:i/>
                <w:iCs/>
              </w:rPr>
              <w:t>jomu</w:t>
            </w:r>
            <w:proofErr w:type="spellEnd"/>
            <w:r>
              <w:rPr>
                <w:i/>
                <w:iCs/>
              </w:rPr>
              <w:t xml:space="preserve"> </w:t>
            </w:r>
            <w:proofErr w:type="spellStart"/>
            <w:r>
              <w:rPr>
                <w:i/>
                <w:iCs/>
              </w:rPr>
              <w:t>saistītus</w:t>
            </w:r>
            <w:proofErr w:type="spellEnd"/>
            <w:r>
              <w:rPr>
                <w:i/>
                <w:iCs/>
              </w:rPr>
              <w:t xml:space="preserve"> </w:t>
            </w:r>
            <w:proofErr w:type="spellStart"/>
            <w:r>
              <w:rPr>
                <w:i/>
                <w:iCs/>
              </w:rPr>
              <w:t>infrastruktūras</w:t>
            </w:r>
            <w:proofErr w:type="spellEnd"/>
            <w:r>
              <w:rPr>
                <w:i/>
                <w:iCs/>
              </w:rPr>
              <w:t xml:space="preserve"> </w:t>
            </w:r>
            <w:proofErr w:type="spellStart"/>
            <w:r>
              <w:rPr>
                <w:i/>
                <w:iCs/>
              </w:rPr>
              <w:t>objektus</w:t>
            </w:r>
            <w:proofErr w:type="spellEnd"/>
            <w:r>
              <w:t>.</w:t>
            </w:r>
          </w:p>
          <w:p w:rsidRPr="00E20255" w:rsidR="00F626E1" w:rsidP="00D022D1" w:rsidRDefault="00F626E1" w14:paraId="504DD0A9" w14:textId="13504F71">
            <w:pPr>
              <w:jc w:val="both"/>
              <w:rPr>
                <w:rFonts w:eastAsia="Calibri"/>
                <w:bCs/>
                <w:lang w:val="lv-LV"/>
              </w:rPr>
            </w:pPr>
          </w:p>
        </w:tc>
        <w:tc>
          <w:tcPr>
            <w:tcW w:w="3176" w:type="dxa"/>
          </w:tcPr>
          <w:p w:rsidR="00F626E1" w:rsidP="0001607C" w:rsidRDefault="00F626E1" w14:paraId="1C078D97" w14:textId="77777777">
            <w:pPr>
              <w:jc w:val="both"/>
              <w:rPr>
                <w:b/>
                <w:lang w:val="lv-LV"/>
              </w:rPr>
            </w:pPr>
            <w:r w:rsidRPr="00E20255">
              <w:rPr>
                <w:b/>
                <w:lang w:val="lv-LV"/>
              </w:rPr>
              <w:lastRenderedPageBreak/>
              <w:t>Iebildums ņemts vērā.</w:t>
            </w:r>
          </w:p>
          <w:p w:rsidR="00F626E1" w:rsidP="0001607C" w:rsidRDefault="00F626E1" w14:paraId="45CAD79B" w14:textId="15A28997">
            <w:pPr>
              <w:jc w:val="both"/>
              <w:rPr>
                <w:sz w:val="22"/>
                <w:szCs w:val="22"/>
                <w:lang w:val="lv-LV"/>
              </w:rPr>
            </w:pPr>
            <w:r>
              <w:rPr>
                <w:bCs/>
                <w:lang w:val="lv-LV"/>
              </w:rPr>
              <w:t xml:space="preserve">Satiksmes ministrijas ieskatā </w:t>
            </w:r>
            <w:r w:rsidRPr="00A642E3">
              <w:rPr>
                <w:bCs/>
                <w:lang w:val="lv-LV"/>
              </w:rPr>
              <w:t xml:space="preserve"> vispār</w:t>
            </w:r>
            <w:r>
              <w:rPr>
                <w:bCs/>
                <w:lang w:val="lv-LV"/>
              </w:rPr>
              <w:t>ē</w:t>
            </w:r>
            <w:r w:rsidRPr="00A642E3">
              <w:rPr>
                <w:bCs/>
                <w:lang w:val="lv-LV"/>
              </w:rPr>
              <w:t xml:space="preserve">jam stratēģiskajam mērķim jābūt īsam, bet saturiski  ietilpīgam. </w:t>
            </w:r>
            <w:r>
              <w:rPr>
                <w:bCs/>
                <w:lang w:val="lv-LV"/>
              </w:rPr>
              <w:t xml:space="preserve">Piemēram, </w:t>
            </w:r>
            <w:proofErr w:type="spellStart"/>
            <w:r>
              <w:t>sabiedīrbas</w:t>
            </w:r>
            <w:proofErr w:type="spellEnd"/>
            <w:r>
              <w:t xml:space="preserve"> </w:t>
            </w:r>
            <w:proofErr w:type="spellStart"/>
            <w:r>
              <w:t>izglītošana</w:t>
            </w:r>
            <w:proofErr w:type="spellEnd"/>
            <w:r>
              <w:t xml:space="preserve"> </w:t>
            </w:r>
            <w:proofErr w:type="spellStart"/>
            <w:r>
              <w:t>saistās</w:t>
            </w:r>
            <w:proofErr w:type="spellEnd"/>
            <w:r>
              <w:t xml:space="preserve"> </w:t>
            </w:r>
            <w:proofErr w:type="spellStart"/>
            <w:r>
              <w:t>ar</w:t>
            </w:r>
            <w:proofErr w:type="spellEnd"/>
            <w:r>
              <w:t xml:space="preserve"> </w:t>
            </w:r>
            <w:proofErr w:type="spellStart"/>
            <w:r>
              <w:t>sabiedrības</w:t>
            </w:r>
            <w:proofErr w:type="spellEnd"/>
            <w:r>
              <w:t xml:space="preserve"> </w:t>
            </w:r>
            <w:proofErr w:type="spellStart"/>
            <w:r>
              <w:t>interesēm</w:t>
            </w:r>
            <w:proofErr w:type="spellEnd"/>
            <w:r>
              <w:t xml:space="preserve">, </w:t>
            </w:r>
            <w:proofErr w:type="spellStart"/>
            <w:r>
              <w:t>nākotnes</w:t>
            </w:r>
            <w:proofErr w:type="spellEnd"/>
            <w:r>
              <w:t xml:space="preserve"> </w:t>
            </w:r>
            <w:proofErr w:type="spellStart"/>
            <w:r>
              <w:t>mobilitātes</w:t>
            </w:r>
            <w:proofErr w:type="spellEnd"/>
            <w:r>
              <w:t xml:space="preserve"> </w:t>
            </w:r>
            <w:proofErr w:type="spellStart"/>
            <w:r>
              <w:t>risinājumi</w:t>
            </w:r>
            <w:proofErr w:type="spellEnd"/>
            <w:r>
              <w:t xml:space="preserve"> </w:t>
            </w:r>
            <w:proofErr w:type="spellStart"/>
            <w:r>
              <w:t>ar</w:t>
            </w:r>
            <w:proofErr w:type="spellEnd"/>
            <w:r>
              <w:t xml:space="preserve"> </w:t>
            </w:r>
            <w:proofErr w:type="spellStart"/>
            <w:r>
              <w:t>inovatīvu</w:t>
            </w:r>
            <w:proofErr w:type="spellEnd"/>
            <w:r>
              <w:t xml:space="preserve"> </w:t>
            </w:r>
            <w:proofErr w:type="spellStart"/>
            <w:r>
              <w:t>ieguldījuma</w:t>
            </w:r>
            <w:proofErr w:type="spellEnd"/>
            <w:r>
              <w:t xml:space="preserve"> </w:t>
            </w:r>
            <w:proofErr w:type="spellStart"/>
            <w:r>
              <w:t>ilgtspējīgas</w:t>
            </w:r>
            <w:proofErr w:type="spellEnd"/>
            <w:r>
              <w:t xml:space="preserve"> </w:t>
            </w:r>
            <w:proofErr w:type="spellStart"/>
            <w:r>
              <w:t>satiksmes</w:t>
            </w:r>
            <w:proofErr w:type="spellEnd"/>
            <w:r>
              <w:t xml:space="preserve"> </w:t>
            </w:r>
            <w:proofErr w:type="spellStart"/>
            <w:r>
              <w:t>drošības</w:t>
            </w:r>
            <w:proofErr w:type="spellEnd"/>
            <w:r>
              <w:t xml:space="preserve"> </w:t>
            </w:r>
            <w:proofErr w:type="spellStart"/>
            <w:r>
              <w:t>paaugstināšanā</w:t>
            </w:r>
            <w:proofErr w:type="spellEnd"/>
            <w:r>
              <w:t xml:space="preserve"> </w:t>
            </w:r>
            <w:proofErr w:type="spellStart"/>
            <w:r>
              <w:t>utml</w:t>
            </w:r>
            <w:proofErr w:type="spellEnd"/>
            <w:r>
              <w:t>.</w:t>
            </w:r>
          </w:p>
          <w:p w:rsidRPr="00A642E3" w:rsidR="00F626E1" w:rsidP="0001607C" w:rsidRDefault="00F626E1" w14:paraId="544AB165" w14:textId="08EB92F9">
            <w:pPr>
              <w:jc w:val="both"/>
              <w:rPr>
                <w:bCs/>
                <w:lang w:val="lv-LV"/>
              </w:rPr>
            </w:pPr>
          </w:p>
        </w:tc>
        <w:tc>
          <w:tcPr>
            <w:tcW w:w="3398" w:type="dxa"/>
          </w:tcPr>
          <w:p w:rsidRPr="008B4411" w:rsidR="00F626E1" w:rsidP="008B4411" w:rsidRDefault="00F626E1" w14:paraId="0FC0C401" w14:textId="0C1F952B">
            <w:pPr>
              <w:spacing w:line="276" w:lineRule="auto"/>
              <w:jc w:val="both"/>
              <w:rPr>
                <w:sz w:val="26"/>
                <w:szCs w:val="26"/>
                <w:lang w:val="lv-LV" w:eastAsia="lv-LV"/>
              </w:rPr>
            </w:pPr>
            <w:bookmarkStart w:name="_Hlk57722264" w:id="3"/>
            <w:proofErr w:type="spellStart"/>
            <w:r w:rsidRPr="008B4411">
              <w:t>nodrošināt</w:t>
            </w:r>
            <w:proofErr w:type="spellEnd"/>
            <w:r w:rsidRPr="008B4411">
              <w:t xml:space="preserve"> </w:t>
            </w:r>
            <w:proofErr w:type="spellStart"/>
            <w:r w:rsidRPr="008B4411">
              <w:t>kvalitatīvu</w:t>
            </w:r>
            <w:proofErr w:type="spellEnd"/>
            <w:r w:rsidRPr="008B4411">
              <w:t xml:space="preserve"> un </w:t>
            </w:r>
            <w:proofErr w:type="spellStart"/>
            <w:r w:rsidRPr="008B4411">
              <w:t>inovatīvu</w:t>
            </w:r>
            <w:proofErr w:type="spellEnd"/>
            <w:r w:rsidRPr="008B4411">
              <w:t xml:space="preserve"> </w:t>
            </w:r>
            <w:proofErr w:type="spellStart"/>
            <w:r w:rsidRPr="008B4411">
              <w:t>ieguldījumu</w:t>
            </w:r>
            <w:proofErr w:type="spellEnd"/>
            <w:r w:rsidRPr="008B4411">
              <w:t xml:space="preserve"> </w:t>
            </w:r>
            <w:proofErr w:type="spellStart"/>
            <w:r w:rsidRPr="008B4411">
              <w:t>ilgtspējīgas</w:t>
            </w:r>
            <w:proofErr w:type="spellEnd"/>
            <w:r w:rsidRPr="008B4411">
              <w:t xml:space="preserve"> </w:t>
            </w:r>
            <w:proofErr w:type="spellStart"/>
            <w:r w:rsidRPr="008B4411">
              <w:t>satiksmes</w:t>
            </w:r>
            <w:proofErr w:type="spellEnd"/>
            <w:r w:rsidRPr="008B4411">
              <w:t xml:space="preserve"> </w:t>
            </w:r>
            <w:proofErr w:type="spellStart"/>
            <w:r w:rsidRPr="008B4411">
              <w:t>drošības</w:t>
            </w:r>
            <w:proofErr w:type="spellEnd"/>
            <w:r w:rsidRPr="008B4411">
              <w:t xml:space="preserve"> </w:t>
            </w:r>
            <w:proofErr w:type="spellStart"/>
            <w:r w:rsidRPr="008B4411">
              <w:t>paaugstināšanā</w:t>
            </w:r>
            <w:proofErr w:type="spellEnd"/>
            <w:r w:rsidRPr="008B4411">
              <w:t xml:space="preserve">, </w:t>
            </w:r>
            <w:proofErr w:type="spellStart"/>
            <w:r w:rsidRPr="008B4411">
              <w:t>uzturēt</w:t>
            </w:r>
            <w:proofErr w:type="spellEnd"/>
            <w:r w:rsidRPr="008B4411">
              <w:t xml:space="preserve"> un </w:t>
            </w:r>
            <w:proofErr w:type="spellStart"/>
            <w:r w:rsidRPr="008B4411">
              <w:t>attīstīt</w:t>
            </w:r>
            <w:proofErr w:type="spellEnd"/>
            <w:r w:rsidRPr="008B4411">
              <w:t xml:space="preserve"> </w:t>
            </w:r>
            <w:proofErr w:type="spellStart"/>
            <w:r w:rsidRPr="008B4411">
              <w:t>transportlīdzekļu</w:t>
            </w:r>
            <w:proofErr w:type="spellEnd"/>
            <w:r w:rsidRPr="008B4411">
              <w:t xml:space="preserve"> un </w:t>
            </w:r>
            <w:proofErr w:type="spellStart"/>
            <w:r w:rsidRPr="008B4411">
              <w:t>iekšējo</w:t>
            </w:r>
            <w:proofErr w:type="spellEnd"/>
            <w:r w:rsidRPr="008B4411">
              <w:t xml:space="preserve"> </w:t>
            </w:r>
            <w:proofErr w:type="spellStart"/>
            <w:r w:rsidRPr="008B4411">
              <w:t>ūdeņu</w:t>
            </w:r>
            <w:proofErr w:type="spellEnd"/>
            <w:r w:rsidRPr="008B4411">
              <w:t xml:space="preserve"> </w:t>
            </w:r>
            <w:proofErr w:type="spellStart"/>
            <w:r w:rsidRPr="008B4411">
              <w:t>kuģošanas</w:t>
            </w:r>
            <w:proofErr w:type="spellEnd"/>
            <w:r w:rsidRPr="008B4411">
              <w:t xml:space="preserve"> </w:t>
            </w:r>
            <w:proofErr w:type="spellStart"/>
            <w:r w:rsidRPr="008B4411">
              <w:t>līdzekļu</w:t>
            </w:r>
            <w:proofErr w:type="spellEnd"/>
            <w:r w:rsidRPr="008B4411">
              <w:t xml:space="preserve"> </w:t>
            </w:r>
            <w:proofErr w:type="spellStart"/>
            <w:r w:rsidRPr="008B4411">
              <w:t>uzskaites</w:t>
            </w:r>
            <w:proofErr w:type="spellEnd"/>
            <w:r w:rsidRPr="008B4411">
              <w:t xml:space="preserve"> un </w:t>
            </w:r>
            <w:proofErr w:type="spellStart"/>
            <w:r w:rsidRPr="008B4411">
              <w:t>vadītāju</w:t>
            </w:r>
            <w:proofErr w:type="spellEnd"/>
            <w:r w:rsidRPr="008B4411">
              <w:t xml:space="preserve"> </w:t>
            </w:r>
            <w:proofErr w:type="spellStart"/>
            <w:r w:rsidRPr="008B4411">
              <w:t>kvalifikācijas</w:t>
            </w:r>
            <w:proofErr w:type="spellEnd"/>
            <w:r w:rsidRPr="008B4411">
              <w:t xml:space="preserve"> </w:t>
            </w:r>
            <w:proofErr w:type="spellStart"/>
            <w:r w:rsidRPr="008B4411">
              <w:t>pakalpojumus</w:t>
            </w:r>
            <w:proofErr w:type="spellEnd"/>
            <w:r w:rsidRPr="008B4411">
              <w:t xml:space="preserve">, </w:t>
            </w:r>
            <w:proofErr w:type="spellStart"/>
            <w:r w:rsidRPr="008B4411">
              <w:t>transportlīdzekļu</w:t>
            </w:r>
            <w:proofErr w:type="spellEnd"/>
            <w:r w:rsidRPr="008B4411">
              <w:t xml:space="preserve"> </w:t>
            </w:r>
            <w:proofErr w:type="spellStart"/>
            <w:r w:rsidRPr="008B4411">
              <w:t>tehniskā</w:t>
            </w:r>
            <w:proofErr w:type="spellEnd"/>
            <w:r w:rsidRPr="008B4411">
              <w:t xml:space="preserve"> </w:t>
            </w:r>
            <w:proofErr w:type="spellStart"/>
            <w:r w:rsidRPr="008B4411">
              <w:t>stāvokļa</w:t>
            </w:r>
            <w:proofErr w:type="spellEnd"/>
            <w:r w:rsidRPr="008B4411">
              <w:t xml:space="preserve"> </w:t>
            </w:r>
            <w:proofErr w:type="spellStart"/>
            <w:r w:rsidRPr="008B4411">
              <w:t>apskates</w:t>
            </w:r>
            <w:proofErr w:type="spellEnd"/>
            <w:r w:rsidRPr="008B4411">
              <w:t xml:space="preserve"> un </w:t>
            </w:r>
            <w:proofErr w:type="spellStart"/>
            <w:r w:rsidRPr="008B4411">
              <w:t>kontroles</w:t>
            </w:r>
            <w:proofErr w:type="spellEnd"/>
            <w:r w:rsidRPr="008B4411">
              <w:t xml:space="preserve"> </w:t>
            </w:r>
            <w:proofErr w:type="spellStart"/>
            <w:r w:rsidRPr="008B4411">
              <w:t>pakalpojumus</w:t>
            </w:r>
            <w:proofErr w:type="spellEnd"/>
            <w:r w:rsidRPr="008B4411">
              <w:t xml:space="preserve">, </w:t>
            </w:r>
            <w:proofErr w:type="spellStart"/>
            <w:r w:rsidRPr="008B4411">
              <w:t>kā</w:t>
            </w:r>
            <w:proofErr w:type="spellEnd"/>
            <w:r w:rsidRPr="008B4411">
              <w:t xml:space="preserve"> </w:t>
            </w:r>
            <w:proofErr w:type="spellStart"/>
            <w:r w:rsidRPr="008B4411">
              <w:t>arī</w:t>
            </w:r>
            <w:proofErr w:type="spellEnd"/>
            <w:r w:rsidRPr="008B4411">
              <w:t xml:space="preserve"> </w:t>
            </w:r>
            <w:proofErr w:type="spellStart"/>
            <w:r w:rsidRPr="008B4411">
              <w:t>uzturēt</w:t>
            </w:r>
            <w:proofErr w:type="spellEnd"/>
            <w:r w:rsidRPr="008B4411">
              <w:t xml:space="preserve"> </w:t>
            </w:r>
            <w:proofErr w:type="spellStart"/>
            <w:r w:rsidRPr="008B4411">
              <w:t>nozīmīgus</w:t>
            </w:r>
            <w:proofErr w:type="spellEnd"/>
            <w:r w:rsidRPr="008B4411">
              <w:t xml:space="preserve"> </w:t>
            </w:r>
            <w:proofErr w:type="spellStart"/>
            <w:r w:rsidRPr="008B4411">
              <w:t>ar</w:t>
            </w:r>
            <w:proofErr w:type="spellEnd"/>
            <w:r w:rsidRPr="008B4411">
              <w:t xml:space="preserve"> </w:t>
            </w:r>
            <w:proofErr w:type="spellStart"/>
            <w:r w:rsidRPr="008B4411">
              <w:t>satiksmes</w:t>
            </w:r>
            <w:proofErr w:type="spellEnd"/>
            <w:r w:rsidRPr="008B4411">
              <w:t xml:space="preserve"> </w:t>
            </w:r>
            <w:proofErr w:type="spellStart"/>
            <w:r w:rsidRPr="008B4411">
              <w:t>jomu</w:t>
            </w:r>
            <w:proofErr w:type="spellEnd"/>
            <w:r w:rsidRPr="008B4411">
              <w:t xml:space="preserve"> </w:t>
            </w:r>
            <w:proofErr w:type="spellStart"/>
            <w:r w:rsidRPr="008B4411">
              <w:t>saistītus</w:t>
            </w:r>
            <w:proofErr w:type="spellEnd"/>
            <w:r w:rsidRPr="008B4411">
              <w:t xml:space="preserve"> </w:t>
            </w:r>
            <w:proofErr w:type="spellStart"/>
            <w:r w:rsidRPr="008B4411">
              <w:t>infrastruktūras</w:t>
            </w:r>
            <w:proofErr w:type="spellEnd"/>
            <w:r w:rsidRPr="008B4411">
              <w:t xml:space="preserve"> </w:t>
            </w:r>
            <w:proofErr w:type="spellStart"/>
            <w:r w:rsidRPr="008B4411">
              <w:t>objektus</w:t>
            </w:r>
            <w:proofErr w:type="spellEnd"/>
            <w:r w:rsidRPr="008B4411">
              <w:t xml:space="preserve">. </w:t>
            </w:r>
          </w:p>
          <w:bookmarkEnd w:id="3"/>
          <w:p w:rsidRPr="008B4411" w:rsidR="00F626E1" w:rsidP="00676B37" w:rsidRDefault="00F626E1" w14:paraId="50844CE7" w14:textId="1344BFEE">
            <w:pPr>
              <w:ind w:right="-8"/>
              <w:jc w:val="both"/>
              <w:rPr>
                <w:lang w:val="lv-LV"/>
              </w:rPr>
            </w:pPr>
          </w:p>
        </w:tc>
      </w:tr>
    </w:tbl>
    <w:p w:rsidRPr="00E20255" w:rsidR="006B446A" w:rsidP="00614E98" w:rsidRDefault="006B446A" w14:paraId="4C189B06" w14:textId="77777777">
      <w:pPr>
        <w:jc w:val="both"/>
        <w:rPr>
          <w:lang w:val="lv-LV"/>
        </w:rPr>
      </w:pPr>
    </w:p>
    <w:p w:rsidRPr="003D45DF" w:rsidR="003D45DF" w:rsidP="003D45DF" w:rsidRDefault="003D45DF" w14:paraId="71894CE7" w14:textId="77777777">
      <w:pPr>
        <w:ind w:firstLine="720"/>
        <w:jc w:val="both"/>
        <w:rPr>
          <w:lang w:val="lv-LV" w:eastAsia="lv-LV"/>
        </w:rPr>
      </w:pPr>
      <w:r w:rsidRPr="003D45DF">
        <w:rPr>
          <w:lang w:val="lv-LV" w:eastAsia="lv-LV"/>
        </w:rPr>
        <w:t>Piezīme. * Dokumenta rekvizītu "paraksts" neaizpilda, ja elektroniskais dokuments ir sagatavots atbilstoši normatīvajiem aktiem par elektronisko dokumentu noformēšanu.</w:t>
      </w:r>
    </w:p>
    <w:p w:rsidRPr="003D45DF" w:rsidR="003D45DF" w:rsidP="003D45DF" w:rsidRDefault="003D45DF" w14:paraId="3B5829A3" w14:textId="77777777">
      <w:pPr>
        <w:ind w:firstLine="720"/>
        <w:jc w:val="both"/>
        <w:rPr>
          <w:lang w:val="lv-LV" w:eastAsia="lv-LV"/>
        </w:rPr>
      </w:pPr>
    </w:p>
    <w:p w:rsidRPr="003D45DF" w:rsidR="003D45DF" w:rsidP="003D45DF" w:rsidRDefault="003D45DF" w14:paraId="40422576" w14:textId="77777777">
      <w:pPr>
        <w:ind w:firstLine="720"/>
        <w:jc w:val="both"/>
        <w:rPr>
          <w:lang w:val="lv-LV" w:eastAsia="lv-LV"/>
        </w:rPr>
      </w:pPr>
    </w:p>
    <w:p w:rsidRPr="003D45DF" w:rsidR="003D45DF" w:rsidP="003D45DF" w:rsidRDefault="003D45DF" w14:paraId="44A3F223" w14:textId="52E90CFF">
      <w:pPr>
        <w:ind w:firstLine="720"/>
        <w:jc w:val="both"/>
        <w:rPr>
          <w:lang w:val="lv-LV" w:eastAsia="lv-LV"/>
        </w:rPr>
      </w:pPr>
      <w:r>
        <w:rPr>
          <w:lang w:val="lv-LV" w:eastAsia="lv-LV"/>
        </w:rPr>
        <w:t>Inguna Strautmane</w:t>
      </w:r>
    </w:p>
    <w:tbl>
      <w:tblPr>
        <w:tblW w:w="0" w:type="auto"/>
        <w:tblLook w:val="00A0" w:firstRow="1" w:lastRow="0" w:firstColumn="1" w:lastColumn="0" w:noHBand="0" w:noVBand="0"/>
      </w:tblPr>
      <w:tblGrid>
        <w:gridCol w:w="8268"/>
      </w:tblGrid>
      <w:tr w:rsidRPr="003D45DF" w:rsidR="003D45DF" w:rsidTr="0049605C" w14:paraId="1F317608" w14:textId="77777777">
        <w:tc>
          <w:tcPr>
            <w:tcW w:w="8268" w:type="dxa"/>
            <w:tcBorders>
              <w:top w:val="single" w:color="000000" w:sz="4" w:space="0"/>
            </w:tcBorders>
          </w:tcPr>
          <w:p w:rsidRPr="003D45DF" w:rsidR="003D45DF" w:rsidP="003D45DF" w:rsidRDefault="003D45DF" w14:paraId="608D137C" w14:textId="77777777">
            <w:pPr>
              <w:jc w:val="center"/>
              <w:rPr>
                <w:lang w:val="lv-LV" w:eastAsia="lv-LV"/>
              </w:rPr>
            </w:pPr>
            <w:r w:rsidRPr="003D45DF">
              <w:rPr>
                <w:lang w:val="lv-LV" w:eastAsia="lv-LV"/>
              </w:rPr>
              <w:t>(par projektu atbildīgās amatpersonas vārds un uzvārds)</w:t>
            </w:r>
          </w:p>
        </w:tc>
      </w:tr>
      <w:tr w:rsidRPr="003D45DF" w:rsidR="003D45DF" w:rsidTr="0049605C" w14:paraId="0F560634" w14:textId="77777777">
        <w:tc>
          <w:tcPr>
            <w:tcW w:w="8268" w:type="dxa"/>
            <w:tcBorders>
              <w:bottom w:val="single" w:color="000000" w:sz="4" w:space="0"/>
            </w:tcBorders>
          </w:tcPr>
          <w:p w:rsidRPr="003D45DF" w:rsidR="003D45DF" w:rsidP="003D45DF" w:rsidRDefault="003D45DF" w14:paraId="4789DFA8" w14:textId="1948CDDB">
            <w:pPr>
              <w:rPr>
                <w:lang w:val="lv-LV" w:eastAsia="lv-LV"/>
              </w:rPr>
            </w:pPr>
            <w:r w:rsidRPr="003D45DF">
              <w:rPr>
                <w:lang w:val="lv-LV" w:eastAsia="lv-LV"/>
              </w:rPr>
              <w:t xml:space="preserve">Satiksmes ministrijas Juridiskā departamenta </w:t>
            </w:r>
            <w:r>
              <w:rPr>
                <w:lang w:val="lv-LV" w:eastAsia="lv-LV"/>
              </w:rPr>
              <w:t xml:space="preserve">direktora vietniece </w:t>
            </w:r>
            <w:r w:rsidRPr="003D45DF">
              <w:rPr>
                <w:lang w:val="lv-LV" w:eastAsia="lv-LV"/>
              </w:rPr>
              <w:t>Valsts kapitāla daļu pārvaldes un publisko līgumu nodaļas vadītāja</w:t>
            </w:r>
          </w:p>
        </w:tc>
      </w:tr>
      <w:tr w:rsidRPr="003D45DF" w:rsidR="003D45DF" w:rsidTr="0049605C" w14:paraId="0292AB53" w14:textId="77777777">
        <w:tc>
          <w:tcPr>
            <w:tcW w:w="8268" w:type="dxa"/>
            <w:tcBorders>
              <w:top w:val="single" w:color="000000" w:sz="4" w:space="0"/>
            </w:tcBorders>
          </w:tcPr>
          <w:p w:rsidRPr="003D45DF" w:rsidR="003D45DF" w:rsidP="003D45DF" w:rsidRDefault="003D45DF" w14:paraId="7238A805" w14:textId="77777777">
            <w:pPr>
              <w:jc w:val="center"/>
              <w:rPr>
                <w:lang w:val="lv-LV" w:eastAsia="lv-LV"/>
              </w:rPr>
            </w:pPr>
            <w:r w:rsidRPr="003D45DF">
              <w:rPr>
                <w:lang w:val="lv-LV" w:eastAsia="lv-LV"/>
              </w:rPr>
              <w:t>(amats)</w:t>
            </w:r>
          </w:p>
        </w:tc>
      </w:tr>
      <w:tr w:rsidRPr="003D45DF" w:rsidR="003D45DF" w:rsidTr="0049605C" w14:paraId="1221DDAE" w14:textId="77777777">
        <w:tc>
          <w:tcPr>
            <w:tcW w:w="8268" w:type="dxa"/>
            <w:tcBorders>
              <w:bottom w:val="single" w:color="000000" w:sz="4" w:space="0"/>
            </w:tcBorders>
          </w:tcPr>
          <w:p w:rsidRPr="003D45DF" w:rsidR="003D45DF" w:rsidP="003D45DF" w:rsidRDefault="003D45DF" w14:paraId="4FC34B05" w14:textId="48A97303">
            <w:pPr>
              <w:rPr>
                <w:lang w:val="lv-LV" w:eastAsia="lv-LV"/>
              </w:rPr>
            </w:pPr>
            <w:r w:rsidRPr="003D45DF">
              <w:rPr>
                <w:lang w:val="lv-LV" w:eastAsia="lv-LV"/>
              </w:rPr>
              <w:t>6702823</w:t>
            </w:r>
            <w:r>
              <w:rPr>
                <w:lang w:val="lv-LV" w:eastAsia="lv-LV"/>
              </w:rPr>
              <w:t>1</w:t>
            </w:r>
          </w:p>
        </w:tc>
      </w:tr>
      <w:tr w:rsidRPr="003D45DF" w:rsidR="003D45DF" w:rsidTr="0049605C" w14:paraId="5C93DFC0" w14:textId="77777777">
        <w:tc>
          <w:tcPr>
            <w:tcW w:w="8268" w:type="dxa"/>
            <w:tcBorders>
              <w:top w:val="single" w:color="000000" w:sz="4" w:space="0"/>
            </w:tcBorders>
          </w:tcPr>
          <w:p w:rsidRPr="003D45DF" w:rsidR="003D45DF" w:rsidP="003D45DF" w:rsidRDefault="003D45DF" w14:paraId="3842250B" w14:textId="77777777">
            <w:pPr>
              <w:jc w:val="center"/>
              <w:rPr>
                <w:lang w:val="lv-LV" w:eastAsia="lv-LV"/>
              </w:rPr>
            </w:pPr>
            <w:r w:rsidRPr="003D45DF">
              <w:rPr>
                <w:lang w:val="lv-LV" w:eastAsia="lv-LV"/>
              </w:rPr>
              <w:t>(tālruņa un faksa numurs)</w:t>
            </w:r>
          </w:p>
        </w:tc>
      </w:tr>
      <w:tr w:rsidRPr="003D45DF" w:rsidR="003D45DF" w:rsidTr="0049605C" w14:paraId="65BE53D3" w14:textId="77777777">
        <w:tc>
          <w:tcPr>
            <w:tcW w:w="8268" w:type="dxa"/>
            <w:tcBorders>
              <w:bottom w:val="single" w:color="000000" w:sz="4" w:space="0"/>
            </w:tcBorders>
          </w:tcPr>
          <w:p w:rsidRPr="003D45DF" w:rsidR="003D45DF" w:rsidP="003D45DF" w:rsidRDefault="00DF7CDB" w14:paraId="2FFBB0E7" w14:textId="31B42908">
            <w:pPr>
              <w:rPr>
                <w:lang w:val="lv-LV" w:eastAsia="lv-LV"/>
              </w:rPr>
            </w:pPr>
            <w:hyperlink w:history="1" r:id="rId8">
              <w:r w:rsidRPr="00650BEB" w:rsidR="003D45DF">
                <w:rPr>
                  <w:rStyle w:val="Hyperlink"/>
                  <w:lang w:val="lv-LV" w:eastAsia="lv-LV"/>
                </w:rPr>
                <w:t>Inguna.Strautmane@sam.gov.lv</w:t>
              </w:r>
            </w:hyperlink>
            <w:r w:rsidR="003D45DF">
              <w:rPr>
                <w:lang w:val="lv-LV" w:eastAsia="lv-LV"/>
              </w:rPr>
              <w:t xml:space="preserve"> </w:t>
            </w:r>
          </w:p>
        </w:tc>
      </w:tr>
      <w:tr w:rsidRPr="003D45DF" w:rsidR="003D45DF" w:rsidTr="0049605C" w14:paraId="69823747" w14:textId="77777777">
        <w:tc>
          <w:tcPr>
            <w:tcW w:w="8268" w:type="dxa"/>
            <w:tcBorders>
              <w:top w:val="single" w:color="000000" w:sz="4" w:space="0"/>
            </w:tcBorders>
          </w:tcPr>
          <w:p w:rsidRPr="003D45DF" w:rsidR="003D45DF" w:rsidP="003D45DF" w:rsidRDefault="003D45DF" w14:paraId="51A2B18C" w14:textId="77777777">
            <w:pPr>
              <w:jc w:val="center"/>
              <w:rPr>
                <w:lang w:val="lv-LV" w:eastAsia="lv-LV"/>
              </w:rPr>
            </w:pPr>
            <w:r w:rsidRPr="003D45DF">
              <w:rPr>
                <w:lang w:val="lv-LV" w:eastAsia="lv-LV"/>
              </w:rPr>
              <w:t>(e-pasta adrese)</w:t>
            </w:r>
          </w:p>
        </w:tc>
      </w:tr>
    </w:tbl>
    <w:p w:rsidRPr="003D45DF" w:rsidR="003D45DF" w:rsidP="003D45DF" w:rsidRDefault="003D45DF" w14:paraId="438F7C74" w14:textId="77777777">
      <w:pPr>
        <w:rPr>
          <w:sz w:val="28"/>
          <w:szCs w:val="28"/>
          <w:lang w:val="lv-LV" w:eastAsia="lv-LV"/>
        </w:rPr>
      </w:pPr>
    </w:p>
    <w:p w:rsidRPr="00E20255" w:rsidR="002C370A" w:rsidP="00614E98" w:rsidRDefault="002C370A" w14:paraId="67000DD1" w14:textId="1A3154A7">
      <w:pPr>
        <w:spacing w:before="120"/>
        <w:ind w:firstLine="720"/>
        <w:jc w:val="both"/>
        <w:rPr>
          <w:lang w:val="lv-LV"/>
        </w:rPr>
      </w:pPr>
      <w:r w:rsidRPr="00E20255">
        <w:rPr>
          <w:lang w:val="lv-LV"/>
        </w:rPr>
        <w:tab/>
      </w:r>
      <w:r w:rsidRPr="00E20255">
        <w:rPr>
          <w:lang w:val="lv-LV"/>
        </w:rPr>
        <w:tab/>
      </w:r>
      <w:r w:rsidRPr="00E20255">
        <w:rPr>
          <w:lang w:val="lv-LV"/>
        </w:rPr>
        <w:tab/>
      </w:r>
      <w:r w:rsidRPr="00E20255">
        <w:rPr>
          <w:lang w:val="lv-LV"/>
        </w:rPr>
        <w:tab/>
      </w:r>
      <w:r w:rsidRPr="00E20255">
        <w:rPr>
          <w:lang w:val="lv-LV"/>
        </w:rPr>
        <w:tab/>
      </w:r>
      <w:r w:rsidRPr="00E20255">
        <w:rPr>
          <w:lang w:val="lv-LV"/>
        </w:rPr>
        <w:tab/>
      </w:r>
      <w:r w:rsidRPr="00E20255">
        <w:rPr>
          <w:lang w:val="lv-LV"/>
        </w:rPr>
        <w:tab/>
      </w:r>
      <w:r w:rsidRPr="00E20255">
        <w:rPr>
          <w:lang w:val="lv-LV"/>
        </w:rPr>
        <w:tab/>
      </w:r>
      <w:r w:rsidRPr="00E20255">
        <w:rPr>
          <w:lang w:val="lv-LV"/>
        </w:rPr>
        <w:tab/>
      </w:r>
    </w:p>
    <w:sectPr w:rsidRPr="00E20255" w:rsidR="002C370A" w:rsidSect="001E54A5">
      <w:headerReference w:type="even" r:id="rId9"/>
      <w:headerReference w:type="default" r:id="rId10"/>
      <w:footerReference w:type="default" r:id="rId11"/>
      <w:footerReference w:type="first" r:id="rId12"/>
      <w:pgSz w:w="15840" w:h="12240" w:orient="landscape" w:code="1"/>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65D58" w14:textId="77777777" w:rsidR="00383933" w:rsidRDefault="00383933">
      <w:r>
        <w:separator/>
      </w:r>
    </w:p>
  </w:endnote>
  <w:endnote w:type="continuationSeparator" w:id="0">
    <w:p w14:paraId="6AE63ACA" w14:textId="77777777" w:rsidR="00383933" w:rsidRDefault="0038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Gotham Pro LT">
    <w:altName w:val="Calibri"/>
    <w:charset w:val="BA"/>
    <w:family w:val="auto"/>
    <w:pitch w:val="variable"/>
    <w:sig w:usb0="80000AAF" w:usb1="5000204A"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4052" w14:textId="77EDBFB8" w:rsidR="00CC2FC1" w:rsidRPr="00221209" w:rsidRDefault="00CC2FC1" w:rsidP="00CC2FC1">
    <w:pPr>
      <w:jc w:val="both"/>
      <w:rPr>
        <w:vanish/>
        <w:sz w:val="20"/>
        <w:lang w:val="lv-LV"/>
      </w:rPr>
    </w:pPr>
    <w:r>
      <w:rPr>
        <w:sz w:val="20"/>
        <w:lang w:val="lv-LV"/>
      </w:rPr>
      <w:t>SAMIzz_0</w:t>
    </w:r>
    <w:r w:rsidR="00092A2F">
      <w:rPr>
        <w:sz w:val="20"/>
        <w:lang w:val="lv-LV"/>
      </w:rPr>
      <w:t>1</w:t>
    </w:r>
    <w:r>
      <w:rPr>
        <w:sz w:val="20"/>
        <w:lang w:val="lv-LV"/>
      </w:rPr>
      <w:t>1220_CSDDlidzdaliba</w:t>
    </w:r>
  </w:p>
  <w:p w14:paraId="450489EB" w14:textId="77777777" w:rsidR="00CC2FC1" w:rsidRDefault="00CC2FC1" w:rsidP="00CC2FC1">
    <w:pPr>
      <w:pStyle w:val="Footer"/>
    </w:pPr>
  </w:p>
  <w:p w14:paraId="2C9A6547" w14:textId="10CBC57F" w:rsidR="007F73DC" w:rsidRPr="00CC2FC1" w:rsidRDefault="007F73DC" w:rsidP="00CC2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63AD" w14:textId="72C0D6EA" w:rsidR="0074449C" w:rsidRPr="00221209" w:rsidRDefault="0074449C" w:rsidP="00D0672B">
    <w:pPr>
      <w:jc w:val="both"/>
      <w:rPr>
        <w:vanish/>
        <w:sz w:val="20"/>
        <w:lang w:val="lv-LV"/>
      </w:rPr>
    </w:pPr>
    <w:r>
      <w:rPr>
        <w:sz w:val="20"/>
        <w:lang w:val="lv-LV"/>
      </w:rPr>
      <w:t>SAMIzz_</w:t>
    </w:r>
    <w:r w:rsidR="00CC2FC1">
      <w:rPr>
        <w:sz w:val="20"/>
        <w:lang w:val="lv-LV"/>
      </w:rPr>
      <w:t>0</w:t>
    </w:r>
    <w:r w:rsidR="00092A2F">
      <w:rPr>
        <w:sz w:val="20"/>
        <w:lang w:val="lv-LV"/>
      </w:rPr>
      <w:t>1</w:t>
    </w:r>
    <w:r w:rsidR="00CC2FC1">
      <w:rPr>
        <w:sz w:val="20"/>
        <w:lang w:val="lv-LV"/>
      </w:rPr>
      <w:t>12</w:t>
    </w:r>
    <w:r w:rsidR="007F73DC">
      <w:rPr>
        <w:sz w:val="20"/>
        <w:lang w:val="lv-LV"/>
      </w:rPr>
      <w:t>20</w:t>
    </w:r>
    <w:r>
      <w:rPr>
        <w:sz w:val="20"/>
        <w:lang w:val="lv-LV"/>
      </w:rPr>
      <w:t>_</w:t>
    </w:r>
    <w:r w:rsidR="007F73DC">
      <w:rPr>
        <w:sz w:val="20"/>
        <w:lang w:val="lv-LV"/>
      </w:rPr>
      <w:t>CSDD</w:t>
    </w:r>
    <w:r w:rsidR="00BD00F1">
      <w:rPr>
        <w:sz w:val="20"/>
        <w:lang w:val="lv-LV"/>
      </w:rPr>
      <w:t>lidzdaliba</w:t>
    </w:r>
  </w:p>
  <w:p w14:paraId="0AC4C303" w14:textId="77777777" w:rsidR="0074449C" w:rsidRDefault="0074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627D" w14:textId="77777777" w:rsidR="00383933" w:rsidRDefault="00383933">
      <w:r>
        <w:separator/>
      </w:r>
    </w:p>
  </w:footnote>
  <w:footnote w:type="continuationSeparator" w:id="0">
    <w:p w14:paraId="700DD714" w14:textId="77777777" w:rsidR="00383933" w:rsidRDefault="0038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25A7605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49C" w:rsidRDefault="0074449C" w14:paraId="212709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57D12E51"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F86">
      <w:rPr>
        <w:rStyle w:val="PageNumber"/>
        <w:noProof/>
      </w:rPr>
      <w:t>2</w:t>
    </w:r>
    <w:r>
      <w:rPr>
        <w:rStyle w:val="PageNumber"/>
      </w:rPr>
      <w:fldChar w:fldCharType="end"/>
    </w:r>
  </w:p>
  <w:p w:rsidR="0074449C" w:rsidRDefault="0074449C" w14:paraId="0EEAC6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2651"/>
    <w:multiLevelType w:val="hybridMultilevel"/>
    <w:tmpl w:val="E4E6D2F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F35E1F"/>
    <w:multiLevelType w:val="hybridMultilevel"/>
    <w:tmpl w:val="0E60C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636C39"/>
    <w:multiLevelType w:val="hybridMultilevel"/>
    <w:tmpl w:val="52BC6342"/>
    <w:lvl w:ilvl="0" w:tplc="95184B3A">
      <w:start w:val="1"/>
      <w:numFmt w:val="decimal"/>
      <w:lvlText w:val="%1."/>
      <w:lvlJc w:val="left"/>
      <w:pPr>
        <w:ind w:left="735" w:hanging="360"/>
      </w:p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3" w15:restartNumberingAfterBreak="0">
    <w:nsid w:val="517D640D"/>
    <w:multiLevelType w:val="singleLevel"/>
    <w:tmpl w:val="045C92B0"/>
    <w:lvl w:ilvl="0">
      <w:start w:val="1"/>
      <w:numFmt w:val="upperRoman"/>
      <w:pStyle w:val="Heading5"/>
      <w:lvlText w:val="%1."/>
      <w:lvlJc w:val="left"/>
      <w:pPr>
        <w:tabs>
          <w:tab w:val="num" w:pos="720"/>
        </w:tabs>
        <w:ind w:left="720" w:hanging="720"/>
      </w:pPr>
      <w:rPr>
        <w:rFonts w:hint="default"/>
      </w:rPr>
    </w:lvl>
  </w:abstractNum>
  <w:abstractNum w:abstractNumId="4" w15:restartNumberingAfterBreak="0">
    <w:nsid w:val="59E14D56"/>
    <w:multiLevelType w:val="hybridMultilevel"/>
    <w:tmpl w:val="F0EAEF0E"/>
    <w:lvl w:ilvl="0" w:tplc="483A2EC8">
      <w:start w:val="1"/>
      <w:numFmt w:val="decimal"/>
      <w:lvlText w:val="%1."/>
      <w:lvlJc w:val="left"/>
      <w:pPr>
        <w:ind w:left="720" w:hanging="360"/>
      </w:pPr>
    </w:lvl>
    <w:lvl w:ilvl="1" w:tplc="3B2ED022">
      <w:start w:val="1"/>
      <w:numFmt w:val="lowerLetter"/>
      <w:lvlText w:val="%2."/>
      <w:lvlJc w:val="left"/>
      <w:pPr>
        <w:ind w:left="1440" w:hanging="360"/>
      </w:pPr>
    </w:lvl>
    <w:lvl w:ilvl="2" w:tplc="1D6AE5B2">
      <w:start w:val="1"/>
      <w:numFmt w:val="lowerRoman"/>
      <w:lvlText w:val="%3."/>
      <w:lvlJc w:val="right"/>
      <w:pPr>
        <w:ind w:left="2160" w:hanging="180"/>
      </w:pPr>
    </w:lvl>
    <w:lvl w:ilvl="3" w:tplc="9CB0BD6E">
      <w:start w:val="1"/>
      <w:numFmt w:val="decimal"/>
      <w:lvlText w:val="%4."/>
      <w:lvlJc w:val="left"/>
      <w:pPr>
        <w:ind w:left="2880" w:hanging="360"/>
      </w:pPr>
    </w:lvl>
    <w:lvl w:ilvl="4" w:tplc="BE4A8D56">
      <w:start w:val="1"/>
      <w:numFmt w:val="lowerLetter"/>
      <w:lvlText w:val="%5."/>
      <w:lvlJc w:val="left"/>
      <w:pPr>
        <w:ind w:left="3600" w:hanging="360"/>
      </w:pPr>
    </w:lvl>
    <w:lvl w:ilvl="5" w:tplc="90604982">
      <w:start w:val="1"/>
      <w:numFmt w:val="lowerRoman"/>
      <w:lvlText w:val="%6."/>
      <w:lvlJc w:val="right"/>
      <w:pPr>
        <w:ind w:left="4320" w:hanging="180"/>
      </w:pPr>
    </w:lvl>
    <w:lvl w:ilvl="6" w:tplc="8F94C6A2">
      <w:start w:val="1"/>
      <w:numFmt w:val="decimal"/>
      <w:lvlText w:val="%7."/>
      <w:lvlJc w:val="left"/>
      <w:pPr>
        <w:ind w:left="5040" w:hanging="360"/>
      </w:pPr>
    </w:lvl>
    <w:lvl w:ilvl="7" w:tplc="C73E3AB0">
      <w:start w:val="1"/>
      <w:numFmt w:val="lowerLetter"/>
      <w:lvlText w:val="%8."/>
      <w:lvlJc w:val="left"/>
      <w:pPr>
        <w:ind w:left="5760" w:hanging="360"/>
      </w:pPr>
    </w:lvl>
    <w:lvl w:ilvl="8" w:tplc="D2BE77EA">
      <w:start w:val="1"/>
      <w:numFmt w:val="lowerRoman"/>
      <w:lvlText w:val="%9."/>
      <w:lvlJc w:val="right"/>
      <w:pPr>
        <w:ind w:left="6480" w:hanging="180"/>
      </w:pPr>
    </w:lvl>
  </w:abstractNum>
  <w:abstractNum w:abstractNumId="5" w15:restartNumberingAfterBreak="0">
    <w:nsid w:val="5E540F4F"/>
    <w:multiLevelType w:val="hybridMultilevel"/>
    <w:tmpl w:val="F18E9E9C"/>
    <w:lvl w:ilvl="0" w:tplc="9882272A">
      <w:start w:val="71"/>
      <w:numFmt w:val="bullet"/>
      <w:lvlText w:val="-"/>
      <w:lvlJc w:val="left"/>
      <w:pPr>
        <w:ind w:left="1515" w:hanging="360"/>
      </w:pPr>
      <w:rPr>
        <w:rFonts w:ascii="Gotham Pro LT" w:eastAsia="Times New Roman" w:hAnsi="Gotham Pro LT" w:cs="Gotham Pro LT" w:hint="default"/>
        <w:b/>
      </w:rPr>
    </w:lvl>
    <w:lvl w:ilvl="1" w:tplc="04260003">
      <w:start w:val="1"/>
      <w:numFmt w:val="bullet"/>
      <w:lvlText w:val="o"/>
      <w:lvlJc w:val="left"/>
      <w:pPr>
        <w:ind w:left="2235" w:hanging="360"/>
      </w:pPr>
      <w:rPr>
        <w:rFonts w:ascii="Courier New" w:hAnsi="Courier New" w:cs="Courier New" w:hint="default"/>
      </w:rPr>
    </w:lvl>
    <w:lvl w:ilvl="2" w:tplc="04260005">
      <w:start w:val="1"/>
      <w:numFmt w:val="bullet"/>
      <w:lvlText w:val=""/>
      <w:lvlJc w:val="left"/>
      <w:pPr>
        <w:ind w:left="2955" w:hanging="360"/>
      </w:pPr>
      <w:rPr>
        <w:rFonts w:ascii="Wingdings" w:hAnsi="Wingdings" w:hint="default"/>
      </w:rPr>
    </w:lvl>
    <w:lvl w:ilvl="3" w:tplc="04260001">
      <w:start w:val="1"/>
      <w:numFmt w:val="bullet"/>
      <w:lvlText w:val=""/>
      <w:lvlJc w:val="left"/>
      <w:pPr>
        <w:ind w:left="3675" w:hanging="360"/>
      </w:pPr>
      <w:rPr>
        <w:rFonts w:ascii="Symbol" w:hAnsi="Symbol" w:hint="default"/>
      </w:rPr>
    </w:lvl>
    <w:lvl w:ilvl="4" w:tplc="04260003">
      <w:start w:val="1"/>
      <w:numFmt w:val="bullet"/>
      <w:lvlText w:val="o"/>
      <w:lvlJc w:val="left"/>
      <w:pPr>
        <w:ind w:left="4395" w:hanging="360"/>
      </w:pPr>
      <w:rPr>
        <w:rFonts w:ascii="Courier New" w:hAnsi="Courier New" w:cs="Courier New" w:hint="default"/>
      </w:rPr>
    </w:lvl>
    <w:lvl w:ilvl="5" w:tplc="04260005">
      <w:start w:val="1"/>
      <w:numFmt w:val="bullet"/>
      <w:lvlText w:val=""/>
      <w:lvlJc w:val="left"/>
      <w:pPr>
        <w:ind w:left="5115" w:hanging="360"/>
      </w:pPr>
      <w:rPr>
        <w:rFonts w:ascii="Wingdings" w:hAnsi="Wingdings" w:hint="default"/>
      </w:rPr>
    </w:lvl>
    <w:lvl w:ilvl="6" w:tplc="04260001">
      <w:start w:val="1"/>
      <w:numFmt w:val="bullet"/>
      <w:lvlText w:val=""/>
      <w:lvlJc w:val="left"/>
      <w:pPr>
        <w:ind w:left="5835" w:hanging="360"/>
      </w:pPr>
      <w:rPr>
        <w:rFonts w:ascii="Symbol" w:hAnsi="Symbol" w:hint="default"/>
      </w:rPr>
    </w:lvl>
    <w:lvl w:ilvl="7" w:tplc="04260003">
      <w:start w:val="1"/>
      <w:numFmt w:val="bullet"/>
      <w:lvlText w:val="o"/>
      <w:lvlJc w:val="left"/>
      <w:pPr>
        <w:ind w:left="6555" w:hanging="360"/>
      </w:pPr>
      <w:rPr>
        <w:rFonts w:ascii="Courier New" w:hAnsi="Courier New" w:cs="Courier New" w:hint="default"/>
      </w:rPr>
    </w:lvl>
    <w:lvl w:ilvl="8" w:tplc="04260005">
      <w:start w:val="1"/>
      <w:numFmt w:val="bullet"/>
      <w:lvlText w:val=""/>
      <w:lvlJc w:val="left"/>
      <w:pPr>
        <w:ind w:left="7275" w:hanging="360"/>
      </w:pPr>
      <w:rPr>
        <w:rFonts w:ascii="Wingdings" w:hAnsi="Wingdings" w:hint="default"/>
      </w:rPr>
    </w:lvl>
  </w:abstractNum>
  <w:abstractNum w:abstractNumId="6" w15:restartNumberingAfterBreak="0">
    <w:nsid w:val="6898615E"/>
    <w:multiLevelType w:val="hybridMultilevel"/>
    <w:tmpl w:val="4C7814E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7" w15:restartNumberingAfterBreak="0">
    <w:nsid w:val="6DD72D82"/>
    <w:multiLevelType w:val="hybridMultilevel"/>
    <w:tmpl w:val="4C7814E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34"/>
    <w:rsid w:val="00001E69"/>
    <w:rsid w:val="00002DA3"/>
    <w:rsid w:val="00005EB9"/>
    <w:rsid w:val="000069F2"/>
    <w:rsid w:val="000072CF"/>
    <w:rsid w:val="0000779C"/>
    <w:rsid w:val="00007ECC"/>
    <w:rsid w:val="00011828"/>
    <w:rsid w:val="00013ADE"/>
    <w:rsid w:val="0001567E"/>
    <w:rsid w:val="0001607C"/>
    <w:rsid w:val="00016784"/>
    <w:rsid w:val="00016DC1"/>
    <w:rsid w:val="000213CB"/>
    <w:rsid w:val="000217C4"/>
    <w:rsid w:val="00021C4C"/>
    <w:rsid w:val="00022F85"/>
    <w:rsid w:val="000251C3"/>
    <w:rsid w:val="0002778C"/>
    <w:rsid w:val="00030D5F"/>
    <w:rsid w:val="00031275"/>
    <w:rsid w:val="000315EE"/>
    <w:rsid w:val="0003171B"/>
    <w:rsid w:val="00036194"/>
    <w:rsid w:val="00037DF6"/>
    <w:rsid w:val="00040753"/>
    <w:rsid w:val="000439B9"/>
    <w:rsid w:val="00045944"/>
    <w:rsid w:val="0004689A"/>
    <w:rsid w:val="00046FFA"/>
    <w:rsid w:val="000539A8"/>
    <w:rsid w:val="000548CF"/>
    <w:rsid w:val="00055672"/>
    <w:rsid w:val="00056624"/>
    <w:rsid w:val="00061166"/>
    <w:rsid w:val="000616DF"/>
    <w:rsid w:val="00061C76"/>
    <w:rsid w:val="0006231B"/>
    <w:rsid w:val="00062827"/>
    <w:rsid w:val="00062BEF"/>
    <w:rsid w:val="00063A49"/>
    <w:rsid w:val="00065E02"/>
    <w:rsid w:val="00066482"/>
    <w:rsid w:val="000667D5"/>
    <w:rsid w:val="000706E8"/>
    <w:rsid w:val="0007170F"/>
    <w:rsid w:val="00072BD7"/>
    <w:rsid w:val="0007515F"/>
    <w:rsid w:val="000758FB"/>
    <w:rsid w:val="00076531"/>
    <w:rsid w:val="00076564"/>
    <w:rsid w:val="00077457"/>
    <w:rsid w:val="00077BDE"/>
    <w:rsid w:val="00080F9C"/>
    <w:rsid w:val="0008126D"/>
    <w:rsid w:val="0008197D"/>
    <w:rsid w:val="00082162"/>
    <w:rsid w:val="00083660"/>
    <w:rsid w:val="000836DF"/>
    <w:rsid w:val="00083A7E"/>
    <w:rsid w:val="000873C4"/>
    <w:rsid w:val="00087E01"/>
    <w:rsid w:val="000905E6"/>
    <w:rsid w:val="00091E96"/>
    <w:rsid w:val="00092645"/>
    <w:rsid w:val="00092995"/>
    <w:rsid w:val="00092A2F"/>
    <w:rsid w:val="0009338C"/>
    <w:rsid w:val="00094C6B"/>
    <w:rsid w:val="00094CAC"/>
    <w:rsid w:val="00096983"/>
    <w:rsid w:val="0009712F"/>
    <w:rsid w:val="00097167"/>
    <w:rsid w:val="0009725F"/>
    <w:rsid w:val="000A3E4F"/>
    <w:rsid w:val="000A6C7C"/>
    <w:rsid w:val="000A6FB6"/>
    <w:rsid w:val="000B0891"/>
    <w:rsid w:val="000B08B6"/>
    <w:rsid w:val="000B1B13"/>
    <w:rsid w:val="000B25A6"/>
    <w:rsid w:val="000B2E7D"/>
    <w:rsid w:val="000B3677"/>
    <w:rsid w:val="000B3917"/>
    <w:rsid w:val="000B5840"/>
    <w:rsid w:val="000C2ED9"/>
    <w:rsid w:val="000C4007"/>
    <w:rsid w:val="000C5AF0"/>
    <w:rsid w:val="000C6339"/>
    <w:rsid w:val="000C6371"/>
    <w:rsid w:val="000C797D"/>
    <w:rsid w:val="000C7B30"/>
    <w:rsid w:val="000D2A20"/>
    <w:rsid w:val="000D3AB2"/>
    <w:rsid w:val="000D5973"/>
    <w:rsid w:val="000D6ADC"/>
    <w:rsid w:val="000D6B3B"/>
    <w:rsid w:val="000D6B5E"/>
    <w:rsid w:val="000E1A5D"/>
    <w:rsid w:val="000E3100"/>
    <w:rsid w:val="000E3CFE"/>
    <w:rsid w:val="000F028E"/>
    <w:rsid w:val="000F075B"/>
    <w:rsid w:val="000F14F5"/>
    <w:rsid w:val="000F2389"/>
    <w:rsid w:val="000F5BD0"/>
    <w:rsid w:val="000F6A40"/>
    <w:rsid w:val="000F7C52"/>
    <w:rsid w:val="0010052D"/>
    <w:rsid w:val="0010074C"/>
    <w:rsid w:val="00100F28"/>
    <w:rsid w:val="001029E3"/>
    <w:rsid w:val="0010689F"/>
    <w:rsid w:val="00112030"/>
    <w:rsid w:val="00112B80"/>
    <w:rsid w:val="001158C3"/>
    <w:rsid w:val="00115A7A"/>
    <w:rsid w:val="00116212"/>
    <w:rsid w:val="001223DC"/>
    <w:rsid w:val="00124F1A"/>
    <w:rsid w:val="0012774C"/>
    <w:rsid w:val="00130EFE"/>
    <w:rsid w:val="001311C6"/>
    <w:rsid w:val="001316A1"/>
    <w:rsid w:val="00131CB2"/>
    <w:rsid w:val="001338FC"/>
    <w:rsid w:val="00133AA8"/>
    <w:rsid w:val="00133AB5"/>
    <w:rsid w:val="00133B6B"/>
    <w:rsid w:val="0013554D"/>
    <w:rsid w:val="0014088D"/>
    <w:rsid w:val="00140A4D"/>
    <w:rsid w:val="0014113B"/>
    <w:rsid w:val="00142346"/>
    <w:rsid w:val="00142677"/>
    <w:rsid w:val="0014499F"/>
    <w:rsid w:val="00146B10"/>
    <w:rsid w:val="00146E29"/>
    <w:rsid w:val="00151201"/>
    <w:rsid w:val="001534C2"/>
    <w:rsid w:val="001575BC"/>
    <w:rsid w:val="001619A3"/>
    <w:rsid w:val="00161E46"/>
    <w:rsid w:val="0016233A"/>
    <w:rsid w:val="001638F1"/>
    <w:rsid w:val="00163A6A"/>
    <w:rsid w:val="00165938"/>
    <w:rsid w:val="001667CA"/>
    <w:rsid w:val="00166DAE"/>
    <w:rsid w:val="00170655"/>
    <w:rsid w:val="00173F04"/>
    <w:rsid w:val="00174CCA"/>
    <w:rsid w:val="00176FE1"/>
    <w:rsid w:val="001801FE"/>
    <w:rsid w:val="00180495"/>
    <w:rsid w:val="00181586"/>
    <w:rsid w:val="00181FC8"/>
    <w:rsid w:val="00182511"/>
    <w:rsid w:val="00183555"/>
    <w:rsid w:val="00185A3F"/>
    <w:rsid w:val="00186B07"/>
    <w:rsid w:val="00187239"/>
    <w:rsid w:val="00187598"/>
    <w:rsid w:val="0018765D"/>
    <w:rsid w:val="00190A8A"/>
    <w:rsid w:val="00191248"/>
    <w:rsid w:val="001947FF"/>
    <w:rsid w:val="00195DEB"/>
    <w:rsid w:val="00196681"/>
    <w:rsid w:val="0019684F"/>
    <w:rsid w:val="00196904"/>
    <w:rsid w:val="00197DC5"/>
    <w:rsid w:val="001A1DF0"/>
    <w:rsid w:val="001A3DD2"/>
    <w:rsid w:val="001A6E38"/>
    <w:rsid w:val="001B0A81"/>
    <w:rsid w:val="001B2DEF"/>
    <w:rsid w:val="001B3388"/>
    <w:rsid w:val="001B37AE"/>
    <w:rsid w:val="001B4BF7"/>
    <w:rsid w:val="001B5DD1"/>
    <w:rsid w:val="001B68CB"/>
    <w:rsid w:val="001B718F"/>
    <w:rsid w:val="001B7657"/>
    <w:rsid w:val="001B7D3B"/>
    <w:rsid w:val="001C0D98"/>
    <w:rsid w:val="001C13F5"/>
    <w:rsid w:val="001C2AC5"/>
    <w:rsid w:val="001C41A9"/>
    <w:rsid w:val="001C42D0"/>
    <w:rsid w:val="001C7F1D"/>
    <w:rsid w:val="001D310F"/>
    <w:rsid w:val="001D462F"/>
    <w:rsid w:val="001D4656"/>
    <w:rsid w:val="001D48D3"/>
    <w:rsid w:val="001D5342"/>
    <w:rsid w:val="001D5989"/>
    <w:rsid w:val="001D5AA1"/>
    <w:rsid w:val="001D6A05"/>
    <w:rsid w:val="001D7C67"/>
    <w:rsid w:val="001E0E18"/>
    <w:rsid w:val="001E1142"/>
    <w:rsid w:val="001E54A5"/>
    <w:rsid w:val="001E7ED5"/>
    <w:rsid w:val="001F12E0"/>
    <w:rsid w:val="001F3AF9"/>
    <w:rsid w:val="001F4823"/>
    <w:rsid w:val="001F77C0"/>
    <w:rsid w:val="001F77FF"/>
    <w:rsid w:val="00200EC1"/>
    <w:rsid w:val="00201D2E"/>
    <w:rsid w:val="0020265A"/>
    <w:rsid w:val="00205767"/>
    <w:rsid w:val="00206602"/>
    <w:rsid w:val="00206B1F"/>
    <w:rsid w:val="002073E5"/>
    <w:rsid w:val="0020798C"/>
    <w:rsid w:val="00207AFA"/>
    <w:rsid w:val="00210515"/>
    <w:rsid w:val="002135B5"/>
    <w:rsid w:val="002136E8"/>
    <w:rsid w:val="00214201"/>
    <w:rsid w:val="0021440A"/>
    <w:rsid w:val="00214990"/>
    <w:rsid w:val="00214EBC"/>
    <w:rsid w:val="0021601C"/>
    <w:rsid w:val="00216135"/>
    <w:rsid w:val="002167A0"/>
    <w:rsid w:val="00216CA9"/>
    <w:rsid w:val="00221209"/>
    <w:rsid w:val="00221470"/>
    <w:rsid w:val="00222F52"/>
    <w:rsid w:val="002242D3"/>
    <w:rsid w:val="0022441E"/>
    <w:rsid w:val="00225130"/>
    <w:rsid w:val="00225B9D"/>
    <w:rsid w:val="002268C2"/>
    <w:rsid w:val="0022769D"/>
    <w:rsid w:val="00230022"/>
    <w:rsid w:val="0023421D"/>
    <w:rsid w:val="00234C80"/>
    <w:rsid w:val="002419BD"/>
    <w:rsid w:val="00242B3F"/>
    <w:rsid w:val="00242E76"/>
    <w:rsid w:val="00244124"/>
    <w:rsid w:val="002442DC"/>
    <w:rsid w:val="00244CBD"/>
    <w:rsid w:val="00244D5B"/>
    <w:rsid w:val="002504D9"/>
    <w:rsid w:val="002524CE"/>
    <w:rsid w:val="00252A8E"/>
    <w:rsid w:val="0025394F"/>
    <w:rsid w:val="00254931"/>
    <w:rsid w:val="002554CE"/>
    <w:rsid w:val="002558A8"/>
    <w:rsid w:val="00263349"/>
    <w:rsid w:val="00264DB1"/>
    <w:rsid w:val="00266D56"/>
    <w:rsid w:val="00270782"/>
    <w:rsid w:val="00272998"/>
    <w:rsid w:val="00273469"/>
    <w:rsid w:val="00274C93"/>
    <w:rsid w:val="002808A5"/>
    <w:rsid w:val="002813EC"/>
    <w:rsid w:val="0028497C"/>
    <w:rsid w:val="00284EA1"/>
    <w:rsid w:val="00290062"/>
    <w:rsid w:val="00291FBB"/>
    <w:rsid w:val="00294410"/>
    <w:rsid w:val="00297F96"/>
    <w:rsid w:val="002A0D69"/>
    <w:rsid w:val="002A1EF3"/>
    <w:rsid w:val="002A2172"/>
    <w:rsid w:val="002A3A12"/>
    <w:rsid w:val="002A4BBE"/>
    <w:rsid w:val="002A4DAF"/>
    <w:rsid w:val="002A668C"/>
    <w:rsid w:val="002B0273"/>
    <w:rsid w:val="002B2F51"/>
    <w:rsid w:val="002B3372"/>
    <w:rsid w:val="002B46C8"/>
    <w:rsid w:val="002B6233"/>
    <w:rsid w:val="002B682A"/>
    <w:rsid w:val="002B6A20"/>
    <w:rsid w:val="002B7FF9"/>
    <w:rsid w:val="002C0B1B"/>
    <w:rsid w:val="002C2569"/>
    <w:rsid w:val="002C2EA3"/>
    <w:rsid w:val="002C370A"/>
    <w:rsid w:val="002C4300"/>
    <w:rsid w:val="002C7454"/>
    <w:rsid w:val="002D066E"/>
    <w:rsid w:val="002D0DF3"/>
    <w:rsid w:val="002D1924"/>
    <w:rsid w:val="002D2FAE"/>
    <w:rsid w:val="002D5A62"/>
    <w:rsid w:val="002D5F72"/>
    <w:rsid w:val="002D6564"/>
    <w:rsid w:val="002D67D7"/>
    <w:rsid w:val="002E0A44"/>
    <w:rsid w:val="002E2101"/>
    <w:rsid w:val="002E235A"/>
    <w:rsid w:val="002E27FA"/>
    <w:rsid w:val="002E386B"/>
    <w:rsid w:val="002F2A5B"/>
    <w:rsid w:val="002F45AB"/>
    <w:rsid w:val="002F6114"/>
    <w:rsid w:val="002F67B4"/>
    <w:rsid w:val="00301452"/>
    <w:rsid w:val="00302A13"/>
    <w:rsid w:val="00306D46"/>
    <w:rsid w:val="00310C00"/>
    <w:rsid w:val="00312E2C"/>
    <w:rsid w:val="003133BB"/>
    <w:rsid w:val="0031500D"/>
    <w:rsid w:val="00315962"/>
    <w:rsid w:val="00316309"/>
    <w:rsid w:val="00316C4D"/>
    <w:rsid w:val="003179D1"/>
    <w:rsid w:val="00321432"/>
    <w:rsid w:val="0032191B"/>
    <w:rsid w:val="00322A45"/>
    <w:rsid w:val="0032336E"/>
    <w:rsid w:val="00323ECD"/>
    <w:rsid w:val="0032579A"/>
    <w:rsid w:val="00327C8E"/>
    <w:rsid w:val="0033041D"/>
    <w:rsid w:val="00331DF6"/>
    <w:rsid w:val="00332F46"/>
    <w:rsid w:val="00333EF1"/>
    <w:rsid w:val="003340E8"/>
    <w:rsid w:val="003351BC"/>
    <w:rsid w:val="0033657B"/>
    <w:rsid w:val="003368A0"/>
    <w:rsid w:val="00337751"/>
    <w:rsid w:val="00342138"/>
    <w:rsid w:val="00342664"/>
    <w:rsid w:val="00342C5A"/>
    <w:rsid w:val="00346ED6"/>
    <w:rsid w:val="0035066B"/>
    <w:rsid w:val="003522AB"/>
    <w:rsid w:val="00355BA6"/>
    <w:rsid w:val="00356159"/>
    <w:rsid w:val="0035689D"/>
    <w:rsid w:val="00357715"/>
    <w:rsid w:val="0036070B"/>
    <w:rsid w:val="00360C1F"/>
    <w:rsid w:val="00362AB9"/>
    <w:rsid w:val="00363178"/>
    <w:rsid w:val="00363ADF"/>
    <w:rsid w:val="00364823"/>
    <w:rsid w:val="00365F64"/>
    <w:rsid w:val="00366631"/>
    <w:rsid w:val="00367845"/>
    <w:rsid w:val="003707E0"/>
    <w:rsid w:val="00371AAD"/>
    <w:rsid w:val="00372290"/>
    <w:rsid w:val="003723C5"/>
    <w:rsid w:val="00373A82"/>
    <w:rsid w:val="00376A6A"/>
    <w:rsid w:val="00377B70"/>
    <w:rsid w:val="00377DC3"/>
    <w:rsid w:val="00380BAC"/>
    <w:rsid w:val="003810DC"/>
    <w:rsid w:val="00383933"/>
    <w:rsid w:val="00383997"/>
    <w:rsid w:val="00384C66"/>
    <w:rsid w:val="0038582E"/>
    <w:rsid w:val="0038672B"/>
    <w:rsid w:val="003868F0"/>
    <w:rsid w:val="00387EC1"/>
    <w:rsid w:val="0039451D"/>
    <w:rsid w:val="003959AD"/>
    <w:rsid w:val="00396099"/>
    <w:rsid w:val="00396E75"/>
    <w:rsid w:val="00397C3C"/>
    <w:rsid w:val="003A025A"/>
    <w:rsid w:val="003A3640"/>
    <w:rsid w:val="003A5E8A"/>
    <w:rsid w:val="003A720D"/>
    <w:rsid w:val="003B3A05"/>
    <w:rsid w:val="003B5919"/>
    <w:rsid w:val="003B7B3F"/>
    <w:rsid w:val="003C1419"/>
    <w:rsid w:val="003C1F72"/>
    <w:rsid w:val="003C32E0"/>
    <w:rsid w:val="003C600E"/>
    <w:rsid w:val="003C67BC"/>
    <w:rsid w:val="003D45DF"/>
    <w:rsid w:val="003D4B73"/>
    <w:rsid w:val="003D6316"/>
    <w:rsid w:val="003D7379"/>
    <w:rsid w:val="003D7FEF"/>
    <w:rsid w:val="003E1A8B"/>
    <w:rsid w:val="003E3721"/>
    <w:rsid w:val="003E4467"/>
    <w:rsid w:val="003E5B2B"/>
    <w:rsid w:val="003E5EEB"/>
    <w:rsid w:val="003E6141"/>
    <w:rsid w:val="003E695D"/>
    <w:rsid w:val="003F51CD"/>
    <w:rsid w:val="003F66B4"/>
    <w:rsid w:val="003F7680"/>
    <w:rsid w:val="003F7C08"/>
    <w:rsid w:val="0040362B"/>
    <w:rsid w:val="00404BB9"/>
    <w:rsid w:val="00406474"/>
    <w:rsid w:val="0040687C"/>
    <w:rsid w:val="00407F98"/>
    <w:rsid w:val="0041174E"/>
    <w:rsid w:val="004118B0"/>
    <w:rsid w:val="00414FAE"/>
    <w:rsid w:val="00415914"/>
    <w:rsid w:val="00416FA4"/>
    <w:rsid w:val="00417BA4"/>
    <w:rsid w:val="00417DDE"/>
    <w:rsid w:val="00422242"/>
    <w:rsid w:val="00422F37"/>
    <w:rsid w:val="00424A88"/>
    <w:rsid w:val="00425A54"/>
    <w:rsid w:val="00426410"/>
    <w:rsid w:val="004304E3"/>
    <w:rsid w:val="00431083"/>
    <w:rsid w:val="004346B0"/>
    <w:rsid w:val="004347F9"/>
    <w:rsid w:val="0043576B"/>
    <w:rsid w:val="00435AF1"/>
    <w:rsid w:val="004427D6"/>
    <w:rsid w:val="00444B4D"/>
    <w:rsid w:val="00444BF6"/>
    <w:rsid w:val="00445AA3"/>
    <w:rsid w:val="00447C85"/>
    <w:rsid w:val="00456A8E"/>
    <w:rsid w:val="00457D6A"/>
    <w:rsid w:val="00461360"/>
    <w:rsid w:val="004627C5"/>
    <w:rsid w:val="004628ED"/>
    <w:rsid w:val="00462AFF"/>
    <w:rsid w:val="004665D7"/>
    <w:rsid w:val="00467F75"/>
    <w:rsid w:val="00471D8D"/>
    <w:rsid w:val="00473304"/>
    <w:rsid w:val="004734A2"/>
    <w:rsid w:val="00473B78"/>
    <w:rsid w:val="00474603"/>
    <w:rsid w:val="00475ED7"/>
    <w:rsid w:val="00477DE3"/>
    <w:rsid w:val="00480D59"/>
    <w:rsid w:val="004821B6"/>
    <w:rsid w:val="004834BE"/>
    <w:rsid w:val="00484F1A"/>
    <w:rsid w:val="00485CF4"/>
    <w:rsid w:val="00485D59"/>
    <w:rsid w:val="004865D8"/>
    <w:rsid w:val="0048747B"/>
    <w:rsid w:val="0048766F"/>
    <w:rsid w:val="0049304D"/>
    <w:rsid w:val="004940C5"/>
    <w:rsid w:val="004955E0"/>
    <w:rsid w:val="004960C7"/>
    <w:rsid w:val="0049626D"/>
    <w:rsid w:val="00497F21"/>
    <w:rsid w:val="004A0E27"/>
    <w:rsid w:val="004A3213"/>
    <w:rsid w:val="004A3C56"/>
    <w:rsid w:val="004A44E9"/>
    <w:rsid w:val="004B110A"/>
    <w:rsid w:val="004B2685"/>
    <w:rsid w:val="004B2D73"/>
    <w:rsid w:val="004B39C7"/>
    <w:rsid w:val="004B68FD"/>
    <w:rsid w:val="004B7953"/>
    <w:rsid w:val="004C322C"/>
    <w:rsid w:val="004C3888"/>
    <w:rsid w:val="004C410F"/>
    <w:rsid w:val="004C42B1"/>
    <w:rsid w:val="004C58F9"/>
    <w:rsid w:val="004C5CE5"/>
    <w:rsid w:val="004C5E5C"/>
    <w:rsid w:val="004C5EC2"/>
    <w:rsid w:val="004C6800"/>
    <w:rsid w:val="004D1021"/>
    <w:rsid w:val="004D1BEF"/>
    <w:rsid w:val="004D2F25"/>
    <w:rsid w:val="004D3363"/>
    <w:rsid w:val="004D54A5"/>
    <w:rsid w:val="004D5F16"/>
    <w:rsid w:val="004D6354"/>
    <w:rsid w:val="004D6EF1"/>
    <w:rsid w:val="004E14AA"/>
    <w:rsid w:val="004E2569"/>
    <w:rsid w:val="004E3697"/>
    <w:rsid w:val="004E4595"/>
    <w:rsid w:val="004E5257"/>
    <w:rsid w:val="004E5F9A"/>
    <w:rsid w:val="004E698E"/>
    <w:rsid w:val="004E7DB9"/>
    <w:rsid w:val="004F019C"/>
    <w:rsid w:val="004F1345"/>
    <w:rsid w:val="004F2369"/>
    <w:rsid w:val="004F37B7"/>
    <w:rsid w:val="004F61D4"/>
    <w:rsid w:val="004F677D"/>
    <w:rsid w:val="004F74FF"/>
    <w:rsid w:val="0050061F"/>
    <w:rsid w:val="00502356"/>
    <w:rsid w:val="00507634"/>
    <w:rsid w:val="00507DD8"/>
    <w:rsid w:val="005110DA"/>
    <w:rsid w:val="005125E2"/>
    <w:rsid w:val="00516D9E"/>
    <w:rsid w:val="00522C05"/>
    <w:rsid w:val="005249BA"/>
    <w:rsid w:val="00525297"/>
    <w:rsid w:val="005276A7"/>
    <w:rsid w:val="00527FC4"/>
    <w:rsid w:val="00530AB5"/>
    <w:rsid w:val="00530F7F"/>
    <w:rsid w:val="00531C85"/>
    <w:rsid w:val="00532090"/>
    <w:rsid w:val="00535810"/>
    <w:rsid w:val="005366BF"/>
    <w:rsid w:val="00537314"/>
    <w:rsid w:val="00541171"/>
    <w:rsid w:val="005420B1"/>
    <w:rsid w:val="00542E3D"/>
    <w:rsid w:val="00543349"/>
    <w:rsid w:val="00545D78"/>
    <w:rsid w:val="00545E25"/>
    <w:rsid w:val="00546B91"/>
    <w:rsid w:val="00547270"/>
    <w:rsid w:val="00551F02"/>
    <w:rsid w:val="005539C9"/>
    <w:rsid w:val="005544E6"/>
    <w:rsid w:val="00555184"/>
    <w:rsid w:val="0055546A"/>
    <w:rsid w:val="005568B8"/>
    <w:rsid w:val="00560643"/>
    <w:rsid w:val="00565F15"/>
    <w:rsid w:val="005665C2"/>
    <w:rsid w:val="00570EB6"/>
    <w:rsid w:val="005712F0"/>
    <w:rsid w:val="00573FCF"/>
    <w:rsid w:val="00575306"/>
    <w:rsid w:val="005779A3"/>
    <w:rsid w:val="00581FEE"/>
    <w:rsid w:val="005827D6"/>
    <w:rsid w:val="005847FF"/>
    <w:rsid w:val="00587153"/>
    <w:rsid w:val="00587437"/>
    <w:rsid w:val="005879D0"/>
    <w:rsid w:val="00587F56"/>
    <w:rsid w:val="005938AE"/>
    <w:rsid w:val="00594F84"/>
    <w:rsid w:val="00595D91"/>
    <w:rsid w:val="0059736C"/>
    <w:rsid w:val="005A0578"/>
    <w:rsid w:val="005A0DA1"/>
    <w:rsid w:val="005A0FBB"/>
    <w:rsid w:val="005A14CA"/>
    <w:rsid w:val="005A14D3"/>
    <w:rsid w:val="005A24C3"/>
    <w:rsid w:val="005A69CF"/>
    <w:rsid w:val="005A753D"/>
    <w:rsid w:val="005B0B85"/>
    <w:rsid w:val="005B3C27"/>
    <w:rsid w:val="005B4418"/>
    <w:rsid w:val="005B4ACF"/>
    <w:rsid w:val="005B75C8"/>
    <w:rsid w:val="005B79E9"/>
    <w:rsid w:val="005B7EE8"/>
    <w:rsid w:val="005C0A6A"/>
    <w:rsid w:val="005C5E66"/>
    <w:rsid w:val="005C786A"/>
    <w:rsid w:val="005D00CC"/>
    <w:rsid w:val="005D1545"/>
    <w:rsid w:val="005D1695"/>
    <w:rsid w:val="005D2AE5"/>
    <w:rsid w:val="005D5DF1"/>
    <w:rsid w:val="005E1EFB"/>
    <w:rsid w:val="005E2343"/>
    <w:rsid w:val="005E3808"/>
    <w:rsid w:val="005E622B"/>
    <w:rsid w:val="005E67A3"/>
    <w:rsid w:val="005E6A32"/>
    <w:rsid w:val="005E6AD7"/>
    <w:rsid w:val="005E7C34"/>
    <w:rsid w:val="005F0591"/>
    <w:rsid w:val="005F10DA"/>
    <w:rsid w:val="005F2C53"/>
    <w:rsid w:val="005F3961"/>
    <w:rsid w:val="005F40FA"/>
    <w:rsid w:val="005F43CA"/>
    <w:rsid w:val="00600F34"/>
    <w:rsid w:val="0060387D"/>
    <w:rsid w:val="006050DB"/>
    <w:rsid w:val="0060537C"/>
    <w:rsid w:val="00606BC4"/>
    <w:rsid w:val="00610C03"/>
    <w:rsid w:val="006111CF"/>
    <w:rsid w:val="0061322C"/>
    <w:rsid w:val="00613352"/>
    <w:rsid w:val="00614E98"/>
    <w:rsid w:val="00615613"/>
    <w:rsid w:val="006170C7"/>
    <w:rsid w:val="006215BF"/>
    <w:rsid w:val="006246DD"/>
    <w:rsid w:val="00626E63"/>
    <w:rsid w:val="00627D37"/>
    <w:rsid w:val="006323EB"/>
    <w:rsid w:val="00632EC4"/>
    <w:rsid w:val="006354B9"/>
    <w:rsid w:val="00635EA6"/>
    <w:rsid w:val="00636B6A"/>
    <w:rsid w:val="00636D57"/>
    <w:rsid w:val="00636D92"/>
    <w:rsid w:val="0064039E"/>
    <w:rsid w:val="00641241"/>
    <w:rsid w:val="00641F88"/>
    <w:rsid w:val="00642078"/>
    <w:rsid w:val="00644EEE"/>
    <w:rsid w:val="00646539"/>
    <w:rsid w:val="00650D61"/>
    <w:rsid w:val="006524BB"/>
    <w:rsid w:val="00653977"/>
    <w:rsid w:val="00654F51"/>
    <w:rsid w:val="00655E34"/>
    <w:rsid w:val="00656955"/>
    <w:rsid w:val="00657786"/>
    <w:rsid w:val="00657D98"/>
    <w:rsid w:val="0066068B"/>
    <w:rsid w:val="00660851"/>
    <w:rsid w:val="0066364D"/>
    <w:rsid w:val="006711CA"/>
    <w:rsid w:val="00674DCA"/>
    <w:rsid w:val="00676B37"/>
    <w:rsid w:val="0067736F"/>
    <w:rsid w:val="00680840"/>
    <w:rsid w:val="00681082"/>
    <w:rsid w:val="00681158"/>
    <w:rsid w:val="00681532"/>
    <w:rsid w:val="00681EF3"/>
    <w:rsid w:val="0068357E"/>
    <w:rsid w:val="00685BC6"/>
    <w:rsid w:val="0068777C"/>
    <w:rsid w:val="006908D4"/>
    <w:rsid w:val="0069091E"/>
    <w:rsid w:val="00691B33"/>
    <w:rsid w:val="006925F7"/>
    <w:rsid w:val="00693444"/>
    <w:rsid w:val="00694593"/>
    <w:rsid w:val="00694EAE"/>
    <w:rsid w:val="00695569"/>
    <w:rsid w:val="00696FF1"/>
    <w:rsid w:val="00697712"/>
    <w:rsid w:val="00697968"/>
    <w:rsid w:val="006A0BD2"/>
    <w:rsid w:val="006A27F8"/>
    <w:rsid w:val="006A3809"/>
    <w:rsid w:val="006A446E"/>
    <w:rsid w:val="006A4752"/>
    <w:rsid w:val="006A51F0"/>
    <w:rsid w:val="006A59EA"/>
    <w:rsid w:val="006B07D3"/>
    <w:rsid w:val="006B0850"/>
    <w:rsid w:val="006B3166"/>
    <w:rsid w:val="006B334E"/>
    <w:rsid w:val="006B4123"/>
    <w:rsid w:val="006B446A"/>
    <w:rsid w:val="006C259F"/>
    <w:rsid w:val="006C3096"/>
    <w:rsid w:val="006C4387"/>
    <w:rsid w:val="006C4492"/>
    <w:rsid w:val="006C4D45"/>
    <w:rsid w:val="006C5389"/>
    <w:rsid w:val="006C6491"/>
    <w:rsid w:val="006C743E"/>
    <w:rsid w:val="006C7D72"/>
    <w:rsid w:val="006D03D9"/>
    <w:rsid w:val="006D1142"/>
    <w:rsid w:val="006D20E5"/>
    <w:rsid w:val="006D23C7"/>
    <w:rsid w:val="006D2A25"/>
    <w:rsid w:val="006D395F"/>
    <w:rsid w:val="006D3EFD"/>
    <w:rsid w:val="006D4D44"/>
    <w:rsid w:val="006E0EF8"/>
    <w:rsid w:val="006E165D"/>
    <w:rsid w:val="006E18E2"/>
    <w:rsid w:val="006E1BFC"/>
    <w:rsid w:val="006E5904"/>
    <w:rsid w:val="006E5C48"/>
    <w:rsid w:val="006E5FD7"/>
    <w:rsid w:val="006E61D5"/>
    <w:rsid w:val="006E6D9D"/>
    <w:rsid w:val="006E6DE8"/>
    <w:rsid w:val="006E6E38"/>
    <w:rsid w:val="006E73E4"/>
    <w:rsid w:val="006F0721"/>
    <w:rsid w:val="006F0E57"/>
    <w:rsid w:val="006F1AD4"/>
    <w:rsid w:val="006F1E11"/>
    <w:rsid w:val="006F2741"/>
    <w:rsid w:val="006F3B0D"/>
    <w:rsid w:val="006F450C"/>
    <w:rsid w:val="006F4B46"/>
    <w:rsid w:val="006F6FB2"/>
    <w:rsid w:val="006F773D"/>
    <w:rsid w:val="007035A4"/>
    <w:rsid w:val="00703691"/>
    <w:rsid w:val="00703AA3"/>
    <w:rsid w:val="00704457"/>
    <w:rsid w:val="00704D40"/>
    <w:rsid w:val="007052AB"/>
    <w:rsid w:val="00705387"/>
    <w:rsid w:val="007104F2"/>
    <w:rsid w:val="00711A9C"/>
    <w:rsid w:val="00712A3E"/>
    <w:rsid w:val="00716A7B"/>
    <w:rsid w:val="00716CEB"/>
    <w:rsid w:val="00716D65"/>
    <w:rsid w:val="0071721B"/>
    <w:rsid w:val="00720D88"/>
    <w:rsid w:val="00722C17"/>
    <w:rsid w:val="00725305"/>
    <w:rsid w:val="007265E4"/>
    <w:rsid w:val="0072757B"/>
    <w:rsid w:val="0072789D"/>
    <w:rsid w:val="00727B3D"/>
    <w:rsid w:val="0073178F"/>
    <w:rsid w:val="007342C4"/>
    <w:rsid w:val="00741C83"/>
    <w:rsid w:val="0074449C"/>
    <w:rsid w:val="00746785"/>
    <w:rsid w:val="00747141"/>
    <w:rsid w:val="0075051D"/>
    <w:rsid w:val="0075336B"/>
    <w:rsid w:val="007572DF"/>
    <w:rsid w:val="00760437"/>
    <w:rsid w:val="00762C37"/>
    <w:rsid w:val="0076352B"/>
    <w:rsid w:val="0076369E"/>
    <w:rsid w:val="00765208"/>
    <w:rsid w:val="00767106"/>
    <w:rsid w:val="00767797"/>
    <w:rsid w:val="007718A5"/>
    <w:rsid w:val="007732E4"/>
    <w:rsid w:val="0077395D"/>
    <w:rsid w:val="00776BE2"/>
    <w:rsid w:val="0077752C"/>
    <w:rsid w:val="00777D32"/>
    <w:rsid w:val="00781145"/>
    <w:rsid w:val="00781375"/>
    <w:rsid w:val="00781452"/>
    <w:rsid w:val="007829F4"/>
    <w:rsid w:val="0078305F"/>
    <w:rsid w:val="00785F5C"/>
    <w:rsid w:val="007861C8"/>
    <w:rsid w:val="0079012A"/>
    <w:rsid w:val="00792018"/>
    <w:rsid w:val="00792096"/>
    <w:rsid w:val="007924B9"/>
    <w:rsid w:val="00793E9C"/>
    <w:rsid w:val="00794290"/>
    <w:rsid w:val="00794454"/>
    <w:rsid w:val="007959FE"/>
    <w:rsid w:val="00795F3E"/>
    <w:rsid w:val="0079735F"/>
    <w:rsid w:val="007A0DFD"/>
    <w:rsid w:val="007A1B93"/>
    <w:rsid w:val="007A3709"/>
    <w:rsid w:val="007A426B"/>
    <w:rsid w:val="007A6B80"/>
    <w:rsid w:val="007A7BD9"/>
    <w:rsid w:val="007B004D"/>
    <w:rsid w:val="007B01B0"/>
    <w:rsid w:val="007B0C05"/>
    <w:rsid w:val="007B1252"/>
    <w:rsid w:val="007B1A5B"/>
    <w:rsid w:val="007B1CB4"/>
    <w:rsid w:val="007B1F34"/>
    <w:rsid w:val="007B3F81"/>
    <w:rsid w:val="007B4924"/>
    <w:rsid w:val="007B53D7"/>
    <w:rsid w:val="007B62A4"/>
    <w:rsid w:val="007B7592"/>
    <w:rsid w:val="007C1FF7"/>
    <w:rsid w:val="007C34E6"/>
    <w:rsid w:val="007C614C"/>
    <w:rsid w:val="007C6687"/>
    <w:rsid w:val="007C738B"/>
    <w:rsid w:val="007D1F5E"/>
    <w:rsid w:val="007D4771"/>
    <w:rsid w:val="007D49ED"/>
    <w:rsid w:val="007D4D54"/>
    <w:rsid w:val="007D56D6"/>
    <w:rsid w:val="007D6C65"/>
    <w:rsid w:val="007E0510"/>
    <w:rsid w:val="007E1E9B"/>
    <w:rsid w:val="007E31CF"/>
    <w:rsid w:val="007E3CCD"/>
    <w:rsid w:val="007E5A25"/>
    <w:rsid w:val="007E60F1"/>
    <w:rsid w:val="007E7ED4"/>
    <w:rsid w:val="007F04E4"/>
    <w:rsid w:val="007F0F37"/>
    <w:rsid w:val="007F205B"/>
    <w:rsid w:val="007F73DC"/>
    <w:rsid w:val="00803694"/>
    <w:rsid w:val="008057A2"/>
    <w:rsid w:val="008062B8"/>
    <w:rsid w:val="00812428"/>
    <w:rsid w:val="008133CD"/>
    <w:rsid w:val="008139DF"/>
    <w:rsid w:val="00813F04"/>
    <w:rsid w:val="00814AAF"/>
    <w:rsid w:val="00817088"/>
    <w:rsid w:val="008200A9"/>
    <w:rsid w:val="008209EB"/>
    <w:rsid w:val="00821646"/>
    <w:rsid w:val="00821A23"/>
    <w:rsid w:val="00822D4E"/>
    <w:rsid w:val="00822FD1"/>
    <w:rsid w:val="00830C6A"/>
    <w:rsid w:val="0083142C"/>
    <w:rsid w:val="00831B0F"/>
    <w:rsid w:val="00834C6F"/>
    <w:rsid w:val="0083598A"/>
    <w:rsid w:val="00836EDD"/>
    <w:rsid w:val="00840A25"/>
    <w:rsid w:val="00841F03"/>
    <w:rsid w:val="0084205A"/>
    <w:rsid w:val="008426F2"/>
    <w:rsid w:val="00843D96"/>
    <w:rsid w:val="00844690"/>
    <w:rsid w:val="00844B0A"/>
    <w:rsid w:val="00844D9B"/>
    <w:rsid w:val="008450A5"/>
    <w:rsid w:val="008464BB"/>
    <w:rsid w:val="00852BD0"/>
    <w:rsid w:val="00853056"/>
    <w:rsid w:val="0085550F"/>
    <w:rsid w:val="00856310"/>
    <w:rsid w:val="00856390"/>
    <w:rsid w:val="00856D21"/>
    <w:rsid w:val="00857C55"/>
    <w:rsid w:val="0086002F"/>
    <w:rsid w:val="0086365A"/>
    <w:rsid w:val="00863B09"/>
    <w:rsid w:val="00863B13"/>
    <w:rsid w:val="008646A6"/>
    <w:rsid w:val="00864CE7"/>
    <w:rsid w:val="00864FD4"/>
    <w:rsid w:val="00865353"/>
    <w:rsid w:val="0086590E"/>
    <w:rsid w:val="008674F9"/>
    <w:rsid w:val="00873AB5"/>
    <w:rsid w:val="008741E6"/>
    <w:rsid w:val="00876DB2"/>
    <w:rsid w:val="00877ADB"/>
    <w:rsid w:val="00877D80"/>
    <w:rsid w:val="0088195E"/>
    <w:rsid w:val="00882C01"/>
    <w:rsid w:val="00882FCF"/>
    <w:rsid w:val="00883255"/>
    <w:rsid w:val="00884ADF"/>
    <w:rsid w:val="0089012E"/>
    <w:rsid w:val="00890199"/>
    <w:rsid w:val="008928F3"/>
    <w:rsid w:val="00893582"/>
    <w:rsid w:val="0089381A"/>
    <w:rsid w:val="00894133"/>
    <w:rsid w:val="0089427A"/>
    <w:rsid w:val="0089588E"/>
    <w:rsid w:val="008976C4"/>
    <w:rsid w:val="00897BEF"/>
    <w:rsid w:val="008A052A"/>
    <w:rsid w:val="008A1967"/>
    <w:rsid w:val="008A2D0A"/>
    <w:rsid w:val="008A5A9D"/>
    <w:rsid w:val="008A6041"/>
    <w:rsid w:val="008B4411"/>
    <w:rsid w:val="008B4696"/>
    <w:rsid w:val="008B73FA"/>
    <w:rsid w:val="008C150D"/>
    <w:rsid w:val="008C2C46"/>
    <w:rsid w:val="008C41CE"/>
    <w:rsid w:val="008C4DFF"/>
    <w:rsid w:val="008D0BFF"/>
    <w:rsid w:val="008D1851"/>
    <w:rsid w:val="008D4C17"/>
    <w:rsid w:val="008D6DED"/>
    <w:rsid w:val="008D7926"/>
    <w:rsid w:val="008E05C9"/>
    <w:rsid w:val="008E550A"/>
    <w:rsid w:val="008E5E4D"/>
    <w:rsid w:val="008E725A"/>
    <w:rsid w:val="008F074D"/>
    <w:rsid w:val="008F387C"/>
    <w:rsid w:val="008F4F35"/>
    <w:rsid w:val="008F5CA1"/>
    <w:rsid w:val="009017B0"/>
    <w:rsid w:val="00904B4A"/>
    <w:rsid w:val="0090517C"/>
    <w:rsid w:val="009072B8"/>
    <w:rsid w:val="00910202"/>
    <w:rsid w:val="0091053D"/>
    <w:rsid w:val="00911481"/>
    <w:rsid w:val="00913793"/>
    <w:rsid w:val="00914189"/>
    <w:rsid w:val="00914F2E"/>
    <w:rsid w:val="00915643"/>
    <w:rsid w:val="00915AB1"/>
    <w:rsid w:val="0091713B"/>
    <w:rsid w:val="0091726C"/>
    <w:rsid w:val="00920348"/>
    <w:rsid w:val="009212C9"/>
    <w:rsid w:val="00925171"/>
    <w:rsid w:val="00925393"/>
    <w:rsid w:val="00925DB3"/>
    <w:rsid w:val="00925FEE"/>
    <w:rsid w:val="00926CF3"/>
    <w:rsid w:val="009276FA"/>
    <w:rsid w:val="009316AF"/>
    <w:rsid w:val="009319F7"/>
    <w:rsid w:val="009345EF"/>
    <w:rsid w:val="0093481D"/>
    <w:rsid w:val="009367A3"/>
    <w:rsid w:val="009406CE"/>
    <w:rsid w:val="00943AEA"/>
    <w:rsid w:val="0094403B"/>
    <w:rsid w:val="00945594"/>
    <w:rsid w:val="009455BF"/>
    <w:rsid w:val="00946225"/>
    <w:rsid w:val="009505F2"/>
    <w:rsid w:val="009507BE"/>
    <w:rsid w:val="009537BA"/>
    <w:rsid w:val="0095440B"/>
    <w:rsid w:val="009556BF"/>
    <w:rsid w:val="00957E13"/>
    <w:rsid w:val="00961347"/>
    <w:rsid w:val="00961B8C"/>
    <w:rsid w:val="00961FCA"/>
    <w:rsid w:val="00963709"/>
    <w:rsid w:val="009637FC"/>
    <w:rsid w:val="00963F86"/>
    <w:rsid w:val="00964D3B"/>
    <w:rsid w:val="0096570E"/>
    <w:rsid w:val="00965856"/>
    <w:rsid w:val="00965FB7"/>
    <w:rsid w:val="00967A26"/>
    <w:rsid w:val="00971427"/>
    <w:rsid w:val="00971FBE"/>
    <w:rsid w:val="00972E5C"/>
    <w:rsid w:val="009765F5"/>
    <w:rsid w:val="0098106E"/>
    <w:rsid w:val="009836A8"/>
    <w:rsid w:val="0098612D"/>
    <w:rsid w:val="009877E5"/>
    <w:rsid w:val="009907E7"/>
    <w:rsid w:val="009909A4"/>
    <w:rsid w:val="00990E65"/>
    <w:rsid w:val="00993584"/>
    <w:rsid w:val="009936D0"/>
    <w:rsid w:val="00994005"/>
    <w:rsid w:val="0099542A"/>
    <w:rsid w:val="00995B96"/>
    <w:rsid w:val="00995C9D"/>
    <w:rsid w:val="00996F06"/>
    <w:rsid w:val="00996F49"/>
    <w:rsid w:val="00997A6D"/>
    <w:rsid w:val="009A3A3E"/>
    <w:rsid w:val="009A6372"/>
    <w:rsid w:val="009A6C3B"/>
    <w:rsid w:val="009A6D70"/>
    <w:rsid w:val="009A7506"/>
    <w:rsid w:val="009A79F4"/>
    <w:rsid w:val="009B0FA0"/>
    <w:rsid w:val="009B1092"/>
    <w:rsid w:val="009B2D8C"/>
    <w:rsid w:val="009B4133"/>
    <w:rsid w:val="009C14F4"/>
    <w:rsid w:val="009C3F5D"/>
    <w:rsid w:val="009C430F"/>
    <w:rsid w:val="009C49F1"/>
    <w:rsid w:val="009C79E6"/>
    <w:rsid w:val="009C7F69"/>
    <w:rsid w:val="009D272F"/>
    <w:rsid w:val="009D3331"/>
    <w:rsid w:val="009E0CD1"/>
    <w:rsid w:val="009E2749"/>
    <w:rsid w:val="009E71E7"/>
    <w:rsid w:val="009F0CAA"/>
    <w:rsid w:val="009F1AE2"/>
    <w:rsid w:val="009F2CB2"/>
    <w:rsid w:val="009F2CCC"/>
    <w:rsid w:val="009F4D16"/>
    <w:rsid w:val="00A000FB"/>
    <w:rsid w:val="00A006C0"/>
    <w:rsid w:val="00A00D9B"/>
    <w:rsid w:val="00A021ED"/>
    <w:rsid w:val="00A0287E"/>
    <w:rsid w:val="00A02F0D"/>
    <w:rsid w:val="00A05B97"/>
    <w:rsid w:val="00A06779"/>
    <w:rsid w:val="00A07AB7"/>
    <w:rsid w:val="00A125A1"/>
    <w:rsid w:val="00A126AF"/>
    <w:rsid w:val="00A17A87"/>
    <w:rsid w:val="00A21D67"/>
    <w:rsid w:val="00A2321C"/>
    <w:rsid w:val="00A2423B"/>
    <w:rsid w:val="00A2469A"/>
    <w:rsid w:val="00A25FFB"/>
    <w:rsid w:val="00A27FAB"/>
    <w:rsid w:val="00A31332"/>
    <w:rsid w:val="00A3488E"/>
    <w:rsid w:val="00A35782"/>
    <w:rsid w:val="00A36AF6"/>
    <w:rsid w:val="00A36FAC"/>
    <w:rsid w:val="00A453F5"/>
    <w:rsid w:val="00A45C34"/>
    <w:rsid w:val="00A50006"/>
    <w:rsid w:val="00A51EAA"/>
    <w:rsid w:val="00A528ED"/>
    <w:rsid w:val="00A536F0"/>
    <w:rsid w:val="00A54333"/>
    <w:rsid w:val="00A5556A"/>
    <w:rsid w:val="00A56552"/>
    <w:rsid w:val="00A572E0"/>
    <w:rsid w:val="00A57BEB"/>
    <w:rsid w:val="00A6099A"/>
    <w:rsid w:val="00A60CBD"/>
    <w:rsid w:val="00A6131C"/>
    <w:rsid w:val="00A61A62"/>
    <w:rsid w:val="00A62779"/>
    <w:rsid w:val="00A63D16"/>
    <w:rsid w:val="00A642E3"/>
    <w:rsid w:val="00A646ED"/>
    <w:rsid w:val="00A64CD8"/>
    <w:rsid w:val="00A6505D"/>
    <w:rsid w:val="00A67A33"/>
    <w:rsid w:val="00A71184"/>
    <w:rsid w:val="00A7163B"/>
    <w:rsid w:val="00A72A47"/>
    <w:rsid w:val="00A732C9"/>
    <w:rsid w:val="00A7461C"/>
    <w:rsid w:val="00A74829"/>
    <w:rsid w:val="00A74DE6"/>
    <w:rsid w:val="00A75825"/>
    <w:rsid w:val="00A76304"/>
    <w:rsid w:val="00A77F87"/>
    <w:rsid w:val="00A81E4E"/>
    <w:rsid w:val="00A8417C"/>
    <w:rsid w:val="00A849CF"/>
    <w:rsid w:val="00A87A00"/>
    <w:rsid w:val="00A90698"/>
    <w:rsid w:val="00A92380"/>
    <w:rsid w:val="00A9431B"/>
    <w:rsid w:val="00A943A3"/>
    <w:rsid w:val="00A95C2E"/>
    <w:rsid w:val="00A95E40"/>
    <w:rsid w:val="00A96BD4"/>
    <w:rsid w:val="00A96E36"/>
    <w:rsid w:val="00AA02CD"/>
    <w:rsid w:val="00AA378E"/>
    <w:rsid w:val="00AA5F14"/>
    <w:rsid w:val="00AA682F"/>
    <w:rsid w:val="00AB1A45"/>
    <w:rsid w:val="00AB6BEB"/>
    <w:rsid w:val="00AC0099"/>
    <w:rsid w:val="00AD047E"/>
    <w:rsid w:val="00AD0BEE"/>
    <w:rsid w:val="00AD2D02"/>
    <w:rsid w:val="00AE4423"/>
    <w:rsid w:val="00AE56CE"/>
    <w:rsid w:val="00AF0A67"/>
    <w:rsid w:val="00AF2A4D"/>
    <w:rsid w:val="00AF403F"/>
    <w:rsid w:val="00AF667D"/>
    <w:rsid w:val="00B01CFB"/>
    <w:rsid w:val="00B03D14"/>
    <w:rsid w:val="00B03F39"/>
    <w:rsid w:val="00B0453E"/>
    <w:rsid w:val="00B047AA"/>
    <w:rsid w:val="00B057D8"/>
    <w:rsid w:val="00B06BBE"/>
    <w:rsid w:val="00B07370"/>
    <w:rsid w:val="00B07532"/>
    <w:rsid w:val="00B07842"/>
    <w:rsid w:val="00B10A5C"/>
    <w:rsid w:val="00B11961"/>
    <w:rsid w:val="00B13582"/>
    <w:rsid w:val="00B140B8"/>
    <w:rsid w:val="00B20274"/>
    <w:rsid w:val="00B22561"/>
    <w:rsid w:val="00B23ACA"/>
    <w:rsid w:val="00B25248"/>
    <w:rsid w:val="00B255E4"/>
    <w:rsid w:val="00B300FA"/>
    <w:rsid w:val="00B3056D"/>
    <w:rsid w:val="00B30AC4"/>
    <w:rsid w:val="00B346BD"/>
    <w:rsid w:val="00B35AEB"/>
    <w:rsid w:val="00B35D05"/>
    <w:rsid w:val="00B35D23"/>
    <w:rsid w:val="00B4016F"/>
    <w:rsid w:val="00B40217"/>
    <w:rsid w:val="00B413F2"/>
    <w:rsid w:val="00B42B33"/>
    <w:rsid w:val="00B53468"/>
    <w:rsid w:val="00B55435"/>
    <w:rsid w:val="00B55AED"/>
    <w:rsid w:val="00B5697F"/>
    <w:rsid w:val="00B57FF3"/>
    <w:rsid w:val="00B605EF"/>
    <w:rsid w:val="00B673E5"/>
    <w:rsid w:val="00B70C52"/>
    <w:rsid w:val="00B71583"/>
    <w:rsid w:val="00B72641"/>
    <w:rsid w:val="00B72724"/>
    <w:rsid w:val="00B72A5E"/>
    <w:rsid w:val="00B72B97"/>
    <w:rsid w:val="00B7505C"/>
    <w:rsid w:val="00B8029E"/>
    <w:rsid w:val="00B80B8E"/>
    <w:rsid w:val="00B80FC8"/>
    <w:rsid w:val="00B83796"/>
    <w:rsid w:val="00B839AE"/>
    <w:rsid w:val="00B84751"/>
    <w:rsid w:val="00B85C19"/>
    <w:rsid w:val="00B870A7"/>
    <w:rsid w:val="00B87395"/>
    <w:rsid w:val="00B9074F"/>
    <w:rsid w:val="00B90982"/>
    <w:rsid w:val="00B90ADE"/>
    <w:rsid w:val="00B94354"/>
    <w:rsid w:val="00B947A4"/>
    <w:rsid w:val="00B97534"/>
    <w:rsid w:val="00BA108B"/>
    <w:rsid w:val="00BA1337"/>
    <w:rsid w:val="00BA1359"/>
    <w:rsid w:val="00BA33BB"/>
    <w:rsid w:val="00BA4D8B"/>
    <w:rsid w:val="00BA588A"/>
    <w:rsid w:val="00BA5C22"/>
    <w:rsid w:val="00BA75C0"/>
    <w:rsid w:val="00BA75F7"/>
    <w:rsid w:val="00BB155A"/>
    <w:rsid w:val="00BB2169"/>
    <w:rsid w:val="00BB2949"/>
    <w:rsid w:val="00BB3629"/>
    <w:rsid w:val="00BB43A9"/>
    <w:rsid w:val="00BB4F1E"/>
    <w:rsid w:val="00BB5A33"/>
    <w:rsid w:val="00BB5CF6"/>
    <w:rsid w:val="00BB63FA"/>
    <w:rsid w:val="00BC0DDC"/>
    <w:rsid w:val="00BC2E13"/>
    <w:rsid w:val="00BC4AFA"/>
    <w:rsid w:val="00BC4E14"/>
    <w:rsid w:val="00BC5286"/>
    <w:rsid w:val="00BC7698"/>
    <w:rsid w:val="00BD00F1"/>
    <w:rsid w:val="00BD1A17"/>
    <w:rsid w:val="00BD3BC9"/>
    <w:rsid w:val="00BD3C3F"/>
    <w:rsid w:val="00BD484D"/>
    <w:rsid w:val="00BE2182"/>
    <w:rsid w:val="00BE3DFB"/>
    <w:rsid w:val="00BE5E19"/>
    <w:rsid w:val="00BE5EE1"/>
    <w:rsid w:val="00BE6FD0"/>
    <w:rsid w:val="00BF0106"/>
    <w:rsid w:val="00BF2025"/>
    <w:rsid w:val="00BF2D80"/>
    <w:rsid w:val="00BF459C"/>
    <w:rsid w:val="00BF5BCF"/>
    <w:rsid w:val="00BF5FE3"/>
    <w:rsid w:val="00BF690A"/>
    <w:rsid w:val="00C00B81"/>
    <w:rsid w:val="00C00E07"/>
    <w:rsid w:val="00C0142B"/>
    <w:rsid w:val="00C02FD4"/>
    <w:rsid w:val="00C04650"/>
    <w:rsid w:val="00C04D25"/>
    <w:rsid w:val="00C059B4"/>
    <w:rsid w:val="00C07D47"/>
    <w:rsid w:val="00C10586"/>
    <w:rsid w:val="00C11F30"/>
    <w:rsid w:val="00C128CE"/>
    <w:rsid w:val="00C12E24"/>
    <w:rsid w:val="00C136D4"/>
    <w:rsid w:val="00C1645B"/>
    <w:rsid w:val="00C20272"/>
    <w:rsid w:val="00C21D82"/>
    <w:rsid w:val="00C23D6D"/>
    <w:rsid w:val="00C23F2E"/>
    <w:rsid w:val="00C23F65"/>
    <w:rsid w:val="00C24541"/>
    <w:rsid w:val="00C246DF"/>
    <w:rsid w:val="00C25732"/>
    <w:rsid w:val="00C25C7D"/>
    <w:rsid w:val="00C265C8"/>
    <w:rsid w:val="00C314F4"/>
    <w:rsid w:val="00C31723"/>
    <w:rsid w:val="00C31D32"/>
    <w:rsid w:val="00C32E93"/>
    <w:rsid w:val="00C33889"/>
    <w:rsid w:val="00C345B3"/>
    <w:rsid w:val="00C34B0C"/>
    <w:rsid w:val="00C37B44"/>
    <w:rsid w:val="00C41DF0"/>
    <w:rsid w:val="00C441B5"/>
    <w:rsid w:val="00C457BB"/>
    <w:rsid w:val="00C470F2"/>
    <w:rsid w:val="00C47679"/>
    <w:rsid w:val="00C51840"/>
    <w:rsid w:val="00C51955"/>
    <w:rsid w:val="00C5223D"/>
    <w:rsid w:val="00C54D4B"/>
    <w:rsid w:val="00C55313"/>
    <w:rsid w:val="00C56A30"/>
    <w:rsid w:val="00C57BC0"/>
    <w:rsid w:val="00C6076D"/>
    <w:rsid w:val="00C6097B"/>
    <w:rsid w:val="00C6247E"/>
    <w:rsid w:val="00C62E4D"/>
    <w:rsid w:val="00C644F7"/>
    <w:rsid w:val="00C645F0"/>
    <w:rsid w:val="00C64EA1"/>
    <w:rsid w:val="00C657E7"/>
    <w:rsid w:val="00C7117D"/>
    <w:rsid w:val="00C71316"/>
    <w:rsid w:val="00C716DF"/>
    <w:rsid w:val="00C74288"/>
    <w:rsid w:val="00C769CD"/>
    <w:rsid w:val="00C77DC7"/>
    <w:rsid w:val="00C80CE6"/>
    <w:rsid w:val="00C81B00"/>
    <w:rsid w:val="00C82E81"/>
    <w:rsid w:val="00C83B13"/>
    <w:rsid w:val="00C83B3B"/>
    <w:rsid w:val="00C8665A"/>
    <w:rsid w:val="00C87F40"/>
    <w:rsid w:val="00C9118F"/>
    <w:rsid w:val="00C916D3"/>
    <w:rsid w:val="00C93925"/>
    <w:rsid w:val="00C93F46"/>
    <w:rsid w:val="00C949B9"/>
    <w:rsid w:val="00C95D1A"/>
    <w:rsid w:val="00C96983"/>
    <w:rsid w:val="00C978F1"/>
    <w:rsid w:val="00CA0677"/>
    <w:rsid w:val="00CA142D"/>
    <w:rsid w:val="00CA18B3"/>
    <w:rsid w:val="00CA5368"/>
    <w:rsid w:val="00CA67A8"/>
    <w:rsid w:val="00CB2AA4"/>
    <w:rsid w:val="00CB4189"/>
    <w:rsid w:val="00CB5CB5"/>
    <w:rsid w:val="00CB7368"/>
    <w:rsid w:val="00CC0C4A"/>
    <w:rsid w:val="00CC0EED"/>
    <w:rsid w:val="00CC216D"/>
    <w:rsid w:val="00CC2FC1"/>
    <w:rsid w:val="00CC3C2F"/>
    <w:rsid w:val="00CC450E"/>
    <w:rsid w:val="00CC4A6C"/>
    <w:rsid w:val="00CC6A0E"/>
    <w:rsid w:val="00CD2DE4"/>
    <w:rsid w:val="00CD2F5A"/>
    <w:rsid w:val="00CD4A8F"/>
    <w:rsid w:val="00CD4BFD"/>
    <w:rsid w:val="00CD528F"/>
    <w:rsid w:val="00CD6AEE"/>
    <w:rsid w:val="00CE15E2"/>
    <w:rsid w:val="00CE22C5"/>
    <w:rsid w:val="00CE3028"/>
    <w:rsid w:val="00CE6B6A"/>
    <w:rsid w:val="00CE7E20"/>
    <w:rsid w:val="00CF0A36"/>
    <w:rsid w:val="00CF2FE8"/>
    <w:rsid w:val="00CF3052"/>
    <w:rsid w:val="00CF3176"/>
    <w:rsid w:val="00CF55B4"/>
    <w:rsid w:val="00D0044D"/>
    <w:rsid w:val="00D01B30"/>
    <w:rsid w:val="00D022D1"/>
    <w:rsid w:val="00D06043"/>
    <w:rsid w:val="00D0672B"/>
    <w:rsid w:val="00D06821"/>
    <w:rsid w:val="00D10666"/>
    <w:rsid w:val="00D10F52"/>
    <w:rsid w:val="00D11A01"/>
    <w:rsid w:val="00D11DDC"/>
    <w:rsid w:val="00D1267C"/>
    <w:rsid w:val="00D12B7F"/>
    <w:rsid w:val="00D1344C"/>
    <w:rsid w:val="00D16773"/>
    <w:rsid w:val="00D21C30"/>
    <w:rsid w:val="00D23377"/>
    <w:rsid w:val="00D24A4C"/>
    <w:rsid w:val="00D26A76"/>
    <w:rsid w:val="00D323A5"/>
    <w:rsid w:val="00D330D2"/>
    <w:rsid w:val="00D34832"/>
    <w:rsid w:val="00D34FAA"/>
    <w:rsid w:val="00D40051"/>
    <w:rsid w:val="00D40FED"/>
    <w:rsid w:val="00D44F6D"/>
    <w:rsid w:val="00D47AF9"/>
    <w:rsid w:val="00D47CA3"/>
    <w:rsid w:val="00D5457A"/>
    <w:rsid w:val="00D567E9"/>
    <w:rsid w:val="00D60AA2"/>
    <w:rsid w:val="00D6266C"/>
    <w:rsid w:val="00D62FEB"/>
    <w:rsid w:val="00D63736"/>
    <w:rsid w:val="00D63E9F"/>
    <w:rsid w:val="00D646A9"/>
    <w:rsid w:val="00D64865"/>
    <w:rsid w:val="00D675C8"/>
    <w:rsid w:val="00D7086E"/>
    <w:rsid w:val="00D71B79"/>
    <w:rsid w:val="00D73F8C"/>
    <w:rsid w:val="00D7414F"/>
    <w:rsid w:val="00D74156"/>
    <w:rsid w:val="00D753D4"/>
    <w:rsid w:val="00D75A5F"/>
    <w:rsid w:val="00D76C0A"/>
    <w:rsid w:val="00D77695"/>
    <w:rsid w:val="00D80D9B"/>
    <w:rsid w:val="00D81A89"/>
    <w:rsid w:val="00D83C56"/>
    <w:rsid w:val="00D86710"/>
    <w:rsid w:val="00D8681D"/>
    <w:rsid w:val="00D86F32"/>
    <w:rsid w:val="00D87388"/>
    <w:rsid w:val="00D902B1"/>
    <w:rsid w:val="00D91DEE"/>
    <w:rsid w:val="00D93E12"/>
    <w:rsid w:val="00D96092"/>
    <w:rsid w:val="00D961E7"/>
    <w:rsid w:val="00DA2383"/>
    <w:rsid w:val="00DA2D18"/>
    <w:rsid w:val="00DA6B90"/>
    <w:rsid w:val="00DB23B0"/>
    <w:rsid w:val="00DB2E97"/>
    <w:rsid w:val="00DB37DE"/>
    <w:rsid w:val="00DB5BEA"/>
    <w:rsid w:val="00DC0617"/>
    <w:rsid w:val="00DC172E"/>
    <w:rsid w:val="00DC328B"/>
    <w:rsid w:val="00DD05EC"/>
    <w:rsid w:val="00DD1510"/>
    <w:rsid w:val="00DD179C"/>
    <w:rsid w:val="00DD3789"/>
    <w:rsid w:val="00DD3F18"/>
    <w:rsid w:val="00DD50B9"/>
    <w:rsid w:val="00DD5BA3"/>
    <w:rsid w:val="00DD5C2D"/>
    <w:rsid w:val="00DD5D59"/>
    <w:rsid w:val="00DD5F3E"/>
    <w:rsid w:val="00DE036A"/>
    <w:rsid w:val="00DE5F64"/>
    <w:rsid w:val="00DF0787"/>
    <w:rsid w:val="00DF207C"/>
    <w:rsid w:val="00DF2395"/>
    <w:rsid w:val="00DF2CE4"/>
    <w:rsid w:val="00DF4083"/>
    <w:rsid w:val="00DF4D9D"/>
    <w:rsid w:val="00DF53B5"/>
    <w:rsid w:val="00DF7CDB"/>
    <w:rsid w:val="00E023E9"/>
    <w:rsid w:val="00E04A5C"/>
    <w:rsid w:val="00E05019"/>
    <w:rsid w:val="00E0740D"/>
    <w:rsid w:val="00E07774"/>
    <w:rsid w:val="00E078A3"/>
    <w:rsid w:val="00E07C74"/>
    <w:rsid w:val="00E100C7"/>
    <w:rsid w:val="00E10F49"/>
    <w:rsid w:val="00E1144E"/>
    <w:rsid w:val="00E16275"/>
    <w:rsid w:val="00E1725A"/>
    <w:rsid w:val="00E2000D"/>
    <w:rsid w:val="00E20255"/>
    <w:rsid w:val="00E21060"/>
    <w:rsid w:val="00E21946"/>
    <w:rsid w:val="00E22202"/>
    <w:rsid w:val="00E25C91"/>
    <w:rsid w:val="00E30790"/>
    <w:rsid w:val="00E316A6"/>
    <w:rsid w:val="00E318A8"/>
    <w:rsid w:val="00E319AC"/>
    <w:rsid w:val="00E32DC3"/>
    <w:rsid w:val="00E3400B"/>
    <w:rsid w:val="00E34524"/>
    <w:rsid w:val="00E34ACF"/>
    <w:rsid w:val="00E34DC4"/>
    <w:rsid w:val="00E352F9"/>
    <w:rsid w:val="00E35B61"/>
    <w:rsid w:val="00E41825"/>
    <w:rsid w:val="00E43045"/>
    <w:rsid w:val="00E554F6"/>
    <w:rsid w:val="00E56CFB"/>
    <w:rsid w:val="00E56FDC"/>
    <w:rsid w:val="00E57867"/>
    <w:rsid w:val="00E60533"/>
    <w:rsid w:val="00E616FE"/>
    <w:rsid w:val="00E6193A"/>
    <w:rsid w:val="00E61CD7"/>
    <w:rsid w:val="00E623B4"/>
    <w:rsid w:val="00E62818"/>
    <w:rsid w:val="00E62A34"/>
    <w:rsid w:val="00E62B84"/>
    <w:rsid w:val="00E64C63"/>
    <w:rsid w:val="00E65F70"/>
    <w:rsid w:val="00E66B22"/>
    <w:rsid w:val="00E7145C"/>
    <w:rsid w:val="00E74D61"/>
    <w:rsid w:val="00E778C2"/>
    <w:rsid w:val="00E80AE3"/>
    <w:rsid w:val="00E82F9E"/>
    <w:rsid w:val="00E84F79"/>
    <w:rsid w:val="00E84FBE"/>
    <w:rsid w:val="00E85128"/>
    <w:rsid w:val="00E8652B"/>
    <w:rsid w:val="00E866D5"/>
    <w:rsid w:val="00E8777D"/>
    <w:rsid w:val="00E87CE4"/>
    <w:rsid w:val="00E87D0C"/>
    <w:rsid w:val="00E91346"/>
    <w:rsid w:val="00E91967"/>
    <w:rsid w:val="00E91A1B"/>
    <w:rsid w:val="00E92672"/>
    <w:rsid w:val="00E92C74"/>
    <w:rsid w:val="00E9313F"/>
    <w:rsid w:val="00E937EC"/>
    <w:rsid w:val="00E951E3"/>
    <w:rsid w:val="00E97563"/>
    <w:rsid w:val="00EA36D9"/>
    <w:rsid w:val="00EA3E09"/>
    <w:rsid w:val="00EA3FF4"/>
    <w:rsid w:val="00EA5260"/>
    <w:rsid w:val="00EA5D04"/>
    <w:rsid w:val="00EA7352"/>
    <w:rsid w:val="00EB100A"/>
    <w:rsid w:val="00EB191B"/>
    <w:rsid w:val="00EB37DD"/>
    <w:rsid w:val="00EB7BF3"/>
    <w:rsid w:val="00EC39AE"/>
    <w:rsid w:val="00ED04FA"/>
    <w:rsid w:val="00ED0988"/>
    <w:rsid w:val="00ED2089"/>
    <w:rsid w:val="00ED4E3B"/>
    <w:rsid w:val="00EE0DE4"/>
    <w:rsid w:val="00EE1178"/>
    <w:rsid w:val="00EE1273"/>
    <w:rsid w:val="00EE2379"/>
    <w:rsid w:val="00EE43C2"/>
    <w:rsid w:val="00EE623C"/>
    <w:rsid w:val="00EF098C"/>
    <w:rsid w:val="00EF27DD"/>
    <w:rsid w:val="00EF4327"/>
    <w:rsid w:val="00EF5A2B"/>
    <w:rsid w:val="00EF69E7"/>
    <w:rsid w:val="00F036AF"/>
    <w:rsid w:val="00F037EA"/>
    <w:rsid w:val="00F05B3F"/>
    <w:rsid w:val="00F074CE"/>
    <w:rsid w:val="00F13020"/>
    <w:rsid w:val="00F20DD0"/>
    <w:rsid w:val="00F21C40"/>
    <w:rsid w:val="00F21E92"/>
    <w:rsid w:val="00F23A55"/>
    <w:rsid w:val="00F23B79"/>
    <w:rsid w:val="00F2419E"/>
    <w:rsid w:val="00F24C8C"/>
    <w:rsid w:val="00F27240"/>
    <w:rsid w:val="00F272EB"/>
    <w:rsid w:val="00F32D9C"/>
    <w:rsid w:val="00F339C6"/>
    <w:rsid w:val="00F34BFB"/>
    <w:rsid w:val="00F40A4B"/>
    <w:rsid w:val="00F414DF"/>
    <w:rsid w:val="00F41D97"/>
    <w:rsid w:val="00F42964"/>
    <w:rsid w:val="00F46954"/>
    <w:rsid w:val="00F471B4"/>
    <w:rsid w:val="00F47E9D"/>
    <w:rsid w:val="00F50D35"/>
    <w:rsid w:val="00F5183B"/>
    <w:rsid w:val="00F5254E"/>
    <w:rsid w:val="00F528C2"/>
    <w:rsid w:val="00F537BE"/>
    <w:rsid w:val="00F53DF3"/>
    <w:rsid w:val="00F55DE3"/>
    <w:rsid w:val="00F60C50"/>
    <w:rsid w:val="00F626E1"/>
    <w:rsid w:val="00F6397F"/>
    <w:rsid w:val="00F647F6"/>
    <w:rsid w:val="00F64CF6"/>
    <w:rsid w:val="00F65F4A"/>
    <w:rsid w:val="00F70FB7"/>
    <w:rsid w:val="00F710C4"/>
    <w:rsid w:val="00F71C2A"/>
    <w:rsid w:val="00F71CCE"/>
    <w:rsid w:val="00F72200"/>
    <w:rsid w:val="00F76B99"/>
    <w:rsid w:val="00F800D8"/>
    <w:rsid w:val="00F80268"/>
    <w:rsid w:val="00F8095C"/>
    <w:rsid w:val="00F80D3E"/>
    <w:rsid w:val="00F835D2"/>
    <w:rsid w:val="00F84391"/>
    <w:rsid w:val="00F84BC8"/>
    <w:rsid w:val="00F856B5"/>
    <w:rsid w:val="00F86ABC"/>
    <w:rsid w:val="00F86C0C"/>
    <w:rsid w:val="00F87DBC"/>
    <w:rsid w:val="00F90542"/>
    <w:rsid w:val="00F918EF"/>
    <w:rsid w:val="00F921A1"/>
    <w:rsid w:val="00F9398D"/>
    <w:rsid w:val="00F951DA"/>
    <w:rsid w:val="00F965F6"/>
    <w:rsid w:val="00F96BF6"/>
    <w:rsid w:val="00F97C6C"/>
    <w:rsid w:val="00FA1354"/>
    <w:rsid w:val="00FA1557"/>
    <w:rsid w:val="00FB3618"/>
    <w:rsid w:val="00FB453C"/>
    <w:rsid w:val="00FB5EE1"/>
    <w:rsid w:val="00FB604D"/>
    <w:rsid w:val="00FB6290"/>
    <w:rsid w:val="00FC0E84"/>
    <w:rsid w:val="00FC2B82"/>
    <w:rsid w:val="00FC2D1F"/>
    <w:rsid w:val="00FC4AB7"/>
    <w:rsid w:val="00FC6921"/>
    <w:rsid w:val="00FD0382"/>
    <w:rsid w:val="00FD0D9A"/>
    <w:rsid w:val="00FD323E"/>
    <w:rsid w:val="00FD3D9C"/>
    <w:rsid w:val="00FD5E47"/>
    <w:rsid w:val="00FD78EC"/>
    <w:rsid w:val="00FE0D90"/>
    <w:rsid w:val="00FE2623"/>
    <w:rsid w:val="00FE3231"/>
    <w:rsid w:val="00FE3BF7"/>
    <w:rsid w:val="00FE6D3C"/>
    <w:rsid w:val="00FF1309"/>
    <w:rsid w:val="00FF13C3"/>
    <w:rsid w:val="00FF1B69"/>
    <w:rsid w:val="00FF333C"/>
    <w:rsid w:val="00FF3F7D"/>
    <w:rsid w:val="00FF5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55834"/>
  <w15:chartTrackingRefBased/>
  <w15:docId w15:val="{FD4589E0-ADAB-4C9C-B465-86990538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AA1"/>
    <w:rPr>
      <w:sz w:val="24"/>
      <w:szCs w:val="24"/>
      <w:lang w:val="en-US" w:eastAsia="en-US"/>
    </w:rPr>
  </w:style>
  <w:style w:type="paragraph" w:styleId="Heading1">
    <w:name w:val="heading 1"/>
    <w:basedOn w:val="Normal"/>
    <w:next w:val="Normal"/>
    <w:qFormat/>
    <w:pPr>
      <w:keepNext/>
      <w:jc w:val="both"/>
      <w:outlineLvl w:val="0"/>
    </w:pPr>
    <w:rPr>
      <w:b/>
      <w:bCs/>
      <w:sz w:val="28"/>
      <w:lang w:val="lv-LV"/>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tabs>
        <w:tab w:val="num" w:pos="720"/>
      </w:tabs>
      <w:ind w:left="720" w:hanging="720"/>
      <w:outlineLvl w:val="2"/>
    </w:pPr>
    <w:rPr>
      <w:b/>
      <w:bCs/>
      <w:sz w:val="32"/>
      <w:szCs w:val="20"/>
      <w:lang w:val="lv-LV"/>
    </w:rPr>
  </w:style>
  <w:style w:type="paragraph" w:styleId="Heading4">
    <w:name w:val="heading 4"/>
    <w:basedOn w:val="Normal"/>
    <w:next w:val="Normal"/>
    <w:qFormat/>
    <w:pPr>
      <w:keepNext/>
      <w:jc w:val="center"/>
      <w:outlineLvl w:val="3"/>
    </w:pPr>
    <w:rPr>
      <w:b/>
      <w:bCs/>
      <w:sz w:val="28"/>
      <w:lang w:val="lv-LV"/>
    </w:rPr>
  </w:style>
  <w:style w:type="paragraph" w:styleId="Heading5">
    <w:name w:val="heading 5"/>
    <w:basedOn w:val="Normal"/>
    <w:next w:val="Normal"/>
    <w:qFormat/>
    <w:pPr>
      <w:keepNext/>
      <w:numPr>
        <w:numId w:val="1"/>
      </w:numPr>
      <w:outlineLvl w:val="4"/>
    </w:pPr>
    <w:rPr>
      <w:b/>
      <w:bCs/>
      <w:sz w:val="28"/>
      <w:szCs w:val="20"/>
      <w:lang w:val="lv-LV"/>
    </w:rPr>
  </w:style>
  <w:style w:type="paragraph" w:styleId="Heading6">
    <w:name w:val="heading 6"/>
    <w:basedOn w:val="Normal"/>
    <w:next w:val="Normal"/>
    <w:qFormat/>
    <w:pPr>
      <w:keepNext/>
      <w:jc w:val="center"/>
      <w:outlineLvl w:val="5"/>
    </w:pPr>
    <w:rPr>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lang w:val="lv-LV"/>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pPr>
      <w:ind w:firstLine="720"/>
      <w:jc w:val="both"/>
    </w:pPr>
    <w:rPr>
      <w:sz w:val="28"/>
      <w:lang w:val="lv-LV"/>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sz w:val="28"/>
      <w:lang w:val="lv-LV"/>
    </w:rPr>
  </w:style>
  <w:style w:type="paragraph" w:styleId="BodyTextIndent">
    <w:name w:val="Body Text Indent"/>
    <w:basedOn w:val="Normal"/>
    <w:pPr>
      <w:ind w:firstLine="567"/>
      <w:jc w:val="both"/>
    </w:pPr>
    <w:rPr>
      <w:sz w:val="28"/>
      <w:lang w:val="lv-LV"/>
    </w:rPr>
  </w:style>
  <w:style w:type="paragraph" w:styleId="BodyTextIndent2">
    <w:name w:val="Body Text Indent 2"/>
    <w:basedOn w:val="Normal"/>
    <w:pPr>
      <w:tabs>
        <w:tab w:val="left" w:pos="-22"/>
      </w:tabs>
      <w:spacing w:before="120"/>
      <w:ind w:left="-22"/>
      <w:jc w:val="both"/>
    </w:pPr>
    <w:rPr>
      <w:sz w:val="28"/>
      <w:lang w:val="lv-LV"/>
    </w:rPr>
  </w:style>
  <w:style w:type="paragraph" w:styleId="BodyText3">
    <w:name w:val="Body Text 3"/>
    <w:basedOn w:val="Normal"/>
    <w:pPr>
      <w:jc w:val="both"/>
    </w:pPr>
    <w:rPr>
      <w:b/>
      <w:bCs/>
      <w:sz w:val="28"/>
      <w:szCs w:val="28"/>
      <w:lang w:val="lv-LV"/>
    </w:rPr>
  </w:style>
  <w:style w:type="paragraph" w:customStyle="1" w:styleId="naisf">
    <w:name w:val="naisf"/>
    <w:basedOn w:val="Normal"/>
    <w:pPr>
      <w:spacing w:before="100" w:beforeAutospacing="1" w:after="100" w:afterAutospacing="1"/>
      <w:jc w:val="both"/>
    </w:pPr>
    <w:rPr>
      <w:rFonts w:ascii="Arial Unicode MS" w:eastAsia="Arial Unicode MS" w:hAnsi="Arial Unicode MS"/>
      <w:lang w:val="en-GB"/>
    </w:rPr>
  </w:style>
  <w:style w:type="paragraph" w:styleId="Title">
    <w:name w:val="Title"/>
    <w:basedOn w:val="Normal"/>
    <w:qFormat/>
    <w:pPr>
      <w:jc w:val="center"/>
    </w:pPr>
    <w:rPr>
      <w:b/>
      <w:bCs/>
      <w:sz w:val="28"/>
      <w:lang w:val="lv-LV"/>
    </w:rPr>
  </w:style>
  <w:style w:type="paragraph" w:styleId="Subtitle">
    <w:name w:val="Subtitle"/>
    <w:basedOn w:val="Normal"/>
    <w:next w:val="Normal"/>
    <w:qFormat/>
    <w:pPr>
      <w:keepNext/>
      <w:keepLines/>
      <w:widowControl w:val="0"/>
      <w:suppressAutoHyphens/>
      <w:spacing w:before="600" w:after="600"/>
      <w:ind w:right="4820"/>
    </w:pPr>
    <w:rPr>
      <w:b/>
      <w:sz w:val="26"/>
      <w:szCs w:val="20"/>
      <w:lang w:val="en-AU"/>
    </w:rPr>
  </w:style>
  <w:style w:type="paragraph" w:customStyle="1" w:styleId="Subtitle14pt">
    <w:name w:val="Subtitle + 14 pt"/>
    <w:aliases w:val="Not Bold,Justified,First line:  1,27 cm,Right:  0 cm,Be..."/>
    <w:basedOn w:val="Subtitle"/>
    <w:pPr>
      <w:spacing w:before="120" w:after="120"/>
      <w:ind w:right="0" w:firstLine="720"/>
      <w:jc w:val="both"/>
    </w:pPr>
    <w:rPr>
      <w:b w:val="0"/>
      <w:sz w:val="28"/>
      <w:lang w:val="lv-LV"/>
    </w:rPr>
  </w:style>
  <w:style w:type="paragraph" w:styleId="BalloonText">
    <w:name w:val="Balloon Text"/>
    <w:basedOn w:val="Normal"/>
    <w:semiHidden/>
    <w:rsid w:val="00363178"/>
    <w:rPr>
      <w:rFonts w:ascii="Tahoma" w:hAnsi="Tahoma" w:cs="Tahoma"/>
      <w:sz w:val="16"/>
      <w:szCs w:val="16"/>
    </w:rPr>
  </w:style>
  <w:style w:type="paragraph" w:customStyle="1" w:styleId="naislab">
    <w:name w:val="naislab"/>
    <w:basedOn w:val="Normal"/>
    <w:rsid w:val="009A3A3E"/>
    <w:pPr>
      <w:spacing w:before="100" w:beforeAutospacing="1" w:after="100" w:afterAutospacing="1"/>
    </w:pPr>
    <w:rPr>
      <w:lang w:val="lv-LV" w:eastAsia="lv-LV"/>
    </w:rPr>
  </w:style>
  <w:style w:type="paragraph" w:customStyle="1" w:styleId="NormalWeb4Char">
    <w:name w:val="Normal (Web)4 Char"/>
    <w:basedOn w:val="Normal"/>
    <w:link w:val="NormalWeb4CharChar"/>
    <w:rsid w:val="000069F2"/>
    <w:rPr>
      <w:rFonts w:ascii="Tahoma" w:hAnsi="Tahoma" w:cs="Tahoma"/>
      <w:color w:val="2D2F30"/>
      <w:sz w:val="17"/>
      <w:szCs w:val="17"/>
      <w:lang w:val="lv-LV" w:eastAsia="lv-LV"/>
    </w:rPr>
  </w:style>
  <w:style w:type="character" w:customStyle="1" w:styleId="NormalWeb4CharChar">
    <w:name w:val="Normal (Web)4 Char Char"/>
    <w:link w:val="NormalWeb4Char"/>
    <w:rsid w:val="000069F2"/>
    <w:rPr>
      <w:rFonts w:ascii="Tahoma" w:hAnsi="Tahoma" w:cs="Tahoma"/>
      <w:color w:val="2D2F30"/>
      <w:sz w:val="17"/>
      <w:szCs w:val="17"/>
      <w:lang w:val="lv-LV" w:eastAsia="lv-LV" w:bidi="ar-SA"/>
    </w:rPr>
  </w:style>
  <w:style w:type="paragraph" w:customStyle="1" w:styleId="Rakstz">
    <w:name w:val="Rakstz."/>
    <w:basedOn w:val="Normal"/>
    <w:rsid w:val="00B9074F"/>
    <w:rPr>
      <w:lang w:val="pl-PL" w:eastAsia="pl-PL"/>
    </w:rPr>
  </w:style>
  <w:style w:type="character" w:styleId="Hyperlink">
    <w:name w:val="Hyperlink"/>
    <w:uiPriority w:val="99"/>
    <w:rsid w:val="007B3F81"/>
    <w:rPr>
      <w:color w:val="0000FF"/>
      <w:u w:val="single"/>
    </w:rPr>
  </w:style>
  <w:style w:type="character" w:styleId="Strong">
    <w:name w:val="Strong"/>
    <w:qFormat/>
    <w:rsid w:val="000D6ADC"/>
    <w:rPr>
      <w:b/>
      <w:bCs/>
    </w:rPr>
  </w:style>
  <w:style w:type="paragraph" w:customStyle="1" w:styleId="RakstzCharCharRakstzCharCharRakstzCharCharRakstz">
    <w:name w:val="Rakstz. Char Char Rakstz. Char Char Rakstz. Char Char Rakstz."/>
    <w:basedOn w:val="Normal"/>
    <w:rsid w:val="008976C4"/>
    <w:pPr>
      <w:spacing w:after="160" w:line="240" w:lineRule="exact"/>
    </w:pPr>
    <w:rPr>
      <w:rFonts w:ascii="Tahoma" w:hAnsi="Tahoma"/>
      <w:sz w:val="20"/>
      <w:szCs w:val="20"/>
    </w:rPr>
  </w:style>
  <w:style w:type="paragraph" w:customStyle="1" w:styleId="ColorfulList-Accent11">
    <w:name w:val="Colorful List - Accent 11"/>
    <w:basedOn w:val="Normal"/>
    <w:qFormat/>
    <w:rsid w:val="002A4DAF"/>
    <w:pPr>
      <w:ind w:left="720"/>
    </w:pPr>
    <w:rPr>
      <w:lang w:val="lv-LV" w:eastAsia="lv-LV"/>
    </w:rPr>
  </w:style>
  <w:style w:type="paragraph" w:customStyle="1" w:styleId="naiskr">
    <w:name w:val="naiskr"/>
    <w:basedOn w:val="Normal"/>
    <w:rsid w:val="007104F2"/>
    <w:pPr>
      <w:spacing w:before="100" w:beforeAutospacing="1" w:after="100" w:afterAutospacing="1"/>
    </w:pPr>
    <w:rPr>
      <w:lang w:val="lv-LV" w:eastAsia="lv-LV"/>
    </w:rPr>
  </w:style>
  <w:style w:type="paragraph" w:customStyle="1" w:styleId="naisnod">
    <w:name w:val="naisnod"/>
    <w:basedOn w:val="Normal"/>
    <w:rsid w:val="00A5556A"/>
    <w:pPr>
      <w:spacing w:before="100" w:beforeAutospacing="1" w:after="100" w:afterAutospacing="1"/>
    </w:pPr>
    <w:rPr>
      <w:lang w:val="lv-LV" w:eastAsia="lv-LV"/>
    </w:rPr>
  </w:style>
  <w:style w:type="paragraph" w:customStyle="1" w:styleId="Default">
    <w:name w:val="Default"/>
    <w:rsid w:val="00E100C7"/>
    <w:pPr>
      <w:autoSpaceDE w:val="0"/>
      <w:autoSpaceDN w:val="0"/>
      <w:adjustRightInd w:val="0"/>
    </w:pPr>
    <w:rPr>
      <w:color w:val="000000"/>
      <w:sz w:val="24"/>
      <w:szCs w:val="24"/>
    </w:rPr>
  </w:style>
  <w:style w:type="paragraph" w:customStyle="1" w:styleId="MediumGrid21">
    <w:name w:val="Medium Grid 21"/>
    <w:uiPriority w:val="1"/>
    <w:qFormat/>
    <w:rsid w:val="0088195E"/>
    <w:rPr>
      <w:rFonts w:ascii="Calibri" w:eastAsia="Calibri" w:hAnsi="Calibri"/>
      <w:sz w:val="22"/>
      <w:szCs w:val="22"/>
      <w:lang w:eastAsia="en-US"/>
    </w:rPr>
  </w:style>
  <w:style w:type="paragraph" w:styleId="ListParagraph">
    <w:name w:val="List Paragraph"/>
    <w:aliases w:val="2"/>
    <w:basedOn w:val="Normal"/>
    <w:link w:val="ListParagraphChar"/>
    <w:uiPriority w:val="34"/>
    <w:qFormat/>
    <w:rsid w:val="002813EC"/>
    <w:pPr>
      <w:ind w:left="720" w:firstLine="425"/>
      <w:contextualSpacing/>
      <w:jc w:val="both"/>
    </w:pPr>
    <w:rPr>
      <w:rFonts w:eastAsia="Calibri"/>
      <w:lang w:val="lv-LV"/>
    </w:rPr>
  </w:style>
  <w:style w:type="paragraph" w:styleId="NoSpacing">
    <w:name w:val="No Spacing"/>
    <w:uiPriority w:val="1"/>
    <w:qFormat/>
    <w:rsid w:val="008674F9"/>
    <w:rPr>
      <w:rFonts w:ascii="Calibri" w:eastAsia="Calibri" w:hAnsi="Calibri"/>
      <w:sz w:val="22"/>
      <w:szCs w:val="22"/>
      <w:lang w:eastAsia="en-US"/>
    </w:rPr>
  </w:style>
  <w:style w:type="character" w:customStyle="1" w:styleId="ListParagraphChar">
    <w:name w:val="List Paragraph Char"/>
    <w:aliases w:val="2 Char"/>
    <w:link w:val="ListParagraph"/>
    <w:uiPriority w:val="34"/>
    <w:locked/>
    <w:rsid w:val="000616DF"/>
    <w:rPr>
      <w:rFonts w:eastAsia="Calibri"/>
      <w:sz w:val="24"/>
      <w:szCs w:val="24"/>
      <w:lang w:eastAsia="en-US"/>
    </w:rPr>
  </w:style>
  <w:style w:type="paragraph" w:customStyle="1" w:styleId="tv213">
    <w:name w:val="tv213"/>
    <w:basedOn w:val="Normal"/>
    <w:rsid w:val="00F9398D"/>
    <w:pPr>
      <w:spacing w:before="100" w:beforeAutospacing="1" w:after="100" w:afterAutospacing="1"/>
    </w:pPr>
    <w:rPr>
      <w:lang w:val="lv-LV" w:eastAsia="lv-LV"/>
    </w:rPr>
  </w:style>
  <w:style w:type="paragraph" w:customStyle="1" w:styleId="naisc">
    <w:name w:val="naisc"/>
    <w:basedOn w:val="Normal"/>
    <w:rsid w:val="00BA5C22"/>
    <w:pPr>
      <w:spacing w:before="75" w:after="75"/>
      <w:jc w:val="center"/>
    </w:pPr>
    <w:rPr>
      <w:lang w:val="lv-LV" w:eastAsia="lv-LV"/>
    </w:rPr>
  </w:style>
  <w:style w:type="character" w:styleId="CommentReference">
    <w:name w:val="annotation reference"/>
    <w:basedOn w:val="DefaultParagraphFont"/>
    <w:rsid w:val="000905E6"/>
    <w:rPr>
      <w:sz w:val="16"/>
      <w:szCs w:val="16"/>
    </w:rPr>
  </w:style>
  <w:style w:type="paragraph" w:styleId="CommentText">
    <w:name w:val="annotation text"/>
    <w:basedOn w:val="Normal"/>
    <w:link w:val="CommentTextChar"/>
    <w:rsid w:val="000905E6"/>
    <w:rPr>
      <w:sz w:val="20"/>
      <w:szCs w:val="20"/>
    </w:rPr>
  </w:style>
  <w:style w:type="character" w:customStyle="1" w:styleId="CommentTextChar">
    <w:name w:val="Comment Text Char"/>
    <w:basedOn w:val="DefaultParagraphFont"/>
    <w:link w:val="CommentText"/>
    <w:rsid w:val="000905E6"/>
    <w:rPr>
      <w:lang w:val="en-US" w:eastAsia="en-US"/>
    </w:rPr>
  </w:style>
  <w:style w:type="paragraph" w:styleId="CommentSubject">
    <w:name w:val="annotation subject"/>
    <w:basedOn w:val="CommentText"/>
    <w:next w:val="CommentText"/>
    <w:link w:val="CommentSubjectChar"/>
    <w:rsid w:val="000905E6"/>
    <w:rPr>
      <w:b/>
      <w:bCs/>
    </w:rPr>
  </w:style>
  <w:style w:type="character" w:customStyle="1" w:styleId="CommentSubjectChar">
    <w:name w:val="Comment Subject Char"/>
    <w:basedOn w:val="CommentTextChar"/>
    <w:link w:val="CommentSubject"/>
    <w:rsid w:val="000905E6"/>
    <w:rPr>
      <w:b/>
      <w:bCs/>
      <w:lang w:val="en-US" w:eastAsia="en-US"/>
    </w:rPr>
  </w:style>
  <w:style w:type="character" w:customStyle="1" w:styleId="FooterChar">
    <w:name w:val="Footer Char"/>
    <w:basedOn w:val="DefaultParagraphFont"/>
    <w:link w:val="Footer"/>
    <w:uiPriority w:val="99"/>
    <w:rsid w:val="00614E98"/>
    <w:rPr>
      <w:sz w:val="24"/>
      <w:szCs w:val="24"/>
      <w:lang w:val="en-US" w:eastAsia="en-US"/>
    </w:rPr>
  </w:style>
  <w:style w:type="table" w:styleId="TableGrid">
    <w:name w:val="Table Grid"/>
    <w:basedOn w:val="TableNormal"/>
    <w:uiPriority w:val="59"/>
    <w:rsid w:val="00614E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1246">
      <w:bodyDiv w:val="1"/>
      <w:marLeft w:val="0"/>
      <w:marRight w:val="0"/>
      <w:marTop w:val="0"/>
      <w:marBottom w:val="0"/>
      <w:divBdr>
        <w:top w:val="none" w:sz="0" w:space="0" w:color="auto"/>
        <w:left w:val="none" w:sz="0" w:space="0" w:color="auto"/>
        <w:bottom w:val="none" w:sz="0" w:space="0" w:color="auto"/>
        <w:right w:val="none" w:sz="0" w:space="0" w:color="auto"/>
      </w:divBdr>
    </w:div>
    <w:div w:id="74280847">
      <w:bodyDiv w:val="1"/>
      <w:marLeft w:val="0"/>
      <w:marRight w:val="0"/>
      <w:marTop w:val="0"/>
      <w:marBottom w:val="0"/>
      <w:divBdr>
        <w:top w:val="none" w:sz="0" w:space="0" w:color="auto"/>
        <w:left w:val="none" w:sz="0" w:space="0" w:color="auto"/>
        <w:bottom w:val="none" w:sz="0" w:space="0" w:color="auto"/>
        <w:right w:val="none" w:sz="0" w:space="0" w:color="auto"/>
      </w:divBdr>
    </w:div>
    <w:div w:id="74978739">
      <w:bodyDiv w:val="1"/>
      <w:marLeft w:val="0"/>
      <w:marRight w:val="0"/>
      <w:marTop w:val="0"/>
      <w:marBottom w:val="0"/>
      <w:divBdr>
        <w:top w:val="none" w:sz="0" w:space="0" w:color="auto"/>
        <w:left w:val="none" w:sz="0" w:space="0" w:color="auto"/>
        <w:bottom w:val="none" w:sz="0" w:space="0" w:color="auto"/>
        <w:right w:val="none" w:sz="0" w:space="0" w:color="auto"/>
      </w:divBdr>
    </w:div>
    <w:div w:id="86536530">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
    <w:div w:id="87777114">
      <w:bodyDiv w:val="1"/>
      <w:marLeft w:val="0"/>
      <w:marRight w:val="0"/>
      <w:marTop w:val="0"/>
      <w:marBottom w:val="0"/>
      <w:divBdr>
        <w:top w:val="none" w:sz="0" w:space="0" w:color="auto"/>
        <w:left w:val="none" w:sz="0" w:space="0" w:color="auto"/>
        <w:bottom w:val="none" w:sz="0" w:space="0" w:color="auto"/>
        <w:right w:val="none" w:sz="0" w:space="0" w:color="auto"/>
      </w:divBdr>
    </w:div>
    <w:div w:id="148257380">
      <w:bodyDiv w:val="1"/>
      <w:marLeft w:val="0"/>
      <w:marRight w:val="0"/>
      <w:marTop w:val="0"/>
      <w:marBottom w:val="0"/>
      <w:divBdr>
        <w:top w:val="none" w:sz="0" w:space="0" w:color="auto"/>
        <w:left w:val="none" w:sz="0" w:space="0" w:color="auto"/>
        <w:bottom w:val="none" w:sz="0" w:space="0" w:color="auto"/>
        <w:right w:val="none" w:sz="0" w:space="0" w:color="auto"/>
      </w:divBdr>
    </w:div>
    <w:div w:id="490028173">
      <w:bodyDiv w:val="1"/>
      <w:marLeft w:val="0"/>
      <w:marRight w:val="0"/>
      <w:marTop w:val="0"/>
      <w:marBottom w:val="0"/>
      <w:divBdr>
        <w:top w:val="none" w:sz="0" w:space="0" w:color="auto"/>
        <w:left w:val="none" w:sz="0" w:space="0" w:color="auto"/>
        <w:bottom w:val="none" w:sz="0" w:space="0" w:color="auto"/>
        <w:right w:val="none" w:sz="0" w:space="0" w:color="auto"/>
      </w:divBdr>
    </w:div>
    <w:div w:id="529295005">
      <w:bodyDiv w:val="1"/>
      <w:marLeft w:val="0"/>
      <w:marRight w:val="0"/>
      <w:marTop w:val="0"/>
      <w:marBottom w:val="0"/>
      <w:divBdr>
        <w:top w:val="none" w:sz="0" w:space="0" w:color="auto"/>
        <w:left w:val="none" w:sz="0" w:space="0" w:color="auto"/>
        <w:bottom w:val="none" w:sz="0" w:space="0" w:color="auto"/>
        <w:right w:val="none" w:sz="0" w:space="0" w:color="auto"/>
      </w:divBdr>
    </w:div>
    <w:div w:id="564412013">
      <w:bodyDiv w:val="1"/>
      <w:marLeft w:val="0"/>
      <w:marRight w:val="0"/>
      <w:marTop w:val="0"/>
      <w:marBottom w:val="0"/>
      <w:divBdr>
        <w:top w:val="none" w:sz="0" w:space="0" w:color="auto"/>
        <w:left w:val="none" w:sz="0" w:space="0" w:color="auto"/>
        <w:bottom w:val="none" w:sz="0" w:space="0" w:color="auto"/>
        <w:right w:val="none" w:sz="0" w:space="0" w:color="auto"/>
      </w:divBdr>
    </w:div>
    <w:div w:id="612714468">
      <w:bodyDiv w:val="1"/>
      <w:marLeft w:val="0"/>
      <w:marRight w:val="0"/>
      <w:marTop w:val="0"/>
      <w:marBottom w:val="0"/>
      <w:divBdr>
        <w:top w:val="none" w:sz="0" w:space="0" w:color="auto"/>
        <w:left w:val="none" w:sz="0" w:space="0" w:color="auto"/>
        <w:bottom w:val="none" w:sz="0" w:space="0" w:color="auto"/>
        <w:right w:val="none" w:sz="0" w:space="0" w:color="auto"/>
      </w:divBdr>
    </w:div>
    <w:div w:id="644941402">
      <w:bodyDiv w:val="1"/>
      <w:marLeft w:val="0"/>
      <w:marRight w:val="0"/>
      <w:marTop w:val="0"/>
      <w:marBottom w:val="0"/>
      <w:divBdr>
        <w:top w:val="none" w:sz="0" w:space="0" w:color="auto"/>
        <w:left w:val="none" w:sz="0" w:space="0" w:color="auto"/>
        <w:bottom w:val="none" w:sz="0" w:space="0" w:color="auto"/>
        <w:right w:val="none" w:sz="0" w:space="0" w:color="auto"/>
      </w:divBdr>
    </w:div>
    <w:div w:id="724178844">
      <w:bodyDiv w:val="1"/>
      <w:marLeft w:val="0"/>
      <w:marRight w:val="0"/>
      <w:marTop w:val="0"/>
      <w:marBottom w:val="0"/>
      <w:divBdr>
        <w:top w:val="none" w:sz="0" w:space="0" w:color="auto"/>
        <w:left w:val="none" w:sz="0" w:space="0" w:color="auto"/>
        <w:bottom w:val="none" w:sz="0" w:space="0" w:color="auto"/>
        <w:right w:val="none" w:sz="0" w:space="0" w:color="auto"/>
      </w:divBdr>
    </w:div>
    <w:div w:id="819230039">
      <w:bodyDiv w:val="1"/>
      <w:marLeft w:val="0"/>
      <w:marRight w:val="0"/>
      <w:marTop w:val="0"/>
      <w:marBottom w:val="0"/>
      <w:divBdr>
        <w:top w:val="none" w:sz="0" w:space="0" w:color="auto"/>
        <w:left w:val="none" w:sz="0" w:space="0" w:color="auto"/>
        <w:bottom w:val="none" w:sz="0" w:space="0" w:color="auto"/>
        <w:right w:val="none" w:sz="0" w:space="0" w:color="auto"/>
      </w:divBdr>
    </w:div>
    <w:div w:id="1008407677">
      <w:bodyDiv w:val="1"/>
      <w:marLeft w:val="0"/>
      <w:marRight w:val="0"/>
      <w:marTop w:val="0"/>
      <w:marBottom w:val="0"/>
      <w:divBdr>
        <w:top w:val="none" w:sz="0" w:space="0" w:color="auto"/>
        <w:left w:val="none" w:sz="0" w:space="0" w:color="auto"/>
        <w:bottom w:val="none" w:sz="0" w:space="0" w:color="auto"/>
        <w:right w:val="none" w:sz="0" w:space="0" w:color="auto"/>
      </w:divBdr>
    </w:div>
    <w:div w:id="1116290976">
      <w:bodyDiv w:val="1"/>
      <w:marLeft w:val="0"/>
      <w:marRight w:val="0"/>
      <w:marTop w:val="0"/>
      <w:marBottom w:val="0"/>
      <w:divBdr>
        <w:top w:val="none" w:sz="0" w:space="0" w:color="auto"/>
        <w:left w:val="none" w:sz="0" w:space="0" w:color="auto"/>
        <w:bottom w:val="none" w:sz="0" w:space="0" w:color="auto"/>
        <w:right w:val="none" w:sz="0" w:space="0" w:color="auto"/>
      </w:divBdr>
    </w:div>
    <w:div w:id="1125467380">
      <w:bodyDiv w:val="1"/>
      <w:marLeft w:val="0"/>
      <w:marRight w:val="0"/>
      <w:marTop w:val="0"/>
      <w:marBottom w:val="0"/>
      <w:divBdr>
        <w:top w:val="none" w:sz="0" w:space="0" w:color="auto"/>
        <w:left w:val="none" w:sz="0" w:space="0" w:color="auto"/>
        <w:bottom w:val="none" w:sz="0" w:space="0" w:color="auto"/>
        <w:right w:val="none" w:sz="0" w:space="0" w:color="auto"/>
      </w:divBdr>
    </w:div>
    <w:div w:id="1143111434">
      <w:bodyDiv w:val="1"/>
      <w:marLeft w:val="0"/>
      <w:marRight w:val="0"/>
      <w:marTop w:val="0"/>
      <w:marBottom w:val="0"/>
      <w:divBdr>
        <w:top w:val="none" w:sz="0" w:space="0" w:color="auto"/>
        <w:left w:val="none" w:sz="0" w:space="0" w:color="auto"/>
        <w:bottom w:val="none" w:sz="0" w:space="0" w:color="auto"/>
        <w:right w:val="none" w:sz="0" w:space="0" w:color="auto"/>
      </w:divBdr>
    </w:div>
    <w:div w:id="1143155073">
      <w:bodyDiv w:val="1"/>
      <w:marLeft w:val="0"/>
      <w:marRight w:val="0"/>
      <w:marTop w:val="0"/>
      <w:marBottom w:val="0"/>
      <w:divBdr>
        <w:top w:val="none" w:sz="0" w:space="0" w:color="auto"/>
        <w:left w:val="none" w:sz="0" w:space="0" w:color="auto"/>
        <w:bottom w:val="none" w:sz="0" w:space="0" w:color="auto"/>
        <w:right w:val="none" w:sz="0" w:space="0" w:color="auto"/>
      </w:divBdr>
    </w:div>
    <w:div w:id="1198785515">
      <w:bodyDiv w:val="1"/>
      <w:marLeft w:val="0"/>
      <w:marRight w:val="0"/>
      <w:marTop w:val="0"/>
      <w:marBottom w:val="0"/>
      <w:divBdr>
        <w:top w:val="none" w:sz="0" w:space="0" w:color="auto"/>
        <w:left w:val="none" w:sz="0" w:space="0" w:color="auto"/>
        <w:bottom w:val="none" w:sz="0" w:space="0" w:color="auto"/>
        <w:right w:val="none" w:sz="0" w:space="0" w:color="auto"/>
      </w:divBdr>
    </w:div>
    <w:div w:id="1223371566">
      <w:bodyDiv w:val="1"/>
      <w:marLeft w:val="0"/>
      <w:marRight w:val="0"/>
      <w:marTop w:val="0"/>
      <w:marBottom w:val="0"/>
      <w:divBdr>
        <w:top w:val="none" w:sz="0" w:space="0" w:color="auto"/>
        <w:left w:val="none" w:sz="0" w:space="0" w:color="auto"/>
        <w:bottom w:val="none" w:sz="0" w:space="0" w:color="auto"/>
        <w:right w:val="none" w:sz="0" w:space="0" w:color="auto"/>
      </w:divBdr>
    </w:div>
    <w:div w:id="1265073097">
      <w:bodyDiv w:val="1"/>
      <w:marLeft w:val="0"/>
      <w:marRight w:val="0"/>
      <w:marTop w:val="0"/>
      <w:marBottom w:val="0"/>
      <w:divBdr>
        <w:top w:val="none" w:sz="0" w:space="0" w:color="auto"/>
        <w:left w:val="none" w:sz="0" w:space="0" w:color="auto"/>
        <w:bottom w:val="none" w:sz="0" w:space="0" w:color="auto"/>
        <w:right w:val="none" w:sz="0" w:space="0" w:color="auto"/>
      </w:divBdr>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
    <w:div w:id="1413313571">
      <w:bodyDiv w:val="1"/>
      <w:marLeft w:val="0"/>
      <w:marRight w:val="0"/>
      <w:marTop w:val="0"/>
      <w:marBottom w:val="0"/>
      <w:divBdr>
        <w:top w:val="none" w:sz="0" w:space="0" w:color="auto"/>
        <w:left w:val="none" w:sz="0" w:space="0" w:color="auto"/>
        <w:bottom w:val="none" w:sz="0" w:space="0" w:color="auto"/>
        <w:right w:val="none" w:sz="0" w:space="0" w:color="auto"/>
      </w:divBdr>
    </w:div>
    <w:div w:id="1421371480">
      <w:bodyDiv w:val="1"/>
      <w:marLeft w:val="0"/>
      <w:marRight w:val="0"/>
      <w:marTop w:val="0"/>
      <w:marBottom w:val="0"/>
      <w:divBdr>
        <w:top w:val="none" w:sz="0" w:space="0" w:color="auto"/>
        <w:left w:val="none" w:sz="0" w:space="0" w:color="auto"/>
        <w:bottom w:val="none" w:sz="0" w:space="0" w:color="auto"/>
        <w:right w:val="none" w:sz="0" w:space="0" w:color="auto"/>
      </w:divBdr>
    </w:div>
    <w:div w:id="1486318630">
      <w:bodyDiv w:val="1"/>
      <w:marLeft w:val="0"/>
      <w:marRight w:val="0"/>
      <w:marTop w:val="0"/>
      <w:marBottom w:val="0"/>
      <w:divBdr>
        <w:top w:val="none" w:sz="0" w:space="0" w:color="auto"/>
        <w:left w:val="none" w:sz="0" w:space="0" w:color="auto"/>
        <w:bottom w:val="none" w:sz="0" w:space="0" w:color="auto"/>
        <w:right w:val="none" w:sz="0" w:space="0" w:color="auto"/>
      </w:divBdr>
    </w:div>
    <w:div w:id="1523202225">
      <w:bodyDiv w:val="1"/>
      <w:marLeft w:val="0"/>
      <w:marRight w:val="0"/>
      <w:marTop w:val="0"/>
      <w:marBottom w:val="0"/>
      <w:divBdr>
        <w:top w:val="none" w:sz="0" w:space="0" w:color="auto"/>
        <w:left w:val="none" w:sz="0" w:space="0" w:color="auto"/>
        <w:bottom w:val="none" w:sz="0" w:space="0" w:color="auto"/>
        <w:right w:val="none" w:sz="0" w:space="0" w:color="auto"/>
      </w:divBdr>
    </w:div>
    <w:div w:id="1553467084">
      <w:bodyDiv w:val="1"/>
      <w:marLeft w:val="0"/>
      <w:marRight w:val="0"/>
      <w:marTop w:val="0"/>
      <w:marBottom w:val="0"/>
      <w:divBdr>
        <w:top w:val="none" w:sz="0" w:space="0" w:color="auto"/>
        <w:left w:val="none" w:sz="0" w:space="0" w:color="auto"/>
        <w:bottom w:val="none" w:sz="0" w:space="0" w:color="auto"/>
        <w:right w:val="none" w:sz="0" w:space="0" w:color="auto"/>
      </w:divBdr>
    </w:div>
    <w:div w:id="1800412624">
      <w:bodyDiv w:val="1"/>
      <w:marLeft w:val="0"/>
      <w:marRight w:val="0"/>
      <w:marTop w:val="0"/>
      <w:marBottom w:val="0"/>
      <w:divBdr>
        <w:top w:val="none" w:sz="0" w:space="0" w:color="auto"/>
        <w:left w:val="none" w:sz="0" w:space="0" w:color="auto"/>
        <w:bottom w:val="none" w:sz="0" w:space="0" w:color="auto"/>
        <w:right w:val="none" w:sz="0" w:space="0" w:color="auto"/>
      </w:divBdr>
    </w:div>
    <w:div w:id="1816409585">
      <w:bodyDiv w:val="1"/>
      <w:marLeft w:val="0"/>
      <w:marRight w:val="0"/>
      <w:marTop w:val="0"/>
      <w:marBottom w:val="0"/>
      <w:divBdr>
        <w:top w:val="none" w:sz="0" w:space="0" w:color="auto"/>
        <w:left w:val="none" w:sz="0" w:space="0" w:color="auto"/>
        <w:bottom w:val="none" w:sz="0" w:space="0" w:color="auto"/>
        <w:right w:val="none" w:sz="0" w:space="0" w:color="auto"/>
      </w:divBdr>
    </w:div>
    <w:div w:id="1841003097">
      <w:bodyDiv w:val="1"/>
      <w:marLeft w:val="0"/>
      <w:marRight w:val="0"/>
      <w:marTop w:val="0"/>
      <w:marBottom w:val="0"/>
      <w:divBdr>
        <w:top w:val="none" w:sz="0" w:space="0" w:color="auto"/>
        <w:left w:val="none" w:sz="0" w:space="0" w:color="auto"/>
        <w:bottom w:val="none" w:sz="0" w:space="0" w:color="auto"/>
        <w:right w:val="none" w:sz="0" w:space="0" w:color="auto"/>
      </w:divBdr>
    </w:div>
    <w:div w:id="1932273849">
      <w:bodyDiv w:val="1"/>
      <w:marLeft w:val="0"/>
      <w:marRight w:val="0"/>
      <w:marTop w:val="0"/>
      <w:marBottom w:val="0"/>
      <w:divBdr>
        <w:top w:val="none" w:sz="0" w:space="0" w:color="auto"/>
        <w:left w:val="none" w:sz="0" w:space="0" w:color="auto"/>
        <w:bottom w:val="none" w:sz="0" w:space="0" w:color="auto"/>
        <w:right w:val="none" w:sz="0" w:space="0" w:color="auto"/>
      </w:divBdr>
    </w:div>
    <w:div w:id="1967588420">
      <w:bodyDiv w:val="1"/>
      <w:marLeft w:val="0"/>
      <w:marRight w:val="0"/>
      <w:marTop w:val="0"/>
      <w:marBottom w:val="0"/>
      <w:divBdr>
        <w:top w:val="none" w:sz="0" w:space="0" w:color="auto"/>
        <w:left w:val="none" w:sz="0" w:space="0" w:color="auto"/>
        <w:bottom w:val="none" w:sz="0" w:space="0" w:color="auto"/>
        <w:right w:val="none" w:sz="0" w:space="0" w:color="auto"/>
      </w:divBdr>
    </w:div>
    <w:div w:id="2018648711">
      <w:bodyDiv w:val="1"/>
      <w:marLeft w:val="0"/>
      <w:marRight w:val="0"/>
      <w:marTop w:val="0"/>
      <w:marBottom w:val="0"/>
      <w:divBdr>
        <w:top w:val="none" w:sz="0" w:space="0" w:color="auto"/>
        <w:left w:val="none" w:sz="0" w:space="0" w:color="auto"/>
        <w:bottom w:val="none" w:sz="0" w:space="0" w:color="auto"/>
        <w:right w:val="none" w:sz="0" w:space="0" w:color="auto"/>
      </w:divBdr>
    </w:div>
    <w:div w:id="2028436547">
      <w:bodyDiv w:val="1"/>
      <w:marLeft w:val="0"/>
      <w:marRight w:val="0"/>
      <w:marTop w:val="0"/>
      <w:marBottom w:val="0"/>
      <w:divBdr>
        <w:top w:val="none" w:sz="0" w:space="0" w:color="auto"/>
        <w:left w:val="none" w:sz="0" w:space="0" w:color="auto"/>
        <w:bottom w:val="none" w:sz="0" w:space="0" w:color="auto"/>
        <w:right w:val="none" w:sz="0" w:space="0" w:color="auto"/>
      </w:divBdr>
      <w:divsChild>
        <w:div w:id="1876383870">
          <w:marLeft w:val="0"/>
          <w:marRight w:val="0"/>
          <w:marTop w:val="0"/>
          <w:marBottom w:val="0"/>
          <w:divBdr>
            <w:top w:val="none" w:sz="0" w:space="0" w:color="auto"/>
            <w:left w:val="none" w:sz="0" w:space="0" w:color="auto"/>
            <w:bottom w:val="none" w:sz="0" w:space="0" w:color="auto"/>
            <w:right w:val="none" w:sz="0" w:space="0" w:color="auto"/>
          </w:divBdr>
          <w:divsChild>
            <w:div w:id="252594597">
              <w:marLeft w:val="0"/>
              <w:marRight w:val="0"/>
              <w:marTop w:val="0"/>
              <w:marBottom w:val="0"/>
              <w:divBdr>
                <w:top w:val="none" w:sz="0" w:space="0" w:color="auto"/>
                <w:left w:val="none" w:sz="0" w:space="0" w:color="auto"/>
                <w:bottom w:val="none" w:sz="0" w:space="0" w:color="auto"/>
                <w:right w:val="none" w:sz="0" w:space="0" w:color="auto"/>
              </w:divBdr>
              <w:divsChild>
                <w:div w:id="1630864491">
                  <w:marLeft w:val="0"/>
                  <w:marRight w:val="0"/>
                  <w:marTop w:val="0"/>
                  <w:marBottom w:val="0"/>
                  <w:divBdr>
                    <w:top w:val="none" w:sz="0" w:space="0" w:color="auto"/>
                    <w:left w:val="none" w:sz="0" w:space="0" w:color="auto"/>
                    <w:bottom w:val="none" w:sz="0" w:space="0" w:color="auto"/>
                    <w:right w:val="none" w:sz="0" w:space="0" w:color="auto"/>
                  </w:divBdr>
                  <w:divsChild>
                    <w:div w:id="374428967">
                      <w:marLeft w:val="0"/>
                      <w:marRight w:val="0"/>
                      <w:marTop w:val="0"/>
                      <w:marBottom w:val="0"/>
                      <w:divBdr>
                        <w:top w:val="none" w:sz="0" w:space="0" w:color="auto"/>
                        <w:left w:val="none" w:sz="0" w:space="0" w:color="auto"/>
                        <w:bottom w:val="none" w:sz="0" w:space="0" w:color="auto"/>
                        <w:right w:val="none" w:sz="0" w:space="0" w:color="auto"/>
                      </w:divBdr>
                      <w:divsChild>
                        <w:div w:id="671107726">
                          <w:marLeft w:val="0"/>
                          <w:marRight w:val="0"/>
                          <w:marTop w:val="0"/>
                          <w:marBottom w:val="0"/>
                          <w:divBdr>
                            <w:top w:val="none" w:sz="0" w:space="0" w:color="auto"/>
                            <w:left w:val="none" w:sz="0" w:space="0" w:color="auto"/>
                            <w:bottom w:val="none" w:sz="0" w:space="0" w:color="auto"/>
                            <w:right w:val="none" w:sz="0" w:space="0" w:color="auto"/>
                          </w:divBdr>
                          <w:divsChild>
                            <w:div w:id="5459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96464">
      <w:bodyDiv w:val="1"/>
      <w:marLeft w:val="0"/>
      <w:marRight w:val="0"/>
      <w:marTop w:val="0"/>
      <w:marBottom w:val="0"/>
      <w:divBdr>
        <w:top w:val="none" w:sz="0" w:space="0" w:color="auto"/>
        <w:left w:val="none" w:sz="0" w:space="0" w:color="auto"/>
        <w:bottom w:val="none" w:sz="0" w:space="0" w:color="auto"/>
        <w:right w:val="none" w:sz="0" w:space="0" w:color="auto"/>
      </w:divBdr>
    </w:div>
    <w:div w:id="2115125937">
      <w:bodyDiv w:val="1"/>
      <w:marLeft w:val="0"/>
      <w:marRight w:val="0"/>
      <w:marTop w:val="0"/>
      <w:marBottom w:val="0"/>
      <w:divBdr>
        <w:top w:val="none" w:sz="0" w:space="0" w:color="auto"/>
        <w:left w:val="none" w:sz="0" w:space="0" w:color="auto"/>
        <w:bottom w:val="none" w:sz="0" w:space="0" w:color="auto"/>
        <w:right w:val="none" w:sz="0" w:space="0" w:color="auto"/>
      </w:divBdr>
    </w:div>
    <w:div w:id="21273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una.Strautmane@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FD4B-97FA-4E71-82E4-555A2846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1297</Words>
  <Characters>10239</Characters>
  <Application>Microsoft Office Word</Application>
  <DocSecurity>0</DocSecurity>
  <Lines>85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projekts „Grozījumi Ministru kabineta 2010.gada 30.novembra noteikumos Nr.1080 „Transportlīdzekļu reģistrācijas noteikumi"”</vt:lpstr>
      <vt:lpstr>Izziņa par atzinumos sniegtajiem iebildumiem Ministru kabineta noteikumu projekts „Grozījumi Ministru kabineta 2010.gada 30.novembra noteikumos Nr.1080 „Transportlīdzekļu reģistrācijas noteikumi"”</vt:lpstr>
    </vt:vector>
  </TitlesOfParts>
  <Company>Satiksmes ministrija</Company>
  <LinksUpToDate>false</LinksUpToDate>
  <CharactersWithSpaces>11513</CharactersWithSpaces>
  <SharedDoc>false</SharedDoc>
  <HLinks>
    <vt:vector size="36" baseType="variant">
      <vt:variant>
        <vt:i4>2687024</vt:i4>
      </vt:variant>
      <vt:variant>
        <vt:i4>15</vt:i4>
      </vt:variant>
      <vt:variant>
        <vt:i4>0</vt:i4>
      </vt:variant>
      <vt:variant>
        <vt:i4>5</vt:i4>
      </vt:variant>
      <vt:variant>
        <vt:lpwstr>https://likumi.lv/ta/id/222145</vt:lpwstr>
      </vt:variant>
      <vt:variant>
        <vt:lpwstr>p19.2</vt:lpwstr>
      </vt:variant>
      <vt:variant>
        <vt:i4>3014776</vt:i4>
      </vt:variant>
      <vt:variant>
        <vt:i4>12</vt:i4>
      </vt:variant>
      <vt:variant>
        <vt:i4>0</vt:i4>
      </vt:variant>
      <vt:variant>
        <vt:i4>5</vt:i4>
      </vt:variant>
      <vt:variant>
        <vt:lpwstr>https://likumi.lv/ta/id/225418-civillikums</vt:lpwstr>
      </vt:variant>
      <vt:variant>
        <vt:lpwstr>p1474</vt:lpwstr>
      </vt:variant>
      <vt:variant>
        <vt:i4>2621500</vt:i4>
      </vt:variant>
      <vt:variant>
        <vt:i4>9</vt:i4>
      </vt:variant>
      <vt:variant>
        <vt:i4>0</vt:i4>
      </vt:variant>
      <vt:variant>
        <vt:i4>5</vt:i4>
      </vt:variant>
      <vt:variant>
        <vt:lpwstr>https://likumi.lv/ta/id/225418-civillikums</vt:lpwstr>
      </vt:variant>
      <vt:variant>
        <vt:lpwstr/>
      </vt:variant>
      <vt:variant>
        <vt:i4>2687024</vt:i4>
      </vt:variant>
      <vt:variant>
        <vt:i4>6</vt:i4>
      </vt:variant>
      <vt:variant>
        <vt:i4>0</vt:i4>
      </vt:variant>
      <vt:variant>
        <vt:i4>5</vt:i4>
      </vt:variant>
      <vt:variant>
        <vt:lpwstr>https://likumi.lv/ta/id/222145</vt:lpwstr>
      </vt:variant>
      <vt:variant>
        <vt:lpwstr>p19.2</vt:lpwstr>
      </vt:variant>
      <vt:variant>
        <vt:i4>3014776</vt:i4>
      </vt:variant>
      <vt:variant>
        <vt:i4>3</vt:i4>
      </vt:variant>
      <vt:variant>
        <vt:i4>0</vt:i4>
      </vt:variant>
      <vt:variant>
        <vt:i4>5</vt:i4>
      </vt:variant>
      <vt:variant>
        <vt:lpwstr>https://likumi.lv/ta/id/225418-civillikums</vt:lpwstr>
      </vt:variant>
      <vt:variant>
        <vt:lpwstr>p1474</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informatīvā ziņojuma projektu "Par valsts līdzdalības pārvērtēšanu valsts akciju sabiedrībā "Ceļu satiksmes drošības direkcija" un tās vispārējo stratēģisko mērķi""</dc:title>
  <dc:subject>Izziņa par atzinumos sniegtajiem iebildumiem</dc:subject>
  <dc:creator/>
  <cp:keywords/>
  <cp:lastModifiedBy>Īrisa Kalniņa</cp:lastModifiedBy>
  <cp:revision>30</cp:revision>
  <cp:lastPrinted>2018-10-03T05:38:00Z</cp:lastPrinted>
  <dcterms:created xsi:type="dcterms:W3CDTF">2020-11-06T09:40:00Z</dcterms:created>
  <dcterms:modified xsi:type="dcterms:W3CDTF">2020-12-04T07:12:00Z</dcterms:modified>
</cp:coreProperties>
</file>