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E9EB8" w14:textId="03A02B84" w:rsidR="00482B6E" w:rsidRPr="00671A71" w:rsidRDefault="00262B97" w:rsidP="00482B6E">
      <w:pPr>
        <w:jc w:val="center"/>
        <w:rPr>
          <w:b/>
          <w:color w:val="000000"/>
        </w:rPr>
      </w:pPr>
      <w:r>
        <w:rPr>
          <w:b/>
          <w:color w:val="000000"/>
        </w:rPr>
        <w:t>M</w:t>
      </w:r>
      <w:r w:rsidR="007559D4" w:rsidRPr="00671A71">
        <w:rPr>
          <w:b/>
          <w:color w:val="000000"/>
        </w:rPr>
        <w:t>inistru kabineta noteikumu</w:t>
      </w:r>
      <w:r w:rsidR="004E2DC4">
        <w:rPr>
          <w:b/>
          <w:color w:val="000000"/>
        </w:rPr>
        <w:t xml:space="preserve"> projekta</w:t>
      </w:r>
      <w:r w:rsidR="007559D4" w:rsidRPr="00671A71">
        <w:rPr>
          <w:b/>
          <w:color w:val="000000"/>
        </w:rPr>
        <w:t xml:space="preserve"> "Grozījumi Ministru kabineta 2015. gada 10. novembra noteikumos Nr. 645 "Darbības programmas "Izaugsme un nodarbinātība" 5.6.2. specifiskā atbalsta mērķa "Teritoriju </w:t>
      </w:r>
      <w:proofErr w:type="spellStart"/>
      <w:r w:rsidR="007559D4" w:rsidRPr="00671A71">
        <w:rPr>
          <w:b/>
          <w:color w:val="000000"/>
        </w:rPr>
        <w:t>revitalizācija</w:t>
      </w:r>
      <w:proofErr w:type="spellEnd"/>
      <w:r w:rsidR="007559D4" w:rsidRPr="00671A71">
        <w:rPr>
          <w:b/>
          <w:color w:val="000000"/>
        </w:rPr>
        <w:t>, reģenerējot degradētās teritorijas atbilstoši pašvaldību integrētajām attīstības programmām" īstenošanas noteikumi"" sākotnējās ietekmes novērtējuma ziņojums (anotācija)</w:t>
      </w:r>
    </w:p>
    <w:p w14:paraId="15DBFCA5" w14:textId="77777777" w:rsidR="00953559" w:rsidRDefault="00953559" w:rsidP="00BF3F2B">
      <w:pPr>
        <w:jc w:val="center"/>
        <w:rPr>
          <w:b/>
          <w:sz w:val="28"/>
          <w:szCs w:val="28"/>
        </w:rPr>
      </w:pPr>
    </w:p>
    <w:tbl>
      <w:tblPr>
        <w:tblStyle w:val="TableGrid"/>
        <w:tblW w:w="5160" w:type="pct"/>
        <w:tblLook w:val="04A0" w:firstRow="1" w:lastRow="0" w:firstColumn="1" w:lastColumn="0" w:noHBand="0" w:noVBand="1"/>
      </w:tblPr>
      <w:tblGrid>
        <w:gridCol w:w="2962"/>
        <w:gridCol w:w="6389"/>
      </w:tblGrid>
      <w:tr w:rsidR="00C71FAA" w:rsidRPr="00F27D83" w14:paraId="1F93ADEC" w14:textId="77777777" w:rsidTr="00FA45DC">
        <w:tc>
          <w:tcPr>
            <w:tcW w:w="5000" w:type="pct"/>
            <w:gridSpan w:val="2"/>
            <w:hideMark/>
          </w:tcPr>
          <w:p w14:paraId="33780CE6" w14:textId="77777777" w:rsidR="00953559" w:rsidRPr="00F27D83" w:rsidRDefault="007559D4" w:rsidP="004C0B22">
            <w:pPr>
              <w:jc w:val="center"/>
              <w:rPr>
                <w:b/>
                <w:bCs/>
                <w:color w:val="000000"/>
                <w:highlight w:val="yellow"/>
              </w:rPr>
            </w:pPr>
            <w:r w:rsidRPr="00B350EC">
              <w:rPr>
                <w:b/>
                <w:bCs/>
                <w:color w:val="000000"/>
              </w:rPr>
              <w:t>Tiesību akta projekta anotācijas kopsavilkums</w:t>
            </w:r>
          </w:p>
        </w:tc>
      </w:tr>
      <w:tr w:rsidR="00C71FAA" w:rsidRPr="006D6762" w14:paraId="10DBB7FF" w14:textId="77777777" w:rsidTr="00FA45DC">
        <w:tc>
          <w:tcPr>
            <w:tcW w:w="1584" w:type="pct"/>
            <w:hideMark/>
          </w:tcPr>
          <w:p w14:paraId="7F83EC74" w14:textId="10F470E5" w:rsidR="00E437DE" w:rsidRDefault="007559D4" w:rsidP="004C0B22">
            <w:pPr>
              <w:rPr>
                <w:iCs/>
                <w:color w:val="414142"/>
              </w:rPr>
            </w:pPr>
            <w:r w:rsidRPr="006D6762">
              <w:rPr>
                <w:iCs/>
              </w:rPr>
              <w:t>Mērķis, risinājums un projekta spēkā stāšanās laiks (nepārsniedzot 500 zīmes bez atstarpēm)</w:t>
            </w:r>
          </w:p>
          <w:p w14:paraId="5D2AABFD" w14:textId="77777777" w:rsidR="00E437DE" w:rsidRPr="00E437DE" w:rsidRDefault="00E437DE" w:rsidP="00E437DE"/>
          <w:p w14:paraId="42E99ECD" w14:textId="77777777" w:rsidR="00E437DE" w:rsidRPr="00E437DE" w:rsidRDefault="00E437DE" w:rsidP="00E437DE"/>
          <w:p w14:paraId="53E8C68C" w14:textId="77777777" w:rsidR="00E437DE" w:rsidRPr="00E437DE" w:rsidRDefault="00E437DE" w:rsidP="00E437DE"/>
          <w:p w14:paraId="743C8347" w14:textId="77777777" w:rsidR="00E437DE" w:rsidRPr="00E437DE" w:rsidRDefault="00E437DE" w:rsidP="00E437DE"/>
          <w:p w14:paraId="23714C29" w14:textId="77777777" w:rsidR="00E437DE" w:rsidRPr="00E437DE" w:rsidRDefault="00E437DE" w:rsidP="00E437DE"/>
          <w:p w14:paraId="6C1C7AC6" w14:textId="77777777" w:rsidR="00E437DE" w:rsidRPr="00E437DE" w:rsidRDefault="00E437DE" w:rsidP="00E437DE"/>
          <w:p w14:paraId="3AEA6E4F" w14:textId="77777777" w:rsidR="00E437DE" w:rsidRPr="00E437DE" w:rsidRDefault="00E437DE" w:rsidP="00E437DE"/>
          <w:p w14:paraId="00F096CE" w14:textId="77777777" w:rsidR="00E437DE" w:rsidRPr="00E437DE" w:rsidRDefault="00E437DE" w:rsidP="001A5EB1"/>
          <w:p w14:paraId="3778FC05" w14:textId="77777777" w:rsidR="00E437DE" w:rsidRPr="00E437DE" w:rsidRDefault="00E437DE"/>
          <w:p w14:paraId="5805DD88" w14:textId="77777777" w:rsidR="00E437DE" w:rsidRPr="00E437DE" w:rsidRDefault="00E437DE"/>
          <w:p w14:paraId="39662E48" w14:textId="77777777" w:rsidR="00E437DE" w:rsidRPr="00E437DE" w:rsidRDefault="00E437DE"/>
          <w:p w14:paraId="48D7D58C" w14:textId="77777777" w:rsidR="00E437DE" w:rsidRPr="00E437DE" w:rsidRDefault="00E437DE"/>
          <w:p w14:paraId="73C001BE" w14:textId="77777777" w:rsidR="00E437DE" w:rsidRPr="00E437DE" w:rsidRDefault="00E437DE"/>
          <w:p w14:paraId="0352388B" w14:textId="77777777" w:rsidR="00E437DE" w:rsidRPr="00E437DE" w:rsidRDefault="00E437DE"/>
          <w:p w14:paraId="0902319B" w14:textId="77777777" w:rsidR="00E437DE" w:rsidRPr="00E437DE" w:rsidRDefault="00E437DE"/>
          <w:p w14:paraId="0C9BA9CE" w14:textId="3435C8DD" w:rsidR="00E437DE" w:rsidRDefault="00E437DE" w:rsidP="00E437DE"/>
          <w:p w14:paraId="5073A19B" w14:textId="77777777" w:rsidR="00E437DE" w:rsidRPr="00E437DE" w:rsidRDefault="00E437DE" w:rsidP="00E437DE"/>
          <w:p w14:paraId="0E678E66" w14:textId="7F0B877A" w:rsidR="00E437DE" w:rsidRDefault="00E437DE" w:rsidP="00E437DE"/>
          <w:p w14:paraId="78596128" w14:textId="77777777" w:rsidR="00953559" w:rsidRPr="00E437DE" w:rsidRDefault="00953559" w:rsidP="00E437DE">
            <w:pPr>
              <w:jc w:val="center"/>
            </w:pPr>
          </w:p>
        </w:tc>
        <w:tc>
          <w:tcPr>
            <w:tcW w:w="3416" w:type="pct"/>
            <w:hideMark/>
          </w:tcPr>
          <w:p w14:paraId="6FD952AC" w14:textId="77777777" w:rsidR="009F0132" w:rsidRPr="00874D98" w:rsidRDefault="007559D4" w:rsidP="006D6762">
            <w:pPr>
              <w:ind w:right="142"/>
              <w:jc w:val="both"/>
            </w:pPr>
            <w:r w:rsidRPr="00874D98">
              <w:rPr>
                <w:spacing w:val="-2"/>
              </w:rPr>
              <w:t xml:space="preserve">Ministru kabineta (turpmāk – MK) noteikumu projekts "Grozījumi Ministru kabineta 2015. gada 10. novembra noteikumos Nr. 645 "Darbības programmas "Izaugsme un nodarbinātība" 5.6.2. specifiskā atbalsta mērķa "Teritoriju </w:t>
            </w:r>
            <w:proofErr w:type="spellStart"/>
            <w:r w:rsidRPr="00874D98">
              <w:rPr>
                <w:spacing w:val="-2"/>
              </w:rPr>
              <w:t>revitalizācija</w:t>
            </w:r>
            <w:proofErr w:type="spellEnd"/>
            <w:r w:rsidRPr="00874D98">
              <w:rPr>
                <w:spacing w:val="-2"/>
              </w:rPr>
              <w:t xml:space="preserve">, reģenerējot degradētās teritorijas atbilstoši pašvaldību integrētajām attīstības programmām" īstenošanas noteikumi"" (turpmāk – noteikumu projekts) izstrādāts, </w:t>
            </w:r>
            <w:r w:rsidR="00B00946" w:rsidRPr="00874D98">
              <w:t>lai</w:t>
            </w:r>
            <w:r w:rsidR="009F0132" w:rsidRPr="00874D98">
              <w:t>:</w:t>
            </w:r>
          </w:p>
          <w:p w14:paraId="34037250" w14:textId="0C2B5748" w:rsidR="00EA2C15" w:rsidRPr="00874D98" w:rsidRDefault="00C26A27" w:rsidP="001467B3">
            <w:pPr>
              <w:pStyle w:val="ListParagraph"/>
              <w:numPr>
                <w:ilvl w:val="0"/>
                <w:numId w:val="28"/>
              </w:numPr>
              <w:spacing w:after="120"/>
              <w:ind w:left="714" w:right="142" w:hanging="357"/>
              <w:contextualSpacing w:val="0"/>
              <w:jc w:val="both"/>
              <w:rPr>
                <w:rFonts w:asciiTheme="minorHAnsi" w:eastAsiaTheme="minorEastAsia" w:hAnsiTheme="minorHAnsi" w:cstheme="minorBidi"/>
                <w:sz w:val="24"/>
                <w:szCs w:val="24"/>
              </w:rPr>
            </w:pPr>
            <w:r w:rsidRPr="00874D98">
              <w:rPr>
                <w:spacing w:val="-2"/>
                <w:sz w:val="24"/>
                <w:szCs w:val="24"/>
              </w:rPr>
              <w:t>d</w:t>
            </w:r>
            <w:r w:rsidR="00EA2C15" w:rsidRPr="00874D98">
              <w:rPr>
                <w:spacing w:val="-2"/>
                <w:sz w:val="24"/>
                <w:szCs w:val="24"/>
              </w:rPr>
              <w:t>arbības programmas "Izaugsme un nodarbinātība"</w:t>
            </w:r>
            <w:r w:rsidR="008E6468" w:rsidRPr="00874D98">
              <w:rPr>
                <w:spacing w:val="-2"/>
                <w:sz w:val="24"/>
                <w:szCs w:val="24"/>
              </w:rPr>
              <w:t xml:space="preserve"> </w:t>
            </w:r>
            <w:r w:rsidR="00EA2C15" w:rsidRPr="00874D98">
              <w:rPr>
                <w:color w:val="2A2A2A"/>
                <w:sz w:val="24"/>
                <w:szCs w:val="24"/>
              </w:rPr>
              <w:t xml:space="preserve">5.6.2. specifiskā atbalsta mērķa "Teritoriju </w:t>
            </w:r>
            <w:proofErr w:type="spellStart"/>
            <w:r w:rsidR="00EA2C15" w:rsidRPr="00874D98">
              <w:rPr>
                <w:color w:val="2A2A2A"/>
                <w:sz w:val="24"/>
                <w:szCs w:val="24"/>
              </w:rPr>
              <w:t>revitalizācija</w:t>
            </w:r>
            <w:proofErr w:type="spellEnd"/>
            <w:r w:rsidR="00EA2C15" w:rsidRPr="00874D98">
              <w:rPr>
                <w:color w:val="2A2A2A"/>
                <w:sz w:val="24"/>
                <w:szCs w:val="24"/>
              </w:rPr>
              <w:t>, reģenerējot degradētās teritorijas atbilstoši pašvaldību integrētajām attīstības programmām" (turpmāk – 5.6.2. SAM)</w:t>
            </w:r>
            <w:r w:rsidR="00EA2C15" w:rsidRPr="00874D98">
              <w:rPr>
                <w:sz w:val="24"/>
                <w:szCs w:val="24"/>
              </w:rPr>
              <w:t xml:space="preserve"> ietvaros izveidotu jaunu ceturto projektu iesniegumu atlases kārtu "Ieguldījumi degradēto teritorij</w:t>
            </w:r>
            <w:r w:rsidR="008233A3" w:rsidRPr="00874D98">
              <w:rPr>
                <w:sz w:val="24"/>
                <w:szCs w:val="24"/>
              </w:rPr>
              <w:t xml:space="preserve">u </w:t>
            </w:r>
            <w:proofErr w:type="spellStart"/>
            <w:r w:rsidR="008233A3" w:rsidRPr="00874D98">
              <w:rPr>
                <w:sz w:val="24"/>
                <w:szCs w:val="24"/>
              </w:rPr>
              <w:t>revitalizācijā</w:t>
            </w:r>
            <w:proofErr w:type="spellEnd"/>
            <w:r w:rsidR="008233A3" w:rsidRPr="00874D98">
              <w:rPr>
                <w:sz w:val="24"/>
                <w:szCs w:val="24"/>
              </w:rPr>
              <w:t xml:space="preserve"> ekonomiskās ak</w:t>
            </w:r>
            <w:r w:rsidR="00EA2C15" w:rsidRPr="00874D98">
              <w:rPr>
                <w:sz w:val="24"/>
                <w:szCs w:val="24"/>
              </w:rPr>
              <w:t>t</w:t>
            </w:r>
            <w:r w:rsidR="008233A3" w:rsidRPr="00874D98">
              <w:rPr>
                <w:sz w:val="24"/>
                <w:szCs w:val="24"/>
              </w:rPr>
              <w:t>i</w:t>
            </w:r>
            <w:r w:rsidR="00EA2C15" w:rsidRPr="00874D98">
              <w:rPr>
                <w:sz w:val="24"/>
                <w:szCs w:val="24"/>
              </w:rPr>
              <w:t xml:space="preserve">vitātes veicināšanai pašvaldībās" (turpmāk – 5.6.2. SAM ceturtā atlases kārta), kas paredzēta </w:t>
            </w:r>
            <w:r w:rsidR="00ED0C64" w:rsidRPr="00874D98">
              <w:rPr>
                <w:sz w:val="24"/>
                <w:szCs w:val="24"/>
              </w:rPr>
              <w:t>degradēto teritoriju atjaunošanas</w:t>
            </w:r>
            <w:r w:rsidR="00EA2C15" w:rsidRPr="00874D98">
              <w:rPr>
                <w:sz w:val="24"/>
                <w:szCs w:val="24"/>
              </w:rPr>
              <w:t xml:space="preserve"> </w:t>
            </w:r>
            <w:r w:rsidR="00995B6A" w:rsidRPr="00874D98">
              <w:rPr>
                <w:sz w:val="24"/>
                <w:szCs w:val="24"/>
              </w:rPr>
              <w:t>iespējami augtākas</w:t>
            </w:r>
            <w:r w:rsidR="00EA2C15" w:rsidRPr="00874D98">
              <w:rPr>
                <w:sz w:val="24"/>
                <w:szCs w:val="24"/>
              </w:rPr>
              <w:t xml:space="preserve"> gatavības</w:t>
            </w:r>
            <w:r w:rsidR="00995B6A" w:rsidRPr="00874D98">
              <w:rPr>
                <w:sz w:val="24"/>
                <w:szCs w:val="24"/>
              </w:rPr>
              <w:t xml:space="preserve"> pakāpes</w:t>
            </w:r>
            <w:r w:rsidR="00EA2C15" w:rsidRPr="00874D98">
              <w:rPr>
                <w:sz w:val="24"/>
                <w:szCs w:val="24"/>
              </w:rPr>
              <w:t xml:space="preserve"> projektu atbalstam visās nacionālas un reģionālas nozīmes</w:t>
            </w:r>
            <w:r w:rsidR="00C802DF" w:rsidRPr="00874D98">
              <w:rPr>
                <w:sz w:val="24"/>
                <w:szCs w:val="24"/>
              </w:rPr>
              <w:t xml:space="preserve"> attīstības centru pašvaldībās, </w:t>
            </w:r>
            <w:r w:rsidR="00EA2C15" w:rsidRPr="00874D98">
              <w:rPr>
                <w:sz w:val="24"/>
                <w:szCs w:val="24"/>
              </w:rPr>
              <w:t xml:space="preserve">lai palīdzētu pašvaldībām stimulēt ekonomisko aktivitāti reģionos </w:t>
            </w:r>
            <w:proofErr w:type="spellStart"/>
            <w:r w:rsidR="00EA2C15" w:rsidRPr="00874D98">
              <w:rPr>
                <w:sz w:val="24"/>
                <w:szCs w:val="24"/>
              </w:rPr>
              <w:t>koronavīrusa</w:t>
            </w:r>
            <w:proofErr w:type="spellEnd"/>
            <w:r w:rsidR="00EA2C15" w:rsidRPr="00874D98">
              <w:rPr>
                <w:sz w:val="24"/>
                <w:szCs w:val="24"/>
              </w:rPr>
              <w:t xml:space="preserve"> (turpmāk – COVID-19) </w:t>
            </w:r>
            <w:r w:rsidR="001467B3" w:rsidRPr="00874D98">
              <w:rPr>
                <w:sz w:val="24"/>
                <w:szCs w:val="24"/>
              </w:rPr>
              <w:t>izraisītās ārkārtas situācijā</w:t>
            </w:r>
            <w:r w:rsidR="00EA2C15" w:rsidRPr="00874D98">
              <w:rPr>
                <w:sz w:val="24"/>
                <w:szCs w:val="24"/>
              </w:rPr>
              <w:t xml:space="preserve"> un mazinātu negatīvo ietekmi uz tautsaimniecību un veicinātu ekonomikas straujāku atgūšanos no COVID-19 izraisītās krīzes;</w:t>
            </w:r>
          </w:p>
          <w:p w14:paraId="11BFEA18" w14:textId="5EC8495B" w:rsidR="0019642C" w:rsidRPr="00B7483A" w:rsidRDefault="009F0132" w:rsidP="00985311">
            <w:pPr>
              <w:pStyle w:val="ListParagraph"/>
              <w:numPr>
                <w:ilvl w:val="0"/>
                <w:numId w:val="28"/>
              </w:numPr>
              <w:spacing w:after="120"/>
              <w:ind w:left="714" w:right="142" w:hanging="357"/>
              <w:contextualSpacing w:val="0"/>
              <w:jc w:val="both"/>
              <w:rPr>
                <w:rFonts w:asciiTheme="minorHAnsi" w:eastAsiaTheme="minorEastAsia" w:hAnsiTheme="minorHAnsi" w:cstheme="minorBidi"/>
                <w:sz w:val="24"/>
                <w:szCs w:val="24"/>
              </w:rPr>
            </w:pPr>
            <w:r w:rsidRPr="00874D98">
              <w:rPr>
                <w:sz w:val="24"/>
                <w:szCs w:val="24"/>
              </w:rPr>
              <w:t xml:space="preserve">Eiropas Reģionālās attīstības fonda (turpmāk – ERAF) finansējuma atlikumu </w:t>
            </w:r>
            <w:r w:rsidR="00151DB1" w:rsidRPr="005C36E8">
              <w:rPr>
                <w:bCs/>
                <w:color w:val="000000"/>
                <w:sz w:val="24"/>
                <w:szCs w:val="24"/>
              </w:rPr>
              <w:t>15 145 093</w:t>
            </w:r>
            <w:r w:rsidR="00151DB1" w:rsidRPr="005C36E8">
              <w:rPr>
                <w:sz w:val="24"/>
                <w:szCs w:val="24"/>
              </w:rPr>
              <w:t xml:space="preserve"> </w:t>
            </w:r>
            <w:proofErr w:type="spellStart"/>
            <w:r w:rsidRPr="00874D98">
              <w:rPr>
                <w:i/>
                <w:sz w:val="24"/>
                <w:szCs w:val="24"/>
              </w:rPr>
              <w:t>euro</w:t>
            </w:r>
            <w:proofErr w:type="spellEnd"/>
            <w:r w:rsidRPr="00874D98">
              <w:rPr>
                <w:sz w:val="24"/>
                <w:szCs w:val="24"/>
              </w:rPr>
              <w:t xml:space="preserve"> apmērā, kas radies </w:t>
            </w:r>
            <w:r w:rsidR="00985311" w:rsidRPr="00874D98">
              <w:rPr>
                <w:color w:val="2A2A2A"/>
                <w:sz w:val="24"/>
                <w:szCs w:val="24"/>
              </w:rPr>
              <w:t>5.6.2. SAM</w:t>
            </w:r>
            <w:r w:rsidRPr="00874D98">
              <w:rPr>
                <w:color w:val="2A2A2A"/>
                <w:sz w:val="24"/>
                <w:szCs w:val="24"/>
              </w:rPr>
              <w:t xml:space="preserve"> </w:t>
            </w:r>
            <w:r w:rsidRPr="00874D98">
              <w:rPr>
                <w:rFonts w:eastAsia="Calibri"/>
                <w:sz w:val="24"/>
                <w:szCs w:val="24"/>
              </w:rPr>
              <w:t xml:space="preserve">pirmās projektu iesniegumu atlases kārtas "Ieguldījumi degradēto teritoriju </w:t>
            </w:r>
            <w:proofErr w:type="spellStart"/>
            <w:r w:rsidRPr="00874D98">
              <w:rPr>
                <w:rFonts w:eastAsia="Calibri"/>
                <w:sz w:val="24"/>
                <w:szCs w:val="24"/>
              </w:rPr>
              <w:t>revitalizācijā</w:t>
            </w:r>
            <w:proofErr w:type="spellEnd"/>
            <w:r w:rsidRPr="00874D98">
              <w:rPr>
                <w:rFonts w:eastAsia="Calibri"/>
                <w:sz w:val="24"/>
                <w:szCs w:val="24"/>
              </w:rPr>
              <w:t xml:space="preserve"> nacionālas nozīmes attīstības centru pašvaldībās" (turpmāk – 5.6.2. SAM pirmā atlases kārta), 5.6.2. SAM otrās projektu iesniegumu atlases kārtas "Ieguldījumi degradēto teritoriju </w:t>
            </w:r>
            <w:proofErr w:type="spellStart"/>
            <w:r w:rsidRPr="00874D98">
              <w:rPr>
                <w:rFonts w:eastAsia="Calibri"/>
                <w:sz w:val="24"/>
                <w:szCs w:val="24"/>
              </w:rPr>
              <w:t>revitalizācijā</w:t>
            </w:r>
            <w:proofErr w:type="spellEnd"/>
            <w:r w:rsidRPr="00874D98">
              <w:rPr>
                <w:rFonts w:eastAsia="Calibri"/>
                <w:sz w:val="24"/>
                <w:szCs w:val="24"/>
              </w:rPr>
              <w:t xml:space="preserve"> reģionālas nozīmes attīstības centru pašvaldībās" (turpmāk – 5.6.2. SAM otrā atlases kārta) un 5.6.2. SAM trešās projektu iesniegumu atlases kārtas "Ieguldījumi degradēto teritoriju </w:t>
            </w:r>
            <w:proofErr w:type="spellStart"/>
            <w:r w:rsidRPr="00874D98">
              <w:rPr>
                <w:rFonts w:eastAsia="Calibri"/>
                <w:sz w:val="24"/>
                <w:szCs w:val="24"/>
              </w:rPr>
              <w:t>revitalizācijā</w:t>
            </w:r>
            <w:proofErr w:type="spellEnd"/>
            <w:r w:rsidRPr="00874D98">
              <w:rPr>
                <w:rFonts w:eastAsia="Calibri"/>
                <w:sz w:val="24"/>
                <w:szCs w:val="24"/>
              </w:rPr>
              <w:t xml:space="preserve"> Latgales plānošanas reģiona attīstības programmas pielikumā noteikto teritoriju pašvaldībās" (turpmāk – 5.6.2. SAM trešā atlases kārta) </w:t>
            </w:r>
            <w:r w:rsidRPr="00874D98">
              <w:rPr>
                <w:color w:val="2A2A2A"/>
                <w:sz w:val="24"/>
                <w:szCs w:val="24"/>
              </w:rPr>
              <w:t>ietvaros pēc 2020. gada 31. jūlija un par kuru Centrālā finanšu un līgumu aģentūra (turpmāk – CFLA) līdz 2020. gada 31. augustam nav ar 5.6.2. SAM</w:t>
            </w:r>
            <w:r w:rsidRPr="00874D98">
              <w:rPr>
                <w:sz w:val="24"/>
                <w:szCs w:val="24"/>
              </w:rPr>
              <w:t xml:space="preserve"> finansējuma saņēmēj</w:t>
            </w:r>
            <w:r w:rsidR="00906D1B" w:rsidRPr="00874D98">
              <w:rPr>
                <w:sz w:val="24"/>
                <w:szCs w:val="24"/>
              </w:rPr>
              <w:t>iem</w:t>
            </w:r>
            <w:r w:rsidRPr="00874D98">
              <w:rPr>
                <w:sz w:val="24"/>
                <w:szCs w:val="24"/>
              </w:rPr>
              <w:t xml:space="preserve"> noslēgusi </w:t>
            </w:r>
            <w:r w:rsidRPr="00874D98">
              <w:rPr>
                <w:sz w:val="24"/>
                <w:szCs w:val="24"/>
              </w:rPr>
              <w:lastRenderedPageBreak/>
              <w:t>vienošanās par projekt</w:t>
            </w:r>
            <w:r w:rsidR="00906D1B" w:rsidRPr="00874D98">
              <w:rPr>
                <w:sz w:val="24"/>
                <w:szCs w:val="24"/>
              </w:rPr>
              <w:t>u</w:t>
            </w:r>
            <w:r w:rsidRPr="00874D98">
              <w:rPr>
                <w:sz w:val="24"/>
                <w:szCs w:val="24"/>
              </w:rPr>
              <w:t xml:space="preserve"> īstenošanu</w:t>
            </w:r>
            <w:r w:rsidRPr="00874D98">
              <w:rPr>
                <w:rStyle w:val="FootnoteReference"/>
                <w:sz w:val="24"/>
                <w:szCs w:val="24"/>
              </w:rPr>
              <w:footnoteReference w:id="2"/>
            </w:r>
            <w:r w:rsidRPr="00874D98">
              <w:rPr>
                <w:sz w:val="24"/>
                <w:szCs w:val="24"/>
              </w:rPr>
              <w:t xml:space="preserve"> vai </w:t>
            </w:r>
            <w:r w:rsidR="00C95948" w:rsidRPr="00874D98">
              <w:rPr>
                <w:sz w:val="24"/>
                <w:szCs w:val="24"/>
              </w:rPr>
              <w:t>finansējuma saņēmējs</w:t>
            </w:r>
            <w:r w:rsidR="00985311" w:rsidRPr="00874D98">
              <w:rPr>
                <w:sz w:val="24"/>
                <w:szCs w:val="24"/>
              </w:rPr>
              <w:t xml:space="preserve"> līdz 2020. gada 22. oktobrim</w:t>
            </w:r>
            <w:r w:rsidR="00C95948" w:rsidRPr="00874D98">
              <w:rPr>
                <w:sz w:val="24"/>
                <w:szCs w:val="24"/>
              </w:rPr>
              <w:t xml:space="preserve"> nav ierosinājis </w:t>
            </w:r>
            <w:r w:rsidRPr="00874D98">
              <w:rPr>
                <w:sz w:val="24"/>
                <w:szCs w:val="24"/>
              </w:rPr>
              <w:t>veik</w:t>
            </w:r>
            <w:r w:rsidR="00C95948" w:rsidRPr="00874D98">
              <w:rPr>
                <w:sz w:val="24"/>
                <w:szCs w:val="24"/>
              </w:rPr>
              <w:t>t</w:t>
            </w:r>
            <w:r w:rsidRPr="00874D98">
              <w:rPr>
                <w:sz w:val="24"/>
                <w:szCs w:val="24"/>
              </w:rPr>
              <w:t xml:space="preserve"> grozījumus kādā jau noslēgtajā vienošanā par projekta īstenošanu, novirzītu </w:t>
            </w:r>
            <w:r w:rsidR="00985311" w:rsidRPr="00874D98">
              <w:rPr>
                <w:sz w:val="24"/>
                <w:szCs w:val="24"/>
              </w:rPr>
              <w:t>5.6.2. SAM</w:t>
            </w:r>
            <w:r w:rsidRPr="00874D98">
              <w:rPr>
                <w:sz w:val="24"/>
                <w:szCs w:val="24"/>
              </w:rPr>
              <w:t xml:space="preserve"> ceturtajai </w:t>
            </w:r>
            <w:r w:rsidR="000457E5" w:rsidRPr="00B7483A">
              <w:rPr>
                <w:sz w:val="24"/>
                <w:szCs w:val="24"/>
              </w:rPr>
              <w:t>atlases kārtai</w:t>
            </w:r>
            <w:r w:rsidR="00B53709" w:rsidRPr="00B7483A">
              <w:rPr>
                <w:sz w:val="24"/>
                <w:szCs w:val="24"/>
              </w:rPr>
              <w:t>;</w:t>
            </w:r>
          </w:p>
          <w:p w14:paraId="49290EDE" w14:textId="7415F600" w:rsidR="00CA6EB3" w:rsidRPr="00874D98" w:rsidRDefault="00CA6EB3" w:rsidP="00EB2403">
            <w:pPr>
              <w:pStyle w:val="ListParagraph"/>
              <w:numPr>
                <w:ilvl w:val="0"/>
                <w:numId w:val="28"/>
              </w:numPr>
              <w:spacing w:after="120"/>
              <w:ind w:left="714" w:right="142" w:hanging="357"/>
              <w:contextualSpacing w:val="0"/>
              <w:jc w:val="both"/>
              <w:rPr>
                <w:sz w:val="24"/>
                <w:szCs w:val="24"/>
              </w:rPr>
            </w:pPr>
            <w:r w:rsidRPr="00B7483A">
              <w:rPr>
                <w:sz w:val="24"/>
                <w:szCs w:val="24"/>
              </w:rPr>
              <w:t>paredzētu nosacījumus 5.6.2. SAM ceturtajai atlases kārtai</w:t>
            </w:r>
            <w:r w:rsidR="00F15CCB" w:rsidRPr="00B7483A">
              <w:rPr>
                <w:sz w:val="24"/>
                <w:szCs w:val="24"/>
              </w:rPr>
              <w:t xml:space="preserve"> – projektu iesniedzēju loku, </w:t>
            </w:r>
            <w:r w:rsidR="00F83844" w:rsidRPr="00B7483A">
              <w:rPr>
                <w:sz w:val="24"/>
                <w:szCs w:val="24"/>
              </w:rPr>
              <w:t>minimālo ERAF finansējuma procentuālo apmēru, maksimālo ERAF finansējuma limitu un projektu iesniegumu skaitu uz vienu pašvaldību, maksimāli pieļaujamo projekta īsteno</w:t>
            </w:r>
            <w:r w:rsidR="00897226" w:rsidRPr="00B7483A">
              <w:rPr>
                <w:sz w:val="24"/>
                <w:szCs w:val="24"/>
              </w:rPr>
              <w:t>šanas laiku, zaļās infrastruktūras</w:t>
            </w:r>
            <w:r w:rsidR="005C36E8" w:rsidRPr="00B7483A">
              <w:rPr>
                <w:sz w:val="24"/>
                <w:szCs w:val="24"/>
              </w:rPr>
              <w:t xml:space="preserve"> vai enerģiju taupošo</w:t>
            </w:r>
            <w:r w:rsidR="00897226" w:rsidRPr="00B7483A">
              <w:rPr>
                <w:sz w:val="24"/>
                <w:szCs w:val="24"/>
              </w:rPr>
              <w:t xml:space="preserve"> </w:t>
            </w:r>
            <w:r w:rsidR="002A0F45" w:rsidRPr="00B7483A">
              <w:rPr>
                <w:sz w:val="24"/>
                <w:szCs w:val="24"/>
              </w:rPr>
              <w:t>risinājumu izmantošanu projekta darbībās, kas saistītas ar ēku un to infrastruktūras attīstīšanu, ceļu satiksmei paredzētās infrastruktūras</w:t>
            </w:r>
            <w:r w:rsidR="002A0F45" w:rsidRPr="00874D98">
              <w:rPr>
                <w:sz w:val="24"/>
                <w:szCs w:val="24"/>
              </w:rPr>
              <w:t xml:space="preserve"> attīstīšanu, teritorijas labiekārtošanu u.c.</w:t>
            </w:r>
            <w:r w:rsidR="00DE1B07" w:rsidRPr="00874D98">
              <w:rPr>
                <w:sz w:val="24"/>
                <w:szCs w:val="24"/>
              </w:rPr>
              <w:t xml:space="preserve"> nosacījumus</w:t>
            </w:r>
            <w:r w:rsidRPr="00874D98">
              <w:rPr>
                <w:sz w:val="24"/>
                <w:szCs w:val="24"/>
              </w:rPr>
              <w:t>;</w:t>
            </w:r>
          </w:p>
          <w:p w14:paraId="1C355424" w14:textId="77777777" w:rsidR="00AF0968" w:rsidRPr="00874D98" w:rsidRDefault="00022FE7" w:rsidP="002A0F45">
            <w:pPr>
              <w:pStyle w:val="ListParagraph"/>
              <w:numPr>
                <w:ilvl w:val="0"/>
                <w:numId w:val="28"/>
              </w:numPr>
              <w:spacing w:after="120"/>
              <w:ind w:left="714" w:right="142" w:hanging="357"/>
              <w:contextualSpacing w:val="0"/>
              <w:jc w:val="both"/>
              <w:rPr>
                <w:sz w:val="24"/>
                <w:szCs w:val="24"/>
              </w:rPr>
            </w:pPr>
            <w:r w:rsidRPr="00874D98">
              <w:rPr>
                <w:sz w:val="24"/>
                <w:szCs w:val="24"/>
              </w:rPr>
              <w:t>noteiktu, ka no ERAF finansējuma nav atbalstāma tādu komercdarbības mērķiem paredzēto ēku un to infrastruktūras attīstīšana, kurā paredzēt</w:t>
            </w:r>
            <w:r w:rsidR="00937E6E" w:rsidRPr="00874D98">
              <w:rPr>
                <w:sz w:val="24"/>
                <w:szCs w:val="24"/>
              </w:rPr>
              <w:t>i</w:t>
            </w:r>
            <w:r w:rsidRPr="00874D98">
              <w:rPr>
                <w:sz w:val="24"/>
                <w:szCs w:val="24"/>
              </w:rPr>
              <w:t xml:space="preserve"> fiziskās labsajūtas uzlaboš</w:t>
            </w:r>
            <w:r w:rsidR="002A0F45" w:rsidRPr="00874D98">
              <w:rPr>
                <w:sz w:val="24"/>
                <w:szCs w:val="24"/>
              </w:rPr>
              <w:t>anas un izglītības pakalpojumi</w:t>
            </w:r>
            <w:r w:rsidR="00AF0968" w:rsidRPr="00874D98">
              <w:rPr>
                <w:sz w:val="24"/>
                <w:szCs w:val="24"/>
              </w:rPr>
              <w:t>;</w:t>
            </w:r>
          </w:p>
          <w:p w14:paraId="69DBD85B" w14:textId="05A0B721" w:rsidR="00EB2403" w:rsidRPr="00874D98" w:rsidRDefault="002E1A73" w:rsidP="002A0F45">
            <w:pPr>
              <w:pStyle w:val="ListParagraph"/>
              <w:numPr>
                <w:ilvl w:val="0"/>
                <w:numId w:val="28"/>
              </w:numPr>
              <w:spacing w:after="120"/>
              <w:ind w:left="714" w:right="142" w:hanging="357"/>
              <w:contextualSpacing w:val="0"/>
              <w:jc w:val="both"/>
              <w:rPr>
                <w:sz w:val="24"/>
                <w:szCs w:val="24"/>
              </w:rPr>
            </w:pPr>
            <w:r w:rsidRPr="00874D98">
              <w:rPr>
                <w:sz w:val="24"/>
                <w:szCs w:val="24"/>
              </w:rPr>
              <w:t>plašāk interpretētu brīdi, kad valsts atbalsta pretendentam ir piešķirtas likumīgas tiesības saņemt valsts atbalstu.</w:t>
            </w:r>
            <w:r w:rsidR="00AF0968" w:rsidRPr="00874D98">
              <w:rPr>
                <w:sz w:val="24"/>
                <w:szCs w:val="24"/>
              </w:rPr>
              <w:t xml:space="preserve"> </w:t>
            </w:r>
          </w:p>
          <w:p w14:paraId="0313276A" w14:textId="35CA4D69" w:rsidR="00DA7864" w:rsidRPr="00874D98" w:rsidRDefault="000525ED" w:rsidP="000525ED">
            <w:pPr>
              <w:spacing w:after="120"/>
              <w:ind w:right="142"/>
              <w:jc w:val="both"/>
            </w:pPr>
            <w:r w:rsidRPr="00874D98">
              <w:t>Noteikumu projekts stājas spēkā parastajā kārtībā (nākamajā dienā pēc tā izsludināšanas).</w:t>
            </w:r>
          </w:p>
        </w:tc>
      </w:tr>
    </w:tbl>
    <w:p w14:paraId="582E64BD" w14:textId="44E99E21" w:rsidR="00EF0BD3" w:rsidRPr="006D6762" w:rsidRDefault="00EF0BD3" w:rsidP="00BF3F2B">
      <w:pPr>
        <w:jc w:val="cente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1857"/>
        <w:gridCol w:w="6956"/>
      </w:tblGrid>
      <w:tr w:rsidR="00C71FAA" w:rsidRPr="006D6762" w14:paraId="309DC07D" w14:textId="77777777" w:rsidTr="00FA45DC">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DB92DC" w14:textId="77777777" w:rsidR="00750FB6" w:rsidRPr="006D6762" w:rsidRDefault="007559D4" w:rsidP="00BF3F2B">
            <w:pPr>
              <w:pStyle w:val="ListParagraph"/>
              <w:tabs>
                <w:tab w:val="left" w:pos="2268"/>
                <w:tab w:val="left" w:pos="2410"/>
              </w:tabs>
              <w:ind w:left="1080"/>
              <w:jc w:val="center"/>
              <w:rPr>
                <w:b/>
                <w:sz w:val="24"/>
                <w:szCs w:val="24"/>
                <w:lang w:eastAsia="en-US"/>
              </w:rPr>
            </w:pPr>
            <w:r w:rsidRPr="006D6762">
              <w:rPr>
                <w:b/>
                <w:bCs/>
                <w:sz w:val="24"/>
                <w:szCs w:val="24"/>
              </w:rPr>
              <w:t>I. Tiesību akta projekta izstrādes nepieciešamība</w:t>
            </w:r>
          </w:p>
        </w:tc>
      </w:tr>
      <w:tr w:rsidR="00FD7A88" w:rsidRPr="0019642C" w14:paraId="6FEA8164" w14:textId="77777777" w:rsidTr="00F94FEF">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2EEE4896" w14:textId="77777777" w:rsidR="00750FB6" w:rsidRPr="009A562F" w:rsidRDefault="007559D4" w:rsidP="00BF3F2B">
            <w:pPr>
              <w:spacing w:before="60" w:afterLines="60" w:after="144"/>
              <w:jc w:val="center"/>
              <w:rPr>
                <w:lang w:eastAsia="en-US"/>
              </w:rPr>
            </w:pPr>
            <w:r w:rsidRPr="009A562F">
              <w:t>1.</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14:paraId="06637FC8" w14:textId="77777777" w:rsidR="00750FB6" w:rsidRPr="009A562F" w:rsidRDefault="007559D4" w:rsidP="00BF3F2B">
            <w:pPr>
              <w:tabs>
                <w:tab w:val="left" w:pos="1904"/>
              </w:tabs>
              <w:spacing w:before="60" w:afterLines="60" w:after="144"/>
              <w:rPr>
                <w:lang w:eastAsia="en-US"/>
              </w:rPr>
            </w:pPr>
            <w:r w:rsidRPr="009A562F">
              <w:t>Pamatojums</w:t>
            </w:r>
          </w:p>
        </w:tc>
        <w:tc>
          <w:tcPr>
            <w:tcW w:w="6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6844D" w14:textId="24B20368" w:rsidR="002C73C2" w:rsidRPr="00874D98" w:rsidRDefault="00F27D83" w:rsidP="00F27D83">
            <w:pPr>
              <w:ind w:right="62"/>
              <w:jc w:val="both"/>
              <w:rPr>
                <w:spacing w:val="-2"/>
              </w:rPr>
            </w:pPr>
            <w:r w:rsidRPr="00874D98">
              <w:rPr>
                <w:spacing w:val="-2"/>
              </w:rPr>
              <w:t>N</w:t>
            </w:r>
            <w:r w:rsidR="007559D4" w:rsidRPr="00874D98">
              <w:rPr>
                <w:spacing w:val="-2"/>
              </w:rPr>
              <w:t>oteikumu projekts</w:t>
            </w:r>
            <w:r w:rsidR="000F73C9" w:rsidRPr="00874D98">
              <w:rPr>
                <w:spacing w:val="-2"/>
              </w:rPr>
              <w:t xml:space="preserve"> izstrādāts</w:t>
            </w:r>
            <w:r w:rsidR="00BE7257" w:rsidRPr="00874D98">
              <w:rPr>
                <w:spacing w:val="-2"/>
              </w:rPr>
              <w:t>,</w:t>
            </w:r>
            <w:r w:rsidR="000F73C9" w:rsidRPr="00874D98">
              <w:rPr>
                <w:spacing w:val="-2"/>
              </w:rPr>
              <w:t xml:space="preserve"> pamatojoties</w:t>
            </w:r>
            <w:r w:rsidR="007D0907" w:rsidRPr="00874D98">
              <w:rPr>
                <w:spacing w:val="-2"/>
              </w:rPr>
              <w:t xml:space="preserve"> uz</w:t>
            </w:r>
            <w:r w:rsidR="002C73C2" w:rsidRPr="00874D98">
              <w:rPr>
                <w:spacing w:val="-2"/>
              </w:rPr>
              <w:t>:</w:t>
            </w:r>
          </w:p>
          <w:p w14:paraId="0685B1B2" w14:textId="77777777" w:rsidR="002C73C2" w:rsidRPr="00874D98" w:rsidRDefault="002C73C2" w:rsidP="00545818">
            <w:pPr>
              <w:pStyle w:val="ListParagraph"/>
              <w:numPr>
                <w:ilvl w:val="0"/>
                <w:numId w:val="30"/>
              </w:numPr>
              <w:spacing w:after="120"/>
              <w:ind w:right="62"/>
              <w:jc w:val="both"/>
              <w:rPr>
                <w:spacing w:val="-2"/>
                <w:sz w:val="24"/>
                <w:szCs w:val="24"/>
              </w:rPr>
            </w:pPr>
            <w:r w:rsidRPr="00874D98">
              <w:rPr>
                <w:spacing w:val="-2"/>
                <w:sz w:val="24"/>
                <w:szCs w:val="24"/>
              </w:rPr>
              <w:t>Eiropas Savienības struktūrfondu un Kohēzijas fonda 2014.–2020. gada plānošanas perioda vadības likuma 20. panta 13. punktu;</w:t>
            </w:r>
          </w:p>
          <w:p w14:paraId="50CE9A88" w14:textId="77777777" w:rsidR="00545818" w:rsidRPr="00874D98" w:rsidRDefault="00545818" w:rsidP="00545818">
            <w:pPr>
              <w:pStyle w:val="ListParagraph"/>
              <w:numPr>
                <w:ilvl w:val="0"/>
                <w:numId w:val="30"/>
              </w:numPr>
              <w:spacing w:after="120"/>
              <w:ind w:right="62"/>
              <w:jc w:val="both"/>
              <w:rPr>
                <w:sz w:val="24"/>
                <w:szCs w:val="24"/>
              </w:rPr>
            </w:pPr>
            <w:r w:rsidRPr="00874D98">
              <w:rPr>
                <w:spacing w:val="-2"/>
                <w:sz w:val="24"/>
                <w:szCs w:val="24"/>
              </w:rPr>
              <w:t>MK 2020. gada 26. maija sēdes protokola Nr. 36 34.§ "Informatīvais ziņojums "</w:t>
            </w:r>
            <w:r w:rsidRPr="00874D98">
              <w:rPr>
                <w:sz w:val="24"/>
                <w:szCs w:val="24"/>
              </w:rPr>
              <w:t>Par priekšlikumiem COVID-19 seku mazināšanai un Eiropas Savienības fondu 2014.-2020. gada plānošanas perioda pašvaldību investīciju pārskatīšanai</w:t>
            </w:r>
            <w:r w:rsidRPr="00874D98">
              <w:rPr>
                <w:spacing w:val="-2"/>
                <w:sz w:val="24"/>
                <w:szCs w:val="24"/>
              </w:rPr>
              <w:t xml:space="preserve">"" (turpmāk – MK 2020. gada 26. maija </w:t>
            </w:r>
            <w:proofErr w:type="spellStart"/>
            <w:r w:rsidRPr="00874D98">
              <w:rPr>
                <w:spacing w:val="-2"/>
                <w:sz w:val="24"/>
                <w:szCs w:val="24"/>
              </w:rPr>
              <w:t>protokollēmums</w:t>
            </w:r>
            <w:proofErr w:type="spellEnd"/>
            <w:r w:rsidRPr="00874D98">
              <w:rPr>
                <w:spacing w:val="-2"/>
                <w:sz w:val="24"/>
                <w:szCs w:val="24"/>
              </w:rPr>
              <w:t>) 7. punktu;</w:t>
            </w:r>
          </w:p>
          <w:p w14:paraId="3C99B611" w14:textId="319B1326" w:rsidR="008351BA" w:rsidRPr="00874D98" w:rsidRDefault="009725CF" w:rsidP="00545818">
            <w:pPr>
              <w:pStyle w:val="ListParagraph"/>
              <w:numPr>
                <w:ilvl w:val="0"/>
                <w:numId w:val="30"/>
              </w:numPr>
              <w:spacing w:after="120"/>
              <w:ind w:right="62"/>
              <w:jc w:val="both"/>
              <w:rPr>
                <w:spacing w:val="-2"/>
                <w:sz w:val="24"/>
                <w:szCs w:val="24"/>
              </w:rPr>
            </w:pPr>
            <w:r w:rsidRPr="00874D98">
              <w:rPr>
                <w:sz w:val="24"/>
                <w:szCs w:val="24"/>
              </w:rPr>
              <w:t>MK</w:t>
            </w:r>
            <w:r w:rsidR="008351BA" w:rsidRPr="00874D98">
              <w:rPr>
                <w:sz w:val="24"/>
                <w:szCs w:val="24"/>
              </w:rPr>
              <w:t xml:space="preserve"> 2019. gada 11. oktobra sēdes protokola Nr. 47 3§ "Informatīvais ziņojums "Par Eiropas Savienības struktūrfondu un Kohēzijas fonda 2014.–2020.gada plānošanas perioda darbības programmas "Izaugsme un nodarbinātība" snieguma ietvarā noteikto mērķu sasniegšanas progresu un snieguma rezerves finansējuma tālāku izmantošanu"" (turpmāk – MK 2019. gada 11. oktobra </w:t>
            </w:r>
            <w:proofErr w:type="spellStart"/>
            <w:r w:rsidR="008351BA" w:rsidRPr="00874D98">
              <w:rPr>
                <w:sz w:val="24"/>
                <w:szCs w:val="24"/>
              </w:rPr>
              <w:t>protokollēmums</w:t>
            </w:r>
            <w:proofErr w:type="spellEnd"/>
            <w:r w:rsidR="008351BA" w:rsidRPr="00874D98">
              <w:rPr>
                <w:sz w:val="24"/>
                <w:szCs w:val="24"/>
              </w:rPr>
              <w:t>) 11.2. apakšpunktu.</w:t>
            </w:r>
          </w:p>
        </w:tc>
      </w:tr>
      <w:tr w:rsidR="00FD7A88" w:rsidRPr="0019642C" w14:paraId="449F934A" w14:textId="77777777" w:rsidTr="00F94FEF">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1272C3A8" w14:textId="05C7F7B8" w:rsidR="00750FB6" w:rsidRPr="00F94FEF" w:rsidRDefault="007559D4" w:rsidP="00BF3F2B">
            <w:pPr>
              <w:spacing w:before="60" w:afterLines="60" w:after="144"/>
              <w:jc w:val="center"/>
              <w:rPr>
                <w:lang w:eastAsia="en-US"/>
              </w:rPr>
            </w:pPr>
            <w:r w:rsidRPr="00F94FEF">
              <w:lastRenderedPageBreak/>
              <w:t>2.</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14:paraId="57C8ADEA" w14:textId="77777777" w:rsidR="004A300C" w:rsidRPr="00F94FEF" w:rsidRDefault="007559D4" w:rsidP="00BF3F2B">
            <w:pPr>
              <w:spacing w:before="60" w:afterLines="60" w:after="144"/>
              <w:jc w:val="both"/>
              <w:rPr>
                <w:lang w:eastAsia="en-US"/>
              </w:rPr>
            </w:pPr>
            <w:r w:rsidRPr="00F94FEF">
              <w:t>Pašreizējā situācija un problēmas, kuru risināšanai tiesību akta projekts izstrādāts, tiesiskā regulējuma mērķis un būtība</w:t>
            </w:r>
          </w:p>
          <w:p w14:paraId="48C4D874" w14:textId="77777777" w:rsidR="004A300C" w:rsidRPr="00F94FEF" w:rsidRDefault="004A300C" w:rsidP="004A300C">
            <w:pPr>
              <w:rPr>
                <w:lang w:eastAsia="en-US"/>
              </w:rPr>
            </w:pPr>
          </w:p>
          <w:p w14:paraId="42B0A9F0" w14:textId="77777777" w:rsidR="004A300C" w:rsidRPr="00F94FEF" w:rsidRDefault="004A300C" w:rsidP="004A300C">
            <w:pPr>
              <w:rPr>
                <w:lang w:eastAsia="en-US"/>
              </w:rPr>
            </w:pPr>
          </w:p>
          <w:p w14:paraId="0E744730" w14:textId="77777777" w:rsidR="004A300C" w:rsidRPr="00F94FEF" w:rsidRDefault="004A300C" w:rsidP="004A300C">
            <w:pPr>
              <w:rPr>
                <w:lang w:eastAsia="en-US"/>
              </w:rPr>
            </w:pPr>
          </w:p>
          <w:p w14:paraId="1DDBBE9A" w14:textId="77777777" w:rsidR="004A300C" w:rsidRPr="00F94FEF" w:rsidRDefault="004A300C" w:rsidP="004A300C">
            <w:pPr>
              <w:rPr>
                <w:lang w:eastAsia="en-US"/>
              </w:rPr>
            </w:pPr>
          </w:p>
          <w:p w14:paraId="122BDC56" w14:textId="77777777" w:rsidR="004A300C" w:rsidRPr="00F94FEF" w:rsidRDefault="004A300C" w:rsidP="004A300C">
            <w:pPr>
              <w:rPr>
                <w:lang w:eastAsia="en-US"/>
              </w:rPr>
            </w:pPr>
          </w:p>
          <w:p w14:paraId="37B0802C" w14:textId="77777777" w:rsidR="004A300C" w:rsidRPr="00F94FEF" w:rsidRDefault="004A300C" w:rsidP="004A300C">
            <w:pPr>
              <w:rPr>
                <w:lang w:eastAsia="en-US"/>
              </w:rPr>
            </w:pPr>
          </w:p>
          <w:p w14:paraId="0931E2EB" w14:textId="77777777" w:rsidR="004A300C" w:rsidRPr="00F94FEF" w:rsidRDefault="004A300C" w:rsidP="004A300C">
            <w:pPr>
              <w:rPr>
                <w:lang w:eastAsia="en-US"/>
              </w:rPr>
            </w:pPr>
          </w:p>
          <w:p w14:paraId="59DAF70F" w14:textId="77777777" w:rsidR="004A300C" w:rsidRPr="00F94FEF" w:rsidRDefault="004A300C" w:rsidP="004A300C">
            <w:pPr>
              <w:rPr>
                <w:lang w:eastAsia="en-US"/>
              </w:rPr>
            </w:pPr>
          </w:p>
          <w:p w14:paraId="4044E24D" w14:textId="77777777" w:rsidR="004A300C" w:rsidRPr="00F94FEF" w:rsidRDefault="004A300C" w:rsidP="004A300C">
            <w:pPr>
              <w:rPr>
                <w:lang w:eastAsia="en-US"/>
              </w:rPr>
            </w:pPr>
          </w:p>
          <w:p w14:paraId="2DAA745F" w14:textId="77777777" w:rsidR="004A300C" w:rsidRPr="00F94FEF" w:rsidRDefault="004A300C" w:rsidP="004A300C">
            <w:pPr>
              <w:rPr>
                <w:lang w:eastAsia="en-US"/>
              </w:rPr>
            </w:pPr>
          </w:p>
          <w:p w14:paraId="7F3F3687" w14:textId="77777777" w:rsidR="004A300C" w:rsidRPr="00F94FEF" w:rsidRDefault="004A300C" w:rsidP="004A300C">
            <w:pPr>
              <w:rPr>
                <w:lang w:eastAsia="en-US"/>
              </w:rPr>
            </w:pPr>
          </w:p>
          <w:p w14:paraId="371BC6F7" w14:textId="77777777" w:rsidR="004A300C" w:rsidRPr="00F94FEF" w:rsidRDefault="004A300C" w:rsidP="004A300C">
            <w:pPr>
              <w:rPr>
                <w:lang w:eastAsia="en-US"/>
              </w:rPr>
            </w:pPr>
          </w:p>
          <w:p w14:paraId="3FACB730" w14:textId="77777777" w:rsidR="004A300C" w:rsidRPr="00F94FEF" w:rsidRDefault="004A300C" w:rsidP="004A300C">
            <w:pPr>
              <w:rPr>
                <w:lang w:eastAsia="en-US"/>
              </w:rPr>
            </w:pPr>
          </w:p>
          <w:p w14:paraId="5FFC94E3" w14:textId="77777777" w:rsidR="004A300C" w:rsidRPr="00F94FEF" w:rsidRDefault="004A300C" w:rsidP="004A300C">
            <w:pPr>
              <w:rPr>
                <w:lang w:eastAsia="en-US"/>
              </w:rPr>
            </w:pPr>
          </w:p>
          <w:p w14:paraId="77E8AA3E" w14:textId="77777777" w:rsidR="004A300C" w:rsidRPr="00F94FEF" w:rsidRDefault="004A300C" w:rsidP="004A300C">
            <w:pPr>
              <w:rPr>
                <w:lang w:eastAsia="en-US"/>
              </w:rPr>
            </w:pPr>
          </w:p>
          <w:p w14:paraId="33D80E4D" w14:textId="77777777" w:rsidR="004A300C" w:rsidRPr="00F94FEF" w:rsidRDefault="004A300C" w:rsidP="004A300C">
            <w:pPr>
              <w:rPr>
                <w:lang w:eastAsia="en-US"/>
              </w:rPr>
            </w:pPr>
          </w:p>
          <w:p w14:paraId="02A96A88" w14:textId="77777777" w:rsidR="004A300C" w:rsidRPr="00F94FEF" w:rsidRDefault="004A300C" w:rsidP="004A300C">
            <w:pPr>
              <w:rPr>
                <w:lang w:eastAsia="en-US"/>
              </w:rPr>
            </w:pPr>
          </w:p>
          <w:p w14:paraId="38688C9E" w14:textId="77777777" w:rsidR="004A300C" w:rsidRPr="00F94FEF" w:rsidRDefault="004A300C" w:rsidP="004A300C">
            <w:pPr>
              <w:rPr>
                <w:lang w:eastAsia="en-US"/>
              </w:rPr>
            </w:pPr>
          </w:p>
          <w:p w14:paraId="1DE75F7F" w14:textId="77777777" w:rsidR="004A300C" w:rsidRPr="00F94FEF" w:rsidRDefault="004A300C" w:rsidP="004A300C">
            <w:pPr>
              <w:rPr>
                <w:lang w:eastAsia="en-US"/>
              </w:rPr>
            </w:pPr>
          </w:p>
          <w:p w14:paraId="50474A4D" w14:textId="77777777" w:rsidR="00750FB6" w:rsidRPr="00F94FEF" w:rsidRDefault="00750FB6" w:rsidP="004A300C">
            <w:pPr>
              <w:jc w:val="right"/>
              <w:rPr>
                <w:lang w:eastAsia="en-US"/>
              </w:rPr>
            </w:pPr>
          </w:p>
        </w:tc>
        <w:tc>
          <w:tcPr>
            <w:tcW w:w="6956" w:type="dxa"/>
            <w:tcBorders>
              <w:top w:val="single" w:sz="4" w:space="0" w:color="auto"/>
              <w:left w:val="single" w:sz="4" w:space="0" w:color="auto"/>
              <w:bottom w:val="single" w:sz="4" w:space="0" w:color="auto"/>
              <w:right w:val="single" w:sz="4" w:space="0" w:color="auto"/>
            </w:tcBorders>
            <w:shd w:val="clear" w:color="auto" w:fill="auto"/>
            <w:hideMark/>
          </w:tcPr>
          <w:p w14:paraId="1AF8F4AE" w14:textId="4410673E" w:rsidR="00D84273" w:rsidRPr="00874D98" w:rsidRDefault="005165A8" w:rsidP="00D84273">
            <w:pPr>
              <w:spacing w:after="120"/>
              <w:jc w:val="both"/>
              <w:rPr>
                <w:rFonts w:eastAsia="Times New Roman"/>
              </w:rPr>
            </w:pPr>
            <w:r w:rsidRPr="00874D98">
              <w:rPr>
                <w:rFonts w:eastAsia="Times New Roman"/>
              </w:rPr>
              <w:t>1. Lai ierobežotu</w:t>
            </w:r>
            <w:r w:rsidRPr="00874D98">
              <w:t xml:space="preserve"> </w:t>
            </w:r>
            <w:r w:rsidR="00D84273" w:rsidRPr="00874D98">
              <w:rPr>
                <w:rFonts w:eastAsia="Times New Roman"/>
              </w:rPr>
              <w:t xml:space="preserve">COVID-19 izplatību Latvijā, MK </w:t>
            </w:r>
            <w:r w:rsidR="005D5084" w:rsidRPr="00874D98">
              <w:rPr>
                <w:rFonts w:eastAsia="Times New Roman"/>
              </w:rPr>
              <w:t>2020. gada 6. novembrī atkārtoti</w:t>
            </w:r>
            <w:r w:rsidR="005D5084" w:rsidRPr="00874D98">
              <w:rPr>
                <w:rStyle w:val="FootnoteReference"/>
                <w:rFonts w:eastAsia="Times New Roman"/>
              </w:rPr>
              <w:footnoteReference w:id="3"/>
            </w:r>
            <w:r w:rsidR="005D5084" w:rsidRPr="00874D98">
              <w:rPr>
                <w:rFonts w:eastAsia="Times New Roman"/>
              </w:rPr>
              <w:t xml:space="preserve"> izsludināja ārkārtējo situāciju</w:t>
            </w:r>
            <w:r w:rsidR="005D5084" w:rsidRPr="00874D98">
              <w:rPr>
                <w:rStyle w:val="FootnoteReference"/>
                <w:rFonts w:eastAsia="Times New Roman"/>
              </w:rPr>
              <w:footnoteReference w:id="4"/>
            </w:r>
            <w:r w:rsidR="005D5084" w:rsidRPr="00874D98">
              <w:rPr>
                <w:rFonts w:eastAsia="Times New Roman"/>
              </w:rPr>
              <w:t xml:space="preserve"> Latvi</w:t>
            </w:r>
            <w:r w:rsidR="00F80B52" w:rsidRPr="00874D98">
              <w:rPr>
                <w:rFonts w:eastAsia="Times New Roman"/>
              </w:rPr>
              <w:t>jā līdz 2020. gada 6. decembrim, kas pagarin</w:t>
            </w:r>
            <w:r w:rsidR="00251C50">
              <w:rPr>
                <w:rFonts w:eastAsia="Times New Roman"/>
              </w:rPr>
              <w:t xml:space="preserve">āta līdz 2021. gada </w:t>
            </w:r>
            <w:r w:rsidR="00A65FD2">
              <w:rPr>
                <w:rFonts w:eastAsia="Times New Roman"/>
              </w:rPr>
              <w:t>8. aprīlim</w:t>
            </w:r>
            <w:bookmarkStart w:id="0" w:name="_GoBack"/>
            <w:bookmarkEnd w:id="0"/>
            <w:r w:rsidR="00F80B52" w:rsidRPr="00874D98">
              <w:rPr>
                <w:rFonts w:eastAsia="Times New Roman"/>
              </w:rPr>
              <w:t>.</w:t>
            </w:r>
            <w:r w:rsidR="005D5084" w:rsidRPr="00874D98">
              <w:rPr>
                <w:rFonts w:eastAsia="Times New Roman"/>
              </w:rPr>
              <w:t xml:space="preserve"> </w:t>
            </w:r>
            <w:r w:rsidR="00D84273" w:rsidRPr="00874D98">
              <w:rPr>
                <w:rFonts w:eastAsia="Times New Roman"/>
              </w:rPr>
              <w:t xml:space="preserve">Latvijā ieviestie drošības pasākumi un ierobežojumi sakarā ar ārkārtējo situāciju, kā arī pasākumi, ko īsteno citas valstis COVID-19 izplatības ierobežošanai, negatīvi ietekmē Latvijas tautsaimniecības attīstību. Ņemot vērā minēto, </w:t>
            </w:r>
            <w:r w:rsidR="008E3999" w:rsidRPr="00874D98">
              <w:rPr>
                <w:rFonts w:eastAsia="Times New Roman"/>
              </w:rPr>
              <w:t xml:space="preserve">Eiropas Savienības </w:t>
            </w:r>
            <w:r w:rsidR="00F80B52" w:rsidRPr="00874D98">
              <w:rPr>
                <w:rFonts w:eastAsia="Times New Roman"/>
              </w:rPr>
              <w:t xml:space="preserve">(turpmāk – ES) </w:t>
            </w:r>
            <w:r w:rsidR="00D84273" w:rsidRPr="00874D98">
              <w:rPr>
                <w:rFonts w:eastAsia="Times New Roman"/>
              </w:rPr>
              <w:t xml:space="preserve">fondu finansējumu nepieciešams novirzīt </w:t>
            </w:r>
            <w:r w:rsidR="00F80B52" w:rsidRPr="00874D98">
              <w:rPr>
                <w:rFonts w:eastAsia="Times New Roman"/>
              </w:rPr>
              <w:t>pēc iespējas augstākas</w:t>
            </w:r>
            <w:r w:rsidR="00D84273" w:rsidRPr="00874D98">
              <w:rPr>
                <w:rFonts w:eastAsia="Times New Roman"/>
              </w:rPr>
              <w:t xml:space="preserve"> gatavības un efektīvākajiem </w:t>
            </w:r>
            <w:r w:rsidR="00B47E2A" w:rsidRPr="00874D98">
              <w:t xml:space="preserve">degradēto teritoriju atjaunošanas </w:t>
            </w:r>
            <w:r w:rsidR="00D84273" w:rsidRPr="00874D98">
              <w:rPr>
                <w:rFonts w:eastAsia="Times New Roman"/>
              </w:rPr>
              <w:t xml:space="preserve">projektiem, kas var radīt jaunas darba vietas, atbalstīt vietējos ražotājus un pakalpojumu sniedzējus, kā arī piesaistīt privātās investīcijas reģionos. </w:t>
            </w:r>
          </w:p>
          <w:p w14:paraId="5BCF6A76" w14:textId="72491BCA" w:rsidR="00D84273" w:rsidRPr="00874D98" w:rsidRDefault="00D84273" w:rsidP="00D84273">
            <w:pPr>
              <w:spacing w:after="120"/>
              <w:jc w:val="both"/>
            </w:pPr>
            <w:r w:rsidRPr="00874D98">
              <w:t>Tā kā 5.6.2. SAM pirmajā, otraj</w:t>
            </w:r>
            <w:r w:rsidR="00984ECE" w:rsidRPr="00874D98">
              <w:t>ā un</w:t>
            </w:r>
            <w:r w:rsidRPr="00874D98">
              <w:t xml:space="preserve"> trešajā atlases kārtā </w:t>
            </w:r>
            <w:r w:rsidR="00984ECE" w:rsidRPr="00874D98">
              <w:t xml:space="preserve">projektu iesniegumu iesniegšana </w:t>
            </w:r>
            <w:r w:rsidR="00984ECE" w:rsidRPr="00B7483A">
              <w:t>noslēdzās</w:t>
            </w:r>
            <w:r w:rsidRPr="00B7483A">
              <w:t xml:space="preserve"> 2020. gada 1. mart</w:t>
            </w:r>
            <w:r w:rsidR="004911CB" w:rsidRPr="00B7483A">
              <w:t>ā</w:t>
            </w:r>
            <w:r w:rsidR="00E8201E" w:rsidRPr="00B7483A">
              <w:t>,</w:t>
            </w:r>
            <w:r w:rsidRPr="00B7483A">
              <w:t xml:space="preserve"> noteikumu projekts paredz </w:t>
            </w:r>
            <w:r w:rsidR="00B47E2A" w:rsidRPr="00B7483A">
              <w:t xml:space="preserve">par </w:t>
            </w:r>
            <w:r w:rsidRPr="00B7483A">
              <w:t>neizmantoto ERAF finansējumu (dati uz 202</w:t>
            </w:r>
            <w:r w:rsidR="00151DB1" w:rsidRPr="00B7483A">
              <w:t>1</w:t>
            </w:r>
            <w:r w:rsidRPr="00B7483A">
              <w:t xml:space="preserve">. gada </w:t>
            </w:r>
            <w:r w:rsidR="005C36E8" w:rsidRPr="00B7483A">
              <w:t>1. februāri</w:t>
            </w:r>
            <w:r w:rsidRPr="00B7483A">
              <w:t xml:space="preserve">) </w:t>
            </w:r>
            <w:r w:rsidR="00151DB1" w:rsidRPr="00B7483A">
              <w:rPr>
                <w:rFonts w:eastAsia="Times New Roman"/>
                <w:bCs/>
                <w:color w:val="000000"/>
              </w:rPr>
              <w:t>15 145</w:t>
            </w:r>
            <w:r w:rsidR="00151DB1" w:rsidRPr="00AE6ED3">
              <w:rPr>
                <w:rFonts w:eastAsia="Times New Roman"/>
                <w:bCs/>
                <w:color w:val="000000"/>
              </w:rPr>
              <w:t> 093</w:t>
            </w:r>
            <w:r w:rsidR="00022922" w:rsidRPr="00874D98">
              <w:t xml:space="preserve"> </w:t>
            </w:r>
            <w:proofErr w:type="spellStart"/>
            <w:r w:rsidRPr="00874D98">
              <w:rPr>
                <w:i/>
              </w:rPr>
              <w:t>euro</w:t>
            </w:r>
            <w:proofErr w:type="spellEnd"/>
            <w:r w:rsidR="007B313B">
              <w:rPr>
                <w:rStyle w:val="FootnoteReference"/>
                <w:i/>
              </w:rPr>
              <w:footnoteReference w:id="5"/>
            </w:r>
            <w:r w:rsidRPr="00874D98">
              <w:t xml:space="preserve"> apmērā, kas radies </w:t>
            </w:r>
            <w:r w:rsidRPr="00874D98">
              <w:rPr>
                <w:color w:val="2A2A2A"/>
              </w:rPr>
              <w:t xml:space="preserve">5.6.2. SAM </w:t>
            </w:r>
            <w:r w:rsidRPr="00874D98">
              <w:t xml:space="preserve">pirmās, otrās un trešās atlases kārtas </w:t>
            </w:r>
            <w:r w:rsidRPr="00874D98">
              <w:rPr>
                <w:color w:val="2A2A2A"/>
              </w:rPr>
              <w:t>ietvaros pēc 2020. gada 31. jūlija un par kuru CFLA līdz 2020. gada 31. augustam nav ar 5.6.2. SAM finansējuma saņēmēj</w:t>
            </w:r>
            <w:r w:rsidR="004E7B0E" w:rsidRPr="00874D98">
              <w:rPr>
                <w:color w:val="2A2A2A"/>
              </w:rPr>
              <w:t>iem</w:t>
            </w:r>
            <w:r w:rsidRPr="00874D98">
              <w:rPr>
                <w:color w:val="2A2A2A"/>
              </w:rPr>
              <w:t xml:space="preserve"> noslēgusi vienošanās par projekt</w:t>
            </w:r>
            <w:r w:rsidR="004E7B0E" w:rsidRPr="00874D98">
              <w:rPr>
                <w:color w:val="2A2A2A"/>
              </w:rPr>
              <w:t>u</w:t>
            </w:r>
            <w:r w:rsidRPr="00874D98">
              <w:rPr>
                <w:color w:val="2A2A2A"/>
              </w:rPr>
              <w:t xml:space="preserve"> īstenošanu</w:t>
            </w:r>
            <w:r w:rsidRPr="00874D98">
              <w:rPr>
                <w:rStyle w:val="FootnoteReference"/>
                <w:color w:val="2A2A2A"/>
              </w:rPr>
              <w:footnoteReference w:id="6"/>
            </w:r>
            <w:r w:rsidRPr="00874D98">
              <w:rPr>
                <w:color w:val="2A2A2A"/>
              </w:rPr>
              <w:t xml:space="preserve"> vai </w:t>
            </w:r>
            <w:r w:rsidR="00E11783" w:rsidRPr="00874D98">
              <w:rPr>
                <w:color w:val="2A2A2A"/>
              </w:rPr>
              <w:t xml:space="preserve">finansējuma saņēmējs </w:t>
            </w:r>
            <w:r w:rsidR="00B47E2A" w:rsidRPr="00874D98">
              <w:rPr>
                <w:color w:val="2A2A2A"/>
              </w:rPr>
              <w:t xml:space="preserve">līdz 2020. gada 22. oktobrim </w:t>
            </w:r>
            <w:r w:rsidR="00E11783" w:rsidRPr="00874D98">
              <w:rPr>
                <w:color w:val="2A2A2A"/>
              </w:rPr>
              <w:t xml:space="preserve">nav ierosinājis </w:t>
            </w:r>
            <w:r w:rsidRPr="00874D98">
              <w:rPr>
                <w:color w:val="2A2A2A"/>
              </w:rPr>
              <w:t>veik</w:t>
            </w:r>
            <w:r w:rsidR="00E11783" w:rsidRPr="00874D98">
              <w:rPr>
                <w:color w:val="2A2A2A"/>
              </w:rPr>
              <w:t>t</w:t>
            </w:r>
            <w:r w:rsidRPr="00874D98">
              <w:rPr>
                <w:color w:val="2A2A2A"/>
              </w:rPr>
              <w:t xml:space="preserve"> grozījumus kādā jau noslēgtajā vienošanā par projekta īstenošanu, ar kuriem 5.6.2. SAM finansējuma saņēmējs ir izrādījis interesi projektu papildināt ar jaunu darbību vai esošai darbībai palielināt </w:t>
            </w:r>
            <w:r w:rsidR="00937E6E" w:rsidRPr="00874D98">
              <w:rPr>
                <w:color w:val="2A2A2A"/>
              </w:rPr>
              <w:t>tvērumu</w:t>
            </w:r>
            <w:r w:rsidRPr="00874D98">
              <w:rPr>
                <w:color w:val="2A2A2A"/>
              </w:rPr>
              <w:t>, piemēram, pagarināt projekta ietvaros pārbūvējamo ielas garumu par pašvaldības neizmantoto ERAF kvotas apmēru,</w:t>
            </w:r>
            <w:r w:rsidR="003E63A2" w:rsidRPr="00874D98">
              <w:rPr>
                <w:color w:val="2A2A2A"/>
              </w:rPr>
              <w:t xml:space="preserve"> </w:t>
            </w:r>
            <w:r w:rsidR="008163CF" w:rsidRPr="00874D98">
              <w:rPr>
                <w:color w:val="2A2A2A"/>
              </w:rPr>
              <w:t xml:space="preserve">novirzīt </w:t>
            </w:r>
            <w:r w:rsidR="003E63A2" w:rsidRPr="00874D98">
              <w:rPr>
                <w:color w:val="2A2A2A"/>
              </w:rPr>
              <w:t xml:space="preserve">uz </w:t>
            </w:r>
            <w:r w:rsidR="00B47E2A" w:rsidRPr="00874D98">
              <w:rPr>
                <w:color w:val="2A2A2A"/>
              </w:rPr>
              <w:t>5.6.2</w:t>
            </w:r>
            <w:r w:rsidR="003E63A2" w:rsidRPr="00874D98">
              <w:rPr>
                <w:color w:val="2A2A2A"/>
              </w:rPr>
              <w:t>.SAM</w:t>
            </w:r>
            <w:r w:rsidRPr="00874D98">
              <w:rPr>
                <w:color w:val="2A2A2A"/>
              </w:rPr>
              <w:t xml:space="preserve"> ceturto atlases kārtu, attiecīgi precizējot </w:t>
            </w:r>
            <w:r w:rsidR="009D58D2" w:rsidRPr="00874D98">
              <w:rPr>
                <w:color w:val="2A2A2A"/>
              </w:rPr>
              <w:t>5.6.2</w:t>
            </w:r>
            <w:r w:rsidRPr="00874D98">
              <w:rPr>
                <w:color w:val="2A2A2A"/>
              </w:rPr>
              <w:t>. SAM pirmās, otrās un tr</w:t>
            </w:r>
            <w:r w:rsidR="00B71E02" w:rsidRPr="00874D98">
              <w:rPr>
                <w:color w:val="2A2A2A"/>
              </w:rPr>
              <w:t>ešās atlases kārtas finansējumu, kopējo nacionālo finansējumu un specifiskā atbalsta ietvaros plānoto finansējumu.</w:t>
            </w:r>
            <w:r w:rsidR="009D58D2" w:rsidRPr="00874D98">
              <w:rPr>
                <w:color w:val="2A2A2A"/>
              </w:rPr>
              <w:t xml:space="preserve"> 5.6.2. SAM </w:t>
            </w:r>
            <w:r w:rsidR="00CD337F" w:rsidRPr="00874D98">
              <w:rPr>
                <w:color w:val="2A2A2A"/>
              </w:rPr>
              <w:t>projektu īstenošana</w:t>
            </w:r>
            <w:r w:rsidRPr="00874D98">
              <w:rPr>
                <w:color w:val="2A2A2A"/>
              </w:rPr>
              <w:t xml:space="preserve"> </w:t>
            </w:r>
            <w:r w:rsidR="009D58D2" w:rsidRPr="00874D98">
              <w:rPr>
                <w:color w:val="2A2A2A"/>
              </w:rPr>
              <w:t>ir būtiska, ņemot vērā šo</w:t>
            </w:r>
            <w:r w:rsidRPr="00874D98">
              <w:rPr>
                <w:color w:val="2A2A2A"/>
              </w:rPr>
              <w:t xml:space="preserve"> specifiskā atbalsta mērķi - </w:t>
            </w:r>
            <w:r w:rsidR="00CD337F" w:rsidRPr="00874D98">
              <w:rPr>
                <w:color w:val="2A2A2A"/>
              </w:rPr>
              <w:t xml:space="preserve">teritoriju </w:t>
            </w:r>
            <w:proofErr w:type="spellStart"/>
            <w:r w:rsidR="00CD337F" w:rsidRPr="00874D98">
              <w:rPr>
                <w:color w:val="2A2A2A"/>
              </w:rPr>
              <w:t>revitalizācija</w:t>
            </w:r>
            <w:proofErr w:type="spellEnd"/>
            <w:r w:rsidR="00CD337F" w:rsidRPr="00874D98">
              <w:rPr>
                <w:color w:val="2A2A2A"/>
              </w:rPr>
              <w:t xml:space="preserve">, reģenerējot degradētās teritorijas atbilstoši pašvaldību attīstības programmām, </w:t>
            </w:r>
            <w:r w:rsidR="00CD337F" w:rsidRPr="000D0DC0">
              <w:rPr>
                <w:color w:val="2A2A2A"/>
              </w:rPr>
              <w:t>nodrošinot videi draudzīgu un vides ilgtspēju veicinošu teritoriālo izaugsmi un jaunu darba vietu radīšanu</w:t>
            </w:r>
            <w:r w:rsidRPr="000D0DC0">
              <w:rPr>
                <w:color w:val="2A2A2A"/>
              </w:rPr>
              <w:t>.</w:t>
            </w:r>
            <w:r w:rsidRPr="000D0DC0">
              <w:t xml:space="preserve"> </w:t>
            </w:r>
            <w:r w:rsidR="00CD337F" w:rsidRPr="000D0DC0">
              <w:t>5.6.2</w:t>
            </w:r>
            <w:r w:rsidRPr="000D0DC0">
              <w:t>. SAM ietvaros atbalst</w:t>
            </w:r>
            <w:r w:rsidR="004E7B0E" w:rsidRPr="000D0DC0">
              <w:t>s</w:t>
            </w:r>
            <w:r w:rsidRPr="000D0DC0">
              <w:t xml:space="preserve"> paredzēts komersantu vajadzībām nepieciešamās publiskās infrastruktūras attīstībai</w:t>
            </w:r>
            <w:r w:rsidR="00CD337F" w:rsidRPr="000D0DC0">
              <w:t xml:space="preserve"> degradētajās teritorijās</w:t>
            </w:r>
            <w:r w:rsidRPr="000D0DC0">
              <w:t>, kas īpaši svarīgi COVID-19</w:t>
            </w:r>
            <w:r w:rsidRPr="00874D98">
              <w:t xml:space="preserve"> seku mazināšanai reģionos, tas ļautu komersantiem uzsākt, paplašināt vai pārorientēt komercdarbību, </w:t>
            </w:r>
            <w:r w:rsidRPr="00874D98">
              <w:lastRenderedPageBreak/>
              <w:t xml:space="preserve">atslogojot no nepieciešamības veikt ieguldījumus ražošanai un pakalpojumu sniegšanai nepieciešamajās ēkās, teritorijās un industriālo </w:t>
            </w:r>
            <w:proofErr w:type="spellStart"/>
            <w:r w:rsidRPr="00874D98">
              <w:t>pieslēgumu</w:t>
            </w:r>
            <w:proofErr w:type="spellEnd"/>
            <w:r w:rsidRPr="00874D98">
              <w:t xml:space="preserve"> infrastruktūrā. </w:t>
            </w:r>
          </w:p>
          <w:p w14:paraId="65D2CD04" w14:textId="3ECAB7B0" w:rsidR="007D541F" w:rsidRPr="00B7483A" w:rsidRDefault="009D58D2" w:rsidP="009D58D2">
            <w:pPr>
              <w:pStyle w:val="ListParagraph"/>
              <w:spacing w:after="120"/>
              <w:ind w:left="0"/>
              <w:contextualSpacing w:val="0"/>
              <w:jc w:val="both"/>
              <w:rPr>
                <w:sz w:val="24"/>
                <w:szCs w:val="24"/>
              </w:rPr>
            </w:pPr>
            <w:r w:rsidRPr="00B7483A">
              <w:rPr>
                <w:sz w:val="24"/>
                <w:szCs w:val="24"/>
              </w:rPr>
              <w:t xml:space="preserve">Neizmantoto ERAF finansējumu veido šāds ERAF finansējums (dati uz </w:t>
            </w:r>
            <w:r w:rsidR="00952D26" w:rsidRPr="00B7483A">
              <w:rPr>
                <w:sz w:val="24"/>
                <w:szCs w:val="24"/>
              </w:rPr>
              <w:t>202</w:t>
            </w:r>
            <w:r w:rsidR="00151DB1" w:rsidRPr="00B7483A">
              <w:rPr>
                <w:sz w:val="24"/>
                <w:szCs w:val="24"/>
              </w:rPr>
              <w:t>1</w:t>
            </w:r>
            <w:r w:rsidR="00952D26" w:rsidRPr="00B7483A">
              <w:rPr>
                <w:sz w:val="24"/>
                <w:szCs w:val="24"/>
              </w:rPr>
              <w:t xml:space="preserve">. gada </w:t>
            </w:r>
            <w:r w:rsidR="005C36E8" w:rsidRPr="00B7483A">
              <w:rPr>
                <w:sz w:val="24"/>
                <w:szCs w:val="24"/>
              </w:rPr>
              <w:t>1. februāri</w:t>
            </w:r>
            <w:r w:rsidRPr="00B7483A">
              <w:rPr>
                <w:sz w:val="24"/>
                <w:szCs w:val="24"/>
              </w:rPr>
              <w:t>):</w:t>
            </w:r>
          </w:p>
          <w:tbl>
            <w:tblPr>
              <w:tblW w:w="6278" w:type="dxa"/>
              <w:tblLook w:val="04A0" w:firstRow="1" w:lastRow="0" w:firstColumn="1" w:lastColumn="0" w:noHBand="0" w:noVBand="1"/>
            </w:tblPr>
            <w:tblGrid>
              <w:gridCol w:w="2381"/>
              <w:gridCol w:w="1192"/>
              <w:gridCol w:w="1216"/>
              <w:gridCol w:w="1489"/>
            </w:tblGrid>
            <w:tr w:rsidR="005C36E8" w:rsidRPr="005C36E8" w14:paraId="504410FE" w14:textId="77777777" w:rsidTr="005C36E8">
              <w:trPr>
                <w:trHeight w:val="266"/>
              </w:trPr>
              <w:tc>
                <w:tcPr>
                  <w:tcW w:w="2381" w:type="dxa"/>
                  <w:vMerge w:val="restart"/>
                  <w:tcBorders>
                    <w:top w:val="single" w:sz="4" w:space="0" w:color="auto"/>
                    <w:left w:val="single" w:sz="4" w:space="0" w:color="auto"/>
                    <w:bottom w:val="single" w:sz="4" w:space="0" w:color="000000"/>
                    <w:right w:val="single" w:sz="4" w:space="0" w:color="auto"/>
                  </w:tcBorders>
                  <w:shd w:val="clear" w:color="000000" w:fill="B4C6E7"/>
                  <w:vAlign w:val="center"/>
                  <w:hideMark/>
                </w:tcPr>
                <w:p w14:paraId="31071027" w14:textId="77777777" w:rsidR="005C36E8" w:rsidRPr="00AE6ED3" w:rsidRDefault="005C36E8" w:rsidP="005C36E8">
                  <w:pPr>
                    <w:jc w:val="center"/>
                    <w:rPr>
                      <w:rFonts w:eastAsia="Times New Roman"/>
                      <w:b/>
                      <w:bCs/>
                      <w:color w:val="000000"/>
                      <w:sz w:val="18"/>
                      <w:szCs w:val="18"/>
                    </w:rPr>
                  </w:pPr>
                  <w:r w:rsidRPr="00AE6ED3">
                    <w:rPr>
                      <w:rFonts w:eastAsia="Times New Roman"/>
                      <w:b/>
                      <w:bCs/>
                      <w:color w:val="000000"/>
                      <w:sz w:val="18"/>
                      <w:szCs w:val="18"/>
                    </w:rPr>
                    <w:t>SAM / pasākums / projektu atlases kārta</w:t>
                  </w:r>
                </w:p>
              </w:tc>
              <w:tc>
                <w:tcPr>
                  <w:tcW w:w="1182" w:type="dxa"/>
                  <w:vMerge w:val="restart"/>
                  <w:tcBorders>
                    <w:top w:val="single" w:sz="4" w:space="0" w:color="auto"/>
                    <w:left w:val="single" w:sz="4" w:space="0" w:color="auto"/>
                    <w:bottom w:val="single" w:sz="4" w:space="0" w:color="000000"/>
                    <w:right w:val="single" w:sz="4" w:space="0" w:color="auto"/>
                  </w:tcBorders>
                  <w:shd w:val="clear" w:color="000000" w:fill="B4C6E7"/>
                  <w:vAlign w:val="center"/>
                  <w:hideMark/>
                </w:tcPr>
                <w:p w14:paraId="77036E99" w14:textId="77777777" w:rsidR="005C36E8" w:rsidRPr="00AE6ED3" w:rsidRDefault="005C36E8" w:rsidP="005C36E8">
                  <w:pPr>
                    <w:jc w:val="center"/>
                    <w:rPr>
                      <w:rFonts w:eastAsia="Times New Roman"/>
                      <w:b/>
                      <w:bCs/>
                      <w:color w:val="000000"/>
                      <w:sz w:val="18"/>
                      <w:szCs w:val="18"/>
                    </w:rPr>
                  </w:pPr>
                  <w:r w:rsidRPr="00AE6ED3">
                    <w:rPr>
                      <w:rFonts w:eastAsia="Times New Roman"/>
                      <w:b/>
                      <w:bCs/>
                      <w:color w:val="000000"/>
                      <w:sz w:val="18"/>
                      <w:szCs w:val="18"/>
                    </w:rPr>
                    <w:t xml:space="preserve">ERAF finansējums, </w:t>
                  </w:r>
                  <w:proofErr w:type="spellStart"/>
                  <w:r w:rsidRPr="00AE6ED3">
                    <w:rPr>
                      <w:rFonts w:eastAsia="Times New Roman"/>
                      <w:b/>
                      <w:bCs/>
                      <w:i/>
                      <w:iCs/>
                      <w:color w:val="000000"/>
                      <w:sz w:val="18"/>
                      <w:szCs w:val="18"/>
                    </w:rPr>
                    <w:t>euro</w:t>
                  </w:r>
                  <w:proofErr w:type="spellEnd"/>
                  <w:r w:rsidRPr="00AE6ED3">
                    <w:rPr>
                      <w:rFonts w:eastAsia="Times New Roman"/>
                      <w:b/>
                      <w:bCs/>
                      <w:color w:val="000000"/>
                      <w:sz w:val="18"/>
                      <w:szCs w:val="18"/>
                    </w:rPr>
                    <w:t>*</w:t>
                  </w:r>
                </w:p>
              </w:tc>
              <w:tc>
                <w:tcPr>
                  <w:tcW w:w="1215" w:type="dxa"/>
                  <w:vMerge w:val="restart"/>
                  <w:tcBorders>
                    <w:top w:val="single" w:sz="4" w:space="0" w:color="auto"/>
                    <w:left w:val="single" w:sz="4" w:space="0" w:color="auto"/>
                    <w:bottom w:val="single" w:sz="4" w:space="0" w:color="000000"/>
                    <w:right w:val="single" w:sz="4" w:space="0" w:color="auto"/>
                  </w:tcBorders>
                  <w:shd w:val="clear" w:color="000000" w:fill="B4C6E7"/>
                  <w:vAlign w:val="center"/>
                  <w:hideMark/>
                </w:tcPr>
                <w:p w14:paraId="59B6D9E4" w14:textId="77777777" w:rsidR="005C36E8" w:rsidRPr="00AE6ED3" w:rsidRDefault="005C36E8" w:rsidP="005C36E8">
                  <w:pPr>
                    <w:jc w:val="center"/>
                    <w:rPr>
                      <w:rFonts w:eastAsia="Times New Roman"/>
                      <w:b/>
                      <w:bCs/>
                      <w:color w:val="000000"/>
                      <w:sz w:val="18"/>
                      <w:szCs w:val="18"/>
                    </w:rPr>
                  </w:pPr>
                  <w:r w:rsidRPr="00AE6ED3">
                    <w:rPr>
                      <w:rFonts w:eastAsia="Times New Roman"/>
                      <w:b/>
                      <w:bCs/>
                      <w:color w:val="000000"/>
                      <w:sz w:val="18"/>
                      <w:szCs w:val="18"/>
                    </w:rPr>
                    <w:t xml:space="preserve"> ERAF finansējums projektos, </w:t>
                  </w:r>
                  <w:proofErr w:type="spellStart"/>
                  <w:r w:rsidRPr="00AE6ED3">
                    <w:rPr>
                      <w:rFonts w:eastAsia="Times New Roman"/>
                      <w:b/>
                      <w:bCs/>
                      <w:i/>
                      <w:iCs/>
                      <w:color w:val="000000"/>
                      <w:sz w:val="18"/>
                      <w:szCs w:val="18"/>
                    </w:rPr>
                    <w:t>euro</w:t>
                  </w:r>
                  <w:proofErr w:type="spellEnd"/>
                  <w:r w:rsidRPr="00AE6ED3">
                    <w:rPr>
                      <w:rFonts w:eastAsia="Times New Roman"/>
                      <w:b/>
                      <w:bCs/>
                      <w:color w:val="000000"/>
                      <w:sz w:val="18"/>
                      <w:szCs w:val="18"/>
                    </w:rPr>
                    <w:t>**</w:t>
                  </w:r>
                </w:p>
              </w:tc>
              <w:tc>
                <w:tcPr>
                  <w:tcW w:w="1498" w:type="dxa"/>
                  <w:vMerge w:val="restart"/>
                  <w:tcBorders>
                    <w:top w:val="single" w:sz="4" w:space="0" w:color="auto"/>
                    <w:left w:val="single" w:sz="4" w:space="0" w:color="auto"/>
                    <w:bottom w:val="single" w:sz="4" w:space="0" w:color="000000"/>
                    <w:right w:val="single" w:sz="4" w:space="0" w:color="auto"/>
                  </w:tcBorders>
                  <w:shd w:val="clear" w:color="000000" w:fill="B4C6E7"/>
                  <w:vAlign w:val="center"/>
                  <w:hideMark/>
                </w:tcPr>
                <w:p w14:paraId="56D1F8D6" w14:textId="77777777" w:rsidR="005C36E8" w:rsidRPr="00AE6ED3" w:rsidRDefault="005C36E8" w:rsidP="005C36E8">
                  <w:pPr>
                    <w:jc w:val="center"/>
                    <w:rPr>
                      <w:rFonts w:eastAsia="Times New Roman"/>
                      <w:b/>
                      <w:bCs/>
                      <w:color w:val="000000"/>
                      <w:sz w:val="18"/>
                      <w:szCs w:val="18"/>
                    </w:rPr>
                  </w:pPr>
                  <w:r w:rsidRPr="00AE6ED3">
                    <w:rPr>
                      <w:rFonts w:eastAsia="Times New Roman"/>
                      <w:b/>
                      <w:bCs/>
                      <w:color w:val="000000"/>
                      <w:sz w:val="18"/>
                      <w:szCs w:val="18"/>
                    </w:rPr>
                    <w:t xml:space="preserve"> ERAF finansējuma atlikums, </w:t>
                  </w:r>
                  <w:proofErr w:type="spellStart"/>
                  <w:r w:rsidRPr="00AE6ED3">
                    <w:rPr>
                      <w:rFonts w:eastAsia="Times New Roman"/>
                      <w:b/>
                      <w:bCs/>
                      <w:i/>
                      <w:iCs/>
                      <w:color w:val="000000"/>
                      <w:sz w:val="18"/>
                      <w:szCs w:val="18"/>
                    </w:rPr>
                    <w:t>euro</w:t>
                  </w:r>
                  <w:proofErr w:type="spellEnd"/>
                </w:p>
              </w:tc>
            </w:tr>
            <w:tr w:rsidR="005C36E8" w:rsidRPr="005C36E8" w14:paraId="02BB7A34" w14:textId="77777777" w:rsidTr="005C36E8">
              <w:trPr>
                <w:trHeight w:val="517"/>
              </w:trPr>
              <w:tc>
                <w:tcPr>
                  <w:tcW w:w="2381" w:type="dxa"/>
                  <w:vMerge/>
                  <w:tcBorders>
                    <w:top w:val="single" w:sz="4" w:space="0" w:color="auto"/>
                    <w:left w:val="single" w:sz="4" w:space="0" w:color="auto"/>
                    <w:bottom w:val="single" w:sz="4" w:space="0" w:color="000000"/>
                    <w:right w:val="single" w:sz="4" w:space="0" w:color="auto"/>
                  </w:tcBorders>
                  <w:vAlign w:val="center"/>
                  <w:hideMark/>
                </w:tcPr>
                <w:p w14:paraId="5E4CC5A6" w14:textId="77777777" w:rsidR="005C36E8" w:rsidRPr="00635402" w:rsidRDefault="005C36E8" w:rsidP="005C36E8">
                  <w:pPr>
                    <w:rPr>
                      <w:rFonts w:eastAsia="Times New Roman"/>
                      <w:b/>
                      <w:bCs/>
                      <w:color w:val="000000"/>
                      <w:sz w:val="18"/>
                      <w:szCs w:val="18"/>
                    </w:rPr>
                  </w:pPr>
                </w:p>
              </w:tc>
              <w:tc>
                <w:tcPr>
                  <w:tcW w:w="1182" w:type="dxa"/>
                  <w:vMerge/>
                  <w:tcBorders>
                    <w:top w:val="single" w:sz="4" w:space="0" w:color="auto"/>
                    <w:left w:val="single" w:sz="4" w:space="0" w:color="auto"/>
                    <w:bottom w:val="single" w:sz="4" w:space="0" w:color="000000"/>
                    <w:right w:val="single" w:sz="4" w:space="0" w:color="auto"/>
                  </w:tcBorders>
                  <w:vAlign w:val="center"/>
                  <w:hideMark/>
                </w:tcPr>
                <w:p w14:paraId="4247684A" w14:textId="77777777" w:rsidR="005C36E8" w:rsidRPr="00635402" w:rsidRDefault="005C36E8" w:rsidP="005C36E8">
                  <w:pPr>
                    <w:rPr>
                      <w:rFonts w:eastAsia="Times New Roman"/>
                      <w:b/>
                      <w:bCs/>
                      <w:color w:val="000000"/>
                      <w:sz w:val="18"/>
                      <w:szCs w:val="18"/>
                    </w:rPr>
                  </w:pPr>
                </w:p>
              </w:tc>
              <w:tc>
                <w:tcPr>
                  <w:tcW w:w="1215" w:type="dxa"/>
                  <w:vMerge/>
                  <w:tcBorders>
                    <w:top w:val="single" w:sz="4" w:space="0" w:color="auto"/>
                    <w:left w:val="single" w:sz="4" w:space="0" w:color="auto"/>
                    <w:bottom w:val="single" w:sz="4" w:space="0" w:color="000000"/>
                    <w:right w:val="single" w:sz="4" w:space="0" w:color="auto"/>
                  </w:tcBorders>
                  <w:vAlign w:val="center"/>
                  <w:hideMark/>
                </w:tcPr>
                <w:p w14:paraId="4878C9CE" w14:textId="77777777" w:rsidR="005C36E8" w:rsidRPr="00635402" w:rsidRDefault="005C36E8" w:rsidP="005C36E8">
                  <w:pPr>
                    <w:rPr>
                      <w:rFonts w:eastAsia="Times New Roman"/>
                      <w:b/>
                      <w:bCs/>
                      <w:color w:val="000000"/>
                      <w:sz w:val="18"/>
                      <w:szCs w:val="18"/>
                    </w:rPr>
                  </w:pPr>
                </w:p>
              </w:tc>
              <w:tc>
                <w:tcPr>
                  <w:tcW w:w="1498" w:type="dxa"/>
                  <w:vMerge/>
                  <w:tcBorders>
                    <w:top w:val="single" w:sz="4" w:space="0" w:color="auto"/>
                    <w:left w:val="single" w:sz="4" w:space="0" w:color="auto"/>
                    <w:bottom w:val="single" w:sz="4" w:space="0" w:color="000000"/>
                    <w:right w:val="single" w:sz="4" w:space="0" w:color="auto"/>
                  </w:tcBorders>
                  <w:vAlign w:val="center"/>
                  <w:hideMark/>
                </w:tcPr>
                <w:p w14:paraId="5CE2C564" w14:textId="77777777" w:rsidR="005C36E8" w:rsidRPr="00635402" w:rsidRDefault="005C36E8" w:rsidP="005C36E8">
                  <w:pPr>
                    <w:rPr>
                      <w:rFonts w:eastAsia="Times New Roman"/>
                      <w:b/>
                      <w:bCs/>
                      <w:color w:val="000000"/>
                      <w:sz w:val="18"/>
                      <w:szCs w:val="18"/>
                    </w:rPr>
                  </w:pPr>
                </w:p>
              </w:tc>
            </w:tr>
            <w:tr w:rsidR="005C36E8" w:rsidRPr="005C36E8" w14:paraId="22BF6A7C" w14:textId="77777777" w:rsidTr="005C36E8">
              <w:trPr>
                <w:trHeight w:val="571"/>
              </w:trPr>
              <w:tc>
                <w:tcPr>
                  <w:tcW w:w="2381" w:type="dxa"/>
                  <w:vMerge/>
                  <w:tcBorders>
                    <w:top w:val="single" w:sz="4" w:space="0" w:color="auto"/>
                    <w:left w:val="single" w:sz="4" w:space="0" w:color="auto"/>
                    <w:bottom w:val="single" w:sz="4" w:space="0" w:color="000000"/>
                    <w:right w:val="single" w:sz="4" w:space="0" w:color="auto"/>
                  </w:tcBorders>
                  <w:vAlign w:val="center"/>
                  <w:hideMark/>
                </w:tcPr>
                <w:p w14:paraId="6D4BCD71" w14:textId="77777777" w:rsidR="005C36E8" w:rsidRPr="00635402" w:rsidRDefault="005C36E8" w:rsidP="005C36E8">
                  <w:pPr>
                    <w:rPr>
                      <w:rFonts w:eastAsia="Times New Roman"/>
                      <w:b/>
                      <w:bCs/>
                      <w:color w:val="000000"/>
                      <w:sz w:val="18"/>
                      <w:szCs w:val="18"/>
                    </w:rPr>
                  </w:pPr>
                </w:p>
              </w:tc>
              <w:tc>
                <w:tcPr>
                  <w:tcW w:w="1182" w:type="dxa"/>
                  <w:vMerge/>
                  <w:tcBorders>
                    <w:top w:val="single" w:sz="4" w:space="0" w:color="auto"/>
                    <w:left w:val="single" w:sz="4" w:space="0" w:color="auto"/>
                    <w:bottom w:val="single" w:sz="4" w:space="0" w:color="000000"/>
                    <w:right w:val="single" w:sz="4" w:space="0" w:color="auto"/>
                  </w:tcBorders>
                  <w:vAlign w:val="center"/>
                  <w:hideMark/>
                </w:tcPr>
                <w:p w14:paraId="10155CDF" w14:textId="77777777" w:rsidR="005C36E8" w:rsidRPr="00635402" w:rsidRDefault="005C36E8" w:rsidP="005C36E8">
                  <w:pPr>
                    <w:rPr>
                      <w:rFonts w:eastAsia="Times New Roman"/>
                      <w:b/>
                      <w:bCs/>
                      <w:color w:val="000000"/>
                      <w:sz w:val="18"/>
                      <w:szCs w:val="18"/>
                    </w:rPr>
                  </w:pPr>
                </w:p>
              </w:tc>
              <w:tc>
                <w:tcPr>
                  <w:tcW w:w="1215" w:type="dxa"/>
                  <w:vMerge/>
                  <w:tcBorders>
                    <w:top w:val="single" w:sz="4" w:space="0" w:color="auto"/>
                    <w:left w:val="single" w:sz="4" w:space="0" w:color="auto"/>
                    <w:bottom w:val="single" w:sz="4" w:space="0" w:color="000000"/>
                    <w:right w:val="single" w:sz="4" w:space="0" w:color="auto"/>
                  </w:tcBorders>
                  <w:vAlign w:val="center"/>
                  <w:hideMark/>
                </w:tcPr>
                <w:p w14:paraId="1E9881F3" w14:textId="77777777" w:rsidR="005C36E8" w:rsidRPr="00635402" w:rsidRDefault="005C36E8" w:rsidP="005C36E8">
                  <w:pPr>
                    <w:rPr>
                      <w:rFonts w:eastAsia="Times New Roman"/>
                      <w:b/>
                      <w:bCs/>
                      <w:color w:val="000000"/>
                      <w:sz w:val="18"/>
                      <w:szCs w:val="18"/>
                    </w:rPr>
                  </w:pPr>
                </w:p>
              </w:tc>
              <w:tc>
                <w:tcPr>
                  <w:tcW w:w="1498" w:type="dxa"/>
                  <w:vMerge/>
                  <w:tcBorders>
                    <w:top w:val="single" w:sz="4" w:space="0" w:color="auto"/>
                    <w:left w:val="single" w:sz="4" w:space="0" w:color="auto"/>
                    <w:bottom w:val="single" w:sz="4" w:space="0" w:color="000000"/>
                    <w:right w:val="single" w:sz="4" w:space="0" w:color="auto"/>
                  </w:tcBorders>
                  <w:vAlign w:val="center"/>
                  <w:hideMark/>
                </w:tcPr>
                <w:p w14:paraId="5BBDFDD3" w14:textId="77777777" w:rsidR="005C36E8" w:rsidRPr="00635402" w:rsidRDefault="005C36E8" w:rsidP="005C36E8">
                  <w:pPr>
                    <w:rPr>
                      <w:rFonts w:eastAsia="Times New Roman"/>
                      <w:b/>
                      <w:bCs/>
                      <w:color w:val="000000"/>
                      <w:sz w:val="18"/>
                      <w:szCs w:val="18"/>
                    </w:rPr>
                  </w:pPr>
                </w:p>
              </w:tc>
            </w:tr>
            <w:tr w:rsidR="005C36E8" w:rsidRPr="005C36E8" w14:paraId="45B51B6D" w14:textId="77777777" w:rsidTr="005C36E8">
              <w:trPr>
                <w:trHeight w:val="279"/>
              </w:trPr>
              <w:tc>
                <w:tcPr>
                  <w:tcW w:w="2381" w:type="dxa"/>
                  <w:tcBorders>
                    <w:top w:val="nil"/>
                    <w:left w:val="single" w:sz="4" w:space="0" w:color="auto"/>
                    <w:bottom w:val="single" w:sz="4" w:space="0" w:color="auto"/>
                    <w:right w:val="single" w:sz="4" w:space="0" w:color="auto"/>
                  </w:tcBorders>
                  <w:shd w:val="clear" w:color="auto" w:fill="auto"/>
                  <w:vAlign w:val="center"/>
                  <w:hideMark/>
                </w:tcPr>
                <w:p w14:paraId="2464E0EE" w14:textId="77777777" w:rsidR="005C36E8" w:rsidRPr="00AE6ED3" w:rsidRDefault="005C36E8" w:rsidP="005C36E8">
                  <w:pPr>
                    <w:jc w:val="center"/>
                    <w:rPr>
                      <w:rFonts w:eastAsia="Times New Roman"/>
                      <w:b/>
                      <w:bCs/>
                      <w:color w:val="000000"/>
                      <w:sz w:val="18"/>
                      <w:szCs w:val="18"/>
                    </w:rPr>
                  </w:pPr>
                  <w:r w:rsidRPr="00AE6ED3">
                    <w:rPr>
                      <w:rFonts w:eastAsia="Times New Roman"/>
                      <w:b/>
                      <w:bCs/>
                      <w:color w:val="000000"/>
                      <w:sz w:val="18"/>
                      <w:szCs w:val="18"/>
                    </w:rPr>
                    <w:t>1</w:t>
                  </w:r>
                </w:p>
              </w:tc>
              <w:tc>
                <w:tcPr>
                  <w:tcW w:w="1182" w:type="dxa"/>
                  <w:tcBorders>
                    <w:top w:val="nil"/>
                    <w:left w:val="nil"/>
                    <w:bottom w:val="single" w:sz="4" w:space="0" w:color="auto"/>
                    <w:right w:val="single" w:sz="4" w:space="0" w:color="auto"/>
                  </w:tcBorders>
                  <w:shd w:val="clear" w:color="auto" w:fill="auto"/>
                  <w:vAlign w:val="center"/>
                  <w:hideMark/>
                </w:tcPr>
                <w:p w14:paraId="4D15C1AF" w14:textId="77777777" w:rsidR="005C36E8" w:rsidRPr="00AE6ED3" w:rsidRDefault="005C36E8" w:rsidP="005C36E8">
                  <w:pPr>
                    <w:jc w:val="center"/>
                    <w:rPr>
                      <w:rFonts w:eastAsia="Times New Roman"/>
                      <w:b/>
                      <w:bCs/>
                      <w:color w:val="000000"/>
                      <w:sz w:val="18"/>
                      <w:szCs w:val="18"/>
                    </w:rPr>
                  </w:pPr>
                  <w:r w:rsidRPr="00AE6ED3">
                    <w:rPr>
                      <w:rFonts w:eastAsia="Times New Roman"/>
                      <w:b/>
                      <w:bCs/>
                      <w:color w:val="000000"/>
                      <w:sz w:val="18"/>
                      <w:szCs w:val="18"/>
                    </w:rPr>
                    <w:t>2</w:t>
                  </w:r>
                </w:p>
              </w:tc>
              <w:tc>
                <w:tcPr>
                  <w:tcW w:w="1215" w:type="dxa"/>
                  <w:tcBorders>
                    <w:top w:val="nil"/>
                    <w:left w:val="nil"/>
                    <w:bottom w:val="single" w:sz="4" w:space="0" w:color="auto"/>
                    <w:right w:val="single" w:sz="4" w:space="0" w:color="auto"/>
                  </w:tcBorders>
                  <w:shd w:val="clear" w:color="auto" w:fill="auto"/>
                  <w:vAlign w:val="center"/>
                  <w:hideMark/>
                </w:tcPr>
                <w:p w14:paraId="56B42B64" w14:textId="77777777" w:rsidR="005C36E8" w:rsidRPr="00AE6ED3" w:rsidRDefault="005C36E8" w:rsidP="005C36E8">
                  <w:pPr>
                    <w:jc w:val="center"/>
                    <w:rPr>
                      <w:rFonts w:eastAsia="Times New Roman"/>
                      <w:b/>
                      <w:bCs/>
                      <w:color w:val="000000"/>
                      <w:sz w:val="18"/>
                      <w:szCs w:val="18"/>
                    </w:rPr>
                  </w:pPr>
                  <w:r w:rsidRPr="00AE6ED3">
                    <w:rPr>
                      <w:rFonts w:eastAsia="Times New Roman"/>
                      <w:b/>
                      <w:bCs/>
                      <w:color w:val="000000"/>
                      <w:sz w:val="18"/>
                      <w:szCs w:val="18"/>
                    </w:rPr>
                    <w:t>3</w:t>
                  </w:r>
                </w:p>
              </w:tc>
              <w:tc>
                <w:tcPr>
                  <w:tcW w:w="1498" w:type="dxa"/>
                  <w:tcBorders>
                    <w:top w:val="nil"/>
                    <w:left w:val="nil"/>
                    <w:bottom w:val="single" w:sz="4" w:space="0" w:color="auto"/>
                    <w:right w:val="single" w:sz="4" w:space="0" w:color="auto"/>
                  </w:tcBorders>
                  <w:shd w:val="clear" w:color="auto" w:fill="auto"/>
                  <w:vAlign w:val="center"/>
                  <w:hideMark/>
                </w:tcPr>
                <w:p w14:paraId="58F18CD8" w14:textId="77777777" w:rsidR="005C36E8" w:rsidRPr="00AE6ED3" w:rsidRDefault="005C36E8" w:rsidP="005C36E8">
                  <w:pPr>
                    <w:jc w:val="center"/>
                    <w:rPr>
                      <w:rFonts w:eastAsia="Times New Roman"/>
                      <w:b/>
                      <w:bCs/>
                      <w:color w:val="000000"/>
                      <w:sz w:val="18"/>
                      <w:szCs w:val="18"/>
                    </w:rPr>
                  </w:pPr>
                  <w:r w:rsidRPr="00AE6ED3">
                    <w:rPr>
                      <w:rFonts w:eastAsia="Times New Roman"/>
                      <w:b/>
                      <w:bCs/>
                      <w:color w:val="000000"/>
                      <w:sz w:val="18"/>
                      <w:szCs w:val="18"/>
                    </w:rPr>
                    <w:t>4</w:t>
                  </w:r>
                </w:p>
              </w:tc>
            </w:tr>
            <w:tr w:rsidR="005C36E8" w:rsidRPr="005C36E8" w14:paraId="1B8E9A41" w14:textId="77777777" w:rsidTr="005C36E8">
              <w:trPr>
                <w:trHeight w:val="279"/>
              </w:trPr>
              <w:tc>
                <w:tcPr>
                  <w:tcW w:w="2381" w:type="dxa"/>
                  <w:tcBorders>
                    <w:top w:val="nil"/>
                    <w:left w:val="single" w:sz="4" w:space="0" w:color="auto"/>
                    <w:bottom w:val="single" w:sz="4" w:space="0" w:color="auto"/>
                    <w:right w:val="single" w:sz="4" w:space="0" w:color="auto"/>
                  </w:tcBorders>
                  <w:shd w:val="clear" w:color="000000" w:fill="FFF2CC"/>
                  <w:vAlign w:val="center"/>
                  <w:hideMark/>
                </w:tcPr>
                <w:p w14:paraId="4FEA0016" w14:textId="77777777" w:rsidR="005C36E8" w:rsidRPr="00AE6ED3" w:rsidRDefault="005C36E8" w:rsidP="005C36E8">
                  <w:pPr>
                    <w:jc w:val="center"/>
                    <w:rPr>
                      <w:rFonts w:eastAsia="Times New Roman"/>
                      <w:b/>
                      <w:bCs/>
                      <w:sz w:val="18"/>
                      <w:szCs w:val="18"/>
                    </w:rPr>
                  </w:pPr>
                  <w:r w:rsidRPr="00AE6ED3">
                    <w:rPr>
                      <w:rFonts w:eastAsia="Times New Roman"/>
                      <w:b/>
                      <w:bCs/>
                      <w:sz w:val="18"/>
                      <w:szCs w:val="18"/>
                    </w:rPr>
                    <w:t>5.6.2.</w:t>
                  </w:r>
                </w:p>
              </w:tc>
              <w:tc>
                <w:tcPr>
                  <w:tcW w:w="1182" w:type="dxa"/>
                  <w:tcBorders>
                    <w:top w:val="nil"/>
                    <w:left w:val="nil"/>
                    <w:bottom w:val="single" w:sz="4" w:space="0" w:color="auto"/>
                    <w:right w:val="single" w:sz="4" w:space="0" w:color="auto"/>
                  </w:tcBorders>
                  <w:shd w:val="clear" w:color="000000" w:fill="FFF2CC"/>
                  <w:vAlign w:val="center"/>
                  <w:hideMark/>
                </w:tcPr>
                <w:p w14:paraId="5F121D83" w14:textId="77777777" w:rsidR="005C36E8" w:rsidRPr="00AE6ED3" w:rsidRDefault="005C36E8" w:rsidP="005C36E8">
                  <w:pPr>
                    <w:jc w:val="right"/>
                    <w:rPr>
                      <w:rFonts w:eastAsia="Times New Roman"/>
                      <w:b/>
                      <w:bCs/>
                      <w:sz w:val="18"/>
                      <w:szCs w:val="18"/>
                    </w:rPr>
                  </w:pPr>
                  <w:r w:rsidRPr="00AE6ED3">
                    <w:rPr>
                      <w:rFonts w:eastAsia="Times New Roman"/>
                      <w:b/>
                      <w:bCs/>
                      <w:sz w:val="18"/>
                      <w:szCs w:val="18"/>
                    </w:rPr>
                    <w:t>236 524 372</w:t>
                  </w:r>
                </w:p>
              </w:tc>
              <w:tc>
                <w:tcPr>
                  <w:tcW w:w="1215" w:type="dxa"/>
                  <w:tcBorders>
                    <w:top w:val="nil"/>
                    <w:left w:val="nil"/>
                    <w:bottom w:val="single" w:sz="4" w:space="0" w:color="auto"/>
                    <w:right w:val="single" w:sz="4" w:space="0" w:color="auto"/>
                  </w:tcBorders>
                  <w:shd w:val="clear" w:color="000000" w:fill="FFF2CC"/>
                  <w:vAlign w:val="center"/>
                  <w:hideMark/>
                </w:tcPr>
                <w:p w14:paraId="55031C68" w14:textId="77777777" w:rsidR="005C36E8" w:rsidRPr="00AE6ED3" w:rsidRDefault="005C36E8" w:rsidP="005C36E8">
                  <w:pPr>
                    <w:jc w:val="right"/>
                    <w:rPr>
                      <w:rFonts w:eastAsia="Times New Roman"/>
                      <w:b/>
                      <w:bCs/>
                      <w:sz w:val="18"/>
                      <w:szCs w:val="18"/>
                    </w:rPr>
                  </w:pPr>
                  <w:r w:rsidRPr="00AE6ED3">
                    <w:rPr>
                      <w:rFonts w:eastAsia="Times New Roman"/>
                      <w:b/>
                      <w:bCs/>
                      <w:sz w:val="18"/>
                      <w:szCs w:val="18"/>
                    </w:rPr>
                    <w:t>221 379 279</w:t>
                  </w:r>
                </w:p>
              </w:tc>
              <w:tc>
                <w:tcPr>
                  <w:tcW w:w="1498" w:type="dxa"/>
                  <w:tcBorders>
                    <w:top w:val="nil"/>
                    <w:left w:val="nil"/>
                    <w:bottom w:val="single" w:sz="4" w:space="0" w:color="auto"/>
                    <w:right w:val="single" w:sz="4" w:space="0" w:color="auto"/>
                  </w:tcBorders>
                  <w:shd w:val="clear" w:color="000000" w:fill="FFF2CC"/>
                  <w:vAlign w:val="center"/>
                  <w:hideMark/>
                </w:tcPr>
                <w:p w14:paraId="7365983F" w14:textId="77777777" w:rsidR="005C36E8" w:rsidRPr="00AE6ED3" w:rsidRDefault="005C36E8" w:rsidP="005C36E8">
                  <w:pPr>
                    <w:jc w:val="right"/>
                    <w:rPr>
                      <w:rFonts w:eastAsia="Times New Roman"/>
                      <w:b/>
                      <w:bCs/>
                      <w:sz w:val="18"/>
                      <w:szCs w:val="18"/>
                    </w:rPr>
                  </w:pPr>
                  <w:r w:rsidRPr="00AE6ED3">
                    <w:rPr>
                      <w:rFonts w:eastAsia="Times New Roman"/>
                      <w:b/>
                      <w:bCs/>
                      <w:sz w:val="18"/>
                      <w:szCs w:val="18"/>
                    </w:rPr>
                    <w:t>15 145 093</w:t>
                  </w:r>
                </w:p>
              </w:tc>
            </w:tr>
            <w:tr w:rsidR="005C36E8" w:rsidRPr="005C36E8" w14:paraId="70C67B30" w14:textId="77777777" w:rsidTr="005C36E8">
              <w:trPr>
                <w:trHeight w:val="279"/>
              </w:trPr>
              <w:tc>
                <w:tcPr>
                  <w:tcW w:w="2381" w:type="dxa"/>
                  <w:tcBorders>
                    <w:top w:val="nil"/>
                    <w:left w:val="single" w:sz="4" w:space="0" w:color="auto"/>
                    <w:bottom w:val="single" w:sz="4" w:space="0" w:color="auto"/>
                    <w:right w:val="single" w:sz="4" w:space="0" w:color="auto"/>
                  </w:tcBorders>
                  <w:shd w:val="clear" w:color="000000" w:fill="DDEBF7"/>
                  <w:vAlign w:val="center"/>
                  <w:hideMark/>
                </w:tcPr>
                <w:p w14:paraId="48C082B5" w14:textId="77777777" w:rsidR="005C36E8" w:rsidRPr="00AE6ED3" w:rsidRDefault="005C36E8" w:rsidP="005C36E8">
                  <w:pPr>
                    <w:rPr>
                      <w:rFonts w:eastAsia="Times New Roman"/>
                      <w:b/>
                      <w:bCs/>
                      <w:sz w:val="18"/>
                      <w:szCs w:val="18"/>
                    </w:rPr>
                  </w:pPr>
                  <w:r w:rsidRPr="00AE6ED3">
                    <w:rPr>
                      <w:rFonts w:eastAsia="Times New Roman"/>
                      <w:b/>
                      <w:bCs/>
                      <w:sz w:val="18"/>
                      <w:szCs w:val="18"/>
                    </w:rPr>
                    <w:t>5.6.2. 1.kārta (ITI)</w:t>
                  </w:r>
                </w:p>
              </w:tc>
              <w:tc>
                <w:tcPr>
                  <w:tcW w:w="1182" w:type="dxa"/>
                  <w:tcBorders>
                    <w:top w:val="nil"/>
                    <w:left w:val="nil"/>
                    <w:bottom w:val="single" w:sz="4" w:space="0" w:color="auto"/>
                    <w:right w:val="single" w:sz="4" w:space="0" w:color="auto"/>
                  </w:tcBorders>
                  <w:shd w:val="clear" w:color="auto" w:fill="auto"/>
                  <w:vAlign w:val="center"/>
                  <w:hideMark/>
                </w:tcPr>
                <w:p w14:paraId="1C634474" w14:textId="77777777" w:rsidR="005C36E8" w:rsidRPr="00AE6ED3" w:rsidRDefault="005C36E8" w:rsidP="005C36E8">
                  <w:pPr>
                    <w:jc w:val="right"/>
                    <w:rPr>
                      <w:rFonts w:eastAsia="Times New Roman"/>
                      <w:b/>
                      <w:bCs/>
                      <w:sz w:val="18"/>
                      <w:szCs w:val="18"/>
                    </w:rPr>
                  </w:pPr>
                  <w:r w:rsidRPr="00AE6ED3">
                    <w:rPr>
                      <w:rFonts w:eastAsia="Times New Roman"/>
                      <w:b/>
                      <w:bCs/>
                      <w:sz w:val="18"/>
                      <w:szCs w:val="18"/>
                    </w:rPr>
                    <w:t>92 138 673</w:t>
                  </w:r>
                </w:p>
              </w:tc>
              <w:tc>
                <w:tcPr>
                  <w:tcW w:w="1215" w:type="dxa"/>
                  <w:tcBorders>
                    <w:top w:val="nil"/>
                    <w:left w:val="nil"/>
                    <w:bottom w:val="single" w:sz="4" w:space="0" w:color="auto"/>
                    <w:right w:val="single" w:sz="4" w:space="0" w:color="auto"/>
                  </w:tcBorders>
                  <w:shd w:val="clear" w:color="auto" w:fill="auto"/>
                  <w:vAlign w:val="center"/>
                  <w:hideMark/>
                </w:tcPr>
                <w:p w14:paraId="2745E2CB" w14:textId="77777777" w:rsidR="005C36E8" w:rsidRPr="00AE6ED3" w:rsidRDefault="005C36E8" w:rsidP="005C36E8">
                  <w:pPr>
                    <w:jc w:val="right"/>
                    <w:rPr>
                      <w:rFonts w:eastAsia="Times New Roman"/>
                      <w:b/>
                      <w:bCs/>
                      <w:sz w:val="18"/>
                      <w:szCs w:val="18"/>
                    </w:rPr>
                  </w:pPr>
                  <w:r w:rsidRPr="00AE6ED3">
                    <w:rPr>
                      <w:rFonts w:eastAsia="Times New Roman"/>
                      <w:b/>
                      <w:bCs/>
                      <w:sz w:val="18"/>
                      <w:szCs w:val="18"/>
                    </w:rPr>
                    <w:t>88 857 240</w:t>
                  </w:r>
                </w:p>
              </w:tc>
              <w:tc>
                <w:tcPr>
                  <w:tcW w:w="1498" w:type="dxa"/>
                  <w:tcBorders>
                    <w:top w:val="nil"/>
                    <w:left w:val="nil"/>
                    <w:bottom w:val="single" w:sz="4" w:space="0" w:color="auto"/>
                    <w:right w:val="single" w:sz="4" w:space="0" w:color="auto"/>
                  </w:tcBorders>
                  <w:shd w:val="clear" w:color="auto" w:fill="auto"/>
                  <w:vAlign w:val="center"/>
                  <w:hideMark/>
                </w:tcPr>
                <w:p w14:paraId="3F1A589E" w14:textId="77777777" w:rsidR="005C36E8" w:rsidRPr="00AE6ED3" w:rsidRDefault="005C36E8" w:rsidP="005C36E8">
                  <w:pPr>
                    <w:jc w:val="right"/>
                    <w:rPr>
                      <w:rFonts w:eastAsia="Times New Roman"/>
                      <w:b/>
                      <w:bCs/>
                      <w:sz w:val="18"/>
                      <w:szCs w:val="18"/>
                    </w:rPr>
                  </w:pPr>
                  <w:r w:rsidRPr="00AE6ED3">
                    <w:rPr>
                      <w:rFonts w:eastAsia="Times New Roman"/>
                      <w:b/>
                      <w:bCs/>
                      <w:sz w:val="18"/>
                      <w:szCs w:val="18"/>
                    </w:rPr>
                    <w:t>3 281 433</w:t>
                  </w:r>
                </w:p>
              </w:tc>
            </w:tr>
            <w:tr w:rsidR="005C36E8" w:rsidRPr="005C36E8" w14:paraId="3D746F88" w14:textId="77777777" w:rsidTr="005C36E8">
              <w:trPr>
                <w:trHeight w:val="279"/>
              </w:trPr>
              <w:tc>
                <w:tcPr>
                  <w:tcW w:w="2381" w:type="dxa"/>
                  <w:tcBorders>
                    <w:top w:val="nil"/>
                    <w:left w:val="single" w:sz="4" w:space="0" w:color="auto"/>
                    <w:bottom w:val="single" w:sz="4" w:space="0" w:color="auto"/>
                    <w:right w:val="single" w:sz="4" w:space="0" w:color="auto"/>
                  </w:tcBorders>
                  <w:shd w:val="clear" w:color="000000" w:fill="DDEBF7"/>
                  <w:vAlign w:val="center"/>
                  <w:hideMark/>
                </w:tcPr>
                <w:p w14:paraId="0970DFD2" w14:textId="77777777" w:rsidR="005C36E8" w:rsidRPr="00AE6ED3" w:rsidRDefault="005C36E8" w:rsidP="005C36E8">
                  <w:pPr>
                    <w:rPr>
                      <w:rFonts w:eastAsia="Times New Roman"/>
                      <w:b/>
                      <w:bCs/>
                      <w:sz w:val="18"/>
                      <w:szCs w:val="18"/>
                    </w:rPr>
                  </w:pPr>
                  <w:r w:rsidRPr="00AE6ED3">
                    <w:rPr>
                      <w:rFonts w:eastAsia="Times New Roman"/>
                      <w:b/>
                      <w:bCs/>
                      <w:sz w:val="18"/>
                      <w:szCs w:val="18"/>
                    </w:rPr>
                    <w:t>5.6.2. 2.kārta (</w:t>
                  </w:r>
                  <w:proofErr w:type="spellStart"/>
                  <w:r w:rsidRPr="00AE6ED3">
                    <w:rPr>
                      <w:rFonts w:eastAsia="Times New Roman"/>
                      <w:b/>
                      <w:bCs/>
                      <w:sz w:val="18"/>
                      <w:szCs w:val="18"/>
                    </w:rPr>
                    <w:t>reģ</w:t>
                  </w:r>
                  <w:proofErr w:type="spellEnd"/>
                  <w:r w:rsidRPr="00AE6ED3">
                    <w:rPr>
                      <w:rFonts w:eastAsia="Times New Roman"/>
                      <w:b/>
                      <w:bCs/>
                      <w:sz w:val="18"/>
                      <w:szCs w:val="18"/>
                    </w:rPr>
                    <w:t>. centri)</w:t>
                  </w:r>
                </w:p>
              </w:tc>
              <w:tc>
                <w:tcPr>
                  <w:tcW w:w="1182" w:type="dxa"/>
                  <w:tcBorders>
                    <w:top w:val="nil"/>
                    <w:left w:val="nil"/>
                    <w:bottom w:val="single" w:sz="4" w:space="0" w:color="auto"/>
                    <w:right w:val="single" w:sz="4" w:space="0" w:color="auto"/>
                  </w:tcBorders>
                  <w:shd w:val="clear" w:color="auto" w:fill="auto"/>
                  <w:vAlign w:val="center"/>
                  <w:hideMark/>
                </w:tcPr>
                <w:p w14:paraId="4A4726AC" w14:textId="77777777" w:rsidR="005C36E8" w:rsidRPr="00AE6ED3" w:rsidRDefault="005C36E8" w:rsidP="005C36E8">
                  <w:pPr>
                    <w:jc w:val="right"/>
                    <w:rPr>
                      <w:rFonts w:eastAsia="Times New Roman"/>
                      <w:b/>
                      <w:bCs/>
                      <w:sz w:val="18"/>
                      <w:szCs w:val="18"/>
                    </w:rPr>
                  </w:pPr>
                  <w:r w:rsidRPr="00AE6ED3">
                    <w:rPr>
                      <w:rFonts w:eastAsia="Times New Roman"/>
                      <w:b/>
                      <w:bCs/>
                      <w:sz w:val="18"/>
                      <w:szCs w:val="18"/>
                    </w:rPr>
                    <w:t>92 138 673</w:t>
                  </w:r>
                </w:p>
              </w:tc>
              <w:tc>
                <w:tcPr>
                  <w:tcW w:w="1215" w:type="dxa"/>
                  <w:tcBorders>
                    <w:top w:val="nil"/>
                    <w:left w:val="nil"/>
                    <w:bottom w:val="single" w:sz="4" w:space="0" w:color="auto"/>
                    <w:right w:val="single" w:sz="4" w:space="0" w:color="auto"/>
                  </w:tcBorders>
                  <w:shd w:val="clear" w:color="auto" w:fill="auto"/>
                  <w:vAlign w:val="center"/>
                  <w:hideMark/>
                </w:tcPr>
                <w:p w14:paraId="26A374D8" w14:textId="77777777" w:rsidR="005C36E8" w:rsidRPr="00AE6ED3" w:rsidRDefault="005C36E8" w:rsidP="005C36E8">
                  <w:pPr>
                    <w:jc w:val="right"/>
                    <w:rPr>
                      <w:rFonts w:eastAsia="Times New Roman"/>
                      <w:b/>
                      <w:bCs/>
                      <w:sz w:val="18"/>
                      <w:szCs w:val="18"/>
                    </w:rPr>
                  </w:pPr>
                  <w:r w:rsidRPr="00AE6ED3">
                    <w:rPr>
                      <w:rFonts w:eastAsia="Times New Roman"/>
                      <w:b/>
                      <w:bCs/>
                      <w:sz w:val="18"/>
                      <w:szCs w:val="18"/>
                    </w:rPr>
                    <w:t>82 362 981</w:t>
                  </w:r>
                </w:p>
              </w:tc>
              <w:tc>
                <w:tcPr>
                  <w:tcW w:w="1498" w:type="dxa"/>
                  <w:tcBorders>
                    <w:top w:val="nil"/>
                    <w:left w:val="nil"/>
                    <w:bottom w:val="single" w:sz="4" w:space="0" w:color="auto"/>
                    <w:right w:val="single" w:sz="4" w:space="0" w:color="auto"/>
                  </w:tcBorders>
                  <w:shd w:val="clear" w:color="auto" w:fill="auto"/>
                  <w:vAlign w:val="center"/>
                  <w:hideMark/>
                </w:tcPr>
                <w:p w14:paraId="67C64C92" w14:textId="77777777" w:rsidR="005C36E8" w:rsidRPr="00AE6ED3" w:rsidRDefault="005C36E8" w:rsidP="005C36E8">
                  <w:pPr>
                    <w:jc w:val="right"/>
                    <w:rPr>
                      <w:rFonts w:eastAsia="Times New Roman"/>
                      <w:b/>
                      <w:bCs/>
                      <w:sz w:val="18"/>
                      <w:szCs w:val="18"/>
                    </w:rPr>
                  </w:pPr>
                  <w:r w:rsidRPr="00AE6ED3">
                    <w:rPr>
                      <w:rFonts w:eastAsia="Times New Roman"/>
                      <w:b/>
                      <w:bCs/>
                      <w:sz w:val="18"/>
                      <w:szCs w:val="18"/>
                    </w:rPr>
                    <w:t>9 775 692</w:t>
                  </w:r>
                </w:p>
              </w:tc>
            </w:tr>
            <w:tr w:rsidR="005C36E8" w:rsidRPr="005C36E8" w14:paraId="6B379B86" w14:textId="77777777" w:rsidTr="005C36E8">
              <w:trPr>
                <w:trHeight w:val="279"/>
              </w:trPr>
              <w:tc>
                <w:tcPr>
                  <w:tcW w:w="2381" w:type="dxa"/>
                  <w:tcBorders>
                    <w:top w:val="nil"/>
                    <w:left w:val="single" w:sz="4" w:space="0" w:color="auto"/>
                    <w:bottom w:val="single" w:sz="4" w:space="0" w:color="auto"/>
                    <w:right w:val="single" w:sz="4" w:space="0" w:color="auto"/>
                  </w:tcBorders>
                  <w:shd w:val="clear" w:color="000000" w:fill="DDEBF7"/>
                  <w:vAlign w:val="center"/>
                  <w:hideMark/>
                </w:tcPr>
                <w:p w14:paraId="36E77CDD" w14:textId="77777777" w:rsidR="005C36E8" w:rsidRPr="00AE6ED3" w:rsidRDefault="005C36E8" w:rsidP="005C36E8">
                  <w:pPr>
                    <w:rPr>
                      <w:rFonts w:eastAsia="Times New Roman"/>
                      <w:b/>
                      <w:bCs/>
                      <w:sz w:val="18"/>
                      <w:szCs w:val="18"/>
                    </w:rPr>
                  </w:pPr>
                  <w:r w:rsidRPr="00AE6ED3">
                    <w:rPr>
                      <w:rFonts w:eastAsia="Times New Roman"/>
                      <w:b/>
                      <w:bCs/>
                      <w:sz w:val="18"/>
                      <w:szCs w:val="18"/>
                    </w:rPr>
                    <w:t>5.6.2. 3.kārta (Latgale)</w:t>
                  </w:r>
                </w:p>
              </w:tc>
              <w:tc>
                <w:tcPr>
                  <w:tcW w:w="1182" w:type="dxa"/>
                  <w:tcBorders>
                    <w:top w:val="nil"/>
                    <w:left w:val="nil"/>
                    <w:bottom w:val="single" w:sz="4" w:space="0" w:color="auto"/>
                    <w:right w:val="single" w:sz="4" w:space="0" w:color="auto"/>
                  </w:tcBorders>
                  <w:shd w:val="clear" w:color="auto" w:fill="auto"/>
                  <w:vAlign w:val="center"/>
                  <w:hideMark/>
                </w:tcPr>
                <w:p w14:paraId="69ADF68F" w14:textId="77777777" w:rsidR="005C36E8" w:rsidRPr="00AE6ED3" w:rsidRDefault="005C36E8" w:rsidP="005C36E8">
                  <w:pPr>
                    <w:jc w:val="right"/>
                    <w:rPr>
                      <w:rFonts w:eastAsia="Times New Roman"/>
                      <w:b/>
                      <w:bCs/>
                      <w:sz w:val="18"/>
                      <w:szCs w:val="18"/>
                    </w:rPr>
                  </w:pPr>
                  <w:r w:rsidRPr="00AE6ED3">
                    <w:rPr>
                      <w:rFonts w:eastAsia="Times New Roman"/>
                      <w:b/>
                      <w:bCs/>
                      <w:sz w:val="18"/>
                      <w:szCs w:val="18"/>
                    </w:rPr>
                    <w:t>52 247 026</w:t>
                  </w:r>
                </w:p>
              </w:tc>
              <w:tc>
                <w:tcPr>
                  <w:tcW w:w="1215" w:type="dxa"/>
                  <w:tcBorders>
                    <w:top w:val="nil"/>
                    <w:left w:val="nil"/>
                    <w:bottom w:val="single" w:sz="4" w:space="0" w:color="auto"/>
                    <w:right w:val="single" w:sz="4" w:space="0" w:color="auto"/>
                  </w:tcBorders>
                  <w:shd w:val="clear" w:color="auto" w:fill="auto"/>
                  <w:vAlign w:val="center"/>
                  <w:hideMark/>
                </w:tcPr>
                <w:p w14:paraId="51D8C8B4" w14:textId="77777777" w:rsidR="005C36E8" w:rsidRPr="00AE6ED3" w:rsidRDefault="005C36E8" w:rsidP="005C36E8">
                  <w:pPr>
                    <w:jc w:val="right"/>
                    <w:rPr>
                      <w:rFonts w:eastAsia="Times New Roman"/>
                      <w:b/>
                      <w:bCs/>
                      <w:sz w:val="18"/>
                      <w:szCs w:val="18"/>
                    </w:rPr>
                  </w:pPr>
                  <w:r w:rsidRPr="00AE6ED3">
                    <w:rPr>
                      <w:rFonts w:eastAsia="Times New Roman"/>
                      <w:b/>
                      <w:bCs/>
                      <w:sz w:val="18"/>
                      <w:szCs w:val="18"/>
                    </w:rPr>
                    <w:t>50 159 058</w:t>
                  </w:r>
                </w:p>
              </w:tc>
              <w:tc>
                <w:tcPr>
                  <w:tcW w:w="1498" w:type="dxa"/>
                  <w:tcBorders>
                    <w:top w:val="nil"/>
                    <w:left w:val="nil"/>
                    <w:bottom w:val="single" w:sz="4" w:space="0" w:color="auto"/>
                    <w:right w:val="single" w:sz="4" w:space="0" w:color="auto"/>
                  </w:tcBorders>
                  <w:shd w:val="clear" w:color="auto" w:fill="auto"/>
                  <w:vAlign w:val="center"/>
                  <w:hideMark/>
                </w:tcPr>
                <w:p w14:paraId="04988BCB" w14:textId="77777777" w:rsidR="005C36E8" w:rsidRPr="00AE6ED3" w:rsidRDefault="005C36E8" w:rsidP="005C36E8">
                  <w:pPr>
                    <w:jc w:val="right"/>
                    <w:rPr>
                      <w:rFonts w:eastAsia="Times New Roman"/>
                      <w:b/>
                      <w:bCs/>
                      <w:sz w:val="18"/>
                      <w:szCs w:val="18"/>
                    </w:rPr>
                  </w:pPr>
                  <w:r w:rsidRPr="00AE6ED3">
                    <w:rPr>
                      <w:rFonts w:eastAsia="Times New Roman"/>
                      <w:b/>
                      <w:bCs/>
                      <w:sz w:val="18"/>
                      <w:szCs w:val="18"/>
                    </w:rPr>
                    <w:t>2 087 968</w:t>
                  </w:r>
                </w:p>
              </w:tc>
            </w:tr>
            <w:tr w:rsidR="005C36E8" w:rsidRPr="005C36E8" w14:paraId="5400838C" w14:textId="77777777" w:rsidTr="005C36E8">
              <w:trPr>
                <w:trHeight w:val="279"/>
              </w:trPr>
              <w:tc>
                <w:tcPr>
                  <w:tcW w:w="2381" w:type="dxa"/>
                  <w:tcBorders>
                    <w:top w:val="nil"/>
                    <w:left w:val="nil"/>
                    <w:bottom w:val="nil"/>
                    <w:right w:val="nil"/>
                  </w:tcBorders>
                  <w:shd w:val="clear" w:color="auto" w:fill="auto"/>
                  <w:vAlign w:val="bottom"/>
                  <w:hideMark/>
                </w:tcPr>
                <w:p w14:paraId="4F564709" w14:textId="77777777" w:rsidR="005C36E8" w:rsidRPr="00AE6ED3" w:rsidRDefault="005C36E8" w:rsidP="005C36E8">
                  <w:pPr>
                    <w:jc w:val="right"/>
                    <w:rPr>
                      <w:rFonts w:eastAsia="Times New Roman"/>
                      <w:b/>
                      <w:bCs/>
                      <w:sz w:val="18"/>
                      <w:szCs w:val="18"/>
                    </w:rPr>
                  </w:pPr>
                </w:p>
              </w:tc>
              <w:tc>
                <w:tcPr>
                  <w:tcW w:w="1182" w:type="dxa"/>
                  <w:tcBorders>
                    <w:top w:val="nil"/>
                    <w:left w:val="nil"/>
                    <w:bottom w:val="nil"/>
                    <w:right w:val="nil"/>
                  </w:tcBorders>
                  <w:shd w:val="clear" w:color="auto" w:fill="auto"/>
                  <w:vAlign w:val="bottom"/>
                  <w:hideMark/>
                </w:tcPr>
                <w:p w14:paraId="3BEFF8B7" w14:textId="77777777" w:rsidR="005C36E8" w:rsidRPr="00AE6ED3" w:rsidRDefault="005C36E8" w:rsidP="005C36E8">
                  <w:pPr>
                    <w:rPr>
                      <w:rFonts w:eastAsia="Times New Roman"/>
                      <w:sz w:val="18"/>
                      <w:szCs w:val="18"/>
                    </w:rPr>
                  </w:pPr>
                </w:p>
              </w:tc>
              <w:tc>
                <w:tcPr>
                  <w:tcW w:w="1215" w:type="dxa"/>
                  <w:tcBorders>
                    <w:top w:val="nil"/>
                    <w:left w:val="nil"/>
                    <w:bottom w:val="nil"/>
                    <w:right w:val="nil"/>
                  </w:tcBorders>
                  <w:shd w:val="clear" w:color="auto" w:fill="auto"/>
                  <w:vAlign w:val="bottom"/>
                  <w:hideMark/>
                </w:tcPr>
                <w:p w14:paraId="00255329" w14:textId="77777777" w:rsidR="005C36E8" w:rsidRPr="00AE6ED3" w:rsidRDefault="005C36E8" w:rsidP="005C36E8">
                  <w:pPr>
                    <w:jc w:val="right"/>
                    <w:rPr>
                      <w:rFonts w:eastAsia="Times New Roman"/>
                      <w:color w:val="000000"/>
                      <w:sz w:val="18"/>
                      <w:szCs w:val="18"/>
                    </w:rPr>
                  </w:pPr>
                  <w:r w:rsidRPr="00AE6ED3">
                    <w:rPr>
                      <w:rFonts w:eastAsia="Times New Roman"/>
                      <w:color w:val="000000"/>
                      <w:sz w:val="18"/>
                      <w:szCs w:val="18"/>
                    </w:rPr>
                    <w:t>Kopā:</w:t>
                  </w:r>
                </w:p>
              </w:tc>
              <w:tc>
                <w:tcPr>
                  <w:tcW w:w="1498" w:type="dxa"/>
                  <w:tcBorders>
                    <w:top w:val="nil"/>
                    <w:left w:val="nil"/>
                    <w:bottom w:val="nil"/>
                    <w:right w:val="nil"/>
                  </w:tcBorders>
                  <w:shd w:val="clear" w:color="000000" w:fill="8EA9DB"/>
                  <w:vAlign w:val="bottom"/>
                  <w:hideMark/>
                </w:tcPr>
                <w:p w14:paraId="32F3F4BB" w14:textId="77777777" w:rsidR="005C36E8" w:rsidRPr="00AE6ED3" w:rsidRDefault="005C36E8" w:rsidP="005C36E8">
                  <w:pPr>
                    <w:jc w:val="right"/>
                    <w:rPr>
                      <w:rFonts w:eastAsia="Times New Roman"/>
                      <w:b/>
                      <w:bCs/>
                      <w:color w:val="000000"/>
                      <w:sz w:val="18"/>
                      <w:szCs w:val="18"/>
                    </w:rPr>
                  </w:pPr>
                  <w:r w:rsidRPr="00AE6ED3">
                    <w:rPr>
                      <w:rFonts w:eastAsia="Times New Roman"/>
                      <w:b/>
                      <w:bCs/>
                      <w:color w:val="000000"/>
                      <w:sz w:val="18"/>
                      <w:szCs w:val="18"/>
                    </w:rPr>
                    <w:t>15 145 093</w:t>
                  </w:r>
                </w:p>
              </w:tc>
            </w:tr>
            <w:tr w:rsidR="005C36E8" w:rsidRPr="005C36E8" w14:paraId="703EF8DD" w14:textId="77777777" w:rsidTr="00AE6ED3">
              <w:trPr>
                <w:trHeight w:val="266"/>
              </w:trPr>
              <w:tc>
                <w:tcPr>
                  <w:tcW w:w="4779" w:type="dxa"/>
                  <w:gridSpan w:val="3"/>
                  <w:tcBorders>
                    <w:top w:val="nil"/>
                    <w:left w:val="nil"/>
                    <w:bottom w:val="nil"/>
                    <w:right w:val="nil"/>
                  </w:tcBorders>
                  <w:shd w:val="clear" w:color="auto" w:fill="auto"/>
                  <w:noWrap/>
                  <w:vAlign w:val="bottom"/>
                  <w:hideMark/>
                </w:tcPr>
                <w:p w14:paraId="32C38360" w14:textId="77777777" w:rsidR="005C36E8" w:rsidRPr="00AE6ED3" w:rsidRDefault="005C36E8" w:rsidP="005C36E8">
                  <w:pPr>
                    <w:rPr>
                      <w:rFonts w:eastAsia="Times New Roman"/>
                      <w:color w:val="000000"/>
                      <w:sz w:val="18"/>
                      <w:szCs w:val="18"/>
                    </w:rPr>
                  </w:pPr>
                  <w:r w:rsidRPr="00AE6ED3">
                    <w:rPr>
                      <w:rFonts w:eastAsia="Times New Roman"/>
                      <w:color w:val="000000"/>
                      <w:sz w:val="18"/>
                      <w:szCs w:val="18"/>
                    </w:rPr>
                    <w:t>* Saskaņā ar MK noteikumos apstiprināto SAM finansējumu</w:t>
                  </w:r>
                </w:p>
              </w:tc>
              <w:tc>
                <w:tcPr>
                  <w:tcW w:w="1498" w:type="dxa"/>
                  <w:tcBorders>
                    <w:top w:val="nil"/>
                    <w:left w:val="nil"/>
                    <w:bottom w:val="nil"/>
                    <w:right w:val="nil"/>
                  </w:tcBorders>
                  <w:shd w:val="clear" w:color="auto" w:fill="auto"/>
                  <w:vAlign w:val="bottom"/>
                  <w:hideMark/>
                </w:tcPr>
                <w:p w14:paraId="1193DAD6" w14:textId="77777777" w:rsidR="005C36E8" w:rsidRPr="00AE6ED3" w:rsidRDefault="005C36E8" w:rsidP="005C36E8">
                  <w:pPr>
                    <w:rPr>
                      <w:rFonts w:eastAsia="Times New Roman"/>
                      <w:color w:val="000000"/>
                      <w:sz w:val="18"/>
                      <w:szCs w:val="18"/>
                    </w:rPr>
                  </w:pPr>
                </w:p>
              </w:tc>
            </w:tr>
            <w:tr w:rsidR="005C36E8" w:rsidRPr="005C36E8" w14:paraId="789E196F" w14:textId="77777777" w:rsidTr="00AE6ED3">
              <w:trPr>
                <w:trHeight w:val="266"/>
              </w:trPr>
              <w:tc>
                <w:tcPr>
                  <w:tcW w:w="6278" w:type="dxa"/>
                  <w:gridSpan w:val="4"/>
                  <w:tcBorders>
                    <w:top w:val="nil"/>
                    <w:left w:val="nil"/>
                    <w:bottom w:val="nil"/>
                    <w:right w:val="nil"/>
                  </w:tcBorders>
                  <w:shd w:val="clear" w:color="auto" w:fill="auto"/>
                  <w:hideMark/>
                </w:tcPr>
                <w:p w14:paraId="3ADE2E2C" w14:textId="77777777" w:rsidR="005C36E8" w:rsidRPr="00AE6ED3" w:rsidRDefault="005C36E8" w:rsidP="005C36E8">
                  <w:pPr>
                    <w:rPr>
                      <w:rFonts w:eastAsia="Times New Roman"/>
                      <w:color w:val="000000"/>
                      <w:sz w:val="18"/>
                      <w:szCs w:val="18"/>
                    </w:rPr>
                  </w:pPr>
                  <w:r w:rsidRPr="00AE6ED3">
                    <w:rPr>
                      <w:rFonts w:eastAsia="Times New Roman"/>
                      <w:color w:val="000000"/>
                      <w:sz w:val="18"/>
                      <w:szCs w:val="18"/>
                    </w:rPr>
                    <w:t xml:space="preserve">** Projekta statusi: līgums, pabeigts. </w:t>
                  </w:r>
                </w:p>
              </w:tc>
            </w:tr>
          </w:tbl>
          <w:p w14:paraId="7A242111" w14:textId="77777777" w:rsidR="00151DB1" w:rsidRPr="00874D98" w:rsidRDefault="00151DB1" w:rsidP="009D58D2">
            <w:pPr>
              <w:pStyle w:val="ListParagraph"/>
              <w:spacing w:after="120"/>
              <w:ind w:left="0"/>
              <w:contextualSpacing w:val="0"/>
              <w:jc w:val="both"/>
              <w:rPr>
                <w:sz w:val="24"/>
                <w:szCs w:val="24"/>
              </w:rPr>
            </w:pPr>
          </w:p>
          <w:p w14:paraId="37ECD11F" w14:textId="01F5A0B3" w:rsidR="00AD5D28" w:rsidRPr="00050C59" w:rsidRDefault="004911CB" w:rsidP="008A02B1">
            <w:pPr>
              <w:tabs>
                <w:tab w:val="left" w:pos="2700"/>
              </w:tabs>
              <w:jc w:val="both"/>
              <w:rPr>
                <w:rFonts w:eastAsia="Times New Roman"/>
              </w:rPr>
            </w:pPr>
            <w:r w:rsidRPr="00874D98">
              <w:rPr>
                <w:rFonts w:eastAsia="Times New Roman"/>
              </w:rPr>
              <w:t>2. </w:t>
            </w:r>
            <w:r w:rsidR="00043E1F" w:rsidRPr="00874D98">
              <w:rPr>
                <w:rFonts w:eastAsia="Times New Roman"/>
              </w:rPr>
              <w:t xml:space="preserve">Ņemot vērā Administratīvi teritoriālo reformu un pašvaldību </w:t>
            </w:r>
            <w:r w:rsidR="00043E1F" w:rsidRPr="00874D98">
              <w:rPr>
                <w:rFonts w:eastAsia="Times New Roman"/>
                <w:lang w:val="lv"/>
              </w:rPr>
              <w:t>gatavību operatīvi iesniegt un īstenot</w:t>
            </w:r>
            <w:r w:rsidR="00DB4E57" w:rsidRPr="00874D98">
              <w:rPr>
                <w:rFonts w:eastAsia="Times New Roman"/>
                <w:lang w:val="lv"/>
              </w:rPr>
              <w:t xml:space="preserve"> pēc iespējas augstākas</w:t>
            </w:r>
            <w:r w:rsidR="00043E1F" w:rsidRPr="00874D98">
              <w:rPr>
                <w:rFonts w:eastAsia="Times New Roman"/>
                <w:lang w:val="lv"/>
              </w:rPr>
              <w:t xml:space="preserve"> gatavības papildu projektus,</w:t>
            </w:r>
            <w:r w:rsidR="00043E1F" w:rsidRPr="00874D98">
              <w:rPr>
                <w:rFonts w:eastAsia="Times New Roman"/>
              </w:rPr>
              <w:t xml:space="preserve"> papildu ERAF finansējumu paredzēts novirzīt nacionālas </w:t>
            </w:r>
            <w:r w:rsidR="00C844F6">
              <w:rPr>
                <w:rFonts w:eastAsia="Times New Roman"/>
              </w:rPr>
              <w:t xml:space="preserve">un </w:t>
            </w:r>
            <w:r w:rsidR="00043E1F" w:rsidRPr="00874D98">
              <w:rPr>
                <w:rFonts w:eastAsia="Times New Roman"/>
              </w:rPr>
              <w:t>reģionālas nozīmes attīstības centru pašvaldībām</w:t>
            </w:r>
            <w:r w:rsidR="00250A29" w:rsidRPr="00874D98">
              <w:rPr>
                <w:rFonts w:eastAsia="Times New Roman"/>
              </w:rPr>
              <w:t>,</w:t>
            </w:r>
            <w:r w:rsidR="00B61F3C" w:rsidRPr="00874D98">
              <w:rPr>
                <w:rFonts w:eastAsia="Times New Roman"/>
              </w:rPr>
              <w:t xml:space="preserve"> </w:t>
            </w:r>
            <w:r w:rsidR="009B49CB" w:rsidRPr="00874D98">
              <w:rPr>
                <w:shd w:val="clear" w:color="auto" w:fill="FFFFFF"/>
              </w:rPr>
              <w:t xml:space="preserve"> to izveidotām iestādēm, vai attiecīgo pašvaldību kapitālsabiedrībām, </w:t>
            </w:r>
            <w:r w:rsidR="00B61F3C" w:rsidRPr="00874D98">
              <w:rPr>
                <w:shd w:val="clear" w:color="auto" w:fill="FFFFFF"/>
              </w:rPr>
              <w:t xml:space="preserve">kas veic pašvaldības deleģēto pārvaldes uzdevumu izpildi, </w:t>
            </w:r>
            <w:r w:rsidR="009B49CB" w:rsidRPr="00874D98">
              <w:rPr>
                <w:shd w:val="clear" w:color="auto" w:fill="FFFFFF"/>
              </w:rPr>
              <w:t xml:space="preserve">vai publiski privātām kapitālsabiedrībām, kurās kapitāla daļas vai balsstiesīgās akcijas pieder </w:t>
            </w:r>
            <w:r w:rsidR="009B49CB" w:rsidRPr="00B7483A">
              <w:rPr>
                <w:shd w:val="clear" w:color="auto" w:fill="FFFFFF"/>
              </w:rPr>
              <w:t xml:space="preserve">vismaz vienai </w:t>
            </w:r>
            <w:r w:rsidR="000D59DF" w:rsidRPr="00B7483A">
              <w:rPr>
                <w:shd w:val="clear" w:color="auto" w:fill="FFFFFF"/>
              </w:rPr>
              <w:t xml:space="preserve">5.6.2. SAM ceturtās atlases kārtas ietvaros </w:t>
            </w:r>
            <w:r w:rsidR="009B49CB" w:rsidRPr="00B7483A">
              <w:rPr>
                <w:shd w:val="clear" w:color="auto" w:fill="FFFFFF"/>
              </w:rPr>
              <w:t>a</w:t>
            </w:r>
            <w:r w:rsidR="000D59DF" w:rsidRPr="00B7483A">
              <w:rPr>
                <w:shd w:val="clear" w:color="auto" w:fill="FFFFFF"/>
              </w:rPr>
              <w:t>tbalstāmajai</w:t>
            </w:r>
            <w:r w:rsidR="009B49CB" w:rsidRPr="00B7483A">
              <w:rPr>
                <w:shd w:val="clear" w:color="auto" w:fill="FFFFFF"/>
              </w:rPr>
              <w:t xml:space="preserve"> </w:t>
            </w:r>
            <w:r w:rsidR="00C844F6" w:rsidRPr="00B7483A">
              <w:rPr>
                <w:rFonts w:eastAsia="Times New Roman"/>
              </w:rPr>
              <w:t xml:space="preserve">nacionālas vai reģionālas nozīmes attīstības centra </w:t>
            </w:r>
            <w:r w:rsidR="009B49CB" w:rsidRPr="00B7483A">
              <w:rPr>
                <w:shd w:val="clear" w:color="auto" w:fill="FFFFFF"/>
              </w:rPr>
              <w:t>pašvaldībai</w:t>
            </w:r>
            <w:r w:rsidR="00B61F3C" w:rsidRPr="00B7483A">
              <w:rPr>
                <w:shd w:val="clear" w:color="auto" w:fill="FFFFFF"/>
              </w:rPr>
              <w:t xml:space="preserve"> un </w:t>
            </w:r>
            <w:r w:rsidR="009B49CB" w:rsidRPr="00B7483A">
              <w:rPr>
                <w:shd w:val="clear" w:color="auto" w:fill="FFFFFF"/>
              </w:rPr>
              <w:t>kas veic pašvaldības deleģēto pārvaldes</w:t>
            </w:r>
            <w:r w:rsidR="009B49CB" w:rsidRPr="00874D98">
              <w:rPr>
                <w:shd w:val="clear" w:color="auto" w:fill="FFFFFF"/>
              </w:rPr>
              <w:t xml:space="preserve"> </w:t>
            </w:r>
            <w:r w:rsidR="009B49CB" w:rsidRPr="00050C59">
              <w:rPr>
                <w:shd w:val="clear" w:color="auto" w:fill="FFFFFF"/>
              </w:rPr>
              <w:t>uzdevumu izpildi, vai brīvostas pārvalde</w:t>
            </w:r>
            <w:r w:rsidR="000D59DF" w:rsidRPr="00050C59">
              <w:rPr>
                <w:shd w:val="clear" w:color="auto" w:fill="FFFFFF"/>
              </w:rPr>
              <w:t>i</w:t>
            </w:r>
            <w:r w:rsidR="009B49CB" w:rsidRPr="00050C59">
              <w:rPr>
                <w:shd w:val="clear" w:color="auto" w:fill="FFFFFF"/>
              </w:rPr>
              <w:t>, vai speciālās ekonomiskās zonas pārvalde</w:t>
            </w:r>
            <w:r w:rsidR="000D59DF" w:rsidRPr="00050C59">
              <w:rPr>
                <w:shd w:val="clear" w:color="auto" w:fill="FFFFFF"/>
              </w:rPr>
              <w:t>i</w:t>
            </w:r>
            <w:r w:rsidR="00DB4E57" w:rsidRPr="00050C59">
              <w:rPr>
                <w:rFonts w:eastAsia="Times New Roman"/>
              </w:rPr>
              <w:t xml:space="preserve"> gan individuālo, gan sadarbības projektu ietvaros</w:t>
            </w:r>
            <w:r w:rsidR="00937E6E" w:rsidRPr="00050C59">
              <w:rPr>
                <w:rFonts w:eastAsia="Times New Roman"/>
              </w:rPr>
              <w:t xml:space="preserve">. </w:t>
            </w:r>
          </w:p>
          <w:p w14:paraId="365240D4" w14:textId="17F88D6D" w:rsidR="00AD5D28" w:rsidRPr="00B7483A" w:rsidRDefault="00973BA5" w:rsidP="00CB33E2">
            <w:pPr>
              <w:spacing w:after="120"/>
              <w:jc w:val="both"/>
              <w:rPr>
                <w:rFonts w:eastAsia="Times New Roman"/>
              </w:rPr>
            </w:pPr>
            <w:r w:rsidRPr="00050C59">
              <w:rPr>
                <w:rFonts w:eastAsia="Times New Roman"/>
              </w:rPr>
              <w:t xml:space="preserve">Līdzīgi kā līdz šim saskaņā ar </w:t>
            </w:r>
            <w:r w:rsidRPr="00050C59">
              <w:t xml:space="preserve">MK 2015. gada 10. novembra noteikumu Nr. 645 "Darbības programmas "Izaugsme un nodarbinātība" 5.6.2. specifiskā atbalsta mērķa "Teritoriju </w:t>
            </w:r>
            <w:proofErr w:type="spellStart"/>
            <w:r w:rsidRPr="00050C59">
              <w:t>revitalizācija</w:t>
            </w:r>
            <w:proofErr w:type="spellEnd"/>
            <w:r w:rsidRPr="00050C59">
              <w:t>, reģenerējot degradētās teritorijas atbilstoši pašvaldību integrētajām attīstības programmām" īstenošanas noteikumi" Nr. 645 (turpmāk – MK noteikumi Nr. 645) 27. 4. apakšpunktu, projekta iesniedzējs par sadarbības partneri var piesaistīt citu pašvald</w:t>
            </w:r>
            <w:r w:rsidR="00455C6F" w:rsidRPr="00050C59">
              <w:t xml:space="preserve">ību, ja ir paredzēts iesniegt projektu, kura ietvaros </w:t>
            </w:r>
            <w:r w:rsidR="007E64ED" w:rsidRPr="00050C59">
              <w:t xml:space="preserve">sadarbosies vairākas </w:t>
            </w:r>
            <w:r w:rsidR="00455C6F" w:rsidRPr="00050C59">
              <w:t>pašvaldības.</w:t>
            </w:r>
            <w:r w:rsidRPr="00050C59">
              <w:rPr>
                <w:rFonts w:eastAsia="Times New Roman"/>
              </w:rPr>
              <w:t xml:space="preserve"> </w:t>
            </w:r>
            <w:r w:rsidR="00455C6F" w:rsidRPr="00050C59">
              <w:rPr>
                <w:rFonts w:eastAsia="Times New Roman"/>
                <w:bCs/>
              </w:rPr>
              <w:t xml:space="preserve">Šādu </w:t>
            </w:r>
            <w:r w:rsidR="00455C6F" w:rsidRPr="00050C59">
              <w:rPr>
                <w:rFonts w:eastAsia="Times New Roman"/>
              </w:rPr>
              <w:t xml:space="preserve"> </w:t>
            </w:r>
            <w:r w:rsidR="00937E6E" w:rsidRPr="00050C59">
              <w:rPr>
                <w:rFonts w:eastAsia="Times New Roman"/>
              </w:rPr>
              <w:t xml:space="preserve">projektu var iesniegt </w:t>
            </w:r>
            <w:r w:rsidR="007E64ED" w:rsidRPr="00050C59">
              <w:rPr>
                <w:rFonts w:eastAsia="Times New Roman"/>
                <w:bCs/>
              </w:rPr>
              <w:t>arī</w:t>
            </w:r>
            <w:r w:rsidR="007E64ED" w:rsidRPr="00050C59">
              <w:rPr>
                <w:rFonts w:eastAsia="Times New Roman"/>
              </w:rPr>
              <w:t xml:space="preserve"> </w:t>
            </w:r>
            <w:r w:rsidR="00937E6E" w:rsidRPr="00050C59">
              <w:rPr>
                <w:rFonts w:eastAsia="Times New Roman"/>
              </w:rPr>
              <w:t xml:space="preserve">ikviens no </w:t>
            </w:r>
            <w:r w:rsidR="00937E6E" w:rsidRPr="00050C59">
              <w:t xml:space="preserve">5.6.2.SAM </w:t>
            </w:r>
            <w:r w:rsidR="00937E6E" w:rsidRPr="00874D98">
              <w:rPr>
                <w:color w:val="2A2A2A"/>
              </w:rPr>
              <w:t>ceturtās atlases kārtas projekta iesniedzējiem,</w:t>
            </w:r>
            <w:r w:rsidR="00937E6E" w:rsidRPr="00874D98">
              <w:rPr>
                <w:rFonts w:eastAsia="Times New Roman"/>
              </w:rPr>
              <w:t xml:space="preserve"> </w:t>
            </w:r>
            <w:r w:rsidR="00DB4E57" w:rsidRPr="00874D98">
              <w:rPr>
                <w:rFonts w:eastAsia="Times New Roman"/>
              </w:rPr>
              <w:t xml:space="preserve"> tai skaitā </w:t>
            </w:r>
            <w:r w:rsidR="00043E1F" w:rsidRPr="00874D98">
              <w:t>administratīvi teritoriālās reformas ietvaros izveido</w:t>
            </w:r>
            <w:r w:rsidR="00AD5D28" w:rsidRPr="00874D98">
              <w:t xml:space="preserve">tā </w:t>
            </w:r>
            <w:proofErr w:type="spellStart"/>
            <w:r w:rsidR="00043E1F" w:rsidRPr="00874D98">
              <w:t>valstspilsētas</w:t>
            </w:r>
            <w:proofErr w:type="spellEnd"/>
            <w:r w:rsidR="00043E1F" w:rsidRPr="00874D98">
              <w:t xml:space="preserve"> pašvaldīb</w:t>
            </w:r>
            <w:r w:rsidR="00AD5D28" w:rsidRPr="00874D98">
              <w:t>a</w:t>
            </w:r>
            <w:r w:rsidR="00043E1F" w:rsidRPr="00874D98">
              <w:rPr>
                <w:rStyle w:val="FootnoteReference"/>
              </w:rPr>
              <w:footnoteReference w:id="7"/>
            </w:r>
            <w:r w:rsidR="00043E1F" w:rsidRPr="00874D98">
              <w:t xml:space="preserve">: Daugavpils pilsētas pašvaldība sadarbībā ar vienu vai vairākām pašvaldībām, kuras ietilps administratīvi teritoriālās reformas ietvaros </w:t>
            </w:r>
            <w:proofErr w:type="spellStart"/>
            <w:r w:rsidR="00043E1F" w:rsidRPr="00874D98">
              <w:t>jaunveidojamā</w:t>
            </w:r>
            <w:proofErr w:type="spellEnd"/>
            <w:r w:rsidR="00043E1F" w:rsidRPr="00874D98">
              <w:t xml:space="preserve"> Augšdaugavas novadā, Liepājas pilsētas pašvaldība sadarbībā ar vienu vai vairākām pašvaldībām, kuras ietilps administratīvi teritoriālās reformas ietvaros </w:t>
            </w:r>
            <w:proofErr w:type="spellStart"/>
            <w:r w:rsidR="00043E1F" w:rsidRPr="00874D98">
              <w:t>jaunveidojamā</w:t>
            </w:r>
            <w:proofErr w:type="spellEnd"/>
            <w:r w:rsidR="00043E1F" w:rsidRPr="00874D98">
              <w:t xml:space="preserve"> </w:t>
            </w:r>
            <w:proofErr w:type="spellStart"/>
            <w:r w:rsidR="00043E1F" w:rsidRPr="00874D98">
              <w:t>Dienvidkurzemes</w:t>
            </w:r>
            <w:proofErr w:type="spellEnd"/>
            <w:r w:rsidR="00043E1F" w:rsidRPr="00874D98">
              <w:t xml:space="preserve"> novadā, Rēzeknes pilsētas pašvaldība sadarbībā ar </w:t>
            </w:r>
            <w:r w:rsidR="00043E1F" w:rsidRPr="00874D98">
              <w:lastRenderedPageBreak/>
              <w:t xml:space="preserve">vienu vai vairākām pašvaldībām, kuras ietilps administratīvi teritoriālās reformas ietvaros </w:t>
            </w:r>
            <w:proofErr w:type="spellStart"/>
            <w:r w:rsidR="00043E1F" w:rsidRPr="00874D98">
              <w:t>jaunveidojamā</w:t>
            </w:r>
            <w:proofErr w:type="spellEnd"/>
            <w:r w:rsidR="00043E1F" w:rsidRPr="00874D98">
              <w:t xml:space="preserve"> Rēzeknes novadā, Ventspils pilsētas pašvaldība sadarbībā ar Ventspils novada pašvaldību, Jelgavas pilsētas pašvaldība sadarbībā ar vienu vai vairākām pašvaldībām, kuras ietilps </w:t>
            </w:r>
            <w:r w:rsidR="00043E1F" w:rsidRPr="00B7483A">
              <w:t xml:space="preserve">administratīvi teritoriālās reformas ietvaros </w:t>
            </w:r>
            <w:proofErr w:type="spellStart"/>
            <w:r w:rsidR="00043E1F" w:rsidRPr="00B7483A">
              <w:t>jaunveidojamā</w:t>
            </w:r>
            <w:proofErr w:type="spellEnd"/>
            <w:r w:rsidR="00043E1F" w:rsidRPr="00B7483A">
              <w:t xml:space="preserve"> Jelgavas novadā</w:t>
            </w:r>
            <w:r w:rsidR="00C844F6" w:rsidRPr="00B7483A">
              <w:rPr>
                <w:rFonts w:eastAsia="Times New Roman"/>
              </w:rPr>
              <w:t xml:space="preserve">, kā arī reģionālas nozīmes attīstības centru gadījumā, piemēram, esošais novads ar vienu vai vairākām pašvaldībām, kas ietilps </w:t>
            </w:r>
            <w:r w:rsidR="00C844F6" w:rsidRPr="00B7483A">
              <w:t>administratīvi teritoriālās reformas ietvaros izveidotā</w:t>
            </w:r>
            <w:r w:rsidR="00C844F6" w:rsidRPr="00B7483A">
              <w:rPr>
                <w:rFonts w:eastAsia="Times New Roman"/>
              </w:rPr>
              <w:t xml:space="preserve"> novadā.</w:t>
            </w:r>
          </w:p>
          <w:p w14:paraId="2811CD73" w14:textId="0FCA6679" w:rsidR="00043E1F" w:rsidRPr="00874D98" w:rsidRDefault="00043E1F" w:rsidP="00CB33E2">
            <w:pPr>
              <w:spacing w:after="120"/>
              <w:jc w:val="both"/>
            </w:pPr>
            <w:r w:rsidRPr="00874D98">
              <w:rPr>
                <w:rFonts w:eastAsia="Times New Roman"/>
              </w:rPr>
              <w:t xml:space="preserve">Lai pēc iespējas ātrāk 5.6.2. SAM ceturtās atlases kārtas ietvaros plānotās investīcijas nonāktu tautsaimniecībā un mazinātu COVID-19 izraisītās ekonomiskās lejupslīdes sekas, </w:t>
            </w:r>
            <w:r w:rsidR="00760FAF" w:rsidRPr="00874D98">
              <w:rPr>
                <w:rFonts w:eastAsia="Times New Roman"/>
              </w:rPr>
              <w:t xml:space="preserve">Vides aizsardzības un reģionālās attīstības ministrija (turpmāk – </w:t>
            </w:r>
            <w:r w:rsidRPr="00874D98">
              <w:rPr>
                <w:rFonts w:eastAsia="Times New Roman"/>
              </w:rPr>
              <w:t>VARAM</w:t>
            </w:r>
            <w:r w:rsidR="00760FAF" w:rsidRPr="00874D98">
              <w:rPr>
                <w:rFonts w:eastAsia="Times New Roman"/>
              </w:rPr>
              <w:t>)</w:t>
            </w:r>
            <w:r w:rsidRPr="00874D98">
              <w:rPr>
                <w:rFonts w:eastAsia="Times New Roman"/>
              </w:rPr>
              <w:t xml:space="preserve"> </w:t>
            </w:r>
            <w:r w:rsidR="00595D51" w:rsidRPr="00595D51">
              <w:rPr>
                <w:rFonts w:eastAsia="Times New Roman"/>
                <w:b/>
              </w:rPr>
              <w:t>(</w:t>
            </w:r>
            <w:r w:rsidR="00595D51" w:rsidRPr="00050C59">
              <w:rPr>
                <w:rFonts w:eastAsia="Times New Roman"/>
              </w:rPr>
              <w:t>indikatīvi 2021. gada pirmā ceturkšņa vidū)</w:t>
            </w:r>
            <w:r w:rsidR="00595D51">
              <w:rPr>
                <w:rFonts w:eastAsia="Times New Roman"/>
              </w:rPr>
              <w:t xml:space="preserve"> </w:t>
            </w:r>
            <w:r w:rsidRPr="00874D98">
              <w:rPr>
                <w:rFonts w:eastAsia="Times New Roman"/>
              </w:rPr>
              <w:t xml:space="preserve">organizēs </w:t>
            </w:r>
            <w:r w:rsidR="00DF45CB" w:rsidRPr="00874D98">
              <w:rPr>
                <w:rFonts w:eastAsia="Times New Roman"/>
              </w:rPr>
              <w:t xml:space="preserve">5.6.2. SAM </w:t>
            </w:r>
            <w:r w:rsidRPr="00874D98">
              <w:rPr>
                <w:rFonts w:eastAsia="Times New Roman"/>
              </w:rPr>
              <w:t xml:space="preserve">ceturtās atlases kārtas projektu ideju </w:t>
            </w:r>
            <w:proofErr w:type="spellStart"/>
            <w:r w:rsidRPr="00874D98">
              <w:rPr>
                <w:rFonts w:eastAsia="Times New Roman"/>
              </w:rPr>
              <w:t>priekšatlasi</w:t>
            </w:r>
            <w:proofErr w:type="spellEnd"/>
            <w:r w:rsidRPr="00874D98">
              <w:rPr>
                <w:rFonts w:eastAsia="Times New Roman"/>
              </w:rPr>
              <w:t xml:space="preserve">, atbalstot attīstības programmu investīciju plānos iekļautās </w:t>
            </w:r>
            <w:r w:rsidR="00DF45CB" w:rsidRPr="00874D98">
              <w:rPr>
                <w:rFonts w:eastAsia="Times New Roman"/>
              </w:rPr>
              <w:t>pēc iespējas augstākas</w:t>
            </w:r>
            <w:r w:rsidRPr="00874D98">
              <w:rPr>
                <w:rFonts w:eastAsia="Times New Roman"/>
              </w:rPr>
              <w:t xml:space="preserve"> gatavības projektu idejas. Pēc projekta ideju </w:t>
            </w:r>
            <w:proofErr w:type="spellStart"/>
            <w:r w:rsidRPr="00874D98">
              <w:rPr>
                <w:rFonts w:eastAsia="Times New Roman"/>
              </w:rPr>
              <w:t>priekšatlases</w:t>
            </w:r>
            <w:proofErr w:type="spellEnd"/>
            <w:r w:rsidRPr="00874D98">
              <w:rPr>
                <w:rFonts w:eastAsia="Times New Roman"/>
              </w:rPr>
              <w:t xml:space="preserve"> izsludināšanas projektu iesniedzējiem indikatīvi </w:t>
            </w:r>
            <w:r w:rsidR="00F27859" w:rsidRPr="00874D98">
              <w:rPr>
                <w:rFonts w:eastAsia="Times New Roman"/>
              </w:rPr>
              <w:t xml:space="preserve">divu </w:t>
            </w:r>
            <w:r w:rsidRPr="00874D98">
              <w:rPr>
                <w:rFonts w:eastAsia="Times New Roman"/>
              </w:rPr>
              <w:t>mēneš</w:t>
            </w:r>
            <w:r w:rsidR="00F27859" w:rsidRPr="00874D98">
              <w:rPr>
                <w:rFonts w:eastAsia="Times New Roman"/>
              </w:rPr>
              <w:t>u</w:t>
            </w:r>
            <w:r w:rsidRPr="00874D98">
              <w:rPr>
                <w:rFonts w:eastAsia="Times New Roman"/>
              </w:rPr>
              <w:t xml:space="preserve"> laikā būs jāsagatavo un jāiesniedz projekta idejas koncepts VARAM, kura tās izvērtēs un sagatavos atbalstāmo projektu ideju sarakstu. Atbalstāmo</w:t>
            </w:r>
            <w:r w:rsidRPr="00874D98">
              <w:rPr>
                <w:rFonts w:eastAsia="Times New Roman"/>
                <w:lang w:val="lv"/>
              </w:rPr>
              <w:t xml:space="preserve"> projektu ideju sarakstu</w:t>
            </w:r>
            <w:r w:rsidR="00595D51">
              <w:rPr>
                <w:rFonts w:eastAsia="Times New Roman"/>
                <w:lang w:val="lv"/>
              </w:rPr>
              <w:t xml:space="preserve"> </w:t>
            </w:r>
            <w:r w:rsidR="00595D51" w:rsidRPr="00050C59">
              <w:rPr>
                <w:rFonts w:eastAsia="Times New Roman"/>
                <w:lang w:val="lv"/>
              </w:rPr>
              <w:t>(indikatīvi 2021. gada otrā ceturkšņa vidū)</w:t>
            </w:r>
            <w:r w:rsidRPr="00050C59">
              <w:rPr>
                <w:rFonts w:eastAsia="Times New Roman"/>
                <w:lang w:val="lv"/>
              </w:rPr>
              <w:t>,</w:t>
            </w:r>
            <w:r w:rsidRPr="00874D98">
              <w:rPr>
                <w:rFonts w:eastAsia="Times New Roman"/>
                <w:lang w:val="lv"/>
              </w:rPr>
              <w:t xml:space="preserve"> pēc saskaņošanas Reģionālās attīstības koordinācijas padomē, apstiprinās MK, savukārt </w:t>
            </w:r>
            <w:r w:rsidRPr="00874D98">
              <w:rPr>
                <w:rFonts w:eastAsia="Times New Roman"/>
              </w:rPr>
              <w:t xml:space="preserve">projektu iesniegumu vērtēšanu </w:t>
            </w:r>
            <w:r w:rsidRPr="00874D98">
              <w:t>nodrošinās CFLA</w:t>
            </w:r>
            <w:r w:rsidR="00595D51">
              <w:t xml:space="preserve"> </w:t>
            </w:r>
            <w:r w:rsidR="00595D51" w:rsidRPr="00050C59">
              <w:t>(indikatīvi sākot ar 2021. gada otrā ceturkšņa beigām)</w:t>
            </w:r>
            <w:r w:rsidRPr="00050C59">
              <w:t>.</w:t>
            </w:r>
            <w:r w:rsidRPr="00874D98">
              <w:t xml:space="preserve"> </w:t>
            </w:r>
          </w:p>
          <w:p w14:paraId="78CDFD37" w14:textId="4D75C919" w:rsidR="00043E1F" w:rsidRPr="00874D98" w:rsidRDefault="00CB33E2" w:rsidP="00AF38A5">
            <w:pPr>
              <w:spacing w:after="120"/>
              <w:jc w:val="both"/>
              <w:rPr>
                <w:rFonts w:eastAsia="Times New Roman"/>
                <w:lang w:val="lv"/>
              </w:rPr>
            </w:pPr>
            <w:r w:rsidRPr="00874D98">
              <w:t xml:space="preserve">Tā kā 5.6.2. SAM ceturtajā atlases kārtā ir paredzēta projektu ideju </w:t>
            </w:r>
            <w:proofErr w:type="spellStart"/>
            <w:r w:rsidRPr="00874D98">
              <w:t>priekšatlase</w:t>
            </w:r>
            <w:proofErr w:type="spellEnd"/>
            <w:r w:rsidRPr="00874D98">
              <w:t xml:space="preserve"> un katrs iesniegtais projekta idejas koncepts konkurēs ar jebkuru citu ie</w:t>
            </w:r>
            <w:r w:rsidR="002B4F0E" w:rsidRPr="00874D98">
              <w:t>sniegto projekta idejas konceptu un tajā norād</w:t>
            </w:r>
            <w:r w:rsidR="00090AAB" w:rsidRPr="00874D98">
              <w:t xml:space="preserve">ītajiem projekta </w:t>
            </w:r>
            <w:r w:rsidR="002B4F0E" w:rsidRPr="00874D98">
              <w:t>izn</w:t>
            </w:r>
            <w:r w:rsidR="00090AAB" w:rsidRPr="00874D98">
              <w:t>ākuma</w:t>
            </w:r>
            <w:r w:rsidR="002B4F0E" w:rsidRPr="00874D98">
              <w:t xml:space="preserve"> rādītājiem</w:t>
            </w:r>
            <w:r w:rsidRPr="00874D98">
              <w:t>, noteikumu projekts paredz izņēmumu, ka uz 5.6.2. SAM ceturto atlases kārtu nav attiecināmi MK noteikumu Nr. 645 11.4. apakšpunktā noteiktie nosacījumi.</w:t>
            </w:r>
            <w:r w:rsidR="00F104B1" w:rsidRPr="00874D98">
              <w:t xml:space="preserve"> MK</w:t>
            </w:r>
            <w:r w:rsidR="000C322B" w:rsidRPr="00874D98">
              <w:t xml:space="preserve"> noteikumu Nr. 645 11.4. apakšpunkts ir attiecināms tikai uz 5.6.2. SAM pirmo, otro un trešo atlases kārtu, jo </w:t>
            </w:r>
            <w:r w:rsidR="00CC06B4" w:rsidRPr="00874D98">
              <w:t>šajās atlases kārtās katrai pašvaldībai ar attiecīgu MK rīkojumu vai Reģionālās attīstības koordinācijas padomes lēmumu tika noteikts plānotais ERAF finansējuma apmērs un iznākuma rādītāji (turpmāk – kvota)</w:t>
            </w:r>
            <w:r w:rsidR="00F659CF" w:rsidRPr="00874D98">
              <w:t xml:space="preserve">, kura ietvaros tā varēja iesniegt vienu vai vairākus projektu iesniegumus, un pašvaldībai pastāvēja iespēja kādā no kvotas ietvaros iesniegtajiem projekta iesniegumiem </w:t>
            </w:r>
            <w:r w:rsidR="00AF38A5" w:rsidRPr="00874D98">
              <w:t xml:space="preserve">iznākuma rādītāju sasniegšanā izmantot elastības mehānismu (kombinēšanas principu). Izmantojot kombinēšanas principu 5.6.2. SAM pirmajā, otrajā un trešajā atlases kārtā, ir pieļaujams, ka, ja pašvaldības (projekta iesniedzēja) attīstības programmas investīciju plānā ir iekļauti vairāki projekti, kurus plānots īstenot vienas atlases kārtas ietvaros, tad projekta iesniedzējs projektā vienas jaunas darbavietas radīšanai var paredzēt izmaksas pat līdz 60 000 </w:t>
            </w:r>
            <w:proofErr w:type="spellStart"/>
            <w:r w:rsidR="00AF38A5" w:rsidRPr="00874D98">
              <w:rPr>
                <w:i/>
              </w:rPr>
              <w:t>euro</w:t>
            </w:r>
            <w:proofErr w:type="spellEnd"/>
            <w:r w:rsidR="00AF38A5" w:rsidRPr="00874D98">
              <w:t xml:space="preserve"> ERAF finansējuma, nodrošinot, ka kopumā vienas atlases kārtas projektos vienas jaunas darba vietas radīšanai izmaksas projektos, kuros izmantots elastības mehānisms, nav lielākas par 41 000 </w:t>
            </w:r>
            <w:proofErr w:type="spellStart"/>
            <w:r w:rsidR="00AF38A5" w:rsidRPr="00874D98">
              <w:rPr>
                <w:i/>
              </w:rPr>
              <w:t>euro</w:t>
            </w:r>
            <w:proofErr w:type="spellEnd"/>
            <w:r w:rsidR="00AF38A5" w:rsidRPr="00874D98">
              <w:t xml:space="preserve"> ERAF finansējuma (kopumā paliek spēkā, ka visos vienas pašvaldības attīstības programmā plānotajos 5.6.2.SAM projektos, kuros elastības mehānisms tiek gan izmantots, gan arī netiek izmantots, vienlaikus projektā vidēji ir jāpiesaista gan privātās </w:t>
            </w:r>
            <w:proofErr w:type="spellStart"/>
            <w:r w:rsidR="00AF38A5" w:rsidRPr="00874D98">
              <w:t>nefinanšu</w:t>
            </w:r>
            <w:proofErr w:type="spellEnd"/>
            <w:r w:rsidR="00AF38A5" w:rsidRPr="00874D98">
              <w:t xml:space="preserve"> investīcijas 1:1 attiecībā pret ERAF finansējumu, gan arī vidēji uz vienu jaunu </w:t>
            </w:r>
            <w:r w:rsidR="00AF38A5" w:rsidRPr="00874D98">
              <w:lastRenderedPageBreak/>
              <w:t xml:space="preserve">darbavietu jāiegulda ne vairāk kā 60 959 </w:t>
            </w:r>
            <w:proofErr w:type="spellStart"/>
            <w:r w:rsidR="00AF38A5" w:rsidRPr="00874D98">
              <w:t>euro</w:t>
            </w:r>
            <w:proofErr w:type="spellEnd"/>
            <w:r w:rsidR="00AF38A5" w:rsidRPr="00874D98">
              <w:t xml:space="preserve"> ERAF finansējuma). Tomēr, ja šādu elastības mehānismu atsevišķos projektos izmanto, tad tas nozīmē, ka citos attiecīgās pašvaldības attīstības programmā plānotajos 5.6.2.SAM pirmās, otrās un trešās atlases kārtas projektos ir jāparedz lielāka iznākuma rādītāju sasniegšanas efektivitāte, lai kopumā tiktu izpildītas darbības programmā norādītās iznākuma rādītāju vērtības, kuru ekvivalentā vērtība naudas izteiksmē attiecībā pret ERAF finansējumu ir 2:1.</w:t>
            </w:r>
            <w:r w:rsidR="002E3C71" w:rsidRPr="00874D98">
              <w:t xml:space="preserve"> </w:t>
            </w:r>
            <w:r w:rsidR="00CC06B4" w:rsidRPr="00874D98">
              <w:t xml:space="preserve">Tā kā  MK 2020. gada 26. maija sēdē tika skatīts VARAM sagatavotais informatīvais ziņojums "Par priekšlikumiem COVID-19 seku mazināšanai un Eiropas Savienības fondu 2014.-2020.gada plānošanas perioda pašvaldību investīciju pārskatīšanai", kurš tai skaitā paredz atteikties no finansējuma </w:t>
            </w:r>
            <w:r w:rsidR="00CC06B4" w:rsidRPr="00874D98">
              <w:rPr>
                <w:rFonts w:eastAsia="Times New Roman"/>
                <w:lang w:val="lv"/>
              </w:rPr>
              <w:t>sadalījuma pa pašvaldībām</w:t>
            </w:r>
            <w:r w:rsidR="00890768">
              <w:rPr>
                <w:rFonts w:eastAsia="Times New Roman"/>
                <w:lang w:val="lv"/>
              </w:rPr>
              <w:t xml:space="preserve"> jeb </w:t>
            </w:r>
            <w:r w:rsidR="00890768" w:rsidRPr="00874D98">
              <w:t>kvotu sistēmas</w:t>
            </w:r>
            <w:r w:rsidR="00CC06B4" w:rsidRPr="00874D98">
              <w:rPr>
                <w:rFonts w:eastAsia="Times New Roman"/>
                <w:lang w:val="lv"/>
              </w:rPr>
              <w:t>, kvotu sistēma 5.6.2. SAM ceturtajā atlases kārtā netiek piemērota.</w:t>
            </w:r>
          </w:p>
          <w:p w14:paraId="27BA3060" w14:textId="23DE1F53" w:rsidR="00DC6E84" w:rsidRPr="00874D98" w:rsidRDefault="00DC6E84" w:rsidP="00DC6E84">
            <w:pPr>
              <w:spacing w:after="120"/>
              <w:jc w:val="both"/>
            </w:pPr>
            <w:r w:rsidRPr="00874D98">
              <w:rPr>
                <w:rFonts w:eastAsia="Times New Roman"/>
                <w:lang w:val="lv"/>
              </w:rPr>
              <w:t xml:space="preserve">3. Lai </w:t>
            </w:r>
            <w:r w:rsidR="00AD5D28" w:rsidRPr="00874D98">
              <w:rPr>
                <w:rFonts w:eastAsia="Times New Roman"/>
                <w:lang w:val="lv"/>
              </w:rPr>
              <w:t>paātrinātu</w:t>
            </w:r>
            <w:r w:rsidR="00AD5D28" w:rsidRPr="00874D98">
              <w:t xml:space="preserve"> investīciju nonākšanu tautsaimniecībā un </w:t>
            </w:r>
            <w:r w:rsidRPr="00874D98">
              <w:t>samazinātu administratīvo slogu pašvaldībām (</w:t>
            </w:r>
            <w:r w:rsidR="00AD0F41" w:rsidRPr="00874D98">
              <w:t xml:space="preserve">pārāk daudz </w:t>
            </w:r>
            <w:r w:rsidRPr="00874D98">
              <w:t>savstarpēji konkurējošu projektu ideju konceptu sagatavošana) un VARAM kā atbildīgajai iestādei (</w:t>
            </w:r>
            <w:proofErr w:type="spellStart"/>
            <w:r w:rsidRPr="00874D98">
              <w:t>priekšatlases</w:t>
            </w:r>
            <w:proofErr w:type="spellEnd"/>
            <w:r w:rsidRPr="00874D98">
              <w:t xml:space="preserve"> ietvaros iesniegto projektu konceptu vērtēšana), kā arī ņemot vērā 5.6.2. SAM ceturtās atlases kārtas ietvaros pieejamo ierobežoto ERAF finansējumu, noteikumu projekts paredz, ka 5.6.2. SAM ceturtās atlases kārtas ietvaros</w:t>
            </w:r>
            <w:r w:rsidR="00B27E26" w:rsidRPr="00874D98">
              <w:t xml:space="preserve"> noteikumu projektā </w:t>
            </w:r>
            <w:r w:rsidR="00B27E26" w:rsidRPr="00050C59">
              <w:t>noteikt</w:t>
            </w:r>
            <w:r w:rsidR="0001564E" w:rsidRPr="00050C59">
              <w:t>ās</w:t>
            </w:r>
            <w:r w:rsidR="00B27E26" w:rsidRPr="00050C59">
              <w:t xml:space="preserve"> nacionālas nozīmes attīstības centra vai reģionālas nozīmes attīstības centra </w:t>
            </w:r>
            <w:r w:rsidR="0001564E" w:rsidRPr="00050C59">
              <w:t>vienas</w:t>
            </w:r>
            <w:r w:rsidR="0001564E" w:rsidRPr="00874D98">
              <w:t xml:space="preserve"> </w:t>
            </w:r>
            <w:r w:rsidR="00B27E26" w:rsidRPr="00874D98">
              <w:t>pašvaldības viens vai vairāki projektu iesniedzēji</w:t>
            </w:r>
            <w:r w:rsidRPr="00874D98">
              <w:t xml:space="preserve"> īsteno ne vairāk kā trīs projektus, kuru kopējais ERAF finansējums nepārsniedz 5 000 000 </w:t>
            </w:r>
            <w:proofErr w:type="spellStart"/>
            <w:r w:rsidRPr="00874D98">
              <w:rPr>
                <w:i/>
              </w:rPr>
              <w:t>euro</w:t>
            </w:r>
            <w:proofErr w:type="spellEnd"/>
            <w:r w:rsidRPr="00874D98">
              <w:t xml:space="preserve">. </w:t>
            </w:r>
          </w:p>
          <w:p w14:paraId="2CDE957D" w14:textId="5ACDCF78" w:rsidR="00DC6E84" w:rsidRPr="00874D98" w:rsidRDefault="00DC6E84" w:rsidP="00DC6E84">
            <w:pPr>
              <w:spacing w:after="120"/>
              <w:jc w:val="both"/>
              <w:rPr>
                <w:rFonts w:eastAsia="Times New Roman"/>
              </w:rPr>
            </w:pPr>
            <w:r w:rsidRPr="00874D98">
              <w:t>4. </w:t>
            </w:r>
            <w:r w:rsidRPr="00874D98">
              <w:rPr>
                <w:rFonts w:eastAsia="Times New Roman"/>
              </w:rPr>
              <w:t>Lai novērstu pārāk lielu pašvaldību saistību uzņemšanos un nesamērīgi mazu ERAF finansējuma proporciju projekta kopējo attiecināmo izmaksu īpatsvarā, kā viens no kontroles mehānismiem noteikts, ka 5.6.2. SAM ceturtās atlases kārtas ietvaros pieteiktajos projektos ERAF finansējums veido vismaz 30 procentus no projekta kopējām attiecināmajām izmaksām.</w:t>
            </w:r>
          </w:p>
          <w:p w14:paraId="133F114F" w14:textId="2199D1B3" w:rsidR="00FD2543" w:rsidRPr="00874D98" w:rsidRDefault="00FD2543" w:rsidP="00A73930">
            <w:pPr>
              <w:pStyle w:val="Default"/>
              <w:spacing w:after="120"/>
              <w:jc w:val="both"/>
              <w:rPr>
                <w:color w:val="auto"/>
              </w:rPr>
            </w:pPr>
            <w:r w:rsidRPr="00874D98">
              <w:t xml:space="preserve">5. </w:t>
            </w:r>
            <w:r w:rsidR="00097D46" w:rsidRPr="00874D98">
              <w:rPr>
                <w:color w:val="auto"/>
              </w:rPr>
              <w:t>MK noteikum</w:t>
            </w:r>
            <w:r w:rsidR="00973BA5">
              <w:rPr>
                <w:color w:val="auto"/>
              </w:rPr>
              <w:t>u</w:t>
            </w:r>
            <w:r w:rsidR="00097D46" w:rsidRPr="00874D98">
              <w:rPr>
                <w:color w:val="auto"/>
              </w:rPr>
              <w:t xml:space="preserve"> Nr. 645 </w:t>
            </w:r>
            <w:r w:rsidRPr="00874D98">
              <w:rPr>
                <w:color w:val="auto"/>
              </w:rPr>
              <w:t>45.3. apakšpunkts paredz, ka viena no atbalstāmajām darbībām MK noteikumu Nr. </w:t>
            </w:r>
            <w:r w:rsidR="0071065B" w:rsidRPr="00874D98">
              <w:rPr>
                <w:color w:val="auto"/>
              </w:rPr>
              <w:t>645</w:t>
            </w:r>
            <w:r w:rsidRPr="00874D98">
              <w:rPr>
                <w:color w:val="auto"/>
              </w:rPr>
              <w:t xml:space="preserve"> ietvaros ir komercdarbības mērķiem paredzēto ēku un</w:t>
            </w:r>
            <w:r w:rsidR="0071065B" w:rsidRPr="00874D98">
              <w:rPr>
                <w:color w:val="auto"/>
              </w:rPr>
              <w:t xml:space="preserve"> to infrastruktūras attīstīšana degradētajā teritorijā.</w:t>
            </w:r>
            <w:r w:rsidRPr="00874D98">
              <w:rPr>
                <w:color w:val="auto"/>
              </w:rPr>
              <w:t xml:space="preserve"> Savukārt ierobežojumus saimnieciskās darbības veidiem, ko minētajās ēkās var veikt komersanti, netieši nosaka MK noteikumu Nr. </w:t>
            </w:r>
            <w:r w:rsidR="0071065B" w:rsidRPr="00874D98">
              <w:rPr>
                <w:color w:val="auto"/>
              </w:rPr>
              <w:t>645 10.2. </w:t>
            </w:r>
            <w:r w:rsidRPr="00874D98">
              <w:rPr>
                <w:color w:val="auto"/>
              </w:rPr>
              <w:t xml:space="preserve">apakšpunkts, kurā sniegts to tautsaimniecības nozaru uzskaitījums, kuru iznākuma rādītāju vērtības nav attiecināmas. </w:t>
            </w:r>
          </w:p>
          <w:p w14:paraId="7587BED1" w14:textId="250E7B4C" w:rsidR="00FD2543" w:rsidRPr="00171097" w:rsidRDefault="00FD2543" w:rsidP="001A5EB1">
            <w:pPr>
              <w:spacing w:after="120"/>
              <w:ind w:right="62"/>
              <w:jc w:val="both"/>
              <w:rPr>
                <w:bCs/>
              </w:rPr>
            </w:pPr>
            <w:r w:rsidRPr="00874D98">
              <w:t>Pašvaldības var sniegt būtisku ieguldījumu tautsaimniecībā, veicinot ekonomisko aktivitāti reģionos</w:t>
            </w:r>
            <w:r w:rsidR="00097D46" w:rsidRPr="00874D98">
              <w:t xml:space="preserve"> gan</w:t>
            </w:r>
            <w:r w:rsidRPr="00874D98">
              <w:t xml:space="preserve"> COVID-19 izraisītās ārkārtas situācijas </w:t>
            </w:r>
            <w:r w:rsidR="00097D46" w:rsidRPr="00874D98">
              <w:t xml:space="preserve">laikā, gan pēc tās </w:t>
            </w:r>
            <w:r w:rsidRPr="00874D98">
              <w:t>beigām, īstenojot tautsaimniecībai nozīmīgus ES fondu projektus. Kvalitatīva publiskā infrastruktūra ir būtisks investīciju virziens, lai atbalstītu uzņēmējdarbības attīstību</w:t>
            </w:r>
            <w:r w:rsidR="0071065B" w:rsidRPr="00874D98">
              <w:t xml:space="preserve"> degradētājās teritorijās</w:t>
            </w:r>
            <w:r w:rsidRPr="00874D98">
              <w:t xml:space="preserve"> ar fokusu uz eksportu un produktivitātes celšanu. Tā ir iespēja uzņēmējiem ražošanai vai pakalpojumu sniegšanai nepieciešamās telpas (ražošanas ēkas un industriālie </w:t>
            </w:r>
            <w:proofErr w:type="spellStart"/>
            <w:r w:rsidRPr="00874D98">
              <w:t>pieslēgumi</w:t>
            </w:r>
            <w:proofErr w:type="spellEnd"/>
            <w:r w:rsidRPr="00874D98">
              <w:t xml:space="preserve">, biroju ēkas eksportspējīgiem pakalpojumiem un citas telpas) nomāt, nevis ieguldīt savus resursus to izbūvē.  Vienlaikus COVID-19 izraisītās krīzes rezultātā visvairāk skartajās nozarēs nepieciešams koncentrēties uz esošo ēku izmantošanu un to darbības </w:t>
            </w:r>
            <w:r w:rsidRPr="00874D98">
              <w:lastRenderedPageBreak/>
              <w:t xml:space="preserve">kapacitātes nodrošināšanu, nevis investēt jaunu ēku būvniecībā. Ņemot vērā iepriekš minēto un nepieciešamību veikt ieguldījumus pēc iespējas mērķtiecīgāk un ilgtspējīgāk, papildu jau iepriekš noteiktajam aizliegumam ieguldīt ES fondu finansējumu viesnīcās, viesu mājās un līdzīgās apmešanās vietās, noteikumu projekts paredz, ka </w:t>
            </w:r>
            <w:r w:rsidR="0071065B" w:rsidRPr="00874D98">
              <w:t>5.6.2</w:t>
            </w:r>
            <w:r w:rsidRPr="00874D98">
              <w:t>. SAM</w:t>
            </w:r>
            <w:r w:rsidR="00337255">
              <w:rPr>
                <w:b/>
              </w:rPr>
              <w:t xml:space="preserve"> </w:t>
            </w:r>
            <w:r w:rsidR="00337255" w:rsidRPr="00635402">
              <w:t>ceturtās atlases kārtas</w:t>
            </w:r>
            <w:r w:rsidR="00337255">
              <w:rPr>
                <w:b/>
              </w:rPr>
              <w:t xml:space="preserve"> </w:t>
            </w:r>
            <w:r w:rsidRPr="00874D98">
              <w:t>ietvaros nav atbalstāma arī tādu ēku un to infrastruktūras attīstīšana, kurās paredzēta rekreācijas, SPA un citu fiziskās labsajūtas uzlabošanas pakalpojumu sniegšana (NACE S sadaļa 96.04. klase) un izglītības pakalpojumu sniegšana (NACE P sadaļa), proti, nav atbalstāma ERAF finansējuma ieguldījumu veikšana ēkās, kur saimniecisko darbību veic vai nākotnē veiks komersants, kura saimnieciskā darbība, atbilstoši Eiropas Parlamenta un Padomes 2006. gada 20. decembra Regulai (EK) Nr. 1893/2006 </w:t>
            </w:r>
            <w:r w:rsidRPr="00874D98">
              <w:rPr>
                <w:i/>
              </w:rPr>
              <w:t xml:space="preserve">ar ko izveido NACE 2. </w:t>
            </w:r>
            <w:proofErr w:type="spellStart"/>
            <w:r w:rsidRPr="00874D98">
              <w:rPr>
                <w:i/>
              </w:rPr>
              <w:t>red</w:t>
            </w:r>
            <w:proofErr w:type="spellEnd"/>
            <w:r w:rsidRPr="00874D98">
              <w:rPr>
                <w:i/>
              </w:rPr>
              <w:t xml:space="preserve">. saimniecisko darbību statistisko klasifikāciju, kā arī groza Padomes Regulu (EEK) Nr. 3037/90 un dažas EK regulas par īpašām </w:t>
            </w:r>
            <w:r w:rsidRPr="00874D98">
              <w:rPr>
                <w:i/>
                <w:iCs/>
              </w:rPr>
              <w:t>statistikas jomām</w:t>
            </w:r>
            <w:r w:rsidRPr="00874D98">
              <w:t xml:space="preserve"> ir saistīta ar tautsaimniecības nozares NACE S sadaļas 96. nodaļas "Pārējo individuālo pakalpojumu sniegšana", kas ietver 96.04. </w:t>
            </w:r>
            <w:proofErr w:type="spellStart"/>
            <w:r w:rsidRPr="00874D98">
              <w:t>apakškodu</w:t>
            </w:r>
            <w:proofErr w:type="spellEnd"/>
            <w:r w:rsidRPr="00874D98">
              <w:t xml:space="preserve"> </w:t>
            </w:r>
            <w:r w:rsidR="0071065B" w:rsidRPr="00874D98">
              <w:t>"</w:t>
            </w:r>
            <w:r w:rsidRPr="00874D98">
              <w:t>Fiziskās labsajūtas uzlabošanas pakalpojumi</w:t>
            </w:r>
            <w:r w:rsidR="0071065B" w:rsidRPr="00874D98">
              <w:t>"</w:t>
            </w:r>
            <w:r w:rsidRPr="00874D98">
              <w:t xml:space="preserve">, un P sadaļa </w:t>
            </w:r>
            <w:r w:rsidR="0071065B" w:rsidRPr="00874D98">
              <w:t>"</w:t>
            </w:r>
            <w:r w:rsidRPr="00874D98">
              <w:t>Izglītība</w:t>
            </w:r>
            <w:r w:rsidR="0071065B" w:rsidRPr="00874D98">
              <w:t>"</w:t>
            </w:r>
            <w:r w:rsidRPr="00874D98">
              <w:t xml:space="preserve"> (pirmskolas izglītība, sākumizglītība, vidējā izglītība, augstākā izglītība, pārējā izglītība un izglītības atbalsta pakalpojumi), kur privātiem  pakalpojumu sniedzējiem pašvaldību funkciju nodrošināšanai pašvaldības piešķir dotācijas no saviem budžeta līdzekļiem</w:t>
            </w:r>
            <w:r w:rsidR="00846B15" w:rsidRPr="00874D98">
              <w:t>. Lai arī dažas pašvaldības nespēj visiem bērniem nodrošināt vietas pirmsskolas izglītības iestādēs, arī privāto pirmsskolas izglītības iestāžu ieņēmumus veido galvenokārt publiskais finansējums, kas tiek piešķirts atb</w:t>
            </w:r>
            <w:r w:rsidR="00E167D6" w:rsidRPr="00874D98">
              <w:t>ilstoši Ministru kabineta 2015. gada 8. decembra noteikumiem Nr. </w:t>
            </w:r>
            <w:r w:rsidR="00846B15" w:rsidRPr="00874D98">
              <w:t xml:space="preserve">709 </w:t>
            </w:r>
            <w:r w:rsidR="00E167D6" w:rsidRPr="00874D98">
              <w:t>"</w:t>
            </w:r>
            <w:r w:rsidR="00846B15" w:rsidRPr="00874D98">
              <w:t>Noteikumi par izmaksu noteikšanas metodiku un kārtību, kādā pašvaldība atbilstoši tās noteiktajām vidējām izmaksām sedz pirmsskolas izglītības programmas izmaksas privātai izglītības iestādei</w:t>
            </w:r>
            <w:r w:rsidR="00E167D6" w:rsidRPr="00874D98">
              <w:t>"</w:t>
            </w:r>
            <w:r w:rsidR="00846B15" w:rsidRPr="00874D98">
              <w:t>.</w:t>
            </w:r>
            <w:r w:rsidR="00E167D6" w:rsidRPr="00874D98">
              <w:rPr>
                <w:rFonts w:eastAsiaTheme="minorHAnsi"/>
                <w:sz w:val="22"/>
                <w:szCs w:val="22"/>
              </w:rPr>
              <w:t xml:space="preserve"> Vienlaikus </w:t>
            </w:r>
            <w:r w:rsidR="00E167D6" w:rsidRPr="00874D98">
              <w:t>b</w:t>
            </w:r>
            <w:r w:rsidR="00846B15" w:rsidRPr="00874D98">
              <w:t>ērnu un jauniešu skaits reģionos samazinās, kas ilgtermiņā var radīt būtiskus riskus komersantiem, kuri nodarbojas ar izglītības pakalpojumu sniegšanu.</w:t>
            </w:r>
            <w:r w:rsidR="007E64ED">
              <w:rPr>
                <w:b/>
                <w:bCs/>
                <w:lang w:eastAsia="en-US"/>
              </w:rPr>
              <w:t xml:space="preserve"> </w:t>
            </w:r>
            <w:r w:rsidR="007E64ED" w:rsidRPr="00171097">
              <w:rPr>
                <w:bCs/>
                <w:lang w:eastAsia="en-US"/>
              </w:rPr>
              <w:t xml:space="preserve">Izglītības jomas atbalstam ir plānoti citi atbalsta instrumenti, t.sk. Eiropas Savienības fondu 2021.-2027.gada plānošanas perioda ietvaros, kā arī likumā par Valsts </w:t>
            </w:r>
            <w:r w:rsidR="00B768E8" w:rsidRPr="00171097">
              <w:rPr>
                <w:bCs/>
                <w:lang w:eastAsia="en-US"/>
              </w:rPr>
              <w:t xml:space="preserve">budžetu 2021. gadam 12. panta trešajā </w:t>
            </w:r>
            <w:r w:rsidR="007E64ED" w:rsidRPr="00171097">
              <w:rPr>
                <w:bCs/>
                <w:lang w:eastAsia="en-US"/>
              </w:rPr>
              <w:t>daļā ir noteikts atbalsts izglītības iestāžu investīciju projektiem.</w:t>
            </w:r>
          </w:p>
          <w:p w14:paraId="73B03DD3" w14:textId="0D888AAB" w:rsidR="00FD2543" w:rsidRPr="00874D98" w:rsidRDefault="00FD2543" w:rsidP="00A73930">
            <w:pPr>
              <w:spacing w:after="120"/>
              <w:ind w:right="62"/>
              <w:jc w:val="both"/>
            </w:pPr>
            <w:r w:rsidRPr="00874D98">
              <w:t xml:space="preserve">Tomēr, neskatoties uz aizliegumu veikt tiešus ERAF ieguldījumus fiziskās labsajūtas uzlabošanas un izglītības iestāžu būvniecībā </w:t>
            </w:r>
            <w:r w:rsidR="0071065B" w:rsidRPr="00874D98">
              <w:t>5.6.2</w:t>
            </w:r>
            <w:r w:rsidR="006E0A42" w:rsidRPr="00874D98">
              <w:t>. </w:t>
            </w:r>
            <w:r w:rsidRPr="00874D98">
              <w:t xml:space="preserve">SAM ietvaros, komersantu, kuri darbojas attiecīgajās tautsaimniecības nozarēs, radītie </w:t>
            </w:r>
            <w:r w:rsidR="0071065B" w:rsidRPr="00874D98">
              <w:t>5.6.2</w:t>
            </w:r>
            <w:r w:rsidRPr="00874D98">
              <w:t xml:space="preserve">. SAM iznākuma rādītāji – jaunradītās darbavietas un </w:t>
            </w:r>
            <w:proofErr w:type="spellStart"/>
            <w:r w:rsidRPr="00874D98">
              <w:t>nefinanšu</w:t>
            </w:r>
            <w:proofErr w:type="spellEnd"/>
            <w:r w:rsidRPr="00874D98">
              <w:t xml:space="preserve"> investīcijas – ir attiecināmi, ja komersanti projekta ietvaros ir guvuši labumu no cita veida radītās infrastruktūras atbilstoši MK noteikumu Nr. </w:t>
            </w:r>
            <w:r w:rsidR="0071065B" w:rsidRPr="00874D98">
              <w:t>645 45</w:t>
            </w:r>
            <w:r w:rsidRPr="00874D98">
              <w:t>. punktā minētajām atbalstāmajām darbībām. Tas pēc būtības ļaus, nekropļojot konkurenci, ko tieši aizliedz līgums par Eiropas Savienības darbību</w:t>
            </w:r>
            <w:r w:rsidRPr="00874D98">
              <w:rPr>
                <w:rStyle w:val="FootnoteReference"/>
              </w:rPr>
              <w:footnoteReference w:id="8"/>
            </w:r>
            <w:r w:rsidRPr="00874D98">
              <w:t xml:space="preserve">, atbalstīt tādus komersantus, kuri ir pietiekami izvērtējuši riskus pašiem pilnībā veikt privātās investīcijas fiziskās labsajūtas uzlabošanas un izglītības iestāžu būvniecībā vai attīstībā.  </w:t>
            </w:r>
          </w:p>
          <w:p w14:paraId="4B40C90E" w14:textId="216CE885" w:rsidR="00FD2543" w:rsidRPr="00874D98" w:rsidRDefault="00FD2543" w:rsidP="00A73930">
            <w:pPr>
              <w:spacing w:after="120"/>
              <w:ind w:right="62"/>
              <w:jc w:val="both"/>
            </w:pPr>
            <w:r w:rsidRPr="00874D98">
              <w:lastRenderedPageBreak/>
              <w:t xml:space="preserve">Noteikumu projektā paredzētais nosacījums, ka </w:t>
            </w:r>
            <w:r w:rsidR="0071065B" w:rsidRPr="00874D98">
              <w:t>5.6.2</w:t>
            </w:r>
            <w:r w:rsidRPr="00874D98">
              <w:t xml:space="preserve">. SAM ietvaros nav atbalstāma tādu ēku un to saistītās infrastruktūras attīstīšana, kurās paredzēta fiziskās labsajūtas uzlabošanas un izglītības pakalpojumi, attiecas vienādi uz visiem </w:t>
            </w:r>
            <w:r w:rsidR="0071065B" w:rsidRPr="00874D98">
              <w:t>5.6.2</w:t>
            </w:r>
            <w:r w:rsidRPr="00874D98">
              <w:t xml:space="preserve">. SAM projektu iesniedzējiem un pašvaldību attīstības programmās plānotajām projektu idejām, kuras tiks iesniegtas jaunajā </w:t>
            </w:r>
            <w:r w:rsidR="0071065B" w:rsidRPr="00874D98">
              <w:t>5.6.2</w:t>
            </w:r>
            <w:r w:rsidRPr="00874D98">
              <w:t xml:space="preserve">. SAM ceturtajā atlases kārtā. </w:t>
            </w:r>
          </w:p>
          <w:p w14:paraId="5A3AFF33" w14:textId="284DF8E6" w:rsidR="00BA01A2" w:rsidRPr="00050C59" w:rsidRDefault="007B1AFD" w:rsidP="007D541F">
            <w:pPr>
              <w:spacing w:after="240"/>
              <w:ind w:right="62"/>
              <w:jc w:val="both"/>
            </w:pPr>
            <w:r w:rsidRPr="00874D98">
              <w:t>Ņemot vērā, ka MK noteikumi Nr. 645 iepriekš paredzēja tikai vienas ēkas izmantošanas veidu</w:t>
            </w:r>
            <w:r w:rsidR="005931D4" w:rsidRPr="00874D98">
              <w:t xml:space="preserve"> (viesnīcas, viesu mājas un līdzīgās apmešanās vietas)</w:t>
            </w:r>
            <w:r w:rsidRPr="00874D98">
              <w:t xml:space="preserve">, kurā tika noteikts aizliegums ieguldīt ES fondu finansējumu, </w:t>
            </w:r>
            <w:r w:rsidR="007C0693" w:rsidRPr="00874D98">
              <w:t xml:space="preserve">bet noteikumu projekts paredz, ka 5.6.2. SAM ietvaros nav atbalstāma arī tādu ēku un to infrastruktūras attīstīšana, kurās paredzēta rekreācijas, SPA un citu fiziskās labsajūtas uzlabošanas pakalpojumu sniegšana (NACE S sadaļa 96.04. klase) un izglītības pakalpojumu sniegšana (NACE P sadaļa), </w:t>
            </w:r>
            <w:r w:rsidRPr="00874D98">
              <w:t xml:space="preserve">noteikumu projekts tehniski precizē </w:t>
            </w:r>
            <w:r w:rsidR="007C0693" w:rsidRPr="00874D98">
              <w:t>MK noteikumu Nr. </w:t>
            </w:r>
            <w:r w:rsidR="008B0D72" w:rsidRPr="00874D98">
              <w:t xml:space="preserve">645 </w:t>
            </w:r>
            <w:r w:rsidR="007C0693" w:rsidRPr="00874D98">
              <w:t>73. punkta redakciju</w:t>
            </w:r>
            <w:r w:rsidR="00F25326" w:rsidRPr="00874D98">
              <w:t xml:space="preserve"> (to nemainot pēc būtības)</w:t>
            </w:r>
            <w:r w:rsidR="007C0693" w:rsidRPr="00874D98">
              <w:t>, ar kuru iepriek</w:t>
            </w:r>
            <w:r w:rsidR="00E80F5D" w:rsidRPr="00874D98">
              <w:t>š tika noteikts datums</w:t>
            </w:r>
            <w:r w:rsidR="00432834" w:rsidRPr="00874D98">
              <w:t xml:space="preserve"> </w:t>
            </w:r>
            <w:r w:rsidR="00E80F5D" w:rsidRPr="00874D98">
              <w:t>līdz kuram ierobežojums attiecībā uz ēku, kurās paredzēta izmitināšana (NACE I sadaļa 55. nodaļa) nav attiecināms.</w:t>
            </w:r>
            <w:r w:rsidR="00432834" w:rsidRPr="00874D98">
              <w:t xml:space="preserve"> Pārējie ierobežojumi attiecībā uz ēku izmantošanas veidu (rekreācijas, SPA un citu fiziskās labsajūtas uzlabošanas pakalpojumu sniegšana un izglītības pakalpojumu sniegšana) stājas spēkā ar noteikumu projekta apstiprināšanu MK</w:t>
            </w:r>
            <w:r w:rsidR="00337255">
              <w:t xml:space="preserve"> </w:t>
            </w:r>
            <w:r w:rsidR="00337255" w:rsidRPr="00171097">
              <w:t>un ir attiecināmi uz 5.6.2. SAM ceturto atlases kārtu</w:t>
            </w:r>
            <w:r w:rsidR="00432834" w:rsidRPr="00171097">
              <w:t>.</w:t>
            </w:r>
          </w:p>
          <w:p w14:paraId="319139DE" w14:textId="3DAA0809" w:rsidR="00C34EBA" w:rsidRPr="00874D98" w:rsidRDefault="00C34EBA" w:rsidP="00F355CA">
            <w:pPr>
              <w:pStyle w:val="Body"/>
              <w:spacing w:before="60" w:after="120"/>
            </w:pPr>
            <w:r w:rsidRPr="00874D98">
              <w:t>6. Eiropas Komisijas 2019. un 2020. gada specifiskās rekomendācijas</w:t>
            </w:r>
            <w:r w:rsidR="00F25326" w:rsidRPr="00874D98">
              <w:t xml:space="preserve"> </w:t>
            </w:r>
            <w:r w:rsidRPr="00874D98">
              <w:t xml:space="preserve"> aicina dalībvalstis virzīt investīcijas uz zaļo pārkārtošanos, tīru un efektīvu enerģijas ražošanu un izmantošanu, ilgtspējīgu transportu, resursu efektivitāti un ēku energoefektivitāti. Savukārt viens no </w:t>
            </w:r>
            <w:r w:rsidRPr="00874D98">
              <w:rPr>
                <w:i/>
              </w:rPr>
              <w:t>Eiropas Zaļā kursa</w:t>
            </w:r>
            <w:r w:rsidRPr="00874D98">
              <w:rPr>
                <w:rStyle w:val="FootnoteReference"/>
                <w:i/>
              </w:rPr>
              <w:footnoteReference w:id="9"/>
            </w:r>
            <w:r w:rsidRPr="00874D98">
              <w:t xml:space="preserve"> uzstādījumiem ir būvēt un renovēt energoefektīvi un </w:t>
            </w:r>
            <w:proofErr w:type="spellStart"/>
            <w:r w:rsidRPr="00874D98">
              <w:t>resursefektīvi</w:t>
            </w:r>
            <w:proofErr w:type="spellEnd"/>
            <w:r w:rsidRPr="00874D98">
              <w:t>.</w:t>
            </w:r>
            <w:r w:rsidR="00A8169D" w:rsidRPr="00874D98">
              <w:t xml:space="preserve"> Zaļās infrastruktūras izmantošanu Latvijā, lai pielāgotos klimata pārmaiņām un sniegtu ieguldījumu klimata pārmaiņu mazināšanā, paredz gan Latvijas pielāgošanās klimata pārmaiņām plāns laika posmam līdz 2030. gadam (Rīcības virziens 3.1. Zaļās infrastruktūras izmantošana klimata risku ietekmes mazināšanai), gan Latvijas Nacionālais enerģētikas un klimata plāns 2021.-2030. gadam (4. pielikuma 12.3. pasākums </w:t>
            </w:r>
            <w:r w:rsidR="00A8169D" w:rsidRPr="00874D98">
              <w:rPr>
                <w:rFonts w:eastAsia="Calibri"/>
              </w:rPr>
              <w:t>"</w:t>
            </w:r>
            <w:r w:rsidR="00A8169D" w:rsidRPr="00874D98">
              <w:t>Veicināt oglekļa mazietilpīgas attīstības aspektu integrēšanu pilsētu un to aglomerāciju teritoriālajā plānošanā, t.sk. veicinot zaļās infrastruktūras pēc iespējas plašāku ieviešanu</w:t>
            </w:r>
            <w:r w:rsidR="00A8169D" w:rsidRPr="00874D98">
              <w:rPr>
                <w:rFonts w:eastAsia="Calibri"/>
              </w:rPr>
              <w:t>"</w:t>
            </w:r>
            <w:r w:rsidR="00A8169D" w:rsidRPr="00874D98">
              <w:t xml:space="preserve"> un 12.4. pasākums </w:t>
            </w:r>
            <w:r w:rsidR="00A8169D" w:rsidRPr="00874D98">
              <w:rPr>
                <w:rFonts w:eastAsia="Calibri"/>
              </w:rPr>
              <w:t>"</w:t>
            </w:r>
            <w:r w:rsidR="00A8169D" w:rsidRPr="00874D98">
              <w:t>Integrēt oglekļa mazietilpīgas attīstības aspektus pašvaldību attīstības plānošanas dokumentos</w:t>
            </w:r>
            <w:r w:rsidR="00A8169D" w:rsidRPr="00874D98">
              <w:rPr>
                <w:rFonts w:eastAsia="Calibri"/>
              </w:rPr>
              <w:t>"</w:t>
            </w:r>
            <w:r w:rsidR="00A8169D" w:rsidRPr="00874D98">
              <w:t xml:space="preserve">), gan informatīvais ziņojums </w:t>
            </w:r>
            <w:r w:rsidR="00A8169D" w:rsidRPr="00874D98">
              <w:rPr>
                <w:rFonts w:eastAsia="Calibri"/>
              </w:rPr>
              <w:t>"</w:t>
            </w:r>
            <w:r w:rsidR="00A8169D" w:rsidRPr="00874D98">
              <w:t xml:space="preserve">Latvijas stratēģija </w:t>
            </w:r>
            <w:proofErr w:type="spellStart"/>
            <w:r w:rsidR="00A8169D" w:rsidRPr="00874D98">
              <w:t>klimatneitralitātes</w:t>
            </w:r>
            <w:proofErr w:type="spellEnd"/>
            <w:r w:rsidR="00A8169D" w:rsidRPr="00874D98">
              <w:t xml:space="preserve"> sasniegšanai līdz 2050. gadam</w:t>
            </w:r>
            <w:r w:rsidR="00A8169D" w:rsidRPr="00874D98">
              <w:rPr>
                <w:rFonts w:eastAsia="Calibri"/>
              </w:rPr>
              <w:t>"</w:t>
            </w:r>
            <w:r w:rsidR="00A8169D" w:rsidRPr="00874D98">
              <w:t xml:space="preserve">.  </w:t>
            </w:r>
            <w:r w:rsidRPr="00874D98">
              <w:t>Ņemot to vērā, noteikumu projekts papildināts ar punktu, kas nosaka, ka 5.6.2. SAM ceturtās atlases kārtas ietvaros ir atbalstāmas tādas darbības - ēku un to infrastruktūras attīstīšana, ceļu satiksmei paredzētās infrastruktūras attīstīšana, teritorijas labiekārtošana</w:t>
            </w:r>
            <w:r w:rsidR="00457963" w:rsidRPr="00874D98">
              <w:t>,</w:t>
            </w:r>
            <w:r w:rsidRPr="00874D98">
              <w:t xml:space="preserve"> – kuru ieviešanā</w:t>
            </w:r>
            <w:r w:rsidR="0013592E" w:rsidRPr="00874D98">
              <w:t xml:space="preserve"> (vismaz vienā darbībā)</w:t>
            </w:r>
            <w:r w:rsidRPr="00874D98">
              <w:t xml:space="preserve"> izmanto vismaz vienu</w:t>
            </w:r>
            <w:r w:rsidR="0013592E" w:rsidRPr="00874D98">
              <w:t xml:space="preserve"> no</w:t>
            </w:r>
            <w:r w:rsidRPr="00874D98">
              <w:t xml:space="preserve"> zaļās infrastruktūras</w:t>
            </w:r>
            <w:r w:rsidR="003E01F3" w:rsidRPr="00874D98">
              <w:t xml:space="preserve"> </w:t>
            </w:r>
            <w:r w:rsidR="00A8169D" w:rsidRPr="00874D98">
              <w:t xml:space="preserve">vai </w:t>
            </w:r>
            <w:r w:rsidR="0013592E" w:rsidRPr="00874D98">
              <w:t>enerģiju taupošiem risinājumiem:</w:t>
            </w:r>
          </w:p>
          <w:p w14:paraId="18A4BB00" w14:textId="7A60826F" w:rsidR="00C34EBA" w:rsidRPr="00874D98" w:rsidRDefault="00122905" w:rsidP="00C34EBA">
            <w:pPr>
              <w:pStyle w:val="ListParagraph"/>
              <w:numPr>
                <w:ilvl w:val="0"/>
                <w:numId w:val="38"/>
              </w:numPr>
              <w:jc w:val="both"/>
              <w:rPr>
                <w:rFonts w:eastAsia="Calibri"/>
                <w:color w:val="000000"/>
                <w:sz w:val="24"/>
                <w:szCs w:val="24"/>
              </w:rPr>
            </w:pPr>
            <w:r w:rsidRPr="00874D98">
              <w:rPr>
                <w:rFonts w:eastAsia="Calibri"/>
                <w:color w:val="000000"/>
                <w:sz w:val="24"/>
                <w:szCs w:val="24"/>
              </w:rPr>
              <w:lastRenderedPageBreak/>
              <w:t xml:space="preserve">publiskajā </w:t>
            </w:r>
            <w:r w:rsidR="00C34EBA" w:rsidRPr="00874D98">
              <w:rPr>
                <w:rFonts w:eastAsia="Calibri"/>
                <w:color w:val="000000"/>
                <w:sz w:val="24"/>
                <w:szCs w:val="24"/>
              </w:rPr>
              <w:t>iepirkum</w:t>
            </w:r>
            <w:r w:rsidRPr="00874D98">
              <w:rPr>
                <w:rFonts w:eastAsia="Calibri"/>
                <w:color w:val="000000"/>
                <w:sz w:val="24"/>
                <w:szCs w:val="24"/>
              </w:rPr>
              <w:t>ā izmanto</w:t>
            </w:r>
            <w:r w:rsidR="00C34EBA" w:rsidRPr="00874D98">
              <w:rPr>
                <w:rFonts w:eastAsia="Calibri"/>
                <w:color w:val="000000"/>
                <w:sz w:val="24"/>
                <w:szCs w:val="24"/>
              </w:rPr>
              <w:t xml:space="preserve"> zaļā </w:t>
            </w:r>
            <w:r w:rsidR="00FC52FB" w:rsidRPr="00874D98">
              <w:rPr>
                <w:rFonts w:eastAsia="Calibri"/>
                <w:color w:val="000000"/>
                <w:sz w:val="24"/>
                <w:szCs w:val="24"/>
              </w:rPr>
              <w:t xml:space="preserve">publiskā </w:t>
            </w:r>
            <w:r w:rsidR="00C34EBA" w:rsidRPr="00874D98">
              <w:rPr>
                <w:rFonts w:eastAsia="Calibri"/>
                <w:color w:val="000000"/>
                <w:sz w:val="24"/>
                <w:szCs w:val="24"/>
              </w:rPr>
              <w:t xml:space="preserve">iepirkuma </w:t>
            </w:r>
            <w:r w:rsidRPr="00874D98">
              <w:rPr>
                <w:rFonts w:eastAsia="Calibri"/>
                <w:color w:val="000000"/>
                <w:sz w:val="24"/>
                <w:szCs w:val="24"/>
              </w:rPr>
              <w:t>kritērijus</w:t>
            </w:r>
            <w:r w:rsidR="0005737A" w:rsidRPr="00874D98">
              <w:rPr>
                <w:rStyle w:val="FootnoteReference"/>
                <w:rFonts w:eastAsia="Calibri"/>
                <w:color w:val="000000"/>
                <w:sz w:val="24"/>
                <w:szCs w:val="24"/>
              </w:rPr>
              <w:footnoteReference w:id="10"/>
            </w:r>
            <w:r w:rsidRPr="00874D98">
              <w:rPr>
                <w:rFonts w:eastAsia="Calibri"/>
                <w:color w:val="000000"/>
                <w:sz w:val="24"/>
                <w:szCs w:val="24"/>
              </w:rPr>
              <w:t xml:space="preserve"> vai </w:t>
            </w:r>
            <w:r w:rsidR="00C34EBA" w:rsidRPr="00874D98">
              <w:rPr>
                <w:rFonts w:eastAsia="Calibri"/>
                <w:color w:val="000000"/>
                <w:sz w:val="24"/>
                <w:szCs w:val="24"/>
              </w:rPr>
              <w:t>princip</w:t>
            </w:r>
            <w:r w:rsidRPr="00874D98">
              <w:rPr>
                <w:rFonts w:eastAsia="Calibri"/>
                <w:color w:val="000000"/>
                <w:sz w:val="24"/>
                <w:szCs w:val="24"/>
              </w:rPr>
              <w:t>us</w:t>
            </w:r>
            <w:r w:rsidR="0005737A" w:rsidRPr="00874D98">
              <w:rPr>
                <w:rStyle w:val="FootnoteReference"/>
                <w:rFonts w:eastAsia="Calibri"/>
                <w:color w:val="000000"/>
                <w:sz w:val="24"/>
                <w:szCs w:val="24"/>
              </w:rPr>
              <w:footnoteReference w:id="11"/>
            </w:r>
            <w:r w:rsidR="00C34EBA" w:rsidRPr="00874D98">
              <w:rPr>
                <w:rFonts w:eastAsia="Calibri"/>
                <w:color w:val="000000"/>
                <w:sz w:val="24"/>
                <w:szCs w:val="24"/>
              </w:rPr>
              <w:t>;</w:t>
            </w:r>
          </w:p>
          <w:p w14:paraId="5B0FE9EF" w14:textId="3F032201" w:rsidR="00C34EBA" w:rsidRPr="00874D98" w:rsidRDefault="00C34EBA" w:rsidP="00FC52FB">
            <w:pPr>
              <w:pStyle w:val="ListParagraph"/>
              <w:numPr>
                <w:ilvl w:val="0"/>
                <w:numId w:val="38"/>
              </w:numPr>
              <w:jc w:val="both"/>
              <w:rPr>
                <w:rFonts w:eastAsia="Calibri"/>
                <w:color w:val="000000"/>
                <w:sz w:val="24"/>
                <w:szCs w:val="24"/>
              </w:rPr>
            </w:pPr>
            <w:r w:rsidRPr="00874D98">
              <w:rPr>
                <w:rFonts w:eastAsia="Calibri"/>
                <w:color w:val="000000"/>
                <w:sz w:val="24"/>
                <w:szCs w:val="24"/>
              </w:rPr>
              <w:t xml:space="preserve">projektā izmanto risinājumu, </w:t>
            </w:r>
            <w:r w:rsidR="00FC52FB" w:rsidRPr="00874D98">
              <w:rPr>
                <w:rFonts w:eastAsia="Calibri"/>
                <w:color w:val="000000"/>
                <w:sz w:val="24"/>
                <w:szCs w:val="24"/>
              </w:rPr>
              <w:t>kas samazina si</w:t>
            </w:r>
            <w:r w:rsidR="004C5C9D" w:rsidRPr="00874D98">
              <w:rPr>
                <w:rFonts w:eastAsia="Calibri"/>
                <w:color w:val="000000"/>
                <w:sz w:val="24"/>
                <w:szCs w:val="24"/>
              </w:rPr>
              <w:t>l</w:t>
            </w:r>
            <w:r w:rsidR="00FC52FB" w:rsidRPr="00874D98">
              <w:rPr>
                <w:rFonts w:eastAsia="Calibri"/>
                <w:color w:val="000000"/>
                <w:sz w:val="24"/>
                <w:szCs w:val="24"/>
              </w:rPr>
              <w:t>tumnīcefekta gāz</w:t>
            </w:r>
            <w:r w:rsidR="00C844F6">
              <w:rPr>
                <w:rFonts w:eastAsia="Calibri"/>
                <w:color w:val="000000"/>
                <w:sz w:val="24"/>
                <w:szCs w:val="24"/>
              </w:rPr>
              <w:t>u</w:t>
            </w:r>
            <w:r w:rsidR="00FC52FB" w:rsidRPr="00874D98">
              <w:rPr>
                <w:rFonts w:eastAsia="Calibri"/>
                <w:color w:val="000000"/>
                <w:sz w:val="24"/>
                <w:szCs w:val="24"/>
              </w:rPr>
              <w:t xml:space="preserve"> (SEG) emisijas vai</w:t>
            </w:r>
            <w:r w:rsidRPr="00874D98">
              <w:rPr>
                <w:rFonts w:eastAsia="Calibri"/>
                <w:color w:val="000000"/>
                <w:sz w:val="24"/>
                <w:szCs w:val="24"/>
              </w:rPr>
              <w:t xml:space="preserve"> </w:t>
            </w:r>
            <w:r w:rsidR="00FC52FB" w:rsidRPr="00874D98">
              <w:rPr>
                <w:rFonts w:eastAsia="Calibri"/>
                <w:color w:val="000000"/>
                <w:sz w:val="24"/>
                <w:szCs w:val="24"/>
              </w:rPr>
              <w:t>veicina oglekļa dioksīda</w:t>
            </w:r>
            <w:r w:rsidRPr="00874D98">
              <w:rPr>
                <w:rFonts w:eastAsia="Calibri"/>
                <w:color w:val="000000"/>
                <w:sz w:val="24"/>
                <w:szCs w:val="24"/>
              </w:rPr>
              <w:t xml:space="preserve"> </w:t>
            </w:r>
            <w:r w:rsidR="00FC52FB" w:rsidRPr="00874D98">
              <w:rPr>
                <w:rFonts w:eastAsia="Calibri"/>
                <w:color w:val="000000"/>
                <w:sz w:val="24"/>
                <w:szCs w:val="24"/>
              </w:rPr>
              <w:t>(</w:t>
            </w:r>
            <w:r w:rsidRPr="00874D98">
              <w:rPr>
                <w:rFonts w:eastAsia="Calibri"/>
                <w:color w:val="000000"/>
                <w:sz w:val="24"/>
                <w:szCs w:val="24"/>
              </w:rPr>
              <w:t>CO</w:t>
            </w:r>
            <w:r w:rsidRPr="00874D98">
              <w:rPr>
                <w:sz w:val="24"/>
                <w:szCs w:val="24"/>
                <w:vertAlign w:val="subscript"/>
              </w:rPr>
              <w:t>2</w:t>
            </w:r>
            <w:r w:rsidR="00FC52FB" w:rsidRPr="00874D98">
              <w:rPr>
                <w:rFonts w:eastAsia="Calibri"/>
                <w:color w:val="000000"/>
                <w:sz w:val="24"/>
                <w:szCs w:val="24"/>
              </w:rPr>
              <w:t xml:space="preserve">) </w:t>
            </w:r>
            <w:r w:rsidRPr="00874D98">
              <w:rPr>
                <w:rFonts w:eastAsia="Calibri"/>
                <w:color w:val="000000"/>
                <w:sz w:val="24"/>
                <w:szCs w:val="24"/>
              </w:rPr>
              <w:t>piesaisti;</w:t>
            </w:r>
          </w:p>
          <w:p w14:paraId="02E59877" w14:textId="662BF6F1" w:rsidR="00F355CA" w:rsidRPr="00874D98" w:rsidRDefault="008A01C7" w:rsidP="008A01C7">
            <w:pPr>
              <w:pStyle w:val="ListParagraph"/>
              <w:numPr>
                <w:ilvl w:val="0"/>
                <w:numId w:val="38"/>
              </w:numPr>
              <w:jc w:val="both"/>
              <w:rPr>
                <w:rFonts w:eastAsia="Calibri"/>
                <w:color w:val="000000"/>
                <w:sz w:val="24"/>
                <w:szCs w:val="24"/>
              </w:rPr>
            </w:pPr>
            <w:r w:rsidRPr="00874D98">
              <w:rPr>
                <w:sz w:val="24"/>
                <w:szCs w:val="24"/>
              </w:rPr>
              <w:t>projektā izmanto risinājumu vai paredz pasākumu, kas veicina pielāgošanos klimata pārmaiņām, mazinot to radītos zaudējumus.</w:t>
            </w:r>
          </w:p>
          <w:p w14:paraId="4C978340" w14:textId="77777777" w:rsidR="008A01C7" w:rsidRPr="00874D98" w:rsidRDefault="008A01C7" w:rsidP="008A01C7">
            <w:pPr>
              <w:pStyle w:val="ListParagraph"/>
              <w:jc w:val="both"/>
              <w:rPr>
                <w:rFonts w:eastAsia="Calibri"/>
                <w:color w:val="000000"/>
                <w:sz w:val="24"/>
                <w:szCs w:val="24"/>
              </w:rPr>
            </w:pPr>
          </w:p>
          <w:p w14:paraId="643D7A1D" w14:textId="184D7ECA" w:rsidR="004750C6" w:rsidRPr="00874D98" w:rsidRDefault="008A01C7" w:rsidP="008A01C7">
            <w:pPr>
              <w:spacing w:after="240"/>
              <w:ind w:right="62"/>
              <w:jc w:val="both"/>
            </w:pPr>
            <w:r w:rsidRPr="00874D98">
              <w:t xml:space="preserve">Zaļā infrastruktūra tiek definēta kā stratēģiski plānots dabisku vai daļēji dabisku teritoriju tīkls, kas var sniegt daudzus un dažādus ekosistēmu pakalpojumus. Tā var ietvert arī zaļās zonas, zilās zonas (ja attiecas uz ūdens ekosistēmām) un citus fiziskus sauszemes elementus (arī piekrastes) un elementus jūras teritorijās. "Zaļā infrastruktūra" ir saistāma kā ar lauku teritorijām, tā arī ar pilsētām. Izmantojot </w:t>
            </w:r>
            <w:r w:rsidR="0001564E">
              <w:t>"</w:t>
            </w:r>
            <w:r w:rsidRPr="00874D98">
              <w:t>zaļo infrastruktūru</w:t>
            </w:r>
            <w:r w:rsidR="0001564E" w:rsidRPr="00874D98">
              <w:t xml:space="preserve">" </w:t>
            </w:r>
            <w:r w:rsidRPr="00874D98">
              <w:t xml:space="preserve"> klimata pārmaiņu mazināšanā, tiek izmantotas dabai raksturīgās pielāgošanās spējas</w:t>
            </w:r>
            <w:r w:rsidRPr="00874D98">
              <w:rPr>
                <w:vertAlign w:val="superscript"/>
              </w:rPr>
              <w:footnoteReference w:id="12"/>
            </w:r>
            <w:r w:rsidRPr="00874D98">
              <w:t>.</w:t>
            </w:r>
            <w:r w:rsidR="004750C6" w:rsidRPr="00874D98">
              <w:t xml:space="preserve"> </w:t>
            </w:r>
          </w:p>
          <w:p w14:paraId="0FCC18B3" w14:textId="5540F2BB" w:rsidR="00C34EBA" w:rsidRPr="00874D98" w:rsidRDefault="00C34EBA" w:rsidP="008A01C7">
            <w:pPr>
              <w:spacing w:after="240"/>
              <w:ind w:right="62"/>
              <w:jc w:val="both"/>
            </w:pPr>
            <w:r w:rsidRPr="00874D98">
              <w:t xml:space="preserve">Piemēram, lai samazinātu </w:t>
            </w:r>
            <w:r w:rsidR="00290164" w:rsidRPr="00874D98">
              <w:t>siltumenerģijas</w:t>
            </w:r>
            <w:r w:rsidRPr="00874D98">
              <w:t xml:space="preserve"> un elektroenerģijas patēriņu ēkā, plānojot izmaksas saskaņā ar MK noteikumu Nr. 645 48.3.2. apakšpunktu, </w:t>
            </w:r>
            <w:r w:rsidR="00457963" w:rsidRPr="00874D98">
              <w:t xml:space="preserve">var </w:t>
            </w:r>
            <w:r w:rsidRPr="00874D98">
              <w:t xml:space="preserve">izmantot </w:t>
            </w:r>
            <w:r w:rsidR="00290164" w:rsidRPr="00874D98">
              <w:t>inovatīvus (tai skaitā zaļās infrastruktūras</w:t>
            </w:r>
            <w:r w:rsidR="003E01F3" w:rsidRPr="00874D98">
              <w:t xml:space="preserve"> </w:t>
            </w:r>
            <w:r w:rsidR="00290164" w:rsidRPr="00874D98">
              <w:t xml:space="preserve">vai </w:t>
            </w:r>
            <w:r w:rsidR="00CE253D" w:rsidRPr="00874D98">
              <w:t xml:space="preserve">enerģiju </w:t>
            </w:r>
            <w:r w:rsidR="00290164" w:rsidRPr="00874D98">
              <w:t>taupoš</w:t>
            </w:r>
            <w:r w:rsidR="00CE253D" w:rsidRPr="00874D98">
              <w:t>u</w:t>
            </w:r>
            <w:r w:rsidR="00290164" w:rsidRPr="00874D98">
              <w:t>s) risinājumus</w:t>
            </w:r>
            <w:r w:rsidRPr="00874D98">
              <w:t>:</w:t>
            </w:r>
          </w:p>
          <w:p w14:paraId="55CF73F4" w14:textId="2A45BCA1" w:rsidR="00C34EBA" w:rsidRPr="00874D98" w:rsidRDefault="00C34EBA" w:rsidP="00C34EBA">
            <w:pPr>
              <w:pStyle w:val="ListParagraph"/>
              <w:numPr>
                <w:ilvl w:val="0"/>
                <w:numId w:val="36"/>
              </w:numPr>
              <w:spacing w:after="160" w:line="259" w:lineRule="auto"/>
              <w:jc w:val="both"/>
              <w:rPr>
                <w:sz w:val="24"/>
                <w:szCs w:val="24"/>
              </w:rPr>
            </w:pPr>
            <w:r w:rsidRPr="00874D98">
              <w:rPr>
                <w:sz w:val="24"/>
                <w:szCs w:val="24"/>
              </w:rPr>
              <w:t>zaļie jumti - tie funkcionē kā papildu biezs izolācijas slānis, kas samazina ēkas apkures un dzesēšanas prasības, vienlaikus mazina pilsētas siltuma salas efektu</w:t>
            </w:r>
            <w:r w:rsidR="00457963" w:rsidRPr="00874D98">
              <w:rPr>
                <w:sz w:val="24"/>
                <w:szCs w:val="24"/>
              </w:rPr>
              <w:t>;</w:t>
            </w:r>
          </w:p>
          <w:p w14:paraId="504E2C07" w14:textId="50623D7C" w:rsidR="00C34EBA" w:rsidRPr="00874D98" w:rsidRDefault="00C34EBA" w:rsidP="00C34EBA">
            <w:pPr>
              <w:pStyle w:val="ListParagraph"/>
              <w:numPr>
                <w:ilvl w:val="0"/>
                <w:numId w:val="36"/>
              </w:numPr>
              <w:jc w:val="both"/>
              <w:rPr>
                <w:sz w:val="24"/>
                <w:szCs w:val="24"/>
              </w:rPr>
            </w:pPr>
            <w:r w:rsidRPr="00874D98">
              <w:rPr>
                <w:sz w:val="24"/>
                <w:szCs w:val="24"/>
              </w:rPr>
              <w:t>zaļās sienas – augu sienas darbojas kā dabīga gaisa filtrācijas sistēma</w:t>
            </w:r>
            <w:r w:rsidR="00F25326" w:rsidRPr="00874D98">
              <w:rPr>
                <w:sz w:val="24"/>
                <w:szCs w:val="24"/>
              </w:rPr>
              <w:t>,</w:t>
            </w:r>
            <w:r w:rsidRPr="00874D98">
              <w:rPr>
                <w:sz w:val="24"/>
                <w:szCs w:val="24"/>
              </w:rPr>
              <w:t xml:space="preserve"> radot tīrāku vidi, palīdz dzesēt gaisu siltākos vasaras mēnešos un siltinot ēku ziemas mēnešos, radot enerģijas ietaupījumu un samazinot gaisa kondicionēšanas izmaksas ēkā.  Zaļās sienas darbojas kā papildu izolācija ar gaisa slāni starp augiem un sienu. Tā arī samazina trokšņa līmeni, atstarojot, </w:t>
            </w:r>
            <w:proofErr w:type="spellStart"/>
            <w:r w:rsidRPr="00874D98">
              <w:rPr>
                <w:sz w:val="24"/>
                <w:szCs w:val="24"/>
              </w:rPr>
              <w:t>refraktējot</w:t>
            </w:r>
            <w:proofErr w:type="spellEnd"/>
            <w:r w:rsidRPr="00874D98">
              <w:rPr>
                <w:sz w:val="24"/>
                <w:szCs w:val="24"/>
              </w:rPr>
              <w:t>, kā arī absorbējot akustisko enerģiju</w:t>
            </w:r>
            <w:r w:rsidR="00457963" w:rsidRPr="00874D98">
              <w:rPr>
                <w:sz w:val="24"/>
                <w:szCs w:val="24"/>
              </w:rPr>
              <w:t>;</w:t>
            </w:r>
          </w:p>
          <w:p w14:paraId="19D5C1A0" w14:textId="63DDA572" w:rsidR="00C34EBA" w:rsidRPr="00874D98" w:rsidRDefault="00C34EBA" w:rsidP="00C34EBA">
            <w:pPr>
              <w:pStyle w:val="ListParagraph"/>
              <w:numPr>
                <w:ilvl w:val="0"/>
                <w:numId w:val="36"/>
              </w:numPr>
              <w:spacing w:after="160" w:line="259" w:lineRule="auto"/>
              <w:jc w:val="both"/>
              <w:rPr>
                <w:sz w:val="24"/>
                <w:szCs w:val="24"/>
              </w:rPr>
            </w:pPr>
            <w:r w:rsidRPr="00874D98">
              <w:rPr>
                <w:sz w:val="24"/>
                <w:szCs w:val="24"/>
              </w:rPr>
              <w:t>dabiski materiāli būves celtniecībā, piemēram, dabīgu aitu vilnu kā siltumizolācijas materiālu, kas aizsargā telpas no nevēlamām temperatūras svārstībām. Aitas vilnas siltumizolācija attīra telpās gaisu, regulē mitruma daudzumu, tai ir teicama skaņas izolācija, tā ir pilnīgi dabīga, bez kaitīgām papildvielām, ir draudzīga cilvēka veselībai ekspluatācijas laikā, kā arī ieklājot neprasa speciālus aizsarglīdzekļus</w:t>
            </w:r>
            <w:r w:rsidR="00457963" w:rsidRPr="00874D98">
              <w:rPr>
                <w:sz w:val="24"/>
                <w:szCs w:val="24"/>
              </w:rPr>
              <w:t>;</w:t>
            </w:r>
          </w:p>
          <w:p w14:paraId="7FEC4DD2" w14:textId="77777777" w:rsidR="00C34EBA" w:rsidRPr="00874D98" w:rsidRDefault="00C34EBA" w:rsidP="00C34EBA">
            <w:pPr>
              <w:pStyle w:val="ListParagraph"/>
              <w:numPr>
                <w:ilvl w:val="0"/>
                <w:numId w:val="36"/>
              </w:numPr>
              <w:spacing w:after="160" w:line="259" w:lineRule="auto"/>
              <w:jc w:val="both"/>
              <w:rPr>
                <w:sz w:val="24"/>
                <w:szCs w:val="24"/>
              </w:rPr>
            </w:pPr>
            <w:r w:rsidRPr="00874D98">
              <w:rPr>
                <w:sz w:val="24"/>
                <w:szCs w:val="24"/>
              </w:rPr>
              <w:t>u.c. risinājumi.</w:t>
            </w:r>
          </w:p>
          <w:p w14:paraId="037BBD1A" w14:textId="077902E7" w:rsidR="00C34EBA" w:rsidRPr="00874D98" w:rsidRDefault="00C34EBA" w:rsidP="00F355CA">
            <w:pPr>
              <w:spacing w:after="240"/>
              <w:ind w:right="62"/>
              <w:jc w:val="both"/>
            </w:pPr>
            <w:r w:rsidRPr="00874D98">
              <w:lastRenderedPageBreak/>
              <w:t>Plānojot izmaksas satiksmes pārvadu, ielu vai ceļu infrastruktūrai, saskaņā ar MK noteikumu Nr. 645 48.3.1. apakšpunktu, kā zaļās infrastruktūras risinājumu var izmantot</w:t>
            </w:r>
            <w:r w:rsidR="003E03E0" w:rsidRPr="00874D98">
              <w:t xml:space="preserve">, piemēram, </w:t>
            </w:r>
            <w:r w:rsidRPr="00874D98">
              <w:t>zaļās salas</w:t>
            </w:r>
            <w:r w:rsidR="00290164" w:rsidRPr="00874D98">
              <w:t>, velosipēdu novietnes</w:t>
            </w:r>
            <w:r w:rsidR="003E03E0" w:rsidRPr="00874D98">
              <w:t>,</w:t>
            </w:r>
            <w:r w:rsidR="00290164" w:rsidRPr="00874D98">
              <w:t xml:space="preserve"> </w:t>
            </w:r>
            <w:r w:rsidR="00290164" w:rsidRPr="00874D98">
              <w:rPr>
                <w:lang w:eastAsia="en-US"/>
              </w:rPr>
              <w:t>za</w:t>
            </w:r>
            <w:r w:rsidR="003E03E0" w:rsidRPr="00874D98">
              <w:rPr>
                <w:lang w:eastAsia="en-US"/>
              </w:rPr>
              <w:t>ļo</w:t>
            </w:r>
            <w:r w:rsidR="00290164" w:rsidRPr="00874D98">
              <w:rPr>
                <w:lang w:eastAsia="en-US"/>
              </w:rPr>
              <w:t xml:space="preserve"> koridor</w:t>
            </w:r>
            <w:r w:rsidR="003E03E0" w:rsidRPr="00874D98">
              <w:rPr>
                <w:lang w:eastAsia="en-US"/>
              </w:rPr>
              <w:t>u</w:t>
            </w:r>
            <w:r w:rsidR="00290164" w:rsidRPr="00874D98">
              <w:rPr>
                <w:lang w:eastAsia="en-US"/>
              </w:rPr>
              <w:t xml:space="preserve"> pie intensīvas satiksmes tīkliem (</w:t>
            </w:r>
            <w:proofErr w:type="spellStart"/>
            <w:r w:rsidR="00290164" w:rsidRPr="00874D98">
              <w:rPr>
                <w:lang w:eastAsia="en-US"/>
              </w:rPr>
              <w:t>eko</w:t>
            </w:r>
            <w:proofErr w:type="spellEnd"/>
            <w:r w:rsidR="00290164" w:rsidRPr="00874D98">
              <w:rPr>
                <w:lang w:eastAsia="en-US"/>
              </w:rPr>
              <w:t xml:space="preserve"> viadukti, dzīvnieku tuneļi), </w:t>
            </w:r>
            <w:proofErr w:type="spellStart"/>
            <w:r w:rsidR="00290164" w:rsidRPr="00874D98">
              <w:rPr>
                <w:lang w:eastAsia="en-US"/>
              </w:rPr>
              <w:t>lietusūdens</w:t>
            </w:r>
            <w:proofErr w:type="spellEnd"/>
            <w:r w:rsidR="00290164" w:rsidRPr="00874D98">
              <w:rPr>
                <w:lang w:eastAsia="en-US"/>
              </w:rPr>
              <w:t xml:space="preserve"> savākšanas dīķi un kanāl</w:t>
            </w:r>
            <w:r w:rsidR="003E03E0" w:rsidRPr="00874D98">
              <w:rPr>
                <w:lang w:eastAsia="en-US"/>
              </w:rPr>
              <w:t>u</w:t>
            </w:r>
            <w:r w:rsidR="00290164" w:rsidRPr="00874D98">
              <w:rPr>
                <w:lang w:eastAsia="en-US"/>
              </w:rPr>
              <w:t xml:space="preserve"> (divpakāpju meliorācijas grāvji, mākslīgie mitrāji un mitrzemes, </w:t>
            </w:r>
            <w:proofErr w:type="spellStart"/>
            <w:r w:rsidR="00290164" w:rsidRPr="00874D98">
              <w:rPr>
                <w:lang w:eastAsia="en-US"/>
              </w:rPr>
              <w:t>pretplūdu</w:t>
            </w:r>
            <w:proofErr w:type="spellEnd"/>
            <w:r w:rsidR="00290164" w:rsidRPr="00874D98">
              <w:rPr>
                <w:lang w:eastAsia="en-US"/>
              </w:rPr>
              <w:t xml:space="preserve"> risinājumi pilsētvidē un jūras piekrastē, ūdens laukum</w:t>
            </w:r>
            <w:r w:rsidR="003E03E0" w:rsidRPr="00874D98">
              <w:rPr>
                <w:lang w:eastAsia="en-US"/>
              </w:rPr>
              <w:t>u</w:t>
            </w:r>
            <w:r w:rsidR="00290164" w:rsidRPr="00874D98">
              <w:rPr>
                <w:lang w:eastAsia="en-US"/>
              </w:rPr>
              <w:t xml:space="preserve"> un kanāl</w:t>
            </w:r>
            <w:r w:rsidR="003E03E0" w:rsidRPr="00874D98">
              <w:rPr>
                <w:lang w:eastAsia="en-US"/>
              </w:rPr>
              <w:t>u</w:t>
            </w:r>
            <w:r w:rsidR="00290164" w:rsidRPr="00874D98">
              <w:rPr>
                <w:lang w:eastAsia="en-US"/>
              </w:rPr>
              <w:t xml:space="preserve"> </w:t>
            </w:r>
            <w:proofErr w:type="spellStart"/>
            <w:r w:rsidR="00290164" w:rsidRPr="00874D98">
              <w:rPr>
                <w:lang w:eastAsia="en-US"/>
              </w:rPr>
              <w:t>notekūdenu</w:t>
            </w:r>
            <w:proofErr w:type="spellEnd"/>
            <w:r w:rsidR="00290164" w:rsidRPr="00874D98">
              <w:rPr>
                <w:lang w:eastAsia="en-US"/>
              </w:rPr>
              <w:t xml:space="preserve"> sistēm</w:t>
            </w:r>
            <w:r w:rsidR="003E03E0" w:rsidRPr="00874D98">
              <w:rPr>
                <w:lang w:eastAsia="en-US"/>
              </w:rPr>
              <w:t>as</w:t>
            </w:r>
            <w:r w:rsidR="00290164" w:rsidRPr="00874D98">
              <w:rPr>
                <w:lang w:eastAsia="en-US"/>
              </w:rPr>
              <w:t xml:space="preserve"> atslogošanai, notekas/</w:t>
            </w:r>
            <w:proofErr w:type="spellStart"/>
            <w:r w:rsidR="00290164" w:rsidRPr="00874D98">
              <w:rPr>
                <w:lang w:eastAsia="en-US"/>
              </w:rPr>
              <w:t>bio</w:t>
            </w:r>
            <w:proofErr w:type="spellEnd"/>
            <w:r w:rsidR="00290164" w:rsidRPr="00874D98">
              <w:rPr>
                <w:lang w:eastAsia="en-US"/>
              </w:rPr>
              <w:t>-notekas izveid</w:t>
            </w:r>
            <w:r w:rsidR="003E03E0" w:rsidRPr="00874D98">
              <w:rPr>
                <w:lang w:eastAsia="en-US"/>
              </w:rPr>
              <w:t>i</w:t>
            </w:r>
            <w:r w:rsidR="00290164" w:rsidRPr="00874D98">
              <w:rPr>
                <w:lang w:eastAsia="en-US"/>
              </w:rPr>
              <w:t>, caurlaidīg</w:t>
            </w:r>
            <w:r w:rsidR="003E03E0" w:rsidRPr="00874D98">
              <w:rPr>
                <w:lang w:eastAsia="en-US"/>
              </w:rPr>
              <w:t>u</w:t>
            </w:r>
            <w:r w:rsidR="00290164" w:rsidRPr="00874D98">
              <w:rPr>
                <w:lang w:eastAsia="en-US"/>
              </w:rPr>
              <w:t xml:space="preserve"> ietves izbūv</w:t>
            </w:r>
            <w:r w:rsidR="003E03E0" w:rsidRPr="00874D98">
              <w:rPr>
                <w:lang w:eastAsia="en-US"/>
              </w:rPr>
              <w:t>i</w:t>
            </w:r>
            <w:r w:rsidR="00290164" w:rsidRPr="00874D98">
              <w:rPr>
                <w:lang w:eastAsia="en-US"/>
              </w:rPr>
              <w:t xml:space="preserve"> </w:t>
            </w:r>
            <w:r w:rsidRPr="00874D98">
              <w:t>u.c. risinājumus.</w:t>
            </w:r>
            <w:r w:rsidR="00F355CA" w:rsidRPr="00874D98">
              <w:t xml:space="preserve"> Savukārt kā enerģiju taupošus risinājums var izmantot videi draudzīgu apgaismojumu u.c. risinājumus.</w:t>
            </w:r>
          </w:p>
          <w:p w14:paraId="3D124BE3" w14:textId="2BF3CA3F" w:rsidR="00C34EBA" w:rsidRPr="00874D98" w:rsidRDefault="00C34EBA" w:rsidP="00F355CA">
            <w:pPr>
              <w:spacing w:after="240"/>
              <w:ind w:right="62"/>
              <w:jc w:val="both"/>
            </w:pPr>
            <w:r w:rsidRPr="00874D98">
              <w:t>Plānojot labiekārtošanas izmaksas, saskaņā ar MK noteikumu Nr. 645 48.4.2. apakšpunktu, kā zaļā infrastruktūras risinājumu var izmantot zaļos žogus, koku apstādījumus</w:t>
            </w:r>
            <w:r w:rsidR="00290164" w:rsidRPr="00874D98">
              <w:t>, dzīvžogus</w:t>
            </w:r>
            <w:r w:rsidRPr="00874D98">
              <w:t xml:space="preserve"> u.c. risinājumus. </w:t>
            </w:r>
            <w:r w:rsidR="00F355CA" w:rsidRPr="00874D98">
              <w:t>Savukārt kā enerģiju taupošus risinājums var izmantot videi draudzīgu apgaismojumu u.c. risinājumus.</w:t>
            </w:r>
          </w:p>
          <w:p w14:paraId="389CA399" w14:textId="445A2EEE" w:rsidR="004725E0" w:rsidRPr="00874D98" w:rsidRDefault="00C34EBA" w:rsidP="007D541F">
            <w:pPr>
              <w:spacing w:after="240"/>
              <w:ind w:right="62"/>
              <w:jc w:val="both"/>
            </w:pPr>
            <w:r w:rsidRPr="00874D98">
              <w:t>Atbilstoši Ministru kabineta 2017. gada 20. jūnija noteikumu Nr. 353 "Prasības zaļajam publiskajam iepirkumam un to piemērošanas kārtība" (turpmāk – MK noteikumi Nr. 353) 1.pielikumam "Preču un pakalpojumu grupas, kurām obligāti piemērojams zaļais publiskais iepirkums (ZPI)" iekštelpu apgaismojumam, ielu apgaismojumam un satiksmes signāliem zaļ</w:t>
            </w:r>
            <w:r w:rsidR="0005737A" w:rsidRPr="00874D98">
              <w:t>ā</w:t>
            </w:r>
            <w:r w:rsidRPr="00874D98">
              <w:t xml:space="preserve"> publisk</w:t>
            </w:r>
            <w:r w:rsidR="0005737A" w:rsidRPr="00874D98">
              <w:t>ā</w:t>
            </w:r>
            <w:r w:rsidRPr="00874D98">
              <w:t xml:space="preserve"> iepirkum</w:t>
            </w:r>
            <w:r w:rsidR="0005737A" w:rsidRPr="00874D98">
              <w:t>a kritēriji</w:t>
            </w:r>
            <w:r w:rsidRPr="00874D98">
              <w:t xml:space="preserve"> ir pie</w:t>
            </w:r>
            <w:r w:rsidR="004A594A" w:rsidRPr="00874D98">
              <w:t>mērojam</w:t>
            </w:r>
            <w:r w:rsidR="0005737A" w:rsidRPr="00874D98">
              <w:t>i</w:t>
            </w:r>
            <w:r w:rsidR="004A594A" w:rsidRPr="00874D98">
              <w:t xml:space="preserve"> obligāti, savukārt </w:t>
            </w:r>
            <w:r w:rsidRPr="00874D98">
              <w:t>5.6.2. SAM</w:t>
            </w:r>
            <w:r w:rsidR="004A594A" w:rsidRPr="00874D98">
              <w:t xml:space="preserve"> ceturtās kārtas ietvaros projekta iesniedzējs var projektā izmantot arī zaļās infrastruktūras risinājumu</w:t>
            </w:r>
            <w:r w:rsidRPr="00874D98">
              <w:t xml:space="preserve"> </w:t>
            </w:r>
            <w:r w:rsidR="004A594A" w:rsidRPr="00874D98">
              <w:t>zaļ</w:t>
            </w:r>
            <w:r w:rsidR="0005737A" w:rsidRPr="00874D98">
              <w:t>ā</w:t>
            </w:r>
            <w:r w:rsidR="004A594A" w:rsidRPr="00874D98">
              <w:t xml:space="preserve"> publisk</w:t>
            </w:r>
            <w:r w:rsidR="0005737A" w:rsidRPr="00874D98">
              <w:t>ā</w:t>
            </w:r>
            <w:r w:rsidR="004A594A" w:rsidRPr="00874D98">
              <w:t xml:space="preserve"> iepirku</w:t>
            </w:r>
            <w:r w:rsidR="0005737A" w:rsidRPr="00874D98">
              <w:t>ma kritērijus</w:t>
            </w:r>
            <w:r w:rsidRPr="00874D98">
              <w:t xml:space="preserve"> projekta ietvaros izbūvējamā vai pārbūvējamā ceļa būvēšanā</w:t>
            </w:r>
            <w:r w:rsidR="000168C2" w:rsidRPr="00874D98">
              <w:t>, būvdarbu iepirkumā un citās preču grupās</w:t>
            </w:r>
            <w:r w:rsidRPr="00874D98">
              <w:t xml:space="preserve"> atbilstoši MK noteikumu Nr. 353 2. pielikumā "Zaļā publiskā iepirkuma (ZPI) prasības un kritēriji, kurus var izmantot būvdarbu, citu prioritāru preču un pakalpojumu grupu publiskajā iepirkumā" norādītajiem kr</w:t>
            </w:r>
            <w:r w:rsidR="004A594A" w:rsidRPr="00874D98">
              <w:t>itērijiem un prasībām</w:t>
            </w:r>
            <w:r w:rsidRPr="00874D98">
              <w:t>. </w:t>
            </w:r>
          </w:p>
          <w:p w14:paraId="6C9F7DE8" w14:textId="0334B181" w:rsidR="00306E14" w:rsidRPr="00874D98" w:rsidRDefault="000764E2" w:rsidP="00306E14">
            <w:pPr>
              <w:spacing w:after="240"/>
              <w:ind w:right="62"/>
              <w:jc w:val="both"/>
            </w:pPr>
            <w:r w:rsidRPr="00874D98">
              <w:t xml:space="preserve">Vienlaikus noteikumu projekts paredz, ka gadījumos, ja projektā izmanto </w:t>
            </w:r>
            <w:r w:rsidR="00306E14" w:rsidRPr="00874D98">
              <w:t xml:space="preserve">risinājumu, kas samazina siltumnīcefekta gāzu emisijas vai projektā tiek paredzēti zaļās infrastruktūras risinājumi, finansējuma saņēmējs uzkrāj datus par horizontālā principa "Ilgtspējīga attīstība" rādītājiem - siltumnīcefekta gāzu emisiju samazinājums vai izmantotie zaļās infrastruktūras risinājumi, - par kuriem atskaitās </w:t>
            </w:r>
            <w:r w:rsidR="00C844F6" w:rsidRPr="00874D98">
              <w:t>CFLA</w:t>
            </w:r>
            <w:r w:rsidR="00C844F6">
              <w:t xml:space="preserve">, </w:t>
            </w:r>
            <w:r w:rsidR="00306E14" w:rsidRPr="00874D98">
              <w:t>iesniedzot noslēguma maksājuma pieprasījumu.</w:t>
            </w:r>
          </w:p>
          <w:p w14:paraId="7BA2BFC9" w14:textId="178A4A67" w:rsidR="00F04B89" w:rsidRPr="00874D98" w:rsidRDefault="00F04B89" w:rsidP="007D541F">
            <w:pPr>
              <w:spacing w:after="240"/>
              <w:ind w:right="62"/>
              <w:jc w:val="both"/>
            </w:pPr>
            <w:r w:rsidRPr="00874D98">
              <w:t>7. Tā kā 5.6.2.</w:t>
            </w:r>
            <w:r w:rsidR="009B6329" w:rsidRPr="00874D98">
              <w:t> </w:t>
            </w:r>
            <w:r w:rsidRPr="00874D98">
              <w:t xml:space="preserve">SAM ceturtās atlases kārtas ietvaros projekta iesniedzējs var būt arī 5.6.2. SAM ceturtās atlases kārtas atbalstāmo pašvaldību publiski privātā kapitālsabiedrība, kurā kapitāla daļas vai balsstiesīgās akcijas pieder vismaz vienai 5.6.2. SAM ceturtās atlases kārtas ietvaros atbalstāmajai </w:t>
            </w:r>
            <w:r w:rsidR="00C844F6" w:rsidRPr="00B7483A">
              <w:rPr>
                <w:rFonts w:eastAsia="Times New Roman"/>
              </w:rPr>
              <w:t xml:space="preserve">nacionālas vai reģionālas nozīmes attīstības centra </w:t>
            </w:r>
            <w:r w:rsidRPr="00B7483A">
              <w:t>pašvaldībai</w:t>
            </w:r>
            <w:r w:rsidR="006A7D6A" w:rsidRPr="00B7483A">
              <w:t xml:space="preserve"> </w:t>
            </w:r>
            <w:r w:rsidR="00B61F3C" w:rsidRPr="00B7483A">
              <w:t>un</w:t>
            </w:r>
            <w:r w:rsidRPr="00B7483A">
              <w:t xml:space="preserve"> kas veic pašvaldības deleģēto pārvaldes uzdevumu izpildi, noteikumu projekts papildu paredz nosacījumu, ka projekta iesniedzējs, slēdzot rakstisku sadarbības līgumu par sadarbības partneri var piesaistīt publiski privāto kapitālsabiedrību, kurā kapitāla daļas vai balsstiesīgās akcijas pieder vismaz vienai 5.6.2.SAM ceturtās atlases kārtas atbalstāmajai </w:t>
            </w:r>
            <w:r w:rsidR="00C844F6" w:rsidRPr="00B7483A">
              <w:rPr>
                <w:rFonts w:eastAsia="Times New Roman"/>
              </w:rPr>
              <w:t>nacionālas vai reģionālas nozīmes attīstības centra</w:t>
            </w:r>
            <w:r w:rsidR="00C844F6" w:rsidRPr="00B7483A">
              <w:t xml:space="preserve"> </w:t>
            </w:r>
            <w:r w:rsidRPr="00B7483A">
              <w:t>pašvaldībai</w:t>
            </w:r>
            <w:r w:rsidR="00B61F3C" w:rsidRPr="00874D98">
              <w:t xml:space="preserve"> un</w:t>
            </w:r>
            <w:r w:rsidRPr="00874D98">
              <w:t xml:space="preserve"> kas </w:t>
            </w:r>
            <w:r w:rsidRPr="00874D98">
              <w:lastRenderedPageBreak/>
              <w:t>veic pašvaldības deleģē</w:t>
            </w:r>
            <w:r w:rsidR="009B6329" w:rsidRPr="00874D98">
              <w:t>to pārvaldes uzdevumu izpildi</w:t>
            </w:r>
            <w:r w:rsidR="00B61F3C" w:rsidRPr="00874D98">
              <w:t xml:space="preserve">, </w:t>
            </w:r>
            <w:r w:rsidR="009B6329" w:rsidRPr="00874D98">
              <w:t xml:space="preserve">un paredz iespēju </w:t>
            </w:r>
            <w:r w:rsidR="00C844F6" w:rsidRPr="00B7483A">
              <w:t>sadarbības partnera</w:t>
            </w:r>
            <w:r w:rsidR="00C844F6" w:rsidRPr="00874D98">
              <w:t xml:space="preserve"> </w:t>
            </w:r>
            <w:r w:rsidR="009B6329" w:rsidRPr="00874D98">
              <w:t>īpašumā veikt ieguldījumus.</w:t>
            </w:r>
          </w:p>
          <w:p w14:paraId="1C1904A9" w14:textId="59E8D890" w:rsidR="009F5BB7" w:rsidRPr="00874D98" w:rsidRDefault="009F5BB7" w:rsidP="004A594A">
            <w:pPr>
              <w:spacing w:after="120"/>
              <w:ind w:right="62"/>
              <w:jc w:val="both"/>
            </w:pPr>
            <w:r w:rsidRPr="00874D98">
              <w:t>8. Ņemot vērā, ka 5.6.2. SAM ceturtā atlases kārta indikatīvi tiks uzsākta 2021. gada 1. ceturksnī un ievērojot to, ka 5.6.2. SAM projektu īstenošanas nosacījumi un atbalstāmās darbības ir pietiekami sarežģītas, noteikumu projekts paredz labvēlīgāku nosacījumu attiecībā uz maksimāli pieļaujamo projekta īstenošanas termiņu, paredzot, ka projektu 5.6.2. SAM visu kārtu ietvaros var īstenot līdz 2023. gada 31. decembrim</w:t>
            </w:r>
            <w:r w:rsidR="00F14E1B" w:rsidRPr="00874D98">
              <w:t>.</w:t>
            </w:r>
            <w:r w:rsidRPr="00874D98">
              <w:t xml:space="preserve"> Šis nosacījums vienlīdz attieksies gan uz esošajiem</w:t>
            </w:r>
            <w:r w:rsidR="00F14E1B" w:rsidRPr="00874D98">
              <w:t xml:space="preserve"> 5.6.2. SAM pirmās, otrās un trešās atlases kārtas </w:t>
            </w:r>
            <w:r w:rsidRPr="00874D98">
              <w:t xml:space="preserve">finansējuma saņēmējiem, kuri jau īsteno projektus, gan uz projektu iesniedzējiem, kuri vēl tikai īstenos projektus 5.6.2. SAM ceturtās kārtas ietvaros. Vienlaikus visiem 5.6.2. SAM finansējuma saņēmējiem un projektu iesniedzējiem ir jāņem vērā MK noteikumos Nr. 645 paredzētais nosacījums, ka </w:t>
            </w:r>
            <w:r w:rsidR="00F14E1B" w:rsidRPr="00874D98">
              <w:t xml:space="preserve">projekta iznākuma rādītāju maksimālais sasniegšanas termiņš ir 2023. gada 31. decembris. </w:t>
            </w:r>
            <w:r w:rsidR="004D6D26" w:rsidRPr="00874D98">
              <w:t>Līdz ar to projektu īstenotāju rīcībā būs vēl trīs būvniecības sezonas.</w:t>
            </w:r>
          </w:p>
          <w:p w14:paraId="53C994B6" w14:textId="2F550F2A" w:rsidR="000C33C6" w:rsidRPr="00874D98" w:rsidRDefault="009F5BB7" w:rsidP="004A594A">
            <w:pPr>
              <w:spacing w:after="120"/>
              <w:ind w:right="62"/>
              <w:jc w:val="both"/>
            </w:pPr>
            <w:r w:rsidRPr="00874D98">
              <w:t>9</w:t>
            </w:r>
            <w:r w:rsidR="000C33C6" w:rsidRPr="00874D98">
              <w:t>. Ņemot vērā</w:t>
            </w:r>
            <w:r w:rsidR="000C33C6" w:rsidRPr="00874D98">
              <w:rPr>
                <w:shd w:val="clear" w:color="auto" w:fill="FFFFFF"/>
              </w:rPr>
              <w:t>, ka spēkā esošie MK noteikumu Nr. 645 nosacījumi jau šobrīd paredz</w:t>
            </w:r>
            <w:r w:rsidR="000C33C6" w:rsidRPr="00874D98">
              <w:t xml:space="preserve"> izņēmumu attiecībā uz 5.6.2. SAM pirmās atlases kārtas </w:t>
            </w:r>
            <w:r w:rsidR="00E61FA0" w:rsidRPr="00874D98">
              <w:t>projektiem (projekta iesniedzējs</w:t>
            </w:r>
            <w:r w:rsidR="000C33C6" w:rsidRPr="00874D98">
              <w:t xml:space="preserve"> ir naci</w:t>
            </w:r>
            <w:r w:rsidR="00E61FA0" w:rsidRPr="00874D98">
              <w:t>onālas nozīmes attīstības centru pašvaldība</w:t>
            </w:r>
            <w:r w:rsidR="000C33C6" w:rsidRPr="00874D98">
              <w:t>) un 5.6.2. SAM trešās atlases kārtas projektiem (projekti, kur projekta iesniedzējs ir naci</w:t>
            </w:r>
            <w:r w:rsidR="00E61FA0" w:rsidRPr="00874D98">
              <w:t>onālas nozīmes attīstības centru pašvaldība</w:t>
            </w:r>
            <w:r w:rsidR="000C33C6" w:rsidRPr="00874D98">
              <w:t>), nosakot ierobežojumu, ka pirmās un trešās atlases kārtas projektos sadarbības partneris nevar būt tāds privātais komersants (piemēram, zvejnieku un zemnieku saimniecības vai mazie (sīkie) un vidējie komersanti), kas nodarbojas ar primāro lauksaimniecisko ražošanu, zvejas un akvakultūras produktu ražošanu, vai zvejas un akvakultūras produktu apstrādi, līdzīgs ierobežojums ar noteikumu projektu tiek noteikts 5.6.2. SAM ceturtās atlases kārtas projekta iesniedzējam – nacionālas nozīmes attīstības centra pašvaldībai (Daugavpilij, Jelgavai, Jēkabpilij, Jūrmalai, Liepājai, Rēzeknei, Rīgai, Valmierai, Ventspilij)</w:t>
            </w:r>
            <w:r w:rsidR="00E61FA0" w:rsidRPr="00874D98">
              <w:t xml:space="preserve"> </w:t>
            </w:r>
            <w:r w:rsidR="000C33C6" w:rsidRPr="00874D98">
              <w:t>gan individuālā, gan sadarbības projekta ietvaros. Ņemot vērā iepriekš minēto</w:t>
            </w:r>
            <w:r w:rsidR="004D6D26" w:rsidRPr="00874D98">
              <w:t>,</w:t>
            </w:r>
            <w:r w:rsidR="000C33C6" w:rsidRPr="00874D98">
              <w:t xml:space="preserve"> ar noteikumu projektu tiek noteikts, ka uz 5.6.2. SAM ceturtās atlases kārtas projektiem, kur projekta iesniedzējs ir nacionālas nozīmes attīstības centru pašvaldība,</w:t>
            </w:r>
            <w:r w:rsidR="00DE7E84" w:rsidRPr="00874D98">
              <w:t xml:space="preserve"> tās izveidota iestāde, brīvostas pārvalde, speciālās ekonomiskās zonas pārvalde vai pašvaldības kapitālsabiedrība,</w:t>
            </w:r>
            <w:r w:rsidR="00B61F3C" w:rsidRPr="00874D98">
              <w:t xml:space="preserve"> </w:t>
            </w:r>
            <w:r w:rsidR="00B61F3C" w:rsidRPr="00874D98">
              <w:rPr>
                <w:shd w:val="clear" w:color="auto" w:fill="FFFFFF"/>
              </w:rPr>
              <w:t>kas veic pašvaldības deleģēto pārvaldes uzdevumu izpildi,</w:t>
            </w:r>
            <w:r w:rsidR="00DE7E84" w:rsidRPr="00874D98">
              <w:t xml:space="preserve"> </w:t>
            </w:r>
            <w:r w:rsidR="00E61FA0" w:rsidRPr="00874D98">
              <w:rPr>
                <w:shd w:val="clear" w:color="auto" w:fill="FFFFFF"/>
              </w:rPr>
              <w:t>vai publiski privātā kapitālsabiedrība</w:t>
            </w:r>
            <w:r w:rsidR="00E61FA0" w:rsidRPr="00874D98">
              <w:t xml:space="preserve">, kurā kapitāla daļas vai balsstiesīgās akcijas pieder vismaz vienai nacionālas nozīmes attīstības </w:t>
            </w:r>
            <w:r w:rsidR="00C844F6" w:rsidRPr="00874D98">
              <w:t>centr</w:t>
            </w:r>
            <w:r w:rsidR="00C844F6">
              <w:t>a</w:t>
            </w:r>
            <w:r w:rsidR="00C844F6" w:rsidRPr="00874D98">
              <w:t xml:space="preserve"> </w:t>
            </w:r>
            <w:r w:rsidR="00E61FA0" w:rsidRPr="00874D98">
              <w:t>pašvaldībai</w:t>
            </w:r>
            <w:r w:rsidR="00B61F3C" w:rsidRPr="00874D98">
              <w:t xml:space="preserve"> un</w:t>
            </w:r>
            <w:r w:rsidR="00E61FA0" w:rsidRPr="00874D98">
              <w:t xml:space="preserve"> </w:t>
            </w:r>
            <w:r w:rsidR="00DE7E84" w:rsidRPr="00874D98">
              <w:t>kas veic pašvaldības deleģēto pārvaldes uzdevumu izpildi</w:t>
            </w:r>
            <w:r w:rsidR="00C61DD2" w:rsidRPr="00874D98">
              <w:t>,</w:t>
            </w:r>
            <w:r w:rsidR="00DE7E84" w:rsidRPr="00874D98">
              <w:t xml:space="preserve"> </w:t>
            </w:r>
            <w:r w:rsidR="000C33C6" w:rsidRPr="00874D98">
              <w:t xml:space="preserve">nav attiecināmi Komisijas 2014. gada 25. jūnija Regulas (ES) Nr. 702/2014, </w:t>
            </w:r>
            <w:r w:rsidR="000C33C6" w:rsidRPr="00874D98">
              <w:rPr>
                <w:i/>
              </w:rPr>
              <w:t>ar kuru konkrētas atbalsta kategorijas lauksaimniecības un mežsaimniecības nozarē un lauku apvidos atzīst par saderīgām ar iekšējo tirgu, piemērojot Līguma par Eiropas Savienības darbību 107. un 108. pantu</w:t>
            </w:r>
            <w:r w:rsidR="000C33C6" w:rsidRPr="00874D98">
              <w:t xml:space="preserve">, Komisijas 2014. gada 16. decembra Regulas (ES) Nr. 1388/2014, </w:t>
            </w:r>
            <w:r w:rsidR="000C33C6" w:rsidRPr="00874D98">
              <w:rPr>
                <w:i/>
              </w:rPr>
              <w:t>ar ko konkrētas atbalsta kategorijas uzņēmumiem, kuri nodarbojas ar zvejas un akvakultūras produktu ražošanu, apstrādi un tirdzniecību, atzīst par saderīgām ar iekšējo tirgu, piemērojot Līguma par Eiropas Savie</w:t>
            </w:r>
            <w:r w:rsidR="005165A8" w:rsidRPr="00874D98">
              <w:rPr>
                <w:i/>
              </w:rPr>
              <w:t>nības darbību 107. un 108. pantu</w:t>
            </w:r>
            <w:r w:rsidR="000C33C6" w:rsidRPr="00874D98">
              <w:t xml:space="preserve">, Komisijas 2014. gada 27. jūnija Regulas (EK) </w:t>
            </w:r>
            <w:r w:rsidR="000C33C6" w:rsidRPr="00874D98">
              <w:lastRenderedPageBreak/>
              <w:t>Nr. 717/2014 </w:t>
            </w:r>
            <w:r w:rsidR="000C33C6" w:rsidRPr="00874D98">
              <w:rPr>
                <w:i/>
              </w:rPr>
              <w:t>par Līguma par ES darbību 107. un 108. panta piemērošanu </w:t>
            </w:r>
            <w:proofErr w:type="spellStart"/>
            <w:r w:rsidR="000C33C6" w:rsidRPr="00874D98">
              <w:rPr>
                <w:i/>
              </w:rPr>
              <w:t>de</w:t>
            </w:r>
            <w:proofErr w:type="spellEnd"/>
            <w:r w:rsidR="000C33C6" w:rsidRPr="00874D98">
              <w:rPr>
                <w:i/>
              </w:rPr>
              <w:t xml:space="preserve"> </w:t>
            </w:r>
            <w:proofErr w:type="spellStart"/>
            <w:r w:rsidR="000C33C6" w:rsidRPr="00874D98">
              <w:rPr>
                <w:i/>
              </w:rPr>
              <w:t>minimis</w:t>
            </w:r>
            <w:proofErr w:type="spellEnd"/>
            <w:r w:rsidR="000C33C6" w:rsidRPr="00874D98">
              <w:rPr>
                <w:i/>
              </w:rPr>
              <w:t> atbalstam zvejniecības un akvakultūras nozarē</w:t>
            </w:r>
            <w:r w:rsidR="005165A8" w:rsidRPr="00874D98">
              <w:t xml:space="preserve"> </w:t>
            </w:r>
            <w:r w:rsidR="00435000" w:rsidRPr="00171097">
              <w:t>(turpmāk – Komisijas regula Nr. Nr. 717/2014)</w:t>
            </w:r>
            <w:r w:rsidR="00435000">
              <w:t> </w:t>
            </w:r>
            <w:r w:rsidR="000C33C6" w:rsidRPr="00874D98">
              <w:t>un</w:t>
            </w:r>
            <w:r w:rsidR="00B71DED" w:rsidRPr="00874D98">
              <w:t xml:space="preserve"> </w:t>
            </w:r>
            <w:r w:rsidR="00B71DED" w:rsidRPr="00874D98">
              <w:rPr>
                <w:shd w:val="clear" w:color="auto" w:fill="FFFFFF"/>
              </w:rPr>
              <w:t>Komisijas 2013. gada 18. decembra Regulas (ES) Nr. 1408/2013 </w:t>
            </w:r>
            <w:r w:rsidR="00B71DED" w:rsidRPr="00874D98">
              <w:rPr>
                <w:i/>
                <w:shd w:val="clear" w:color="auto" w:fill="FFFFFF"/>
              </w:rPr>
              <w:t>par Līguma par ES darbību 107. un 108. panta piemērošanu </w:t>
            </w:r>
            <w:proofErr w:type="spellStart"/>
            <w:r w:rsidR="00B71DED" w:rsidRPr="00874D98">
              <w:rPr>
                <w:i/>
                <w:iCs/>
                <w:shd w:val="clear" w:color="auto" w:fill="FFFFFF"/>
              </w:rPr>
              <w:t>de</w:t>
            </w:r>
            <w:proofErr w:type="spellEnd"/>
            <w:r w:rsidR="00B71DED" w:rsidRPr="00874D98">
              <w:rPr>
                <w:i/>
                <w:iCs/>
                <w:shd w:val="clear" w:color="auto" w:fill="FFFFFF"/>
              </w:rPr>
              <w:t xml:space="preserve"> </w:t>
            </w:r>
            <w:proofErr w:type="spellStart"/>
            <w:r w:rsidR="00B71DED" w:rsidRPr="00874D98">
              <w:rPr>
                <w:i/>
                <w:iCs/>
                <w:shd w:val="clear" w:color="auto" w:fill="FFFFFF"/>
              </w:rPr>
              <w:t>minimis</w:t>
            </w:r>
            <w:proofErr w:type="spellEnd"/>
            <w:r w:rsidR="00B71DED" w:rsidRPr="00874D98">
              <w:rPr>
                <w:i/>
                <w:shd w:val="clear" w:color="auto" w:fill="FFFFFF"/>
              </w:rPr>
              <w:t> atbalstam lauksaimniecības nozarē</w:t>
            </w:r>
            <w:r w:rsidR="005165A8" w:rsidRPr="00874D98">
              <w:t xml:space="preserve"> </w:t>
            </w:r>
            <w:r w:rsidR="00435000" w:rsidRPr="00171097">
              <w:t>(turpmāk – Komisijas regula Nr.</w:t>
            </w:r>
            <w:r w:rsidR="00C63BFC" w:rsidRPr="00171097">
              <w:t> </w:t>
            </w:r>
            <w:r w:rsidR="00435000" w:rsidRPr="00171097">
              <w:rPr>
                <w:shd w:val="clear" w:color="auto" w:fill="FFFFFF"/>
              </w:rPr>
              <w:t xml:space="preserve">1408/2013) </w:t>
            </w:r>
            <w:r w:rsidR="000C33C6" w:rsidRPr="00874D98">
              <w:t>nosacījumi.</w:t>
            </w:r>
          </w:p>
          <w:p w14:paraId="364B4526" w14:textId="2B910064" w:rsidR="00C103F9" w:rsidRDefault="00C103F9" w:rsidP="004A594A">
            <w:pPr>
              <w:spacing w:after="120"/>
              <w:ind w:right="62"/>
              <w:jc w:val="both"/>
            </w:pPr>
            <w:r w:rsidRPr="00874D98">
              <w:t xml:space="preserve">10. Noteikumu projekts nosaka, ka sabiedriskajiem pakalpojumiem (ūdenssaimniecība un siltumapgāde) un </w:t>
            </w:r>
            <w:proofErr w:type="spellStart"/>
            <w:r w:rsidRPr="00874D98">
              <w:rPr>
                <w:i/>
                <w:iCs/>
              </w:rPr>
              <w:t>de</w:t>
            </w:r>
            <w:proofErr w:type="spellEnd"/>
            <w:r w:rsidRPr="00874D98">
              <w:rPr>
                <w:i/>
                <w:iCs/>
              </w:rPr>
              <w:t xml:space="preserve"> </w:t>
            </w:r>
            <w:proofErr w:type="spellStart"/>
            <w:r w:rsidRPr="00874D98">
              <w:rPr>
                <w:i/>
                <w:iCs/>
              </w:rPr>
              <w:t>minimis</w:t>
            </w:r>
            <w:proofErr w:type="spellEnd"/>
            <w:r w:rsidRPr="00874D98">
              <w:t xml:space="preserve"> atbalstam valsts atbalsta piešķiršanas brīdis var būt ne tikai diena, kad tiek pieņemts lēmums par projekta iesnieguma apstiprināšanu vai izdots atzinums par lēmumā noteikto nosacījumu izpildi, bet arī diena, kad tiek veikti grozījumi vienošanās par projekta īstenošanu. Tā kā uz valsts atbalstu sabiedrisko pakalpojumu sniegšanai un </w:t>
            </w:r>
            <w:proofErr w:type="spellStart"/>
            <w:r w:rsidRPr="00874D98">
              <w:rPr>
                <w:i/>
                <w:iCs/>
              </w:rPr>
              <w:t>de</w:t>
            </w:r>
            <w:proofErr w:type="spellEnd"/>
            <w:r w:rsidRPr="00874D98">
              <w:rPr>
                <w:i/>
                <w:iCs/>
              </w:rPr>
              <w:t xml:space="preserve"> </w:t>
            </w:r>
            <w:proofErr w:type="spellStart"/>
            <w:r w:rsidRPr="00874D98">
              <w:rPr>
                <w:i/>
                <w:iCs/>
              </w:rPr>
              <w:t>minimis</w:t>
            </w:r>
            <w:proofErr w:type="spellEnd"/>
            <w:r w:rsidRPr="00874D98">
              <w:rPr>
                <w:i/>
                <w:iCs/>
              </w:rPr>
              <w:t xml:space="preserve"> </w:t>
            </w:r>
            <w:r w:rsidRPr="00874D98">
              <w:rPr>
                <w:iCs/>
              </w:rPr>
              <w:t>atbalstu</w:t>
            </w:r>
            <w:r w:rsidRPr="00874D98">
              <w:t xml:space="preserve"> nav attiecināmi stimulējošās ietekmes nosacījumi, tad šādu valsts atbalstu var piešķirt arī projekta īstenošanas laikā, ja finansējuma ietaupījuma vai citu finansējuma izmaiņu gadījumā tiek papildinātas projekta darbības, paplašinot esošās aktivitātes vai paredzot jaunas aktivitātes (piemēram, jauns ūdenssaimniecības sabiedrisko pakalpojumu tīklu posms). Noteikumu projektā ietvertā norma, kas nosaka, ka valsts atbalsta piešķiršanas brīdis var būt arī diena, kad tiek veikti grozījumi vienošanās par projekta īstenošanu, ir piemērojama vienādi visiem projektu iesniedzējiem un finansējuma saņēmējiem, t.i. no dienas, kad </w:t>
            </w:r>
            <w:r w:rsidR="00FC2978" w:rsidRPr="001A52C0">
              <w:t>tiek parakstīti attiecīgie grozījumi vienošanās par projekta īstenošanu</w:t>
            </w:r>
            <w:r w:rsidRPr="00874D98">
              <w:t xml:space="preserve">. Šiem noteikumu grozījumiem nav un nebūs ietekmes uz projektu iesniegumu atlasi, taču šie noteikumu grozījumi novērsīs dažādu skaidrojumu iespējas par valsts atbalsta – atlīdzības maksājumiem sabiedrisko pakalpojumu sniedzējiem un </w:t>
            </w:r>
            <w:proofErr w:type="spellStart"/>
            <w:r w:rsidRPr="00874D98">
              <w:rPr>
                <w:i/>
                <w:iCs/>
              </w:rPr>
              <w:t>de</w:t>
            </w:r>
            <w:proofErr w:type="spellEnd"/>
            <w:r w:rsidRPr="00874D98">
              <w:rPr>
                <w:i/>
                <w:iCs/>
              </w:rPr>
              <w:t xml:space="preserve"> </w:t>
            </w:r>
            <w:proofErr w:type="spellStart"/>
            <w:r w:rsidRPr="00874D98">
              <w:rPr>
                <w:i/>
                <w:iCs/>
              </w:rPr>
              <w:t>minimis</w:t>
            </w:r>
            <w:proofErr w:type="spellEnd"/>
            <w:r w:rsidRPr="00874D98">
              <w:rPr>
                <w:i/>
                <w:iCs/>
              </w:rPr>
              <w:t xml:space="preserve"> </w:t>
            </w:r>
            <w:r w:rsidRPr="00874D98">
              <w:t>atbalsta – piešķiršanu projekta īstenošanas laikā.</w:t>
            </w:r>
          </w:p>
          <w:p w14:paraId="12F81EFA" w14:textId="33E1C316" w:rsidR="006C3D08" w:rsidRPr="001A52C0" w:rsidRDefault="006C3D08" w:rsidP="004A594A">
            <w:pPr>
              <w:spacing w:after="120"/>
              <w:ind w:right="62"/>
              <w:jc w:val="both"/>
            </w:pPr>
            <w:r w:rsidRPr="001A52C0">
              <w:t xml:space="preserve">11. Noteikumu projektam nav ietekmes uz darbības programmas "Izaugsme un nodarbinātība" (turpmāk – DP) 5. prioritārā virziena </w:t>
            </w:r>
            <w:r w:rsidR="00102D3B" w:rsidRPr="001A52C0">
              <w:t>"Vides aizsardzība un resursu izmantošanas efektivitāte"</w:t>
            </w:r>
            <w:r w:rsidRPr="001A52C0">
              <w:t xml:space="preserve"> </w:t>
            </w:r>
            <w:r w:rsidR="00102D3B" w:rsidRPr="001A52C0">
              <w:t>5.6.2.</w:t>
            </w:r>
            <w:r w:rsidRPr="001A52C0">
              <w:t> SAM intervences kodiem, jo projektos tiks plānotas tikai tādas atbalstāmās darbības, kas atbilst DP ietvertajiem 5.6.2. SAM intervences kodiem</w:t>
            </w:r>
            <w:r w:rsidR="0002224E" w:rsidRPr="001A52C0">
              <w:t>, kā arī 5.6.2. SAM kopējais ERAF finansējums nav mainīts.</w:t>
            </w:r>
          </w:p>
          <w:p w14:paraId="53461C2E" w14:textId="6B2E98FD" w:rsidR="005D5084" w:rsidRPr="00874D98" w:rsidRDefault="00DD5DB1" w:rsidP="005D5084">
            <w:pPr>
              <w:spacing w:after="120"/>
              <w:jc w:val="both"/>
              <w:rPr>
                <w:spacing w:val="-2"/>
              </w:rPr>
            </w:pPr>
            <w:r w:rsidRPr="00874D98">
              <w:rPr>
                <w:rFonts w:eastAsia="Times New Roman"/>
                <w:color w:val="000000"/>
              </w:rPr>
              <w:t>1</w:t>
            </w:r>
            <w:r w:rsidR="006C3D08">
              <w:rPr>
                <w:rFonts w:eastAsia="Times New Roman"/>
                <w:color w:val="000000"/>
              </w:rPr>
              <w:t>2</w:t>
            </w:r>
            <w:r w:rsidRPr="00874D98">
              <w:rPr>
                <w:rFonts w:eastAsia="Times New Roman"/>
                <w:color w:val="000000"/>
              </w:rPr>
              <w:t>. </w:t>
            </w:r>
            <w:r w:rsidR="005D5084" w:rsidRPr="00874D98">
              <w:rPr>
                <w:spacing w:val="-2"/>
              </w:rPr>
              <w:t xml:space="preserve">Papildus noteikumu projektam ir pievienots MK sēdes </w:t>
            </w:r>
            <w:proofErr w:type="spellStart"/>
            <w:r w:rsidR="005D5084" w:rsidRPr="00874D98">
              <w:rPr>
                <w:spacing w:val="-2"/>
              </w:rPr>
              <w:t>protokollēmuma</w:t>
            </w:r>
            <w:proofErr w:type="spellEnd"/>
            <w:r w:rsidR="005D5084" w:rsidRPr="00874D98">
              <w:rPr>
                <w:spacing w:val="-2"/>
              </w:rPr>
              <w:t xml:space="preserve"> projekts, kas paredz</w:t>
            </w:r>
            <w:r w:rsidR="00AD1A10" w:rsidRPr="00874D98">
              <w:rPr>
                <w:spacing w:val="-2"/>
              </w:rPr>
              <w:t xml:space="preserve"> </w:t>
            </w:r>
            <w:r w:rsidR="005D5084" w:rsidRPr="00874D98">
              <w:rPr>
                <w:spacing w:val="-2"/>
              </w:rPr>
              <w:t xml:space="preserve">atzīt par aktualitāti zaudējušu MK 2020. gada 26. maija </w:t>
            </w:r>
            <w:proofErr w:type="spellStart"/>
            <w:r w:rsidR="005D5084" w:rsidRPr="00874D98">
              <w:rPr>
                <w:spacing w:val="-2"/>
              </w:rPr>
              <w:t>protokollēmuma</w:t>
            </w:r>
            <w:proofErr w:type="spellEnd"/>
            <w:r w:rsidR="005D5084" w:rsidRPr="00874D98">
              <w:rPr>
                <w:spacing w:val="-2"/>
              </w:rPr>
              <w:t xml:space="preserve"> 7. punktu, kas nosaka </w:t>
            </w:r>
            <w:r w:rsidRPr="00874D98">
              <w:t>VARAM</w:t>
            </w:r>
            <w:r w:rsidR="005D5084" w:rsidRPr="00874D98">
              <w:t xml:space="preserve"> ERAF finansējuma atlikumus, kas radušies 3.3.1. SAM</w:t>
            </w:r>
            <w:r w:rsidR="00CD0CCE" w:rsidRPr="00874D98">
              <w:rPr>
                <w:rStyle w:val="FootnoteReference"/>
              </w:rPr>
              <w:footnoteReference w:id="13"/>
            </w:r>
            <w:r w:rsidR="005D5084" w:rsidRPr="00874D98">
              <w:t xml:space="preserve"> un 5.6.2. SAM ietvaros pēc 2020. gada 31. jūlija, novirzīt augstas gatavības</w:t>
            </w:r>
            <w:r w:rsidR="005D5084" w:rsidRPr="00874D98">
              <w:rPr>
                <w:rStyle w:val="FootnoteReference"/>
              </w:rPr>
              <w:footnoteReference w:id="14"/>
            </w:r>
            <w:r w:rsidR="005D5084" w:rsidRPr="00874D98">
              <w:t xml:space="preserve"> projektiem 3.3.1. SAM jaunas kārtas (ceturtās) atlases ietvaros un līdz 2020. gada 31. augustam iesniegt MK attiecīgu tiesību akta projektu par grozījumiem MK noteikumos par šī specifiskā atbalsta mērķa īstenošanu. VARAM atbilstoši MK 2020. gada 26. maija </w:t>
            </w:r>
            <w:proofErr w:type="spellStart"/>
            <w:r w:rsidR="005D5084" w:rsidRPr="00874D98">
              <w:t>protokollēmuma</w:t>
            </w:r>
            <w:proofErr w:type="spellEnd"/>
            <w:r w:rsidR="005D5084" w:rsidRPr="00874D98">
              <w:t xml:space="preserve"> 7. punktam neizmantoto ERAF </w:t>
            </w:r>
            <w:r w:rsidR="005D5084" w:rsidRPr="00874D98">
              <w:lastRenderedPageBreak/>
              <w:t xml:space="preserve">finansējumu virzīja izmantošanai 3.3.1. SAM jaunajai (ceturtajai) atlases kārtai, bet attiecīgo noteikumu projektu virzība tika apturēta, jo 2020. gada </w:t>
            </w:r>
            <w:r w:rsidRPr="00874D98">
              <w:t>6. </w:t>
            </w:r>
            <w:r w:rsidR="005D5084" w:rsidRPr="00874D98">
              <w:t xml:space="preserve">oktobrī no Komisijas tika saņemts viedoklis, ka tā neatbalsta papildu finansējuma piešķiršanu uzņēmējdarbības publiskajai infrastruktūrai no programmas </w:t>
            </w:r>
            <w:r w:rsidR="005D5084" w:rsidRPr="00874D98">
              <w:rPr>
                <w:spacing w:val="-2"/>
              </w:rPr>
              <w:t xml:space="preserve">"Papildu finansējums </w:t>
            </w:r>
            <w:r w:rsidR="005D5084" w:rsidRPr="00874D98">
              <w:t>COVID krīzes seku mazināšanai esošā perioda (2014.-2020.) ietvaros</w:t>
            </w:r>
            <w:r w:rsidR="005D5084" w:rsidRPr="00874D98">
              <w:rPr>
                <w:spacing w:val="-2"/>
              </w:rPr>
              <w:t>"</w:t>
            </w:r>
            <w:r w:rsidR="005D5084" w:rsidRPr="00874D98">
              <w:t xml:space="preserve"> (turpmāk – REACT-EU). Attiecīgi tika pieņemts lēmums nevirzīt ERAF finansējuma atlikumus papildu projektiem 3.3.1. SAM jaunas (ceturtās) atlases ietvaros, tai skaitā, nevirzīt grozījumus darbības programmā </w:t>
            </w:r>
            <w:r w:rsidR="005D5084" w:rsidRPr="00874D98">
              <w:rPr>
                <w:spacing w:val="-2"/>
              </w:rPr>
              <w:t xml:space="preserve">"Izaugsme un nodarbinātība", ar kuriem tika plānots </w:t>
            </w:r>
            <w:r w:rsidR="005D5084" w:rsidRPr="00874D98">
              <w:t>palielināt 3.3.1. SAM iznākuma rādītājus proporcionāli pārdalītajam ERAF finansējuma apmēram no 5.6.2. SAM</w:t>
            </w:r>
            <w:r w:rsidR="009435A0" w:rsidRPr="00874D98">
              <w:t>, ievērojot, ka tieši 5.6.2. SAM ietvaros ir radies ievērojami lielāks ERAF finansējuma atlikums</w:t>
            </w:r>
            <w:r w:rsidR="0019740B" w:rsidRPr="00874D98">
              <w:t xml:space="preserve"> </w:t>
            </w:r>
            <w:r w:rsidR="00056630" w:rsidRPr="00874D98">
              <w:t>(</w:t>
            </w:r>
            <w:r w:rsidR="0019740B" w:rsidRPr="00874D98">
              <w:t>15,</w:t>
            </w:r>
            <w:r w:rsidR="00FF3CF1" w:rsidRPr="00874D98">
              <w:t>1</w:t>
            </w:r>
            <w:r w:rsidR="002E1653" w:rsidRPr="001A52C0">
              <w:rPr>
                <w:bCs/>
              </w:rPr>
              <w:t>5</w:t>
            </w:r>
            <w:r w:rsidR="00FF3CF1" w:rsidRPr="00874D98">
              <w:t xml:space="preserve"> </w:t>
            </w:r>
            <w:r w:rsidR="0019740B" w:rsidRPr="00874D98">
              <w:t xml:space="preserve">milj. </w:t>
            </w:r>
            <w:proofErr w:type="spellStart"/>
            <w:r w:rsidR="00A73930" w:rsidRPr="00874D98">
              <w:rPr>
                <w:i/>
              </w:rPr>
              <w:t>euro</w:t>
            </w:r>
            <w:proofErr w:type="spellEnd"/>
            <w:r w:rsidR="0019740B" w:rsidRPr="00874D98">
              <w:t>)</w:t>
            </w:r>
            <w:r w:rsidR="009435A0" w:rsidRPr="00874D98">
              <w:t xml:space="preserve"> nekā 3.3.1. SAM ietvaros</w:t>
            </w:r>
            <w:r w:rsidR="0019740B" w:rsidRPr="00874D98">
              <w:t xml:space="preserve"> (</w:t>
            </w:r>
            <w:r w:rsidR="00FF3CF1" w:rsidRPr="00874D98">
              <w:t>4,</w:t>
            </w:r>
            <w:r w:rsidR="001A52C0">
              <w:rPr>
                <w:b/>
                <w:bCs/>
              </w:rPr>
              <w:t>32</w:t>
            </w:r>
            <w:r w:rsidR="001A52C0" w:rsidRPr="00874D98">
              <w:t xml:space="preserve"> </w:t>
            </w:r>
            <w:r w:rsidR="0019740B" w:rsidRPr="00874D98">
              <w:t xml:space="preserve">milj. </w:t>
            </w:r>
            <w:proofErr w:type="spellStart"/>
            <w:r w:rsidR="00A73930" w:rsidRPr="00874D98">
              <w:rPr>
                <w:i/>
              </w:rPr>
              <w:t>euro</w:t>
            </w:r>
            <w:proofErr w:type="spellEnd"/>
            <w:r w:rsidR="0019740B" w:rsidRPr="00874D98">
              <w:t>)</w:t>
            </w:r>
            <w:r w:rsidR="000807F3">
              <w:t>.</w:t>
            </w:r>
          </w:p>
          <w:p w14:paraId="36B9BCC2" w14:textId="43A8B08A" w:rsidR="0019740B" w:rsidRPr="000807F3" w:rsidRDefault="005D5084" w:rsidP="00AB703D">
            <w:pPr>
              <w:spacing w:after="120"/>
              <w:jc w:val="both"/>
            </w:pPr>
            <w:r w:rsidRPr="00874D98">
              <w:t>VARAM uzskata, ka ir būtiski turpināt atbalstīt pašvaldību projektu īstenošanu reģionos, lai mazinātu COVID-19 sekas. Vienlaikus būtiski izvērtēt visus iespējamos pašvaldību projektu finansēšanas avotus, lai varētu atbalstīt pēc iespējas vairāk</w:t>
            </w:r>
            <w:r w:rsidR="00CD0CCE" w:rsidRPr="00874D98">
              <w:t xml:space="preserve"> </w:t>
            </w:r>
            <w:r w:rsidRPr="00874D98">
              <w:t xml:space="preserve">investīciju projektus un sniegt </w:t>
            </w:r>
            <w:r w:rsidRPr="000807F3">
              <w:t>ievērojamu ieguldījum</w:t>
            </w:r>
            <w:r w:rsidR="00AD1A10" w:rsidRPr="000807F3">
              <w:t xml:space="preserve">u tautsaimniecības atveseļošanā </w:t>
            </w:r>
            <w:r w:rsidRPr="000807F3">
              <w:t>COVID-19 krīzes</w:t>
            </w:r>
            <w:r w:rsidR="00AD1A10" w:rsidRPr="000807F3">
              <w:t xml:space="preserve"> izraisītajā situācijā</w:t>
            </w:r>
            <w:r w:rsidRPr="000807F3">
              <w:t xml:space="preserve">. </w:t>
            </w:r>
          </w:p>
          <w:p w14:paraId="618D5F1B" w14:textId="64C8000A" w:rsidR="000C33C6" w:rsidRPr="00874D98" w:rsidRDefault="005D5084" w:rsidP="00AB703D">
            <w:pPr>
              <w:spacing w:after="120"/>
              <w:jc w:val="both"/>
            </w:pPr>
            <w:r w:rsidRPr="000807F3">
              <w:t xml:space="preserve">Ievērojot </w:t>
            </w:r>
            <w:r w:rsidR="004D6D26" w:rsidRPr="000807F3">
              <w:t>minēto</w:t>
            </w:r>
            <w:r w:rsidRPr="000807F3">
              <w:t xml:space="preserve">, </w:t>
            </w:r>
            <w:r w:rsidR="000807F3" w:rsidRPr="000807F3">
              <w:t xml:space="preserve">neizmantotais 5.6.2. SAM ERAF finansējuma atlikums tiek </w:t>
            </w:r>
            <w:r w:rsidR="000807F3" w:rsidRPr="000807F3">
              <w:rPr>
                <w:spacing w:val="-2"/>
              </w:rPr>
              <w:t>novirzīts</w:t>
            </w:r>
            <w:r w:rsidR="00CD0CCE" w:rsidRPr="000807F3">
              <w:rPr>
                <w:spacing w:val="-2"/>
              </w:rPr>
              <w:t xml:space="preserve"> 5.6.2. SAM jaunai (ceturtajai) atlases kārtai. </w:t>
            </w:r>
            <w:r w:rsidR="00AD1A10" w:rsidRPr="000807F3">
              <w:rPr>
                <w:spacing w:val="-2"/>
              </w:rPr>
              <w:t>Savukārt 3.3.1. SAM ERAF finans</w:t>
            </w:r>
            <w:r w:rsidR="00AB703D" w:rsidRPr="000807F3">
              <w:rPr>
                <w:spacing w:val="-2"/>
              </w:rPr>
              <w:t>ējuma atlikuma turpmākā virzība tiks skatīta kontekstā ar nākotnes</w:t>
            </w:r>
            <w:r w:rsidR="00AB703D" w:rsidRPr="000807F3">
              <w:t xml:space="preserve"> lēmumiem par papildu finansējuma piešķiršanu no REACT-EU pašvaldību ēku energoefektivitātes paaugstināšanai, degradēto teritoriju atjaunošanai vai citām pašvaldību investīciju jomām.</w:t>
            </w:r>
          </w:p>
          <w:p w14:paraId="0D4C5683" w14:textId="0BFCBBB0" w:rsidR="008A1CE0" w:rsidRPr="00874D98" w:rsidRDefault="002A6225" w:rsidP="00AB703D">
            <w:pPr>
              <w:spacing w:after="120"/>
              <w:jc w:val="both"/>
            </w:pPr>
            <w:r w:rsidRPr="00874D98">
              <w:t xml:space="preserve">Tā kā 5.6.2. SAM ceturto atlases kārtu ir plānots uzsākt 2021. gada 1. ceturksnī un ņemot vērā, ka ir nepieciešams laiks projektu ideju </w:t>
            </w:r>
            <w:proofErr w:type="spellStart"/>
            <w:r w:rsidRPr="00874D98">
              <w:t>priekšatlases</w:t>
            </w:r>
            <w:proofErr w:type="spellEnd"/>
            <w:r w:rsidRPr="00874D98">
              <w:t xml:space="preserve"> izsludināšanai, projektu ideju konceptu sagatavošanai, to iesniegšanai un vērtēšanai, 5.6.2. SAM ceturtās atlases kārtas izsludināšanai, projektu iesniegumu sagatavošanai, to iesniegšanai, vērtēšanai un precizēšanai, noteikumu projektam pievienotas </w:t>
            </w:r>
            <w:r w:rsidRPr="00874D98">
              <w:rPr>
                <w:spacing w:val="-2"/>
              </w:rPr>
              <w:t xml:space="preserve">MK sēdes </w:t>
            </w:r>
            <w:proofErr w:type="spellStart"/>
            <w:r w:rsidRPr="00874D98">
              <w:rPr>
                <w:spacing w:val="-2"/>
              </w:rPr>
              <w:t>protokollēmuma</w:t>
            </w:r>
            <w:proofErr w:type="spellEnd"/>
            <w:r w:rsidRPr="00874D98">
              <w:rPr>
                <w:spacing w:val="-2"/>
              </w:rPr>
              <w:t xml:space="preserve"> projekts paredz, ka uz 5.6.2. SAM ceturtās atlases kārtu nav attiecināms MK 2019. gada 11. oktobra sēdes </w:t>
            </w:r>
            <w:proofErr w:type="spellStart"/>
            <w:r w:rsidRPr="00874D98">
              <w:rPr>
                <w:spacing w:val="-2"/>
              </w:rPr>
              <w:t>protokollēmuma</w:t>
            </w:r>
            <w:proofErr w:type="spellEnd"/>
            <w:r w:rsidRPr="00874D98">
              <w:rPr>
                <w:spacing w:val="-2"/>
              </w:rPr>
              <w:t xml:space="preserve"> 11.2. apakšpunkts, kurš paredz, ka visām vienošanās par projektu īstenošanu ir jābūt noslēgtām līdz 2021. gada 1. jūnijam.</w:t>
            </w:r>
          </w:p>
        </w:tc>
      </w:tr>
      <w:tr w:rsidR="00F94FEF" w:rsidRPr="0019642C" w14:paraId="7149BCAE" w14:textId="77777777" w:rsidTr="00F94FEF">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38E26476" w14:textId="3DAE0D57" w:rsidR="00F94FEF" w:rsidRPr="004911CB" w:rsidRDefault="00F94FEF" w:rsidP="00F94FEF">
            <w:pPr>
              <w:spacing w:before="60" w:afterLines="60" w:after="144"/>
              <w:jc w:val="center"/>
              <w:rPr>
                <w:lang w:eastAsia="en-US"/>
              </w:rPr>
            </w:pPr>
            <w:r w:rsidRPr="004911CB">
              <w:lastRenderedPageBreak/>
              <w:t>3.</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14:paraId="6034CFE4" w14:textId="0E578787" w:rsidR="00F94FEF" w:rsidRPr="004911CB" w:rsidRDefault="00F94FEF" w:rsidP="00F94FEF">
            <w:pPr>
              <w:spacing w:before="60" w:afterLines="60" w:after="144"/>
              <w:rPr>
                <w:lang w:eastAsia="en-US"/>
              </w:rPr>
            </w:pPr>
            <w:r w:rsidRPr="00991713">
              <w:t>Projekta izstrādē iesaistītās institūcijas</w:t>
            </w:r>
          </w:p>
        </w:tc>
        <w:tc>
          <w:tcPr>
            <w:tcW w:w="6956" w:type="dxa"/>
            <w:tcBorders>
              <w:top w:val="single" w:sz="4" w:space="0" w:color="auto"/>
              <w:left w:val="single" w:sz="4" w:space="0" w:color="auto"/>
              <w:bottom w:val="single" w:sz="4" w:space="0" w:color="auto"/>
              <w:right w:val="single" w:sz="4" w:space="0" w:color="auto"/>
            </w:tcBorders>
            <w:shd w:val="clear" w:color="auto" w:fill="auto"/>
            <w:hideMark/>
          </w:tcPr>
          <w:p w14:paraId="6518538A" w14:textId="2A67A2E5" w:rsidR="00F94FEF" w:rsidRPr="00DF6C2D" w:rsidRDefault="00F94FEF" w:rsidP="00F94FEF">
            <w:pPr>
              <w:spacing w:before="60" w:afterLines="60" w:after="144"/>
              <w:jc w:val="both"/>
              <w:rPr>
                <w:b/>
              </w:rPr>
            </w:pPr>
            <w:r w:rsidRPr="00DF6C2D">
              <w:t>Nav.</w:t>
            </w:r>
          </w:p>
        </w:tc>
      </w:tr>
      <w:tr w:rsidR="00FD7A88" w:rsidRPr="0019642C" w14:paraId="21C2B567" w14:textId="77777777" w:rsidTr="00F94FEF">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34D86077" w14:textId="77777777" w:rsidR="00750FB6" w:rsidRPr="004911CB" w:rsidRDefault="007559D4" w:rsidP="00BF3F2B">
            <w:pPr>
              <w:spacing w:before="60" w:afterLines="60" w:after="144"/>
              <w:jc w:val="center"/>
              <w:rPr>
                <w:lang w:eastAsia="en-US"/>
              </w:rPr>
            </w:pPr>
            <w:r w:rsidRPr="004911CB">
              <w:t>4.</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14:paraId="6BF97571" w14:textId="77777777" w:rsidR="00750FB6" w:rsidRPr="004911CB" w:rsidRDefault="007559D4" w:rsidP="00BF3F2B">
            <w:pPr>
              <w:spacing w:before="60" w:afterLines="60" w:after="144"/>
              <w:rPr>
                <w:lang w:eastAsia="en-US"/>
              </w:rPr>
            </w:pPr>
            <w:r w:rsidRPr="004911CB">
              <w:t>Cita informācija</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5C1B6370" w14:textId="0D0476A6" w:rsidR="00750FB6" w:rsidRPr="004911CB" w:rsidRDefault="007559D4" w:rsidP="00AD1A10">
            <w:pPr>
              <w:tabs>
                <w:tab w:val="left" w:pos="4571"/>
              </w:tabs>
              <w:spacing w:before="60" w:afterLines="60" w:after="144"/>
            </w:pPr>
            <w:r w:rsidRPr="004911CB">
              <w:t>Nav</w:t>
            </w:r>
            <w:r w:rsidR="00F94FEF">
              <w:t>.</w:t>
            </w:r>
            <w:r w:rsidR="00AD1A10">
              <w:t> </w:t>
            </w:r>
          </w:p>
        </w:tc>
      </w:tr>
    </w:tbl>
    <w:p w14:paraId="45B5F19B" w14:textId="77777777" w:rsidR="00750FB6" w:rsidRPr="0019642C" w:rsidRDefault="00750FB6" w:rsidP="00BF3F2B">
      <w:pPr>
        <w:jc w:val="both"/>
        <w:rPr>
          <w:highlight w:val="yellow"/>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266"/>
      </w:tblGrid>
      <w:tr w:rsidR="00C71FAA" w:rsidRPr="0019642C" w14:paraId="30153EAB" w14:textId="77777777" w:rsidTr="00FA45DC">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002A232" w14:textId="77777777" w:rsidR="00750FB6" w:rsidRPr="00F94FEF" w:rsidRDefault="007559D4" w:rsidP="00BF3F2B">
            <w:pPr>
              <w:pStyle w:val="ListParagraph"/>
              <w:tabs>
                <w:tab w:val="left" w:pos="2268"/>
                <w:tab w:val="left" w:pos="2410"/>
              </w:tabs>
              <w:ind w:left="1080"/>
              <w:jc w:val="center"/>
              <w:rPr>
                <w:b/>
                <w:sz w:val="24"/>
                <w:szCs w:val="24"/>
                <w:lang w:eastAsia="en-US"/>
              </w:rPr>
            </w:pPr>
            <w:r w:rsidRPr="00F94FEF">
              <w:rPr>
                <w:b/>
                <w:bCs/>
                <w:sz w:val="24"/>
                <w:szCs w:val="24"/>
              </w:rPr>
              <w:t>II. Tiesību akta projekta ietekme uz sabiedrību, tautsaimniecības attīstību un administratīvo slogu</w:t>
            </w:r>
          </w:p>
        </w:tc>
      </w:tr>
      <w:tr w:rsidR="00F94FEF" w:rsidRPr="0019642C" w14:paraId="218EB5E0"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3A11EC2E" w14:textId="77777777" w:rsidR="00F94FEF" w:rsidRPr="00F94FEF" w:rsidRDefault="00F94FEF" w:rsidP="00F94FEF">
            <w:pPr>
              <w:jc w:val="center"/>
              <w:rPr>
                <w:lang w:eastAsia="en-US"/>
              </w:rPr>
            </w:pPr>
            <w:r w:rsidRPr="00F94FEF">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C9E742E" w14:textId="77777777" w:rsidR="00F94FEF" w:rsidRPr="004477BC" w:rsidRDefault="00F94FEF" w:rsidP="00F94FEF">
            <w:pPr>
              <w:rPr>
                <w:lang w:eastAsia="en-US"/>
              </w:rPr>
            </w:pPr>
            <w:r w:rsidRPr="004477BC">
              <w:t xml:space="preserve">Sabiedrības </w:t>
            </w:r>
            <w:proofErr w:type="spellStart"/>
            <w:r w:rsidRPr="004477BC">
              <w:t>mērķgrupas</w:t>
            </w:r>
            <w:proofErr w:type="spellEnd"/>
            <w:r w:rsidRPr="004477BC">
              <w:t>, kuras tiesiskais regulējums ietekmē vai varētu ietekmēt</w:t>
            </w:r>
          </w:p>
        </w:tc>
        <w:tc>
          <w:tcPr>
            <w:tcW w:w="6266" w:type="dxa"/>
            <w:tcBorders>
              <w:top w:val="single" w:sz="4" w:space="0" w:color="auto"/>
              <w:left w:val="single" w:sz="4" w:space="0" w:color="auto"/>
              <w:bottom w:val="single" w:sz="4" w:space="0" w:color="auto"/>
              <w:right w:val="single" w:sz="4" w:space="0" w:color="auto"/>
            </w:tcBorders>
            <w:shd w:val="clear" w:color="auto" w:fill="auto"/>
            <w:hideMark/>
          </w:tcPr>
          <w:p w14:paraId="45DBEFE3" w14:textId="29695873" w:rsidR="00F94FEF" w:rsidRPr="004477BC" w:rsidRDefault="00677859" w:rsidP="00677859">
            <w:pPr>
              <w:jc w:val="both"/>
            </w:pPr>
            <w:r>
              <w:t xml:space="preserve">VARAM, </w:t>
            </w:r>
            <w:r w:rsidR="00F94FEF" w:rsidRPr="004477BC">
              <w:t xml:space="preserve">5.6.2. SAM </w:t>
            </w:r>
            <w:r w:rsidR="004477BC" w:rsidRPr="004477BC">
              <w:t>projektu iesniedzēji</w:t>
            </w:r>
            <w:r>
              <w:t>, finansējuma saņēmēji, sadarbības partneri un CFLA.</w:t>
            </w:r>
          </w:p>
        </w:tc>
      </w:tr>
      <w:tr w:rsidR="00C71FAA" w:rsidRPr="0019642C" w14:paraId="244282A1"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tcPr>
          <w:p w14:paraId="7AE4271E" w14:textId="77777777" w:rsidR="00750FB6" w:rsidRPr="00F94FEF" w:rsidRDefault="007559D4" w:rsidP="00BF3F2B">
            <w:pPr>
              <w:jc w:val="center"/>
            </w:pPr>
            <w:r w:rsidRPr="00F94FEF">
              <w:lastRenderedPageBreak/>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BD9473" w14:textId="77777777" w:rsidR="00750FB6" w:rsidRPr="00F94FEF" w:rsidRDefault="007559D4" w:rsidP="00BF3F2B">
            <w:pPr>
              <w:rPr>
                <w:rFonts w:ascii="Arial" w:hAnsi="Arial" w:cs="Arial"/>
                <w:sz w:val="20"/>
                <w:szCs w:val="20"/>
              </w:rPr>
            </w:pPr>
            <w:r w:rsidRPr="00F94FEF">
              <w:t>Tiesiskā regulējuma ietekme uz tautsaimniecību un administratīvo slogu</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14:paraId="0CF4BEA5" w14:textId="17B7B95A" w:rsidR="006F3E2A" w:rsidRPr="004477BC" w:rsidRDefault="007559D4" w:rsidP="00EE0646">
            <w:pPr>
              <w:pStyle w:val="ListParagraph"/>
              <w:tabs>
                <w:tab w:val="left" w:pos="317"/>
              </w:tabs>
              <w:spacing w:before="60"/>
              <w:ind w:left="34"/>
              <w:jc w:val="both"/>
              <w:rPr>
                <w:sz w:val="24"/>
                <w:szCs w:val="24"/>
              </w:rPr>
            </w:pPr>
            <w:r w:rsidRPr="004477BC">
              <w:rPr>
                <w:sz w:val="24"/>
                <w:szCs w:val="24"/>
              </w:rPr>
              <w:t xml:space="preserve">Vērtējot </w:t>
            </w:r>
            <w:r w:rsidR="00DA316E" w:rsidRPr="004477BC">
              <w:rPr>
                <w:sz w:val="24"/>
                <w:szCs w:val="24"/>
              </w:rPr>
              <w:t>noteikumu projekta</w:t>
            </w:r>
            <w:r w:rsidRPr="004477BC">
              <w:rPr>
                <w:sz w:val="24"/>
                <w:szCs w:val="24"/>
              </w:rPr>
              <w:t xml:space="preserve"> īstenošanas ietekmi uz administratīvajām procedūrām un to izmaksām, nav identificēts administratīvā sloga</w:t>
            </w:r>
            <w:r w:rsidR="0039302E" w:rsidRPr="004477BC">
              <w:rPr>
                <w:sz w:val="24"/>
                <w:szCs w:val="24"/>
              </w:rPr>
              <w:t xml:space="preserve"> palielinājums ne potenciālajiem projektu iesniedzējiem</w:t>
            </w:r>
            <w:r w:rsidRPr="004477BC">
              <w:rPr>
                <w:sz w:val="24"/>
                <w:szCs w:val="24"/>
              </w:rPr>
              <w:t xml:space="preserve">, ne </w:t>
            </w:r>
            <w:r w:rsidR="00377F78" w:rsidRPr="004477BC">
              <w:rPr>
                <w:sz w:val="24"/>
                <w:szCs w:val="24"/>
              </w:rPr>
              <w:t xml:space="preserve">Eiropas Savienības </w:t>
            </w:r>
            <w:r w:rsidRPr="004477BC">
              <w:rPr>
                <w:sz w:val="24"/>
                <w:szCs w:val="24"/>
              </w:rPr>
              <w:t>fondu vad</w:t>
            </w:r>
            <w:r w:rsidR="006F3E2A" w:rsidRPr="004477BC">
              <w:rPr>
                <w:sz w:val="24"/>
                <w:szCs w:val="24"/>
              </w:rPr>
              <w:t>ībā iesaistītajām institūcijām.</w:t>
            </w:r>
          </w:p>
        </w:tc>
      </w:tr>
      <w:tr w:rsidR="00F94FEF" w:rsidRPr="0019642C" w14:paraId="636F5DF6" w14:textId="77777777" w:rsidTr="00747D25">
        <w:tc>
          <w:tcPr>
            <w:tcW w:w="675" w:type="dxa"/>
            <w:tcBorders>
              <w:top w:val="single" w:sz="4" w:space="0" w:color="auto"/>
              <w:left w:val="single" w:sz="4" w:space="0" w:color="auto"/>
              <w:bottom w:val="single" w:sz="4" w:space="0" w:color="auto"/>
              <w:right w:val="single" w:sz="4" w:space="0" w:color="auto"/>
            </w:tcBorders>
            <w:shd w:val="clear" w:color="auto" w:fill="auto"/>
          </w:tcPr>
          <w:p w14:paraId="269A274B" w14:textId="77777777" w:rsidR="00F94FEF" w:rsidRPr="00065B6E" w:rsidRDefault="00F94FEF" w:rsidP="00F94FEF">
            <w:pPr>
              <w:jc w:val="center"/>
            </w:pPr>
            <w:r w:rsidRPr="00065B6E">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E222B2" w14:textId="77777777" w:rsidR="00F94FEF" w:rsidRPr="00F94FEF" w:rsidRDefault="00F94FEF" w:rsidP="00F94FEF">
            <w:pPr>
              <w:rPr>
                <w:rFonts w:ascii="Arial" w:hAnsi="Arial" w:cs="Arial"/>
                <w:sz w:val="20"/>
                <w:szCs w:val="20"/>
              </w:rPr>
            </w:pPr>
            <w:r w:rsidRPr="00F94FEF">
              <w:t>Administratīvo izmaksu monetārs novērtējums</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3859ADDA" w14:textId="3431E33E" w:rsidR="00F94FEF" w:rsidRPr="004477BC" w:rsidRDefault="00F94FEF" w:rsidP="00F94FEF">
            <w:pPr>
              <w:pStyle w:val="ListParagraph"/>
              <w:tabs>
                <w:tab w:val="left" w:pos="317"/>
              </w:tabs>
              <w:spacing w:before="60"/>
              <w:ind w:left="34"/>
              <w:jc w:val="both"/>
              <w:rPr>
                <w:bCs/>
                <w:sz w:val="24"/>
                <w:szCs w:val="24"/>
                <w:lang w:eastAsia="en-US"/>
              </w:rPr>
            </w:pPr>
            <w:r w:rsidRPr="004477BC">
              <w:rPr>
                <w:bCs/>
                <w:sz w:val="24"/>
                <w:szCs w:val="24"/>
              </w:rPr>
              <w:t xml:space="preserve">Nav attiecināms. </w:t>
            </w:r>
          </w:p>
        </w:tc>
      </w:tr>
      <w:tr w:rsidR="00F94FEF" w:rsidRPr="0019642C" w14:paraId="26FA8536"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tcPr>
          <w:p w14:paraId="021A937A" w14:textId="73D5411B" w:rsidR="00F94FEF" w:rsidRPr="00065B6E" w:rsidRDefault="00F94FEF" w:rsidP="00F94FEF">
            <w:pPr>
              <w:jc w:val="center"/>
            </w:pPr>
            <w:r w:rsidRPr="00065B6E">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986E56" w14:textId="2AE88F8D" w:rsidR="00F94FEF" w:rsidRPr="00F94FEF" w:rsidRDefault="00F94FEF" w:rsidP="00F94FEF">
            <w:r w:rsidRPr="00F94FEF">
              <w:t>Atbilstības izmaksu monetārs novērtējums</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14:paraId="02CDA9DF" w14:textId="6688443E" w:rsidR="00F94FEF" w:rsidRPr="004477BC" w:rsidRDefault="00F94FEF" w:rsidP="00F94FEF">
            <w:pPr>
              <w:pStyle w:val="ListParagraph"/>
              <w:tabs>
                <w:tab w:val="left" w:pos="317"/>
              </w:tabs>
              <w:spacing w:before="60"/>
              <w:ind w:left="34"/>
              <w:jc w:val="both"/>
              <w:rPr>
                <w:sz w:val="24"/>
                <w:szCs w:val="24"/>
              </w:rPr>
            </w:pPr>
            <w:r w:rsidRPr="004477BC">
              <w:rPr>
                <w:bCs/>
                <w:sz w:val="24"/>
                <w:szCs w:val="24"/>
              </w:rPr>
              <w:t>Noteikumu projekts šo jomu neskar.</w:t>
            </w:r>
          </w:p>
        </w:tc>
      </w:tr>
      <w:tr w:rsidR="00F94FEF" w:rsidRPr="0019642C" w14:paraId="289909ED"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tcPr>
          <w:p w14:paraId="42748813" w14:textId="6D0B39D9" w:rsidR="00F94FEF" w:rsidRPr="00065B6E" w:rsidRDefault="00F94FEF" w:rsidP="00F94FEF">
            <w:pPr>
              <w:jc w:val="center"/>
            </w:pPr>
            <w:r w:rsidRPr="00065B6E">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95155A" w14:textId="77777777" w:rsidR="00F94FEF" w:rsidRPr="00F94FEF" w:rsidRDefault="00F94FEF" w:rsidP="00F94FEF">
            <w:pPr>
              <w:rPr>
                <w:rFonts w:ascii="Arial" w:hAnsi="Arial" w:cs="Arial"/>
                <w:sz w:val="20"/>
                <w:szCs w:val="20"/>
              </w:rPr>
            </w:pPr>
            <w:r w:rsidRPr="00F94FEF">
              <w:t>Cita informācija</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7160C601" w14:textId="14AEE8B3" w:rsidR="00F94FEF" w:rsidRPr="004477BC" w:rsidRDefault="00F94FEF" w:rsidP="00F94FEF">
            <w:pPr>
              <w:ind w:left="57" w:right="113"/>
              <w:rPr>
                <w:spacing w:val="-2"/>
              </w:rPr>
            </w:pPr>
            <w:r w:rsidRPr="004477BC">
              <w:rPr>
                <w:spacing w:val="-2"/>
              </w:rPr>
              <w:t>Nav.</w:t>
            </w:r>
          </w:p>
        </w:tc>
      </w:tr>
    </w:tbl>
    <w:p w14:paraId="121EA2CA" w14:textId="77777777" w:rsidR="00750FB6" w:rsidRPr="0019642C" w:rsidRDefault="00750FB6" w:rsidP="00BF3F2B">
      <w:pPr>
        <w:jc w:val="both"/>
        <w:rPr>
          <w:highlight w:val="yellow"/>
        </w:rPr>
      </w:pPr>
    </w:p>
    <w:tbl>
      <w:tblPr>
        <w:tblStyle w:val="TableGrid"/>
        <w:tblW w:w="9351" w:type="dxa"/>
        <w:tblLook w:val="04A0" w:firstRow="1" w:lastRow="0" w:firstColumn="1" w:lastColumn="0" w:noHBand="0" w:noVBand="1"/>
      </w:tblPr>
      <w:tblGrid>
        <w:gridCol w:w="9351"/>
      </w:tblGrid>
      <w:tr w:rsidR="00C71FAA" w:rsidRPr="0019642C" w14:paraId="12B0D788" w14:textId="77777777" w:rsidTr="0014544D">
        <w:trPr>
          <w:trHeight w:val="411"/>
        </w:trPr>
        <w:tc>
          <w:tcPr>
            <w:tcW w:w="9351" w:type="dxa"/>
            <w:shd w:val="clear" w:color="auto" w:fill="auto"/>
            <w:vAlign w:val="center"/>
          </w:tcPr>
          <w:p w14:paraId="3C57E31E" w14:textId="77777777" w:rsidR="00334386" w:rsidRPr="004477BC" w:rsidRDefault="007559D4" w:rsidP="004C0B22">
            <w:pPr>
              <w:spacing w:line="276" w:lineRule="auto"/>
              <w:jc w:val="center"/>
              <w:rPr>
                <w:b/>
                <w:lang w:eastAsia="en-US"/>
              </w:rPr>
            </w:pPr>
            <w:r w:rsidRPr="004477BC">
              <w:rPr>
                <w:b/>
                <w:lang w:eastAsia="en-US"/>
              </w:rPr>
              <w:t>III. Tiesību akta projekta ietekme uz valsts budžetu un pašvaldību budžetiem</w:t>
            </w:r>
          </w:p>
        </w:tc>
      </w:tr>
      <w:tr w:rsidR="00C71FAA" w:rsidRPr="0019642C" w14:paraId="07A435E7" w14:textId="77777777" w:rsidTr="00DF61C4">
        <w:trPr>
          <w:trHeight w:val="361"/>
        </w:trPr>
        <w:tc>
          <w:tcPr>
            <w:tcW w:w="9351" w:type="dxa"/>
            <w:shd w:val="clear" w:color="auto" w:fill="auto"/>
            <w:vAlign w:val="center"/>
          </w:tcPr>
          <w:p w14:paraId="254949E2" w14:textId="7337C410" w:rsidR="00334386" w:rsidRPr="004477BC" w:rsidRDefault="00F94FEF" w:rsidP="004C0B22">
            <w:pPr>
              <w:spacing w:line="276" w:lineRule="auto"/>
              <w:jc w:val="center"/>
              <w:rPr>
                <w:lang w:eastAsia="en-US"/>
              </w:rPr>
            </w:pPr>
            <w:r w:rsidRPr="004477BC">
              <w:rPr>
                <w:lang w:eastAsia="en-US"/>
              </w:rPr>
              <w:t>Noteikumu projekts šo jomu neskar.</w:t>
            </w:r>
          </w:p>
        </w:tc>
      </w:tr>
    </w:tbl>
    <w:p w14:paraId="30FFFED7" w14:textId="77777777" w:rsidR="00F94FEF" w:rsidRPr="0019642C" w:rsidRDefault="00F94FEF" w:rsidP="00BF3F2B">
      <w:pPr>
        <w:jc w:val="both"/>
        <w:rPr>
          <w:highlight w:val="yellow"/>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6"/>
      </w:tblGrid>
      <w:tr w:rsidR="00C71FAA" w:rsidRPr="0019642C" w14:paraId="1C9C4140" w14:textId="77777777" w:rsidTr="00F94FEF">
        <w:trPr>
          <w:trHeight w:val="421"/>
        </w:trPr>
        <w:tc>
          <w:tcPr>
            <w:tcW w:w="9356" w:type="dxa"/>
            <w:vAlign w:val="center"/>
          </w:tcPr>
          <w:p w14:paraId="45BA7160" w14:textId="77777777" w:rsidR="00750FB6" w:rsidRPr="00461163" w:rsidRDefault="007559D4" w:rsidP="00BF3F2B">
            <w:pPr>
              <w:ind w:left="57" w:right="57"/>
              <w:jc w:val="center"/>
              <w:rPr>
                <w:rFonts w:eastAsia="Times New Roman"/>
                <w:highlight w:val="yellow"/>
              </w:rPr>
            </w:pPr>
            <w:r w:rsidRPr="000D6328">
              <w:rPr>
                <w:rFonts w:eastAsia="Times New Roman"/>
                <w:b/>
              </w:rPr>
              <w:t xml:space="preserve">IV. Tiesību akta projekta ietekme uz spēkā esošo tiesību normu sistēmu </w:t>
            </w:r>
          </w:p>
        </w:tc>
      </w:tr>
      <w:tr w:rsidR="004477BC" w:rsidRPr="0019642C" w14:paraId="1E2515C0" w14:textId="77777777" w:rsidTr="00F94FEF">
        <w:trPr>
          <w:trHeight w:val="421"/>
        </w:trPr>
        <w:tc>
          <w:tcPr>
            <w:tcW w:w="9356" w:type="dxa"/>
            <w:vAlign w:val="center"/>
          </w:tcPr>
          <w:p w14:paraId="3AD87C4B" w14:textId="5A58B69C" w:rsidR="004477BC" w:rsidRPr="00461163" w:rsidRDefault="004477BC" w:rsidP="00BF3F2B">
            <w:pPr>
              <w:ind w:left="57" w:right="57"/>
              <w:jc w:val="center"/>
              <w:rPr>
                <w:rFonts w:eastAsia="Times New Roman"/>
                <w:b/>
                <w:highlight w:val="yellow"/>
              </w:rPr>
            </w:pPr>
            <w:r w:rsidRPr="004477BC">
              <w:rPr>
                <w:lang w:eastAsia="en-US"/>
              </w:rPr>
              <w:t>Noteikumu projekts šo jomu neskar.</w:t>
            </w:r>
          </w:p>
        </w:tc>
      </w:tr>
    </w:tbl>
    <w:p w14:paraId="3AEC4B6A" w14:textId="77777777" w:rsidR="00F94FEF" w:rsidRDefault="00F94FEF">
      <w:pPr>
        <w:rPr>
          <w:highlight w:val="yellow"/>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4"/>
        <w:gridCol w:w="2246"/>
        <w:gridCol w:w="1756"/>
        <w:gridCol w:w="680"/>
        <w:gridCol w:w="1582"/>
        <w:gridCol w:w="2378"/>
      </w:tblGrid>
      <w:tr w:rsidR="00B248B4" w:rsidRPr="000A47F1" w14:paraId="515CBC78" w14:textId="77777777" w:rsidTr="00E632C5">
        <w:trPr>
          <w:trHeight w:val="393"/>
        </w:trPr>
        <w:tc>
          <w:tcPr>
            <w:tcW w:w="9356" w:type="dxa"/>
            <w:gridSpan w:val="6"/>
          </w:tcPr>
          <w:p w14:paraId="6DFE5701" w14:textId="77777777" w:rsidR="00B248B4" w:rsidRPr="000A47F1" w:rsidRDefault="00B248B4" w:rsidP="00191611">
            <w:pPr>
              <w:shd w:val="clear" w:color="auto" w:fill="FFFFFF"/>
              <w:ind w:left="57" w:right="113"/>
              <w:jc w:val="center"/>
            </w:pPr>
            <w:r w:rsidRPr="000A47F1">
              <w:rPr>
                <w:b/>
                <w:lang w:eastAsia="en-US"/>
              </w:rPr>
              <w:t>V. Tiesību akta projekta atbilstība Latvijas Republikas starptautiskajām saistībām</w:t>
            </w:r>
          </w:p>
        </w:tc>
      </w:tr>
      <w:tr w:rsidR="00B248B4" w:rsidRPr="000A47F1" w14:paraId="1A4B011A" w14:textId="77777777" w:rsidTr="00E632C5">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91"/>
          <w:jc w:val="center"/>
        </w:trPr>
        <w:tc>
          <w:tcPr>
            <w:tcW w:w="714" w:type="dxa"/>
            <w:tcBorders>
              <w:top w:val="outset" w:sz="6" w:space="0" w:color="auto"/>
              <w:left w:val="outset" w:sz="6" w:space="0" w:color="auto"/>
              <w:bottom w:val="outset" w:sz="6" w:space="0" w:color="auto"/>
              <w:right w:val="outset" w:sz="6" w:space="0" w:color="auto"/>
            </w:tcBorders>
          </w:tcPr>
          <w:p w14:paraId="6DB73237" w14:textId="77777777" w:rsidR="00B248B4" w:rsidRPr="000A47F1" w:rsidRDefault="00B248B4" w:rsidP="00191611">
            <w:pPr>
              <w:jc w:val="center"/>
            </w:pPr>
            <w:r w:rsidRPr="000A47F1">
              <w:t>1.</w:t>
            </w:r>
          </w:p>
        </w:tc>
        <w:tc>
          <w:tcPr>
            <w:tcW w:w="2246" w:type="dxa"/>
            <w:tcBorders>
              <w:top w:val="outset" w:sz="6" w:space="0" w:color="auto"/>
              <w:left w:val="outset" w:sz="6" w:space="0" w:color="auto"/>
              <w:bottom w:val="outset" w:sz="6" w:space="0" w:color="auto"/>
              <w:right w:val="outset" w:sz="6" w:space="0" w:color="auto"/>
            </w:tcBorders>
            <w:shd w:val="clear" w:color="auto" w:fill="auto"/>
          </w:tcPr>
          <w:p w14:paraId="280E5407" w14:textId="77777777" w:rsidR="00B248B4" w:rsidRPr="000A47F1" w:rsidRDefault="00B248B4" w:rsidP="00191611">
            <w:r w:rsidRPr="000A47F1">
              <w:t>Saistības pret Eiropas Savienību</w:t>
            </w:r>
          </w:p>
        </w:tc>
        <w:tc>
          <w:tcPr>
            <w:tcW w:w="6396" w:type="dxa"/>
            <w:gridSpan w:val="4"/>
            <w:tcBorders>
              <w:top w:val="outset" w:sz="6" w:space="0" w:color="auto"/>
              <w:left w:val="outset" w:sz="6" w:space="0" w:color="auto"/>
              <w:bottom w:val="outset" w:sz="6" w:space="0" w:color="auto"/>
              <w:right w:val="outset" w:sz="6" w:space="0" w:color="auto"/>
            </w:tcBorders>
            <w:shd w:val="clear" w:color="auto" w:fill="auto"/>
          </w:tcPr>
          <w:p w14:paraId="6125EF7D" w14:textId="21012513" w:rsidR="00E32C40" w:rsidRPr="001A52C0" w:rsidRDefault="00E32C40" w:rsidP="00F74740">
            <w:pPr>
              <w:spacing w:after="120"/>
              <w:ind w:left="131" w:right="113"/>
              <w:jc w:val="both"/>
            </w:pPr>
            <w:r w:rsidRPr="001A52C0">
              <w:rPr>
                <w:rFonts w:eastAsia="Times New Roman"/>
              </w:rPr>
              <w:t xml:space="preserve">Eiropas Komisijas 2014. gada 17. jūnija regula Nr. 651/2014 </w:t>
            </w:r>
            <w:r w:rsidRPr="001A52C0">
              <w:rPr>
                <w:i/>
              </w:rPr>
              <w:t>ar ko noteiktas atbalsta kategorijas atzīst par saderīgām ar iekšējo tirgu, piemērojot Līguma 107. un 108. pantu</w:t>
            </w:r>
            <w:r w:rsidRPr="001A52C0">
              <w:t xml:space="preserve"> (turpmāk Komisijas regula Nr. </w:t>
            </w:r>
            <w:hyperlink r:id="rId8" w:tgtFrame="_blank" w:history="1">
              <w:r w:rsidRPr="001A52C0">
                <w:t>651/2014</w:t>
              </w:r>
            </w:hyperlink>
            <w:r w:rsidR="00B768E8" w:rsidRPr="001A52C0">
              <w:t>);</w:t>
            </w:r>
          </w:p>
          <w:p w14:paraId="241ED221" w14:textId="1C1C3FC6" w:rsidR="00E32C40" w:rsidRPr="001A52C0" w:rsidRDefault="00E32C40" w:rsidP="00F74740">
            <w:pPr>
              <w:spacing w:after="120"/>
              <w:ind w:left="131" w:right="113"/>
              <w:jc w:val="both"/>
            </w:pPr>
            <w:r w:rsidRPr="001A52C0">
              <w:rPr>
                <w:rFonts w:eastAsia="Times New Roman"/>
              </w:rPr>
              <w:t xml:space="preserve">Eiropas Komisijas 2013. gada 18. decembra regula </w:t>
            </w:r>
            <w:r w:rsidRPr="001A52C0">
              <w:t xml:space="preserve">Nr. 1407/2013 </w:t>
            </w:r>
            <w:r w:rsidRPr="001A52C0">
              <w:rPr>
                <w:i/>
              </w:rPr>
              <w:t xml:space="preserve">par Līguma par Eiropas Savienības darbību 107. un 108. panta piemērošanu </w:t>
            </w:r>
            <w:proofErr w:type="spellStart"/>
            <w:r w:rsidRPr="001A52C0">
              <w:rPr>
                <w:i/>
                <w:iCs/>
              </w:rPr>
              <w:t>de</w:t>
            </w:r>
            <w:proofErr w:type="spellEnd"/>
            <w:r w:rsidRPr="001A52C0">
              <w:rPr>
                <w:i/>
                <w:iCs/>
              </w:rPr>
              <w:t xml:space="preserve"> </w:t>
            </w:r>
            <w:proofErr w:type="spellStart"/>
            <w:r w:rsidRPr="001A52C0">
              <w:rPr>
                <w:i/>
                <w:iCs/>
              </w:rPr>
              <w:t>minimis</w:t>
            </w:r>
            <w:proofErr w:type="spellEnd"/>
            <w:r w:rsidRPr="001A52C0">
              <w:rPr>
                <w:i/>
              </w:rPr>
              <w:t xml:space="preserve"> atbalstam</w:t>
            </w:r>
            <w:r w:rsidRPr="001A52C0">
              <w:t xml:space="preserve"> (turpmāk – Komisijas regula Nr. </w:t>
            </w:r>
            <w:r w:rsidR="00B768E8" w:rsidRPr="001A52C0">
              <w:t>1407/2013);</w:t>
            </w:r>
          </w:p>
          <w:p w14:paraId="4D6FFEC0" w14:textId="3475FCFC" w:rsidR="00E32C40" w:rsidRPr="001A52C0" w:rsidRDefault="00435000" w:rsidP="00F74740">
            <w:pPr>
              <w:spacing w:after="120"/>
              <w:ind w:left="131"/>
              <w:jc w:val="both"/>
            </w:pPr>
            <w:r w:rsidRPr="001A52C0">
              <w:rPr>
                <w:rFonts w:eastAsia="Times New Roman"/>
              </w:rPr>
              <w:t>Komisijas</w:t>
            </w:r>
            <w:r w:rsidR="00E32C40" w:rsidRPr="001A52C0">
              <w:t xml:space="preserve"> regula Nr.</w:t>
            </w:r>
            <w:r w:rsidRPr="001A52C0">
              <w:t> </w:t>
            </w:r>
            <w:r w:rsidR="001266FE" w:rsidRPr="001A52C0">
              <w:t>1408/2013</w:t>
            </w:r>
            <w:r w:rsidR="00B768E8" w:rsidRPr="001A52C0">
              <w:t>;</w:t>
            </w:r>
          </w:p>
          <w:p w14:paraId="7D77974F" w14:textId="4DBB37D0" w:rsidR="00C63BFC" w:rsidRPr="001A52C0" w:rsidRDefault="00C63BFC" w:rsidP="00F74740">
            <w:pPr>
              <w:spacing w:after="120"/>
              <w:ind w:left="131"/>
              <w:jc w:val="both"/>
            </w:pPr>
            <w:r w:rsidRPr="001A52C0">
              <w:rPr>
                <w:rFonts w:eastAsia="Times New Roman"/>
              </w:rPr>
              <w:t xml:space="preserve">Komisijas </w:t>
            </w:r>
            <w:r w:rsidR="00E32C40" w:rsidRPr="001A52C0">
              <w:t>regula Nr.</w:t>
            </w:r>
            <w:r w:rsidR="00D70D49" w:rsidRPr="001A52C0">
              <w:t> </w:t>
            </w:r>
            <w:r w:rsidR="00B768E8" w:rsidRPr="001A52C0">
              <w:t>717/2014;</w:t>
            </w:r>
          </w:p>
          <w:p w14:paraId="3FF44D6C" w14:textId="695A587A" w:rsidR="00B248B4" w:rsidRPr="00B768E8" w:rsidRDefault="00E32C40" w:rsidP="00F74740">
            <w:pPr>
              <w:spacing w:after="120"/>
              <w:ind w:left="131"/>
              <w:jc w:val="both"/>
              <w:rPr>
                <w:b/>
              </w:rPr>
            </w:pPr>
            <w:r w:rsidRPr="001A52C0">
              <w:t xml:space="preserve">Eiropas Parlamenta un Padomes regula (ES) Nr. 1303/2013 (2013. gada 17. decembris), </w:t>
            </w:r>
            <w:r w:rsidRPr="001A52C0">
              <w:rPr>
                <w:i/>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Pr="001A52C0">
              <w:t xml:space="preserve"> (turpmāk – </w:t>
            </w:r>
            <w:r w:rsidR="00C63BFC" w:rsidRPr="001A52C0">
              <w:t>Komisijas regula Nr. </w:t>
            </w:r>
            <w:r w:rsidRPr="001A52C0">
              <w:t>1303/2013).</w:t>
            </w:r>
          </w:p>
        </w:tc>
      </w:tr>
      <w:tr w:rsidR="00B248B4" w:rsidRPr="000A47F1" w14:paraId="031BB56B" w14:textId="77777777" w:rsidTr="00E632C5">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35"/>
          <w:jc w:val="center"/>
        </w:trPr>
        <w:tc>
          <w:tcPr>
            <w:tcW w:w="714" w:type="dxa"/>
            <w:tcBorders>
              <w:top w:val="outset" w:sz="6" w:space="0" w:color="auto"/>
              <w:left w:val="outset" w:sz="6" w:space="0" w:color="auto"/>
              <w:bottom w:val="outset" w:sz="6" w:space="0" w:color="auto"/>
              <w:right w:val="outset" w:sz="6" w:space="0" w:color="auto"/>
            </w:tcBorders>
          </w:tcPr>
          <w:p w14:paraId="4A760641" w14:textId="77777777" w:rsidR="00B248B4" w:rsidRPr="000A47F1" w:rsidRDefault="00B248B4" w:rsidP="00191611">
            <w:pPr>
              <w:jc w:val="center"/>
            </w:pPr>
            <w:r w:rsidRPr="000A47F1">
              <w:t>2.</w:t>
            </w:r>
          </w:p>
        </w:tc>
        <w:tc>
          <w:tcPr>
            <w:tcW w:w="2246" w:type="dxa"/>
            <w:tcBorders>
              <w:top w:val="outset" w:sz="6" w:space="0" w:color="auto"/>
              <w:left w:val="outset" w:sz="6" w:space="0" w:color="auto"/>
              <w:bottom w:val="outset" w:sz="6" w:space="0" w:color="auto"/>
              <w:right w:val="outset" w:sz="6" w:space="0" w:color="auto"/>
            </w:tcBorders>
            <w:shd w:val="clear" w:color="auto" w:fill="auto"/>
          </w:tcPr>
          <w:p w14:paraId="2CDAD437" w14:textId="77777777" w:rsidR="00B248B4" w:rsidRPr="000A47F1" w:rsidRDefault="00B248B4" w:rsidP="00191611">
            <w:r w:rsidRPr="000A47F1">
              <w:t>Citas starptautiskās saistības</w:t>
            </w:r>
          </w:p>
        </w:tc>
        <w:tc>
          <w:tcPr>
            <w:tcW w:w="6396" w:type="dxa"/>
            <w:gridSpan w:val="4"/>
            <w:tcBorders>
              <w:top w:val="outset" w:sz="6" w:space="0" w:color="auto"/>
              <w:left w:val="outset" w:sz="6" w:space="0" w:color="auto"/>
              <w:bottom w:val="outset" w:sz="6" w:space="0" w:color="auto"/>
              <w:right w:val="outset" w:sz="6" w:space="0" w:color="auto"/>
            </w:tcBorders>
            <w:shd w:val="clear" w:color="auto" w:fill="auto"/>
          </w:tcPr>
          <w:p w14:paraId="620C0B55" w14:textId="65766E21" w:rsidR="00B248B4" w:rsidRPr="001A52C0" w:rsidRDefault="00D70D49" w:rsidP="00191611">
            <w:pPr>
              <w:ind w:left="57" w:right="113"/>
              <w:jc w:val="both"/>
            </w:pPr>
            <w:r w:rsidRPr="001A52C0">
              <w:t>Nav attiecināms</w:t>
            </w:r>
            <w:r w:rsidR="00B248B4" w:rsidRPr="001A52C0">
              <w:t>.</w:t>
            </w:r>
          </w:p>
        </w:tc>
      </w:tr>
      <w:tr w:rsidR="00B248B4" w:rsidRPr="000A47F1" w14:paraId="1F92B6AC" w14:textId="77777777" w:rsidTr="00E632C5">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381"/>
          <w:jc w:val="center"/>
        </w:trPr>
        <w:tc>
          <w:tcPr>
            <w:tcW w:w="714" w:type="dxa"/>
            <w:tcBorders>
              <w:top w:val="outset" w:sz="6" w:space="0" w:color="auto"/>
              <w:left w:val="outset" w:sz="6" w:space="0" w:color="auto"/>
              <w:bottom w:val="outset" w:sz="6" w:space="0" w:color="auto"/>
              <w:right w:val="outset" w:sz="6" w:space="0" w:color="auto"/>
            </w:tcBorders>
          </w:tcPr>
          <w:p w14:paraId="590B6ECF" w14:textId="77777777" w:rsidR="00B248B4" w:rsidRPr="000A47F1" w:rsidRDefault="00B248B4" w:rsidP="00191611">
            <w:pPr>
              <w:jc w:val="center"/>
            </w:pPr>
            <w:r w:rsidRPr="000A47F1">
              <w:t>3.</w:t>
            </w:r>
          </w:p>
        </w:tc>
        <w:tc>
          <w:tcPr>
            <w:tcW w:w="2246" w:type="dxa"/>
            <w:tcBorders>
              <w:top w:val="outset" w:sz="6" w:space="0" w:color="auto"/>
              <w:left w:val="outset" w:sz="6" w:space="0" w:color="auto"/>
              <w:bottom w:val="outset" w:sz="6" w:space="0" w:color="auto"/>
              <w:right w:val="outset" w:sz="6" w:space="0" w:color="auto"/>
            </w:tcBorders>
            <w:shd w:val="clear" w:color="auto" w:fill="auto"/>
          </w:tcPr>
          <w:p w14:paraId="26A6EA19" w14:textId="77777777" w:rsidR="00B248B4" w:rsidRPr="000A47F1" w:rsidRDefault="00B248B4" w:rsidP="00191611">
            <w:r w:rsidRPr="000A47F1">
              <w:t>Cita informācija</w:t>
            </w:r>
          </w:p>
        </w:tc>
        <w:tc>
          <w:tcPr>
            <w:tcW w:w="6396" w:type="dxa"/>
            <w:gridSpan w:val="4"/>
            <w:tcBorders>
              <w:top w:val="outset" w:sz="6" w:space="0" w:color="auto"/>
              <w:left w:val="outset" w:sz="6" w:space="0" w:color="auto"/>
              <w:bottom w:val="outset" w:sz="6" w:space="0" w:color="auto"/>
              <w:right w:val="outset" w:sz="6" w:space="0" w:color="auto"/>
            </w:tcBorders>
            <w:shd w:val="clear" w:color="auto" w:fill="auto"/>
          </w:tcPr>
          <w:p w14:paraId="5A523A48" w14:textId="40A4DE35" w:rsidR="00B248B4" w:rsidRPr="001A52C0" w:rsidRDefault="00D70D49" w:rsidP="00F74740">
            <w:pPr>
              <w:ind w:left="57" w:right="113"/>
              <w:jc w:val="both"/>
              <w:rPr>
                <w:shd w:val="clear" w:color="auto" w:fill="FFFFFF"/>
              </w:rPr>
            </w:pPr>
            <w:r w:rsidRPr="001A52C0">
              <w:rPr>
                <w:rFonts w:eastAsia="Times New Roman"/>
              </w:rPr>
              <w:t xml:space="preserve">Komisijas regulas Nr. 651/2014, </w:t>
            </w:r>
            <w:r w:rsidRPr="001A52C0">
              <w:t xml:space="preserve"> Komisijas  regulas Nr. 1407/2013, Komisijas regulas Nr. 1408/2013 un </w:t>
            </w:r>
            <w:r w:rsidR="00B768E8" w:rsidRPr="001A52C0">
              <w:t>K</w:t>
            </w:r>
            <w:r w:rsidRPr="001A52C0">
              <w:t xml:space="preserve">omisijas regulas Nr. 717/2014 </w:t>
            </w:r>
            <w:r w:rsidRPr="001A52C0">
              <w:rPr>
                <w:rFonts w:eastAsia="Times New Roman"/>
              </w:rPr>
              <w:t xml:space="preserve"> </w:t>
            </w:r>
            <w:r w:rsidRPr="001A52C0">
              <w:t xml:space="preserve">prasības ir jau pārņemtas </w:t>
            </w:r>
            <w:r w:rsidR="00B768E8" w:rsidRPr="001A52C0">
              <w:t xml:space="preserve">ar </w:t>
            </w:r>
            <w:r w:rsidR="00F74740" w:rsidRPr="001A52C0">
              <w:t xml:space="preserve">MK </w:t>
            </w:r>
            <w:r w:rsidRPr="001A52C0">
              <w:rPr>
                <w:bCs/>
                <w:color w:val="000000"/>
              </w:rPr>
              <w:t>noteikumiem Nr. 645 un tajos jau veiktajiem grozījumiem. Šajā noteikumu projektā tiek precizētas jau pārņemtās tiesību  normas, nemainot to būtību.</w:t>
            </w:r>
          </w:p>
        </w:tc>
      </w:tr>
      <w:tr w:rsidR="00B248B4" w:rsidRPr="000A47F1" w14:paraId="2515D368" w14:textId="77777777" w:rsidTr="00E632C5">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314"/>
          <w:jc w:val="center"/>
        </w:trPr>
        <w:tc>
          <w:tcPr>
            <w:tcW w:w="935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A76A825" w14:textId="77777777" w:rsidR="00B248B4" w:rsidRPr="001A52C0" w:rsidRDefault="00B248B4" w:rsidP="00191611">
            <w:pPr>
              <w:jc w:val="center"/>
            </w:pPr>
            <w:r w:rsidRPr="001A52C0">
              <w:lastRenderedPageBreak/>
              <w:t>1. tabula</w:t>
            </w:r>
          </w:p>
          <w:p w14:paraId="151D6E1C" w14:textId="77777777" w:rsidR="00B248B4" w:rsidRPr="001A52C0" w:rsidRDefault="00B248B4" w:rsidP="00191611">
            <w:pPr>
              <w:jc w:val="center"/>
            </w:pPr>
            <w:r w:rsidRPr="001A52C0">
              <w:t>Tiesību akta projekta atbilstība ES tiesību aktiem</w:t>
            </w:r>
          </w:p>
        </w:tc>
      </w:tr>
      <w:tr w:rsidR="00B248B4" w:rsidRPr="000A47F1" w14:paraId="4BC71E7B" w14:textId="77777777" w:rsidTr="00E632C5">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47"/>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515C0F34" w14:textId="77777777" w:rsidR="00B248B4" w:rsidRPr="000A47F1" w:rsidRDefault="00B248B4" w:rsidP="00191611">
            <w:pPr>
              <w:rPr>
                <w:spacing w:val="-4"/>
              </w:rPr>
            </w:pPr>
            <w:r w:rsidRPr="000A47F1">
              <w:rPr>
                <w:spacing w:val="-4"/>
              </w:rPr>
              <w:t>Attiecīgā ES tiesību akta datums, numurs un nosaukums</w:t>
            </w:r>
          </w:p>
        </w:tc>
        <w:tc>
          <w:tcPr>
            <w:tcW w:w="6396" w:type="dxa"/>
            <w:gridSpan w:val="4"/>
            <w:tcBorders>
              <w:top w:val="outset" w:sz="6" w:space="0" w:color="auto"/>
              <w:left w:val="outset" w:sz="6" w:space="0" w:color="auto"/>
              <w:bottom w:val="outset" w:sz="6" w:space="0" w:color="auto"/>
              <w:right w:val="outset" w:sz="6" w:space="0" w:color="auto"/>
            </w:tcBorders>
            <w:shd w:val="clear" w:color="auto" w:fill="auto"/>
          </w:tcPr>
          <w:p w14:paraId="53C0103C" w14:textId="0FED7A8A" w:rsidR="00B248B4" w:rsidRPr="001A52C0" w:rsidRDefault="00B248B4" w:rsidP="00191611">
            <w:pPr>
              <w:ind w:left="57" w:right="113"/>
            </w:pPr>
            <w:r w:rsidRPr="001A52C0">
              <w:t>Komisijas regula Nr. </w:t>
            </w:r>
            <w:hyperlink r:id="rId9" w:tgtFrame="_blank" w:history="1">
              <w:r w:rsidRPr="001A52C0">
                <w:t>651/2014</w:t>
              </w:r>
            </w:hyperlink>
            <w:r w:rsidR="00B768E8" w:rsidRPr="001A52C0">
              <w:t>;</w:t>
            </w:r>
          </w:p>
          <w:p w14:paraId="0A3BBF8B" w14:textId="43512EF1" w:rsidR="00B248B4" w:rsidRPr="001A52C0" w:rsidRDefault="00B768E8" w:rsidP="00191611">
            <w:pPr>
              <w:ind w:left="57" w:right="113"/>
            </w:pPr>
            <w:r w:rsidRPr="001A52C0">
              <w:t>Komisijas regula Nr. 1407/2013;</w:t>
            </w:r>
          </w:p>
          <w:p w14:paraId="312FE0A2" w14:textId="1C82AA9F" w:rsidR="00B248B4" w:rsidRPr="001A52C0" w:rsidRDefault="00B248B4" w:rsidP="00191611">
            <w:pPr>
              <w:ind w:left="57" w:right="113"/>
              <w:rPr>
                <w:spacing w:val="-2"/>
              </w:rPr>
            </w:pPr>
            <w:r w:rsidRPr="001A52C0">
              <w:rPr>
                <w:spacing w:val="-2"/>
              </w:rPr>
              <w:t>Komisijas regula Nr. 1408/2013</w:t>
            </w:r>
            <w:r w:rsidR="00B768E8" w:rsidRPr="001A52C0">
              <w:rPr>
                <w:spacing w:val="-2"/>
              </w:rPr>
              <w:t>;</w:t>
            </w:r>
          </w:p>
          <w:p w14:paraId="2443CAD8" w14:textId="5BD84BC9" w:rsidR="001266FE" w:rsidRPr="001A52C0" w:rsidRDefault="001266FE" w:rsidP="00191611">
            <w:pPr>
              <w:ind w:left="57" w:right="113"/>
              <w:rPr>
                <w:spacing w:val="-2"/>
              </w:rPr>
            </w:pPr>
            <w:r w:rsidRPr="001A52C0">
              <w:rPr>
                <w:rFonts w:eastAsia="Times New Roman"/>
              </w:rPr>
              <w:t xml:space="preserve">Komisijas </w:t>
            </w:r>
            <w:r w:rsidRPr="001A52C0">
              <w:rPr>
                <w:sz w:val="23"/>
                <w:szCs w:val="23"/>
              </w:rPr>
              <w:t>regula Nr. 717/2014</w:t>
            </w:r>
            <w:r w:rsidR="00B768E8" w:rsidRPr="001A52C0">
              <w:rPr>
                <w:sz w:val="23"/>
                <w:szCs w:val="23"/>
              </w:rPr>
              <w:t>;</w:t>
            </w:r>
          </w:p>
          <w:p w14:paraId="0FBFCA78" w14:textId="13E03670" w:rsidR="00B248B4" w:rsidRPr="001A52C0" w:rsidRDefault="001266FE" w:rsidP="00191611">
            <w:pPr>
              <w:rPr>
                <w:spacing w:val="-4"/>
              </w:rPr>
            </w:pPr>
            <w:r w:rsidRPr="001A52C0">
              <w:rPr>
                <w:sz w:val="23"/>
                <w:szCs w:val="23"/>
              </w:rPr>
              <w:t xml:space="preserve"> Komisijas regula Nr. 1303/2013</w:t>
            </w:r>
            <w:r w:rsidR="00B768E8" w:rsidRPr="001A52C0">
              <w:rPr>
                <w:sz w:val="23"/>
                <w:szCs w:val="23"/>
              </w:rPr>
              <w:t>.</w:t>
            </w:r>
          </w:p>
        </w:tc>
      </w:tr>
      <w:tr w:rsidR="00B248B4" w:rsidRPr="000A47F1" w14:paraId="00EFA2CC" w14:textId="77777777" w:rsidTr="00E632C5">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217"/>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E93A10" w14:textId="77777777" w:rsidR="00B248B4" w:rsidRPr="000A47F1" w:rsidRDefault="00B248B4" w:rsidP="00191611">
            <w:pPr>
              <w:jc w:val="center"/>
            </w:pPr>
            <w:r w:rsidRPr="000A47F1">
              <w:t>A</w:t>
            </w:r>
          </w:p>
        </w:tc>
        <w:tc>
          <w:tcPr>
            <w:tcW w:w="1756" w:type="dxa"/>
            <w:tcBorders>
              <w:top w:val="outset" w:sz="6" w:space="0" w:color="auto"/>
              <w:left w:val="outset" w:sz="6" w:space="0" w:color="auto"/>
              <w:bottom w:val="outset" w:sz="6" w:space="0" w:color="auto"/>
              <w:right w:val="outset" w:sz="6" w:space="0" w:color="auto"/>
            </w:tcBorders>
            <w:shd w:val="clear" w:color="auto" w:fill="auto"/>
            <w:vAlign w:val="center"/>
          </w:tcPr>
          <w:p w14:paraId="7E65486F" w14:textId="77777777" w:rsidR="00B248B4" w:rsidRPr="000A47F1" w:rsidRDefault="00B248B4" w:rsidP="00191611">
            <w:pPr>
              <w:jc w:val="center"/>
            </w:pPr>
            <w:r w:rsidRPr="000A47F1">
              <w:t>B</w:t>
            </w:r>
          </w:p>
        </w:tc>
        <w:tc>
          <w:tcPr>
            <w:tcW w:w="226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98B540" w14:textId="77777777" w:rsidR="00B248B4" w:rsidRPr="000A47F1" w:rsidRDefault="00B248B4" w:rsidP="00191611">
            <w:pPr>
              <w:jc w:val="center"/>
            </w:pPr>
            <w:r w:rsidRPr="000A47F1">
              <w:t>C</w:t>
            </w:r>
          </w:p>
        </w:tc>
        <w:tc>
          <w:tcPr>
            <w:tcW w:w="2378" w:type="dxa"/>
            <w:tcBorders>
              <w:top w:val="outset" w:sz="6" w:space="0" w:color="auto"/>
              <w:left w:val="outset" w:sz="6" w:space="0" w:color="auto"/>
              <w:bottom w:val="outset" w:sz="6" w:space="0" w:color="auto"/>
              <w:right w:val="outset" w:sz="6" w:space="0" w:color="auto"/>
            </w:tcBorders>
            <w:shd w:val="clear" w:color="auto" w:fill="auto"/>
            <w:vAlign w:val="center"/>
          </w:tcPr>
          <w:p w14:paraId="136E1385" w14:textId="77777777" w:rsidR="00B248B4" w:rsidRPr="000A47F1" w:rsidRDefault="00B248B4" w:rsidP="00191611">
            <w:pPr>
              <w:jc w:val="center"/>
            </w:pPr>
            <w:r w:rsidRPr="000A47F1">
              <w:t>D</w:t>
            </w:r>
          </w:p>
        </w:tc>
      </w:tr>
      <w:tr w:rsidR="00B248B4" w:rsidRPr="000A47F1" w14:paraId="6F13BCD5" w14:textId="77777777" w:rsidTr="00E632C5">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1517"/>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0445188C" w14:textId="77777777" w:rsidR="00B248B4" w:rsidRPr="000A47F1" w:rsidRDefault="00B248B4" w:rsidP="00191611">
            <w:pPr>
              <w:ind w:left="57" w:right="113"/>
              <w:jc w:val="both"/>
              <w:rPr>
                <w:spacing w:val="-4"/>
              </w:rPr>
            </w:pPr>
            <w:r w:rsidRPr="000A47F1">
              <w:rPr>
                <w:spacing w:val="-4"/>
              </w:rPr>
              <w:t>Attiecīgā ES tiesību akta panta numurs (uzskaitot katru tiesību akta vienību – pantu, daļu, punktu, apakšpunktu)</w:t>
            </w:r>
          </w:p>
        </w:tc>
        <w:tc>
          <w:tcPr>
            <w:tcW w:w="1756" w:type="dxa"/>
            <w:tcBorders>
              <w:top w:val="outset" w:sz="6" w:space="0" w:color="auto"/>
              <w:left w:val="outset" w:sz="6" w:space="0" w:color="auto"/>
              <w:bottom w:val="outset" w:sz="6" w:space="0" w:color="auto"/>
              <w:right w:val="outset" w:sz="6" w:space="0" w:color="auto"/>
            </w:tcBorders>
            <w:shd w:val="clear" w:color="auto" w:fill="auto"/>
          </w:tcPr>
          <w:p w14:paraId="69CB5B52" w14:textId="77777777" w:rsidR="00B248B4" w:rsidRPr="000A47F1" w:rsidRDefault="00B248B4" w:rsidP="00191611">
            <w:pPr>
              <w:ind w:left="57" w:right="113"/>
              <w:jc w:val="both"/>
              <w:rPr>
                <w:spacing w:val="-4"/>
              </w:rPr>
            </w:pPr>
            <w:r w:rsidRPr="000A47F1">
              <w:rPr>
                <w:spacing w:val="-4"/>
              </w:rPr>
              <w:t>Projekta vienība, kas pārņem vai ievieš katru šīs tabulas A ailē minēto ES tiesību akta vienību, vai tiesību akts, kur attiecīgā ES tiesību akta vienība pārņemta vai ieviesta</w:t>
            </w:r>
          </w:p>
        </w:tc>
        <w:tc>
          <w:tcPr>
            <w:tcW w:w="2262" w:type="dxa"/>
            <w:gridSpan w:val="2"/>
            <w:tcBorders>
              <w:top w:val="outset" w:sz="6" w:space="0" w:color="auto"/>
              <w:left w:val="outset" w:sz="6" w:space="0" w:color="auto"/>
              <w:bottom w:val="outset" w:sz="6" w:space="0" w:color="auto"/>
              <w:right w:val="outset" w:sz="6" w:space="0" w:color="auto"/>
            </w:tcBorders>
            <w:shd w:val="clear" w:color="auto" w:fill="auto"/>
          </w:tcPr>
          <w:p w14:paraId="397B416C" w14:textId="77777777" w:rsidR="00B248B4" w:rsidRPr="000A47F1" w:rsidRDefault="00B248B4" w:rsidP="00191611">
            <w:pPr>
              <w:ind w:left="57" w:right="113"/>
              <w:jc w:val="both"/>
              <w:rPr>
                <w:spacing w:val="-4"/>
              </w:rPr>
            </w:pPr>
            <w:r w:rsidRPr="000A47F1">
              <w:rPr>
                <w:spacing w:val="-4"/>
              </w:rPr>
              <w:t>Informācija par to, vai šīs tabulas A ailē minētās ES tiesību akta vienības tiek pārņemtas vai ieviestas pilnībā vai daļēji.</w:t>
            </w:r>
          </w:p>
          <w:p w14:paraId="4889A4A6" w14:textId="77777777" w:rsidR="00B248B4" w:rsidRPr="000A47F1" w:rsidRDefault="00B248B4" w:rsidP="00191611">
            <w:pPr>
              <w:ind w:left="57" w:right="113"/>
              <w:jc w:val="both"/>
              <w:rPr>
                <w:spacing w:val="-4"/>
              </w:rPr>
            </w:pPr>
            <w:r w:rsidRPr="000A47F1">
              <w:rPr>
                <w:spacing w:val="-4"/>
              </w:rPr>
              <w:t>Ja attiecīgā ES tiesību akta vienība tiek pārņemta vai ieviesta daļēji, sniedz attiecīgu skaidrojumu, kā arī precīzi norāda, kad un kādā veidā ES tiesību akta vienība tiks pārņemta vai ieviesta pilnībā.</w:t>
            </w:r>
          </w:p>
          <w:p w14:paraId="637E5B08" w14:textId="77777777" w:rsidR="00B248B4" w:rsidRPr="000A47F1" w:rsidRDefault="00B248B4" w:rsidP="00191611">
            <w:pPr>
              <w:ind w:left="57" w:right="113"/>
              <w:jc w:val="both"/>
              <w:rPr>
                <w:spacing w:val="-4"/>
              </w:rPr>
            </w:pPr>
            <w:r w:rsidRPr="000A47F1">
              <w:rPr>
                <w:spacing w:val="-4"/>
              </w:rPr>
              <w:t>Norāda institūciju, kas ir atbildīga par šo saistību izpildi pilnībā</w:t>
            </w:r>
          </w:p>
        </w:tc>
        <w:tc>
          <w:tcPr>
            <w:tcW w:w="2378" w:type="dxa"/>
            <w:tcBorders>
              <w:top w:val="outset" w:sz="6" w:space="0" w:color="auto"/>
              <w:left w:val="outset" w:sz="6" w:space="0" w:color="auto"/>
              <w:bottom w:val="outset" w:sz="6" w:space="0" w:color="auto"/>
              <w:right w:val="outset" w:sz="6" w:space="0" w:color="auto"/>
            </w:tcBorders>
            <w:shd w:val="clear" w:color="auto" w:fill="auto"/>
          </w:tcPr>
          <w:p w14:paraId="01771CE0" w14:textId="77777777" w:rsidR="00B248B4" w:rsidRPr="000A47F1" w:rsidRDefault="00B248B4" w:rsidP="00191611">
            <w:pPr>
              <w:ind w:left="57" w:right="113"/>
              <w:jc w:val="both"/>
              <w:rPr>
                <w:spacing w:val="-4"/>
              </w:rPr>
            </w:pPr>
            <w:r w:rsidRPr="000A47F1">
              <w:rPr>
                <w:spacing w:val="-4"/>
              </w:rPr>
              <w:t>Informācija par to, vai šīs tabulas B ailē minētās projekta vienības paredz stingrākas prasības nekā šīs tabulas A ailē minētās ES tiesību akta vienības.</w:t>
            </w:r>
          </w:p>
          <w:p w14:paraId="519B5E1E" w14:textId="77777777" w:rsidR="00B248B4" w:rsidRPr="000A47F1" w:rsidRDefault="00B248B4" w:rsidP="00191611">
            <w:pPr>
              <w:ind w:left="57" w:right="113"/>
              <w:jc w:val="both"/>
              <w:rPr>
                <w:spacing w:val="-4"/>
              </w:rPr>
            </w:pPr>
            <w:r w:rsidRPr="000A47F1">
              <w:rPr>
                <w:spacing w:val="-4"/>
              </w:rPr>
              <w:t>Ja projekts satur stingrākas prasības nekā attiecīgais ES tiesību akts, norāda pamatojumu un samērīgumu.</w:t>
            </w:r>
          </w:p>
          <w:p w14:paraId="50768D33" w14:textId="77777777" w:rsidR="00B248B4" w:rsidRPr="000A47F1" w:rsidRDefault="00B248B4" w:rsidP="00191611">
            <w:pPr>
              <w:ind w:left="57" w:right="113"/>
              <w:jc w:val="both"/>
              <w:rPr>
                <w:spacing w:val="-4"/>
              </w:rPr>
            </w:pPr>
            <w:r w:rsidRPr="000A47F1">
              <w:rPr>
                <w:spacing w:val="-4"/>
              </w:rPr>
              <w:t>Norāda iespējamās alternatīvas (t. sk. alternatīvas, kas neparedz tiesiskā regulējuma izstrādi) – kādos gadījumos būtu iespējams izvairīties no stingrāku prasību noteikšanas, nekā paredzēts attiecīgajos ES tiesību aktos</w:t>
            </w:r>
          </w:p>
        </w:tc>
      </w:tr>
      <w:tr w:rsidR="00B248B4" w:rsidRPr="000A47F1" w14:paraId="559F2366" w14:textId="77777777" w:rsidTr="00E632C5">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665"/>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63403961" w14:textId="71EFCD61" w:rsidR="00B248B4" w:rsidRPr="009D571A" w:rsidRDefault="001674D6" w:rsidP="00191611">
            <w:pPr>
              <w:ind w:left="57" w:right="113"/>
              <w:jc w:val="both"/>
            </w:pPr>
            <w:r w:rsidRPr="009D571A">
              <w:t>Komisijas regulas Nr. 651/2014 2.panta 18. punkta ievaddaļa</w:t>
            </w:r>
          </w:p>
        </w:tc>
        <w:tc>
          <w:tcPr>
            <w:tcW w:w="1756" w:type="dxa"/>
            <w:tcBorders>
              <w:top w:val="outset" w:sz="6" w:space="0" w:color="auto"/>
              <w:left w:val="outset" w:sz="6" w:space="0" w:color="auto"/>
              <w:bottom w:val="outset" w:sz="6" w:space="0" w:color="auto"/>
              <w:right w:val="outset" w:sz="6" w:space="0" w:color="auto"/>
            </w:tcBorders>
            <w:shd w:val="clear" w:color="auto" w:fill="auto"/>
          </w:tcPr>
          <w:p w14:paraId="31E61DC6" w14:textId="00DC3F0C" w:rsidR="00B248B4" w:rsidRPr="009D571A" w:rsidRDefault="001674D6" w:rsidP="00B768E8">
            <w:pPr>
              <w:ind w:left="57" w:right="113"/>
              <w:jc w:val="both"/>
            </w:pPr>
            <w:r w:rsidRPr="009D571A">
              <w:t xml:space="preserve">Noteikumu projekta 19.punkts </w:t>
            </w:r>
          </w:p>
        </w:tc>
        <w:tc>
          <w:tcPr>
            <w:tcW w:w="2262" w:type="dxa"/>
            <w:gridSpan w:val="2"/>
            <w:tcBorders>
              <w:top w:val="outset" w:sz="6" w:space="0" w:color="auto"/>
              <w:left w:val="outset" w:sz="6" w:space="0" w:color="auto"/>
              <w:bottom w:val="outset" w:sz="6" w:space="0" w:color="auto"/>
              <w:right w:val="outset" w:sz="6" w:space="0" w:color="auto"/>
            </w:tcBorders>
            <w:shd w:val="clear" w:color="auto" w:fill="auto"/>
          </w:tcPr>
          <w:p w14:paraId="6410FF1B" w14:textId="77777777" w:rsidR="00B248B4" w:rsidRPr="009D571A" w:rsidRDefault="00B248B4" w:rsidP="00191611">
            <w:pPr>
              <w:ind w:left="57" w:right="113"/>
              <w:jc w:val="both"/>
            </w:pPr>
            <w:r w:rsidRPr="009D571A">
              <w:t>Vienība tiek ieviesta pilnībā</w:t>
            </w:r>
          </w:p>
        </w:tc>
        <w:tc>
          <w:tcPr>
            <w:tcW w:w="2378" w:type="dxa"/>
            <w:tcBorders>
              <w:top w:val="outset" w:sz="6" w:space="0" w:color="auto"/>
              <w:left w:val="outset" w:sz="6" w:space="0" w:color="auto"/>
              <w:bottom w:val="outset" w:sz="6" w:space="0" w:color="auto"/>
              <w:right w:val="outset" w:sz="6" w:space="0" w:color="auto"/>
            </w:tcBorders>
            <w:shd w:val="clear" w:color="auto" w:fill="auto"/>
          </w:tcPr>
          <w:p w14:paraId="7B17A844" w14:textId="77777777" w:rsidR="00B248B4" w:rsidRPr="009D571A" w:rsidRDefault="00B248B4" w:rsidP="00191611">
            <w:pPr>
              <w:ind w:left="57" w:right="113"/>
              <w:jc w:val="both"/>
            </w:pPr>
            <w:r w:rsidRPr="009D571A">
              <w:t>Netiek paredzētas stingrākas prasības</w:t>
            </w:r>
          </w:p>
        </w:tc>
      </w:tr>
      <w:tr w:rsidR="001674D6" w:rsidRPr="000A47F1" w14:paraId="7A9BE194" w14:textId="77777777" w:rsidTr="00E632C5">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665"/>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551DF312" w14:textId="2FEEEF1D" w:rsidR="001674D6" w:rsidRPr="009D571A" w:rsidRDefault="001674D6" w:rsidP="001674D6">
            <w:pPr>
              <w:ind w:left="57" w:right="113"/>
              <w:jc w:val="both"/>
            </w:pPr>
            <w:r w:rsidRPr="009D571A">
              <w:t>Komisijas regulas Nr. 651/2014 48. un 56. pants</w:t>
            </w:r>
          </w:p>
        </w:tc>
        <w:tc>
          <w:tcPr>
            <w:tcW w:w="1756" w:type="dxa"/>
            <w:tcBorders>
              <w:top w:val="outset" w:sz="6" w:space="0" w:color="auto"/>
              <w:left w:val="outset" w:sz="6" w:space="0" w:color="auto"/>
              <w:bottom w:val="outset" w:sz="6" w:space="0" w:color="auto"/>
              <w:right w:val="outset" w:sz="6" w:space="0" w:color="auto"/>
            </w:tcBorders>
            <w:shd w:val="clear" w:color="auto" w:fill="auto"/>
          </w:tcPr>
          <w:p w14:paraId="7902CC68" w14:textId="75B0245B" w:rsidR="001674D6" w:rsidRPr="00B7483A" w:rsidRDefault="001674D6" w:rsidP="005E4907">
            <w:pPr>
              <w:ind w:left="57" w:right="113"/>
              <w:jc w:val="both"/>
            </w:pPr>
            <w:r w:rsidRPr="00B7483A">
              <w:t xml:space="preserve">Noteikumu projekta </w:t>
            </w:r>
            <w:r w:rsidR="005E4907" w:rsidRPr="00B7483A">
              <w:t>25</w:t>
            </w:r>
            <w:r w:rsidRPr="00B7483A">
              <w:t xml:space="preserve">. punkts </w:t>
            </w:r>
          </w:p>
        </w:tc>
        <w:tc>
          <w:tcPr>
            <w:tcW w:w="2262" w:type="dxa"/>
            <w:gridSpan w:val="2"/>
            <w:tcBorders>
              <w:top w:val="outset" w:sz="6" w:space="0" w:color="auto"/>
              <w:left w:val="outset" w:sz="6" w:space="0" w:color="auto"/>
              <w:bottom w:val="outset" w:sz="6" w:space="0" w:color="auto"/>
              <w:right w:val="outset" w:sz="6" w:space="0" w:color="auto"/>
            </w:tcBorders>
            <w:shd w:val="clear" w:color="auto" w:fill="auto"/>
          </w:tcPr>
          <w:p w14:paraId="7B68ADEF" w14:textId="77777777" w:rsidR="001674D6" w:rsidRPr="009D571A" w:rsidRDefault="001674D6" w:rsidP="001674D6">
            <w:pPr>
              <w:ind w:left="57" w:right="113"/>
              <w:jc w:val="both"/>
            </w:pPr>
            <w:r w:rsidRPr="009D571A">
              <w:t>Vienība tiek ieviesta pilnībā</w:t>
            </w:r>
          </w:p>
        </w:tc>
        <w:tc>
          <w:tcPr>
            <w:tcW w:w="2378" w:type="dxa"/>
            <w:tcBorders>
              <w:top w:val="outset" w:sz="6" w:space="0" w:color="auto"/>
              <w:left w:val="outset" w:sz="6" w:space="0" w:color="auto"/>
              <w:bottom w:val="outset" w:sz="6" w:space="0" w:color="auto"/>
              <w:right w:val="outset" w:sz="6" w:space="0" w:color="auto"/>
            </w:tcBorders>
            <w:shd w:val="clear" w:color="auto" w:fill="auto"/>
          </w:tcPr>
          <w:p w14:paraId="79E5A946" w14:textId="77777777" w:rsidR="001674D6" w:rsidRPr="009D571A" w:rsidRDefault="001674D6" w:rsidP="001674D6">
            <w:pPr>
              <w:ind w:left="57" w:right="113"/>
              <w:jc w:val="both"/>
            </w:pPr>
            <w:r w:rsidRPr="009D571A">
              <w:t>Netiek paredzētas stingrākas prasības</w:t>
            </w:r>
          </w:p>
        </w:tc>
      </w:tr>
      <w:tr w:rsidR="001674D6" w:rsidRPr="000A47F1" w14:paraId="1A8D3BDE" w14:textId="77777777" w:rsidTr="00E632C5">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665"/>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4929F469" w14:textId="154850D1" w:rsidR="001674D6" w:rsidRPr="009D571A" w:rsidRDefault="00F16C35" w:rsidP="001674D6">
            <w:pPr>
              <w:ind w:left="57" w:right="113"/>
              <w:jc w:val="both"/>
            </w:pPr>
            <w:r w:rsidRPr="009D571A">
              <w:t>Komisijas regulas Nr. 651/2014 2. panta 28. punkts</w:t>
            </w:r>
          </w:p>
        </w:tc>
        <w:tc>
          <w:tcPr>
            <w:tcW w:w="1756" w:type="dxa"/>
            <w:tcBorders>
              <w:top w:val="outset" w:sz="6" w:space="0" w:color="auto"/>
              <w:left w:val="outset" w:sz="6" w:space="0" w:color="auto"/>
              <w:bottom w:val="outset" w:sz="6" w:space="0" w:color="auto"/>
              <w:right w:val="outset" w:sz="6" w:space="0" w:color="auto"/>
            </w:tcBorders>
            <w:shd w:val="clear" w:color="auto" w:fill="auto"/>
          </w:tcPr>
          <w:p w14:paraId="69922D8B" w14:textId="016FC068" w:rsidR="001674D6" w:rsidRPr="00B7483A" w:rsidRDefault="00F16C35" w:rsidP="005E4907">
            <w:pPr>
              <w:ind w:left="57" w:right="113"/>
              <w:jc w:val="both"/>
            </w:pPr>
            <w:r w:rsidRPr="00B7483A">
              <w:t xml:space="preserve">Noteikumu projekta </w:t>
            </w:r>
            <w:r w:rsidR="005E4907" w:rsidRPr="00B7483A">
              <w:t>28</w:t>
            </w:r>
            <w:r w:rsidRPr="00B7483A">
              <w:t xml:space="preserve">. punkts </w:t>
            </w:r>
          </w:p>
        </w:tc>
        <w:tc>
          <w:tcPr>
            <w:tcW w:w="2262" w:type="dxa"/>
            <w:gridSpan w:val="2"/>
            <w:tcBorders>
              <w:top w:val="outset" w:sz="6" w:space="0" w:color="auto"/>
              <w:left w:val="outset" w:sz="6" w:space="0" w:color="auto"/>
              <w:bottom w:val="outset" w:sz="6" w:space="0" w:color="auto"/>
              <w:right w:val="outset" w:sz="6" w:space="0" w:color="auto"/>
            </w:tcBorders>
            <w:shd w:val="clear" w:color="auto" w:fill="auto"/>
          </w:tcPr>
          <w:p w14:paraId="27EA1FB0" w14:textId="77777777" w:rsidR="001674D6" w:rsidRPr="009D571A" w:rsidRDefault="001674D6" w:rsidP="001674D6">
            <w:pPr>
              <w:ind w:left="57" w:right="113"/>
              <w:jc w:val="both"/>
            </w:pPr>
            <w:r w:rsidRPr="009D571A">
              <w:t>Vienība tiek ieviesta pilnībā</w:t>
            </w:r>
          </w:p>
        </w:tc>
        <w:tc>
          <w:tcPr>
            <w:tcW w:w="2378" w:type="dxa"/>
            <w:tcBorders>
              <w:top w:val="outset" w:sz="6" w:space="0" w:color="auto"/>
              <w:left w:val="outset" w:sz="6" w:space="0" w:color="auto"/>
              <w:bottom w:val="outset" w:sz="6" w:space="0" w:color="auto"/>
              <w:right w:val="outset" w:sz="6" w:space="0" w:color="auto"/>
            </w:tcBorders>
            <w:shd w:val="clear" w:color="auto" w:fill="auto"/>
          </w:tcPr>
          <w:p w14:paraId="5BCE75E2" w14:textId="77777777" w:rsidR="001674D6" w:rsidRPr="009D571A" w:rsidRDefault="001674D6" w:rsidP="001674D6">
            <w:pPr>
              <w:ind w:left="57" w:right="113"/>
              <w:jc w:val="both"/>
            </w:pPr>
            <w:r w:rsidRPr="009D571A">
              <w:t>Netiek paredzētas stingrākas prasības</w:t>
            </w:r>
          </w:p>
        </w:tc>
      </w:tr>
      <w:tr w:rsidR="001674D6" w:rsidRPr="000A47F1" w14:paraId="144FB958" w14:textId="77777777" w:rsidTr="00E632C5">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665"/>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373E622E" w14:textId="046CDCD3" w:rsidR="001674D6" w:rsidRPr="009D571A" w:rsidRDefault="00F16C35" w:rsidP="001674D6">
            <w:pPr>
              <w:ind w:left="57" w:right="113"/>
              <w:jc w:val="both"/>
            </w:pPr>
            <w:r w:rsidRPr="009D571A">
              <w:t>Komisijas regulas Nr. 1407/2013 3. panta 4. punkts</w:t>
            </w:r>
          </w:p>
        </w:tc>
        <w:tc>
          <w:tcPr>
            <w:tcW w:w="1756" w:type="dxa"/>
            <w:tcBorders>
              <w:top w:val="outset" w:sz="6" w:space="0" w:color="auto"/>
              <w:left w:val="outset" w:sz="6" w:space="0" w:color="auto"/>
              <w:bottom w:val="outset" w:sz="6" w:space="0" w:color="auto"/>
              <w:right w:val="outset" w:sz="6" w:space="0" w:color="auto"/>
            </w:tcBorders>
            <w:shd w:val="clear" w:color="auto" w:fill="auto"/>
          </w:tcPr>
          <w:p w14:paraId="6F4950D4" w14:textId="3735074F" w:rsidR="001674D6" w:rsidRPr="00B7483A" w:rsidRDefault="00D405FC" w:rsidP="005E4907">
            <w:pPr>
              <w:ind w:left="131"/>
              <w:jc w:val="both"/>
            </w:pPr>
            <w:r w:rsidRPr="00B7483A">
              <w:t xml:space="preserve">Noteikumu projekta </w:t>
            </w:r>
            <w:r w:rsidR="005E4907" w:rsidRPr="00B7483A">
              <w:t>28</w:t>
            </w:r>
            <w:r w:rsidRPr="00B7483A">
              <w:t xml:space="preserve">. punkts </w:t>
            </w:r>
          </w:p>
        </w:tc>
        <w:tc>
          <w:tcPr>
            <w:tcW w:w="2262" w:type="dxa"/>
            <w:gridSpan w:val="2"/>
            <w:tcBorders>
              <w:top w:val="outset" w:sz="6" w:space="0" w:color="auto"/>
              <w:left w:val="outset" w:sz="6" w:space="0" w:color="auto"/>
              <w:bottom w:val="outset" w:sz="6" w:space="0" w:color="auto"/>
              <w:right w:val="outset" w:sz="6" w:space="0" w:color="auto"/>
            </w:tcBorders>
            <w:shd w:val="clear" w:color="auto" w:fill="auto"/>
          </w:tcPr>
          <w:p w14:paraId="6AAED836" w14:textId="77777777" w:rsidR="001674D6" w:rsidRPr="009D571A" w:rsidRDefault="001674D6" w:rsidP="001674D6">
            <w:pPr>
              <w:ind w:left="57" w:right="113"/>
              <w:jc w:val="both"/>
            </w:pPr>
            <w:r w:rsidRPr="009D571A">
              <w:t>Vienība tiek ieviesta pilnībā</w:t>
            </w:r>
          </w:p>
        </w:tc>
        <w:tc>
          <w:tcPr>
            <w:tcW w:w="2378" w:type="dxa"/>
            <w:tcBorders>
              <w:top w:val="outset" w:sz="6" w:space="0" w:color="auto"/>
              <w:left w:val="outset" w:sz="6" w:space="0" w:color="auto"/>
              <w:bottom w:val="outset" w:sz="6" w:space="0" w:color="auto"/>
              <w:right w:val="outset" w:sz="6" w:space="0" w:color="auto"/>
            </w:tcBorders>
            <w:shd w:val="clear" w:color="auto" w:fill="auto"/>
          </w:tcPr>
          <w:p w14:paraId="50A991EB" w14:textId="77777777" w:rsidR="001674D6" w:rsidRPr="009D571A" w:rsidRDefault="001674D6" w:rsidP="001674D6">
            <w:pPr>
              <w:ind w:left="57" w:right="113"/>
              <w:jc w:val="both"/>
            </w:pPr>
            <w:r w:rsidRPr="009D571A">
              <w:t>Netiek paredzētas stingrākas prasības</w:t>
            </w:r>
          </w:p>
        </w:tc>
      </w:tr>
      <w:tr w:rsidR="001674D6" w:rsidRPr="000A47F1" w14:paraId="579BB814" w14:textId="77777777" w:rsidTr="00E632C5">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665"/>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518617B2" w14:textId="640028E2" w:rsidR="001674D6" w:rsidRPr="009D571A" w:rsidRDefault="00D405FC" w:rsidP="001674D6">
            <w:pPr>
              <w:ind w:left="57" w:right="113"/>
              <w:jc w:val="both"/>
            </w:pPr>
            <w:r w:rsidRPr="009D571A">
              <w:t>Komisijas regulas Nr. 1408/2013 3. panta 4. punkts</w:t>
            </w:r>
          </w:p>
        </w:tc>
        <w:tc>
          <w:tcPr>
            <w:tcW w:w="1756" w:type="dxa"/>
            <w:tcBorders>
              <w:top w:val="outset" w:sz="6" w:space="0" w:color="auto"/>
              <w:left w:val="outset" w:sz="6" w:space="0" w:color="auto"/>
              <w:bottom w:val="outset" w:sz="6" w:space="0" w:color="auto"/>
              <w:right w:val="outset" w:sz="6" w:space="0" w:color="auto"/>
            </w:tcBorders>
            <w:shd w:val="clear" w:color="auto" w:fill="auto"/>
          </w:tcPr>
          <w:p w14:paraId="2047E062" w14:textId="08663E04" w:rsidR="001674D6" w:rsidRPr="00B7483A" w:rsidRDefault="00D405FC" w:rsidP="005E4907">
            <w:pPr>
              <w:ind w:left="57" w:right="113"/>
              <w:jc w:val="both"/>
            </w:pPr>
            <w:r w:rsidRPr="00B7483A">
              <w:t xml:space="preserve">Noteikumu projekta </w:t>
            </w:r>
            <w:r w:rsidR="005E4907" w:rsidRPr="00B7483A">
              <w:t>28</w:t>
            </w:r>
            <w:r w:rsidRPr="00B7483A">
              <w:t xml:space="preserve">. punkts </w:t>
            </w:r>
          </w:p>
        </w:tc>
        <w:tc>
          <w:tcPr>
            <w:tcW w:w="2262" w:type="dxa"/>
            <w:gridSpan w:val="2"/>
            <w:tcBorders>
              <w:top w:val="outset" w:sz="6" w:space="0" w:color="auto"/>
              <w:left w:val="outset" w:sz="6" w:space="0" w:color="auto"/>
              <w:bottom w:val="outset" w:sz="6" w:space="0" w:color="auto"/>
              <w:right w:val="outset" w:sz="6" w:space="0" w:color="auto"/>
            </w:tcBorders>
            <w:shd w:val="clear" w:color="auto" w:fill="auto"/>
          </w:tcPr>
          <w:p w14:paraId="0077C57B" w14:textId="77777777" w:rsidR="001674D6" w:rsidRPr="009D571A" w:rsidRDefault="001674D6" w:rsidP="001674D6">
            <w:pPr>
              <w:ind w:left="57" w:right="113"/>
              <w:jc w:val="both"/>
            </w:pPr>
            <w:r w:rsidRPr="009D571A">
              <w:t>Vienība tiek ieviesta pilnībā</w:t>
            </w:r>
          </w:p>
        </w:tc>
        <w:tc>
          <w:tcPr>
            <w:tcW w:w="2378" w:type="dxa"/>
            <w:tcBorders>
              <w:top w:val="outset" w:sz="6" w:space="0" w:color="auto"/>
              <w:left w:val="outset" w:sz="6" w:space="0" w:color="auto"/>
              <w:bottom w:val="outset" w:sz="6" w:space="0" w:color="auto"/>
              <w:right w:val="outset" w:sz="6" w:space="0" w:color="auto"/>
            </w:tcBorders>
            <w:shd w:val="clear" w:color="auto" w:fill="auto"/>
          </w:tcPr>
          <w:p w14:paraId="0DDFA3CD" w14:textId="77777777" w:rsidR="001674D6" w:rsidRPr="009D571A" w:rsidRDefault="001674D6" w:rsidP="001674D6">
            <w:pPr>
              <w:ind w:left="57" w:right="113"/>
              <w:jc w:val="both"/>
            </w:pPr>
            <w:r w:rsidRPr="009D571A">
              <w:t>Netiek paredzētas stingrākas prasības</w:t>
            </w:r>
          </w:p>
        </w:tc>
      </w:tr>
      <w:tr w:rsidR="00E632C5" w:rsidRPr="000A47F1" w14:paraId="30B6F2A0" w14:textId="77777777" w:rsidTr="00E632C5">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665"/>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0BF1BCFC" w14:textId="0015A630" w:rsidR="00E632C5" w:rsidRPr="009D571A" w:rsidRDefault="00E632C5" w:rsidP="00E632C5">
            <w:pPr>
              <w:ind w:left="57" w:right="113"/>
              <w:jc w:val="both"/>
            </w:pPr>
            <w:r w:rsidRPr="009D571A">
              <w:lastRenderedPageBreak/>
              <w:t>Komisijas regulas Nr. 717/2014 3. panta 4. punkts</w:t>
            </w:r>
          </w:p>
        </w:tc>
        <w:tc>
          <w:tcPr>
            <w:tcW w:w="1756" w:type="dxa"/>
            <w:tcBorders>
              <w:top w:val="outset" w:sz="6" w:space="0" w:color="auto"/>
              <w:left w:val="outset" w:sz="6" w:space="0" w:color="auto"/>
              <w:bottom w:val="outset" w:sz="6" w:space="0" w:color="auto"/>
              <w:right w:val="outset" w:sz="6" w:space="0" w:color="auto"/>
            </w:tcBorders>
            <w:shd w:val="clear" w:color="auto" w:fill="auto"/>
          </w:tcPr>
          <w:p w14:paraId="53EBC5F2" w14:textId="5565D600" w:rsidR="00E632C5" w:rsidRPr="009D571A" w:rsidRDefault="00E632C5" w:rsidP="005E4907">
            <w:pPr>
              <w:jc w:val="both"/>
            </w:pPr>
            <w:r w:rsidRPr="009D571A">
              <w:t xml:space="preserve">Noteikumu </w:t>
            </w:r>
            <w:r w:rsidRPr="00B7483A">
              <w:t xml:space="preserve">projekta </w:t>
            </w:r>
            <w:r w:rsidR="005E4907" w:rsidRPr="00B7483A">
              <w:t>28</w:t>
            </w:r>
            <w:r w:rsidRPr="00B7483A">
              <w:t>. punkts</w:t>
            </w:r>
            <w:r w:rsidRPr="009D571A">
              <w:t xml:space="preserve"> </w:t>
            </w:r>
          </w:p>
        </w:tc>
        <w:tc>
          <w:tcPr>
            <w:tcW w:w="2262" w:type="dxa"/>
            <w:gridSpan w:val="2"/>
            <w:tcBorders>
              <w:top w:val="outset" w:sz="6" w:space="0" w:color="auto"/>
              <w:left w:val="outset" w:sz="6" w:space="0" w:color="auto"/>
              <w:bottom w:val="outset" w:sz="6" w:space="0" w:color="auto"/>
              <w:right w:val="outset" w:sz="6" w:space="0" w:color="auto"/>
            </w:tcBorders>
            <w:shd w:val="clear" w:color="auto" w:fill="auto"/>
          </w:tcPr>
          <w:p w14:paraId="1715A9D0" w14:textId="77777777" w:rsidR="00E632C5" w:rsidRPr="009D571A" w:rsidRDefault="00E632C5" w:rsidP="00E632C5">
            <w:pPr>
              <w:ind w:left="57" w:right="113"/>
              <w:jc w:val="both"/>
            </w:pPr>
            <w:r w:rsidRPr="009D571A">
              <w:t>Vienība tiek ieviesta pilnībā</w:t>
            </w:r>
          </w:p>
        </w:tc>
        <w:tc>
          <w:tcPr>
            <w:tcW w:w="2378" w:type="dxa"/>
            <w:tcBorders>
              <w:top w:val="outset" w:sz="6" w:space="0" w:color="auto"/>
              <w:left w:val="outset" w:sz="6" w:space="0" w:color="auto"/>
              <w:bottom w:val="outset" w:sz="6" w:space="0" w:color="auto"/>
              <w:right w:val="outset" w:sz="6" w:space="0" w:color="auto"/>
            </w:tcBorders>
            <w:shd w:val="clear" w:color="auto" w:fill="auto"/>
          </w:tcPr>
          <w:p w14:paraId="35203C52" w14:textId="77777777" w:rsidR="00E632C5" w:rsidRPr="009D571A" w:rsidRDefault="00E632C5" w:rsidP="00E632C5">
            <w:pPr>
              <w:ind w:left="57" w:right="113"/>
              <w:jc w:val="both"/>
            </w:pPr>
            <w:r w:rsidRPr="009D571A">
              <w:t>Netiek paredzētas stingrākas prasības</w:t>
            </w:r>
          </w:p>
        </w:tc>
      </w:tr>
      <w:tr w:rsidR="00E632C5" w:rsidRPr="000A47F1" w14:paraId="483D08DC" w14:textId="77777777" w:rsidTr="00E632C5">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665"/>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77A283AF" w14:textId="4288E594" w:rsidR="00E632C5" w:rsidRPr="009D571A" w:rsidRDefault="00E632C5" w:rsidP="00E632C5">
            <w:pPr>
              <w:ind w:left="57" w:right="113"/>
              <w:jc w:val="both"/>
            </w:pPr>
            <w:r w:rsidRPr="009D571A">
              <w:t>Komisijas regulas Nr. 1303/2013 65. panta 2. punkts</w:t>
            </w:r>
          </w:p>
        </w:tc>
        <w:tc>
          <w:tcPr>
            <w:tcW w:w="1756" w:type="dxa"/>
            <w:tcBorders>
              <w:top w:val="outset" w:sz="6" w:space="0" w:color="auto"/>
              <w:left w:val="outset" w:sz="6" w:space="0" w:color="auto"/>
              <w:bottom w:val="outset" w:sz="6" w:space="0" w:color="auto"/>
              <w:right w:val="outset" w:sz="6" w:space="0" w:color="auto"/>
            </w:tcBorders>
            <w:shd w:val="clear" w:color="auto" w:fill="auto"/>
          </w:tcPr>
          <w:p w14:paraId="30A2CDA1" w14:textId="55067E16" w:rsidR="00E632C5" w:rsidRPr="009D571A" w:rsidRDefault="00E632C5" w:rsidP="00B768E8">
            <w:pPr>
              <w:jc w:val="both"/>
            </w:pPr>
            <w:r w:rsidRPr="009D571A">
              <w:t xml:space="preserve">Noteikumu projekta 13. punkts </w:t>
            </w:r>
          </w:p>
        </w:tc>
        <w:tc>
          <w:tcPr>
            <w:tcW w:w="2262" w:type="dxa"/>
            <w:gridSpan w:val="2"/>
            <w:tcBorders>
              <w:top w:val="outset" w:sz="6" w:space="0" w:color="auto"/>
              <w:left w:val="outset" w:sz="6" w:space="0" w:color="auto"/>
              <w:bottom w:val="outset" w:sz="6" w:space="0" w:color="auto"/>
              <w:right w:val="outset" w:sz="6" w:space="0" w:color="auto"/>
            </w:tcBorders>
            <w:shd w:val="clear" w:color="auto" w:fill="auto"/>
          </w:tcPr>
          <w:p w14:paraId="70B77978" w14:textId="2B205F90" w:rsidR="00E632C5" w:rsidRPr="009D571A" w:rsidRDefault="00E632C5" w:rsidP="00E632C5">
            <w:pPr>
              <w:ind w:left="57" w:right="113"/>
              <w:jc w:val="both"/>
            </w:pPr>
            <w:r w:rsidRPr="009D571A">
              <w:t>Vienība tiek ieviesta pilnībā</w:t>
            </w:r>
          </w:p>
        </w:tc>
        <w:tc>
          <w:tcPr>
            <w:tcW w:w="2378" w:type="dxa"/>
            <w:tcBorders>
              <w:top w:val="outset" w:sz="6" w:space="0" w:color="auto"/>
              <w:left w:val="outset" w:sz="6" w:space="0" w:color="auto"/>
              <w:bottom w:val="outset" w:sz="6" w:space="0" w:color="auto"/>
              <w:right w:val="outset" w:sz="6" w:space="0" w:color="auto"/>
            </w:tcBorders>
            <w:shd w:val="clear" w:color="auto" w:fill="auto"/>
          </w:tcPr>
          <w:p w14:paraId="49BBE495" w14:textId="13FEE2C5" w:rsidR="00E632C5" w:rsidRPr="009D571A" w:rsidRDefault="00E632C5" w:rsidP="00E632C5">
            <w:pPr>
              <w:ind w:left="57" w:right="113"/>
              <w:jc w:val="both"/>
            </w:pPr>
            <w:r w:rsidRPr="009D571A">
              <w:t>Netiek paredzētas stingrākas prasības</w:t>
            </w:r>
          </w:p>
        </w:tc>
      </w:tr>
      <w:tr w:rsidR="00E632C5" w:rsidRPr="000A47F1" w14:paraId="469539EE" w14:textId="77777777" w:rsidTr="00E632C5">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1114"/>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7586BFFC" w14:textId="77777777" w:rsidR="00E632C5" w:rsidRPr="009D571A" w:rsidRDefault="00E632C5" w:rsidP="00E632C5">
            <w:pPr>
              <w:ind w:left="57" w:right="113"/>
              <w:jc w:val="both"/>
              <w:rPr>
                <w:spacing w:val="-4"/>
              </w:rPr>
            </w:pPr>
            <w:r w:rsidRPr="009D571A">
              <w:rPr>
                <w:spacing w:val="-4"/>
              </w:rPr>
              <w:t>Kā ir izmantota ES tiesību aktā paredzētā rīcības brīvība dalībvalstij pārņemt vai ieviest noteiktas ES tiesību akta normas? Kādēļ?</w:t>
            </w:r>
          </w:p>
        </w:tc>
        <w:tc>
          <w:tcPr>
            <w:tcW w:w="6396" w:type="dxa"/>
            <w:gridSpan w:val="4"/>
            <w:tcBorders>
              <w:top w:val="outset" w:sz="6" w:space="0" w:color="auto"/>
              <w:left w:val="outset" w:sz="6" w:space="0" w:color="auto"/>
              <w:bottom w:val="outset" w:sz="6" w:space="0" w:color="auto"/>
              <w:right w:val="outset" w:sz="6" w:space="0" w:color="auto"/>
            </w:tcBorders>
            <w:shd w:val="clear" w:color="auto" w:fill="auto"/>
          </w:tcPr>
          <w:p w14:paraId="4D801AE9" w14:textId="77777777" w:rsidR="00E632C5" w:rsidRPr="009D571A" w:rsidRDefault="00E632C5" w:rsidP="00E632C5">
            <w:pPr>
              <w:ind w:left="57" w:right="113"/>
              <w:jc w:val="both"/>
              <w:rPr>
                <w:spacing w:val="-4"/>
              </w:rPr>
            </w:pPr>
            <w:r w:rsidRPr="009D571A">
              <w:rPr>
                <w:spacing w:val="-4"/>
              </w:rPr>
              <w:t>Noteikumu projekts šo jomu neskar.</w:t>
            </w:r>
          </w:p>
        </w:tc>
      </w:tr>
      <w:tr w:rsidR="00E632C5" w:rsidRPr="000A47F1" w14:paraId="502A7B7F" w14:textId="77777777" w:rsidTr="00E632C5">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1997"/>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65DC3EC5" w14:textId="77777777" w:rsidR="00E632C5" w:rsidRPr="009D571A" w:rsidRDefault="00E632C5" w:rsidP="00E632C5">
            <w:pPr>
              <w:ind w:left="57" w:right="113"/>
              <w:jc w:val="both"/>
              <w:rPr>
                <w:spacing w:val="-4"/>
              </w:rPr>
            </w:pPr>
            <w:r w:rsidRPr="009D571A">
              <w:rPr>
                <w:spacing w:val="-4"/>
              </w:rPr>
              <w:t>Saistības sniegt paziņojumu ES institū</w:t>
            </w:r>
            <w:r w:rsidRPr="009D571A">
              <w:rPr>
                <w:spacing w:val="-4"/>
              </w:rPr>
              <w:softHyphen/>
              <w:t xml:space="preserve">cijām un ES dalībvalstīm atbilstoši normatīvajiem aktiem, kas regulē informācijas sniegšanu par tehnisko noteikumu, valsts atbalsta </w:t>
            </w:r>
            <w:r w:rsidRPr="005E4907">
              <w:rPr>
                <w:spacing w:val="-4"/>
              </w:rPr>
              <w:t>piešķiršanas un finanšu noteikumu (attiecībā uz monetāro politiku) projektiem</w:t>
            </w:r>
          </w:p>
        </w:tc>
        <w:tc>
          <w:tcPr>
            <w:tcW w:w="6396" w:type="dxa"/>
            <w:gridSpan w:val="4"/>
            <w:tcBorders>
              <w:top w:val="outset" w:sz="6" w:space="0" w:color="auto"/>
              <w:left w:val="outset" w:sz="6" w:space="0" w:color="auto"/>
              <w:bottom w:val="outset" w:sz="6" w:space="0" w:color="auto"/>
              <w:right w:val="outset" w:sz="6" w:space="0" w:color="auto"/>
            </w:tcBorders>
            <w:shd w:val="clear" w:color="auto" w:fill="auto"/>
          </w:tcPr>
          <w:p w14:paraId="1992955A" w14:textId="1BC8A258" w:rsidR="00E632C5" w:rsidRPr="009D571A" w:rsidRDefault="00E632C5" w:rsidP="00E632C5">
            <w:pPr>
              <w:ind w:right="113"/>
              <w:jc w:val="both"/>
              <w:rPr>
                <w:spacing w:val="-4"/>
              </w:rPr>
            </w:pPr>
            <w:r w:rsidRPr="009D571A">
              <w:rPr>
                <w:rFonts w:eastAsia="Times New Roman"/>
              </w:rPr>
              <w:t>Nav attiecināms.</w:t>
            </w:r>
          </w:p>
          <w:p w14:paraId="277860E8" w14:textId="77777777" w:rsidR="00E632C5" w:rsidRPr="009D571A" w:rsidRDefault="00E632C5" w:rsidP="00E632C5">
            <w:pPr>
              <w:ind w:firstLine="720"/>
            </w:pPr>
          </w:p>
        </w:tc>
      </w:tr>
      <w:tr w:rsidR="00E632C5" w:rsidRPr="000A47F1" w14:paraId="0DA7F31D" w14:textId="77777777" w:rsidTr="00E632C5">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217"/>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08D0A177" w14:textId="77777777" w:rsidR="00E632C5" w:rsidRPr="009D571A" w:rsidRDefault="00E632C5" w:rsidP="00E632C5">
            <w:pPr>
              <w:ind w:left="57" w:right="113"/>
              <w:jc w:val="both"/>
            </w:pPr>
            <w:r w:rsidRPr="009D571A">
              <w:t>Cita informācija</w:t>
            </w:r>
          </w:p>
        </w:tc>
        <w:tc>
          <w:tcPr>
            <w:tcW w:w="6396" w:type="dxa"/>
            <w:gridSpan w:val="4"/>
            <w:tcBorders>
              <w:top w:val="outset" w:sz="6" w:space="0" w:color="auto"/>
              <w:left w:val="outset" w:sz="6" w:space="0" w:color="auto"/>
              <w:bottom w:val="outset" w:sz="6" w:space="0" w:color="auto"/>
              <w:right w:val="outset" w:sz="6" w:space="0" w:color="auto"/>
            </w:tcBorders>
            <w:shd w:val="clear" w:color="auto" w:fill="auto"/>
          </w:tcPr>
          <w:p w14:paraId="46CEFC0A" w14:textId="77777777" w:rsidR="00E632C5" w:rsidRPr="009D571A" w:rsidRDefault="00E632C5" w:rsidP="00E632C5">
            <w:pPr>
              <w:ind w:left="57" w:right="113"/>
              <w:jc w:val="both"/>
            </w:pPr>
            <w:r w:rsidRPr="009D571A">
              <w:t>Nav.</w:t>
            </w:r>
          </w:p>
        </w:tc>
      </w:tr>
      <w:tr w:rsidR="00E632C5" w:rsidRPr="000A47F1" w14:paraId="4DB65296" w14:textId="77777777" w:rsidTr="00E632C5">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883"/>
          <w:jc w:val="center"/>
        </w:trPr>
        <w:tc>
          <w:tcPr>
            <w:tcW w:w="935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F264D17" w14:textId="77777777" w:rsidR="00E632C5" w:rsidRPr="000A47F1" w:rsidRDefault="00E632C5" w:rsidP="00E632C5">
            <w:pPr>
              <w:ind w:left="57" w:right="113"/>
              <w:jc w:val="center"/>
              <w:rPr>
                <w:rFonts w:ascii="Times New Roman Bold" w:hAnsi="Times New Roman Bold"/>
                <w:b/>
                <w:spacing w:val="-4"/>
              </w:rPr>
            </w:pPr>
            <w:r w:rsidRPr="000A47F1">
              <w:rPr>
                <w:rFonts w:ascii="Times New Roman Bold" w:hAnsi="Times New Roman Bold"/>
                <w:b/>
                <w:spacing w:val="-4"/>
              </w:rPr>
              <w:t>2. tabula</w:t>
            </w:r>
          </w:p>
          <w:p w14:paraId="7B6855FA" w14:textId="77777777" w:rsidR="00E632C5" w:rsidRPr="000A47F1" w:rsidRDefault="00E632C5" w:rsidP="00E632C5">
            <w:pPr>
              <w:ind w:left="57" w:right="113"/>
              <w:jc w:val="center"/>
              <w:rPr>
                <w:rFonts w:ascii="Times New Roman Bold" w:hAnsi="Times New Roman Bold"/>
                <w:b/>
                <w:spacing w:val="-4"/>
              </w:rPr>
            </w:pPr>
            <w:r w:rsidRPr="000A47F1">
              <w:rPr>
                <w:rFonts w:ascii="Times New Roman Bold" w:hAnsi="Times New Roman Bold"/>
                <w:b/>
                <w:spacing w:val="-4"/>
              </w:rPr>
              <w:t>Ar tiesību akta projektu izpildītās vai uzņemtās saistības, kas izriet no starptautiskajiem tiesību aktiem vai starptautiskas institūcijas vai organizācijas dokumentiem.</w:t>
            </w:r>
          </w:p>
          <w:p w14:paraId="6CB743F0" w14:textId="77777777" w:rsidR="00E632C5" w:rsidRPr="000A47F1" w:rsidRDefault="00E632C5" w:rsidP="00E632C5">
            <w:pPr>
              <w:ind w:left="57" w:right="113"/>
              <w:jc w:val="center"/>
              <w:rPr>
                <w:rFonts w:ascii="Times New Roman Bold" w:hAnsi="Times New Roman Bold"/>
                <w:b/>
                <w:spacing w:val="-4"/>
              </w:rPr>
            </w:pPr>
            <w:r w:rsidRPr="000A47F1">
              <w:rPr>
                <w:rFonts w:ascii="Times New Roman Bold" w:hAnsi="Times New Roman Bold"/>
                <w:b/>
                <w:spacing w:val="-4"/>
              </w:rPr>
              <w:t>Pasākumi šo saistību izpildei</w:t>
            </w:r>
          </w:p>
        </w:tc>
      </w:tr>
      <w:tr w:rsidR="00E632C5" w:rsidRPr="000A47F1" w14:paraId="3B5ED8CD" w14:textId="77777777" w:rsidTr="00E632C5">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1331"/>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8B1CD5" w14:textId="77777777" w:rsidR="00E632C5" w:rsidRPr="000A47F1" w:rsidRDefault="00E632C5" w:rsidP="00E632C5">
            <w:pPr>
              <w:ind w:left="57" w:right="113"/>
              <w:jc w:val="both"/>
              <w:rPr>
                <w:spacing w:val="-4"/>
              </w:rPr>
            </w:pPr>
            <w:r w:rsidRPr="000A47F1">
              <w:rPr>
                <w:spacing w:val="-4"/>
              </w:rPr>
              <w:t>Attiecīgā starptautiskā tiesību akta vai starptau</w:t>
            </w:r>
            <w:r w:rsidRPr="000A47F1">
              <w:rPr>
                <w:spacing w:val="-4"/>
              </w:rPr>
              <w:softHyphen/>
              <w:t>tiskas institūcijas vai organizācijas dokumenta (turpmāk – starptautiskais dokuments) datums, numurs un nosaukums</w:t>
            </w:r>
          </w:p>
        </w:tc>
        <w:tc>
          <w:tcPr>
            <w:tcW w:w="6396" w:type="dxa"/>
            <w:gridSpan w:val="4"/>
            <w:tcBorders>
              <w:top w:val="outset" w:sz="6" w:space="0" w:color="auto"/>
              <w:left w:val="outset" w:sz="6" w:space="0" w:color="auto"/>
              <w:bottom w:val="outset" w:sz="6" w:space="0" w:color="auto"/>
              <w:right w:val="outset" w:sz="6" w:space="0" w:color="auto"/>
            </w:tcBorders>
            <w:shd w:val="clear" w:color="auto" w:fill="auto"/>
          </w:tcPr>
          <w:p w14:paraId="01DDF724" w14:textId="77777777" w:rsidR="00E632C5" w:rsidRPr="009D571A" w:rsidRDefault="00E632C5" w:rsidP="00E632C5">
            <w:pPr>
              <w:ind w:right="113"/>
              <w:jc w:val="both"/>
              <w:rPr>
                <w:spacing w:val="-4"/>
              </w:rPr>
            </w:pPr>
            <w:r w:rsidRPr="009D571A">
              <w:rPr>
                <w:spacing w:val="-4"/>
              </w:rPr>
              <w:t>Noteikumu projekts šo jomu neskar.</w:t>
            </w:r>
          </w:p>
        </w:tc>
      </w:tr>
      <w:tr w:rsidR="00E632C5" w:rsidRPr="000A47F1" w14:paraId="570907E4" w14:textId="77777777" w:rsidTr="00E632C5">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241"/>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AFF735" w14:textId="77777777" w:rsidR="00E632C5" w:rsidRPr="000A47F1" w:rsidRDefault="00E632C5" w:rsidP="00E632C5">
            <w:pPr>
              <w:jc w:val="both"/>
            </w:pPr>
            <w:r w:rsidRPr="000A47F1">
              <w:t>A</w:t>
            </w:r>
          </w:p>
        </w:tc>
        <w:tc>
          <w:tcPr>
            <w:tcW w:w="24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AB88B7" w14:textId="77777777" w:rsidR="00E632C5" w:rsidRPr="000A47F1" w:rsidRDefault="00E632C5" w:rsidP="00E632C5">
            <w:pPr>
              <w:jc w:val="both"/>
            </w:pPr>
            <w:r w:rsidRPr="000A47F1">
              <w:t>B</w:t>
            </w:r>
          </w:p>
        </w:tc>
        <w:tc>
          <w:tcPr>
            <w:tcW w:w="39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A8B3DE" w14:textId="77777777" w:rsidR="00E632C5" w:rsidRPr="000A47F1" w:rsidRDefault="00E632C5" w:rsidP="00E632C5">
            <w:pPr>
              <w:jc w:val="both"/>
            </w:pPr>
            <w:r w:rsidRPr="000A47F1">
              <w:t>C</w:t>
            </w:r>
          </w:p>
        </w:tc>
      </w:tr>
      <w:tr w:rsidR="00E632C5" w:rsidRPr="000A47F1" w14:paraId="42920309" w14:textId="77777777" w:rsidTr="00E632C5">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2676"/>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1080912B" w14:textId="77777777" w:rsidR="00E632C5" w:rsidRPr="000A47F1" w:rsidRDefault="00E632C5" w:rsidP="00E632C5">
            <w:pPr>
              <w:ind w:left="57" w:right="113"/>
              <w:jc w:val="both"/>
              <w:rPr>
                <w:spacing w:val="-4"/>
              </w:rPr>
            </w:pPr>
            <w:r w:rsidRPr="000A47F1">
              <w:rPr>
                <w:spacing w:val="-4"/>
              </w:rPr>
              <w:t>Starptautiskās saistības (pēc būtības), kas izriet no norādītā starptautiskā dokumenta.</w:t>
            </w:r>
          </w:p>
          <w:p w14:paraId="2F4DE235" w14:textId="77777777" w:rsidR="00E632C5" w:rsidRPr="000A47F1" w:rsidRDefault="00E632C5" w:rsidP="00E632C5">
            <w:pPr>
              <w:ind w:left="57" w:right="113"/>
              <w:jc w:val="both"/>
              <w:rPr>
                <w:spacing w:val="-4"/>
              </w:rPr>
            </w:pPr>
            <w:r w:rsidRPr="000A47F1">
              <w:rPr>
                <w:spacing w:val="-4"/>
              </w:rPr>
              <w:t>Konkrēti veicamie pasākumi vai uzdevumi, kas nepieciešami šo starptautisko saistību izpildei</w:t>
            </w:r>
          </w:p>
        </w:tc>
        <w:tc>
          <w:tcPr>
            <w:tcW w:w="2436" w:type="dxa"/>
            <w:gridSpan w:val="2"/>
            <w:tcBorders>
              <w:top w:val="outset" w:sz="6" w:space="0" w:color="auto"/>
              <w:left w:val="outset" w:sz="6" w:space="0" w:color="auto"/>
              <w:bottom w:val="outset" w:sz="6" w:space="0" w:color="auto"/>
              <w:right w:val="outset" w:sz="6" w:space="0" w:color="auto"/>
            </w:tcBorders>
            <w:shd w:val="clear" w:color="auto" w:fill="auto"/>
          </w:tcPr>
          <w:p w14:paraId="59EBDEF3" w14:textId="77777777" w:rsidR="00E632C5" w:rsidRPr="000A47F1" w:rsidRDefault="00E632C5" w:rsidP="00E632C5">
            <w:pPr>
              <w:ind w:left="57" w:right="113"/>
              <w:jc w:val="both"/>
              <w:rPr>
                <w:spacing w:val="-4"/>
              </w:rPr>
            </w:pPr>
            <w:r w:rsidRPr="000A47F1">
              <w:rPr>
                <w:spacing w:val="-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960" w:type="dxa"/>
            <w:gridSpan w:val="2"/>
            <w:tcBorders>
              <w:top w:val="outset" w:sz="6" w:space="0" w:color="auto"/>
              <w:left w:val="outset" w:sz="6" w:space="0" w:color="auto"/>
              <w:bottom w:val="outset" w:sz="6" w:space="0" w:color="auto"/>
              <w:right w:val="outset" w:sz="6" w:space="0" w:color="auto"/>
            </w:tcBorders>
            <w:shd w:val="clear" w:color="auto" w:fill="auto"/>
          </w:tcPr>
          <w:p w14:paraId="48D4E5FF" w14:textId="77777777" w:rsidR="00E632C5" w:rsidRPr="000A47F1" w:rsidRDefault="00E632C5" w:rsidP="00E632C5">
            <w:pPr>
              <w:ind w:left="57" w:right="113"/>
              <w:jc w:val="both"/>
              <w:rPr>
                <w:spacing w:val="-4"/>
              </w:rPr>
            </w:pPr>
            <w:r w:rsidRPr="000A47F1">
              <w:rPr>
                <w:spacing w:val="-4"/>
              </w:rPr>
              <w:t>Informācija par to, vai starptautiskās saistības, kas minētas šīs tabulas A ailē, tiek izpildītas pilnībā vai daļēji.</w:t>
            </w:r>
          </w:p>
          <w:p w14:paraId="2A8839AF" w14:textId="77777777" w:rsidR="00E632C5" w:rsidRPr="000A47F1" w:rsidRDefault="00E632C5" w:rsidP="00E632C5">
            <w:pPr>
              <w:ind w:left="57" w:right="113"/>
              <w:jc w:val="both"/>
              <w:rPr>
                <w:spacing w:val="-4"/>
              </w:rPr>
            </w:pPr>
            <w:r w:rsidRPr="000A47F1">
              <w:rPr>
                <w:spacing w:val="-4"/>
              </w:rPr>
              <w:t>Ja attiecīgās starptautiskās saistības tiek izpildītas daļēji, sniedz skaidrojumu, kā arī precīzi norāda, kad un kādā veidā starptautiskās saistības tiks izpildītas pilnībā.</w:t>
            </w:r>
          </w:p>
          <w:p w14:paraId="4719C471" w14:textId="77777777" w:rsidR="00E632C5" w:rsidRPr="000A47F1" w:rsidRDefault="00E632C5" w:rsidP="00E632C5">
            <w:pPr>
              <w:ind w:left="57" w:right="113"/>
              <w:jc w:val="both"/>
              <w:rPr>
                <w:spacing w:val="-4"/>
              </w:rPr>
            </w:pPr>
            <w:r w:rsidRPr="000A47F1">
              <w:rPr>
                <w:spacing w:val="-4"/>
              </w:rPr>
              <w:t>Norāda institūciju, kas ir atbildīga par šo saistību izpildi pilnībā</w:t>
            </w:r>
          </w:p>
        </w:tc>
      </w:tr>
      <w:tr w:rsidR="00E632C5" w:rsidRPr="000A47F1" w14:paraId="444B5CF8" w14:textId="77777777" w:rsidTr="00E632C5">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217"/>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768B3DE4" w14:textId="77777777" w:rsidR="00E632C5" w:rsidRPr="009D571A" w:rsidRDefault="00E632C5" w:rsidP="00E632C5">
            <w:pPr>
              <w:ind w:right="113"/>
              <w:jc w:val="both"/>
              <w:rPr>
                <w:spacing w:val="-4"/>
              </w:rPr>
            </w:pPr>
            <w:r w:rsidRPr="009D571A">
              <w:rPr>
                <w:spacing w:val="-4"/>
              </w:rPr>
              <w:t>Noteikumu projekts šo jomu neskar</w:t>
            </w:r>
          </w:p>
        </w:tc>
        <w:tc>
          <w:tcPr>
            <w:tcW w:w="2436" w:type="dxa"/>
            <w:gridSpan w:val="2"/>
            <w:tcBorders>
              <w:top w:val="outset" w:sz="6" w:space="0" w:color="auto"/>
              <w:left w:val="outset" w:sz="6" w:space="0" w:color="auto"/>
              <w:bottom w:val="outset" w:sz="6" w:space="0" w:color="auto"/>
              <w:right w:val="outset" w:sz="6" w:space="0" w:color="auto"/>
            </w:tcBorders>
            <w:shd w:val="clear" w:color="auto" w:fill="auto"/>
          </w:tcPr>
          <w:p w14:paraId="56D25AEC" w14:textId="77777777" w:rsidR="00E632C5" w:rsidRPr="009D571A" w:rsidRDefault="00E632C5" w:rsidP="00E632C5">
            <w:pPr>
              <w:ind w:right="113"/>
              <w:jc w:val="both"/>
              <w:rPr>
                <w:spacing w:val="-4"/>
              </w:rPr>
            </w:pPr>
            <w:r w:rsidRPr="009D571A">
              <w:rPr>
                <w:spacing w:val="-4"/>
              </w:rPr>
              <w:t>Noteikumu projekts šo jomu neskar.</w:t>
            </w:r>
          </w:p>
        </w:tc>
        <w:tc>
          <w:tcPr>
            <w:tcW w:w="3960" w:type="dxa"/>
            <w:gridSpan w:val="2"/>
            <w:tcBorders>
              <w:top w:val="outset" w:sz="6" w:space="0" w:color="auto"/>
              <w:left w:val="outset" w:sz="6" w:space="0" w:color="auto"/>
              <w:bottom w:val="outset" w:sz="6" w:space="0" w:color="auto"/>
              <w:right w:val="outset" w:sz="6" w:space="0" w:color="auto"/>
            </w:tcBorders>
            <w:shd w:val="clear" w:color="auto" w:fill="auto"/>
          </w:tcPr>
          <w:p w14:paraId="5EF6FCC1" w14:textId="77777777" w:rsidR="00E632C5" w:rsidRPr="009D571A" w:rsidRDefault="00E632C5" w:rsidP="00E632C5">
            <w:pPr>
              <w:ind w:right="113"/>
              <w:jc w:val="both"/>
              <w:rPr>
                <w:spacing w:val="-4"/>
              </w:rPr>
            </w:pPr>
            <w:r w:rsidRPr="009D571A">
              <w:rPr>
                <w:spacing w:val="-4"/>
              </w:rPr>
              <w:t>Noteikumu projekts šo jomu neskar.</w:t>
            </w:r>
          </w:p>
        </w:tc>
      </w:tr>
      <w:tr w:rsidR="00E632C5" w:rsidRPr="000A47F1" w14:paraId="649A832C" w14:textId="77777777" w:rsidTr="00E632C5">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1101"/>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1A3A5C4E" w14:textId="77777777" w:rsidR="00E632C5" w:rsidRPr="009D571A" w:rsidRDefault="00E632C5" w:rsidP="00E632C5">
            <w:pPr>
              <w:ind w:left="57" w:right="113"/>
              <w:jc w:val="both"/>
              <w:rPr>
                <w:spacing w:val="-4"/>
              </w:rPr>
            </w:pPr>
            <w:r w:rsidRPr="009D571A">
              <w:rPr>
                <w:spacing w:val="-4"/>
              </w:rPr>
              <w:lastRenderedPageBreak/>
              <w:t>Vai starptautiskajā dokumentā paredzētās saistības nav pretrunā ar jau esošajām Latvijas Republikas starptautis</w:t>
            </w:r>
            <w:r w:rsidRPr="009D571A">
              <w:rPr>
                <w:spacing w:val="-4"/>
              </w:rPr>
              <w:softHyphen/>
              <w:t>kajām saistībām?</w:t>
            </w:r>
          </w:p>
        </w:tc>
        <w:tc>
          <w:tcPr>
            <w:tcW w:w="6396" w:type="dxa"/>
            <w:gridSpan w:val="4"/>
            <w:tcBorders>
              <w:top w:val="outset" w:sz="6" w:space="0" w:color="auto"/>
              <w:left w:val="outset" w:sz="6" w:space="0" w:color="auto"/>
              <w:bottom w:val="outset" w:sz="6" w:space="0" w:color="auto"/>
              <w:right w:val="outset" w:sz="6" w:space="0" w:color="auto"/>
            </w:tcBorders>
            <w:shd w:val="clear" w:color="auto" w:fill="auto"/>
          </w:tcPr>
          <w:p w14:paraId="4BF3D761" w14:textId="77777777" w:rsidR="00E632C5" w:rsidRPr="009D571A" w:rsidRDefault="00E632C5" w:rsidP="00E632C5">
            <w:pPr>
              <w:ind w:right="113"/>
              <w:jc w:val="both"/>
              <w:rPr>
                <w:spacing w:val="-4"/>
              </w:rPr>
            </w:pPr>
            <w:r w:rsidRPr="009D571A">
              <w:rPr>
                <w:spacing w:val="-4"/>
              </w:rPr>
              <w:t>Noteikumu projekts šo jomu neskar.</w:t>
            </w:r>
          </w:p>
        </w:tc>
      </w:tr>
      <w:tr w:rsidR="00E632C5" w:rsidRPr="000A47F1" w14:paraId="3A729FC8" w14:textId="77777777" w:rsidTr="00E632C5">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229"/>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16A70E25" w14:textId="77777777" w:rsidR="00E632C5" w:rsidRPr="009D571A" w:rsidRDefault="00E632C5" w:rsidP="00E632C5">
            <w:pPr>
              <w:ind w:left="57" w:right="113"/>
              <w:jc w:val="both"/>
              <w:rPr>
                <w:spacing w:val="-4"/>
              </w:rPr>
            </w:pPr>
            <w:r w:rsidRPr="009D571A">
              <w:rPr>
                <w:spacing w:val="-4"/>
              </w:rPr>
              <w:t>Cita informācija</w:t>
            </w:r>
          </w:p>
        </w:tc>
        <w:tc>
          <w:tcPr>
            <w:tcW w:w="6396" w:type="dxa"/>
            <w:gridSpan w:val="4"/>
            <w:tcBorders>
              <w:top w:val="outset" w:sz="6" w:space="0" w:color="auto"/>
              <w:left w:val="outset" w:sz="6" w:space="0" w:color="auto"/>
              <w:bottom w:val="outset" w:sz="6" w:space="0" w:color="auto"/>
              <w:right w:val="outset" w:sz="6" w:space="0" w:color="auto"/>
            </w:tcBorders>
            <w:shd w:val="clear" w:color="auto" w:fill="auto"/>
          </w:tcPr>
          <w:p w14:paraId="21D66F25" w14:textId="77777777" w:rsidR="00E632C5" w:rsidRPr="009D571A" w:rsidRDefault="00E632C5" w:rsidP="00E632C5">
            <w:pPr>
              <w:ind w:left="57" w:right="113"/>
              <w:jc w:val="both"/>
              <w:rPr>
                <w:spacing w:val="-4"/>
              </w:rPr>
            </w:pPr>
            <w:r w:rsidRPr="009D571A">
              <w:rPr>
                <w:spacing w:val="-4"/>
              </w:rPr>
              <w:t>Nav.</w:t>
            </w:r>
          </w:p>
        </w:tc>
      </w:tr>
    </w:tbl>
    <w:p w14:paraId="43D390AF" w14:textId="77777777" w:rsidR="00B248B4" w:rsidRPr="0019642C" w:rsidRDefault="00B248B4">
      <w:pPr>
        <w:rPr>
          <w:highlight w:val="yellow"/>
        </w:rPr>
      </w:pPr>
    </w:p>
    <w:p w14:paraId="27E531B6" w14:textId="77777777" w:rsidR="009A562F" w:rsidRPr="0019642C" w:rsidRDefault="009A562F" w:rsidP="00ED5537">
      <w:pPr>
        <w:rPr>
          <w:highlight w:val="yellow"/>
          <w:lang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608"/>
        <w:gridCol w:w="6322"/>
      </w:tblGrid>
      <w:tr w:rsidR="00C71FAA" w:rsidRPr="0019642C" w14:paraId="3090A8C0" w14:textId="77777777" w:rsidTr="00F94FEF">
        <w:trPr>
          <w:trHeight w:val="421"/>
        </w:trPr>
        <w:tc>
          <w:tcPr>
            <w:tcW w:w="9356" w:type="dxa"/>
            <w:gridSpan w:val="3"/>
            <w:vAlign w:val="center"/>
          </w:tcPr>
          <w:p w14:paraId="43BFCFB8" w14:textId="77777777" w:rsidR="00750FB6" w:rsidRPr="000D6328" w:rsidRDefault="007559D4" w:rsidP="00BF3F2B">
            <w:pPr>
              <w:pStyle w:val="naisnod"/>
              <w:spacing w:before="0" w:beforeAutospacing="0" w:after="0" w:afterAutospacing="0"/>
              <w:ind w:left="57" w:right="57"/>
              <w:jc w:val="center"/>
            </w:pPr>
            <w:r w:rsidRPr="000D6328">
              <w:rPr>
                <w:lang w:eastAsia="en-US"/>
              </w:rPr>
              <w:br w:type="page"/>
            </w:r>
            <w:r w:rsidR="001C1C28" w:rsidRPr="000D6328">
              <w:rPr>
                <w:b/>
              </w:rPr>
              <w:t>VI. Sabiedrības līdzdalība un komunikācijas aktivitātes</w:t>
            </w:r>
          </w:p>
        </w:tc>
      </w:tr>
      <w:tr w:rsidR="00F94FEF" w:rsidRPr="00793F71" w14:paraId="2478152D" w14:textId="77777777" w:rsidTr="00F94FEF">
        <w:trPr>
          <w:trHeight w:val="553"/>
        </w:trPr>
        <w:tc>
          <w:tcPr>
            <w:tcW w:w="426" w:type="dxa"/>
          </w:tcPr>
          <w:p w14:paraId="45EE7E44" w14:textId="77777777" w:rsidR="00F94FEF" w:rsidRPr="00793F71" w:rsidRDefault="00F94FEF" w:rsidP="00747D25">
            <w:pPr>
              <w:ind w:left="57" w:right="57"/>
              <w:jc w:val="center"/>
              <w:rPr>
                <w:bCs/>
              </w:rPr>
            </w:pPr>
            <w:r w:rsidRPr="00793F71">
              <w:rPr>
                <w:bCs/>
              </w:rPr>
              <w:t>1.</w:t>
            </w:r>
          </w:p>
        </w:tc>
        <w:tc>
          <w:tcPr>
            <w:tcW w:w="2608" w:type="dxa"/>
          </w:tcPr>
          <w:p w14:paraId="696EE0E0" w14:textId="77777777" w:rsidR="00F94FEF" w:rsidRPr="000D6328" w:rsidRDefault="00F94FEF" w:rsidP="00747D25">
            <w:pPr>
              <w:tabs>
                <w:tab w:val="left" w:pos="170"/>
              </w:tabs>
              <w:ind w:left="57" w:right="57"/>
            </w:pPr>
            <w:r w:rsidRPr="000D6328">
              <w:t>Plānotās sabiedrības līdzdalības un komunikācijas aktivitātes saistībā ar projektu</w:t>
            </w:r>
          </w:p>
        </w:tc>
        <w:tc>
          <w:tcPr>
            <w:tcW w:w="6322" w:type="dxa"/>
          </w:tcPr>
          <w:p w14:paraId="5DB5D9F9" w14:textId="7C93BEAB" w:rsidR="00F94FEF" w:rsidRPr="000D6328" w:rsidRDefault="00F94FEF" w:rsidP="00F94FEF">
            <w:pPr>
              <w:ind w:left="57" w:right="113"/>
              <w:jc w:val="both"/>
            </w:pPr>
            <w:r w:rsidRPr="000D6328">
              <w:t xml:space="preserve">5.6.2.  SAM </w:t>
            </w:r>
            <w:r w:rsidR="000D6328" w:rsidRPr="000D6328">
              <w:t xml:space="preserve">projektu iesniedzēji un </w:t>
            </w:r>
            <w:r w:rsidRPr="000D6328">
              <w:t xml:space="preserve">finansējuma saņēmēji ir pašvaldības, savukārt sabiedrību noteikumu projekts skar tikai pastarpināti, līdz ar to noteikumu projekts netika publicēts VARAM tīmekļvietnē. Vienlaikus jāņem vērā, ka noteikumu projekts izstrādāts, ņemot vērā nepieciešamību nekavējoties </w:t>
            </w:r>
            <w:r w:rsidRPr="000D6328">
              <w:rPr>
                <w:rFonts w:eastAsia="Times New Roman"/>
                <w:color w:val="000000" w:themeColor="text1"/>
              </w:rPr>
              <w:t>palīdzēt pašvaldībām mazināt ar valstī izsludināto ārkārtējo situāciju saistīto negatīvo ietekmi uz tautsaimniecību un veicināt ekonomikas straujāku atgūšanos no COVID-19 izraisītās krīzes.</w:t>
            </w:r>
            <w:r w:rsidRPr="000D6328">
              <w:t xml:space="preserve"> </w:t>
            </w:r>
          </w:p>
        </w:tc>
      </w:tr>
      <w:tr w:rsidR="00F94FEF" w:rsidRPr="00793F71" w14:paraId="6CF8F77D" w14:textId="77777777" w:rsidTr="00F94FEF">
        <w:trPr>
          <w:trHeight w:val="339"/>
        </w:trPr>
        <w:tc>
          <w:tcPr>
            <w:tcW w:w="426" w:type="dxa"/>
          </w:tcPr>
          <w:p w14:paraId="2DD13285" w14:textId="77777777" w:rsidR="00F94FEF" w:rsidRPr="00793F71" w:rsidRDefault="00F94FEF" w:rsidP="00747D25">
            <w:pPr>
              <w:ind w:left="57" w:right="57"/>
              <w:jc w:val="center"/>
              <w:rPr>
                <w:bCs/>
              </w:rPr>
            </w:pPr>
            <w:r w:rsidRPr="00793F71">
              <w:rPr>
                <w:bCs/>
              </w:rPr>
              <w:t>2.</w:t>
            </w:r>
          </w:p>
        </w:tc>
        <w:tc>
          <w:tcPr>
            <w:tcW w:w="2608" w:type="dxa"/>
          </w:tcPr>
          <w:p w14:paraId="4D8BE39E" w14:textId="77777777" w:rsidR="00F94FEF" w:rsidRPr="000D6328" w:rsidRDefault="00F94FEF" w:rsidP="00747D25">
            <w:pPr>
              <w:ind w:left="57" w:right="57"/>
            </w:pPr>
            <w:r w:rsidRPr="000D6328">
              <w:t>Sabiedrības līdzdalība projekta izstrādē</w:t>
            </w:r>
          </w:p>
        </w:tc>
        <w:tc>
          <w:tcPr>
            <w:tcW w:w="6322" w:type="dxa"/>
          </w:tcPr>
          <w:p w14:paraId="0AA8134C" w14:textId="77777777" w:rsidR="00F94FEF" w:rsidRPr="000D6328" w:rsidRDefault="00F94FEF" w:rsidP="00747D25">
            <w:pPr>
              <w:shd w:val="clear" w:color="auto" w:fill="FFFFFF"/>
              <w:ind w:left="57" w:right="113"/>
              <w:jc w:val="both"/>
              <w:rPr>
                <w:kern w:val="24"/>
              </w:rPr>
            </w:pPr>
            <w:r w:rsidRPr="000D6328">
              <w:t>Noteikumu projekts šo jomu neskar.</w:t>
            </w:r>
          </w:p>
        </w:tc>
      </w:tr>
      <w:tr w:rsidR="00F94FEF" w:rsidRPr="00793F71" w14:paraId="38D963F8" w14:textId="77777777" w:rsidTr="00F94FEF">
        <w:trPr>
          <w:trHeight w:val="476"/>
        </w:trPr>
        <w:tc>
          <w:tcPr>
            <w:tcW w:w="426" w:type="dxa"/>
          </w:tcPr>
          <w:p w14:paraId="263B6F0C" w14:textId="77777777" w:rsidR="00F94FEF" w:rsidRPr="00793F71" w:rsidRDefault="00F94FEF" w:rsidP="00747D25">
            <w:pPr>
              <w:ind w:left="57" w:right="57"/>
              <w:jc w:val="center"/>
              <w:rPr>
                <w:bCs/>
              </w:rPr>
            </w:pPr>
            <w:r w:rsidRPr="00793F71">
              <w:rPr>
                <w:bCs/>
              </w:rPr>
              <w:t>3.</w:t>
            </w:r>
          </w:p>
        </w:tc>
        <w:tc>
          <w:tcPr>
            <w:tcW w:w="2608" w:type="dxa"/>
          </w:tcPr>
          <w:p w14:paraId="511FE3EB" w14:textId="77777777" w:rsidR="00F94FEF" w:rsidRPr="000D6328" w:rsidRDefault="00F94FEF" w:rsidP="00747D25">
            <w:pPr>
              <w:ind w:left="57" w:right="57"/>
            </w:pPr>
            <w:r w:rsidRPr="000D6328">
              <w:t>Sabiedrības līdzdalības rezultāti</w:t>
            </w:r>
          </w:p>
        </w:tc>
        <w:tc>
          <w:tcPr>
            <w:tcW w:w="6322" w:type="dxa"/>
          </w:tcPr>
          <w:p w14:paraId="4F778FED" w14:textId="77777777" w:rsidR="00F94FEF" w:rsidRPr="000D6328" w:rsidRDefault="00F94FEF" w:rsidP="00747D25">
            <w:pPr>
              <w:shd w:val="clear" w:color="auto" w:fill="FFFFFF"/>
              <w:ind w:right="142"/>
              <w:jc w:val="both"/>
            </w:pPr>
            <w:r w:rsidRPr="000D6328">
              <w:t xml:space="preserve"> Noteikumu projekts šo jomu neskar.</w:t>
            </w:r>
          </w:p>
        </w:tc>
      </w:tr>
      <w:tr w:rsidR="00F94FEF" w:rsidRPr="00793F71" w14:paraId="22E5A25D" w14:textId="77777777" w:rsidTr="00F94FEF">
        <w:trPr>
          <w:trHeight w:val="357"/>
        </w:trPr>
        <w:tc>
          <w:tcPr>
            <w:tcW w:w="426" w:type="dxa"/>
          </w:tcPr>
          <w:p w14:paraId="06DCF804" w14:textId="77777777" w:rsidR="00F94FEF" w:rsidRPr="00793F71" w:rsidRDefault="00F94FEF" w:rsidP="00747D25">
            <w:pPr>
              <w:ind w:left="57" w:right="57"/>
              <w:jc w:val="center"/>
              <w:rPr>
                <w:bCs/>
              </w:rPr>
            </w:pPr>
            <w:r w:rsidRPr="00793F71">
              <w:rPr>
                <w:bCs/>
              </w:rPr>
              <w:t>4.</w:t>
            </w:r>
          </w:p>
        </w:tc>
        <w:tc>
          <w:tcPr>
            <w:tcW w:w="2608" w:type="dxa"/>
          </w:tcPr>
          <w:p w14:paraId="6623598A" w14:textId="77777777" w:rsidR="00F94FEF" w:rsidRPr="000D6328" w:rsidRDefault="00F94FEF" w:rsidP="00747D25">
            <w:pPr>
              <w:ind w:left="57" w:right="57"/>
            </w:pPr>
            <w:r w:rsidRPr="000D6328">
              <w:t>Cita informācija</w:t>
            </w:r>
          </w:p>
        </w:tc>
        <w:tc>
          <w:tcPr>
            <w:tcW w:w="6322" w:type="dxa"/>
          </w:tcPr>
          <w:p w14:paraId="752EE3CA" w14:textId="77777777" w:rsidR="00F94FEF" w:rsidRPr="000D6328" w:rsidRDefault="00F94FEF" w:rsidP="00747D25">
            <w:pPr>
              <w:ind w:left="57" w:right="113"/>
              <w:jc w:val="both"/>
            </w:pPr>
            <w:r w:rsidRPr="000D6328">
              <w:t>Nav.</w:t>
            </w:r>
          </w:p>
        </w:tc>
      </w:tr>
    </w:tbl>
    <w:p w14:paraId="00688956" w14:textId="77777777" w:rsidR="00F94FEF" w:rsidRPr="0019642C" w:rsidRDefault="00F94FEF">
      <w:pPr>
        <w:spacing w:after="200" w:line="276" w:lineRule="auto"/>
        <w:rPr>
          <w:sz w:val="8"/>
          <w:szCs w:val="8"/>
          <w:highlight w:val="yellow"/>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613"/>
        <w:gridCol w:w="6317"/>
      </w:tblGrid>
      <w:tr w:rsidR="00C71FAA" w:rsidRPr="0019642C" w14:paraId="692815B9" w14:textId="77777777" w:rsidTr="005E7287">
        <w:trPr>
          <w:trHeight w:val="421"/>
        </w:trPr>
        <w:tc>
          <w:tcPr>
            <w:tcW w:w="9356" w:type="dxa"/>
            <w:gridSpan w:val="3"/>
            <w:vAlign w:val="center"/>
          </w:tcPr>
          <w:p w14:paraId="01710DB9" w14:textId="77777777" w:rsidR="00750FB6" w:rsidRPr="000D6328" w:rsidRDefault="007559D4" w:rsidP="00BF3F2B">
            <w:pPr>
              <w:pStyle w:val="naisnod"/>
              <w:spacing w:before="0" w:beforeAutospacing="0" w:after="0" w:afterAutospacing="0"/>
              <w:ind w:left="57" w:right="57"/>
              <w:jc w:val="center"/>
            </w:pPr>
            <w:r w:rsidRPr="000D6328">
              <w:rPr>
                <w:b/>
              </w:rPr>
              <w:t>VII. Tiesību akta projekta izpildes nodrošināšana un tās ietekme uz institūcijām</w:t>
            </w:r>
          </w:p>
        </w:tc>
      </w:tr>
      <w:tr w:rsidR="00C71FAA" w:rsidRPr="00065B6E" w14:paraId="7AE6933E" w14:textId="77777777" w:rsidTr="005E7287">
        <w:trPr>
          <w:trHeight w:val="553"/>
        </w:trPr>
        <w:tc>
          <w:tcPr>
            <w:tcW w:w="426" w:type="dxa"/>
          </w:tcPr>
          <w:p w14:paraId="41D637CB" w14:textId="77777777" w:rsidR="0021740C" w:rsidRPr="000D6328" w:rsidRDefault="007559D4" w:rsidP="0021740C">
            <w:pPr>
              <w:ind w:left="57" w:right="57"/>
              <w:jc w:val="both"/>
              <w:rPr>
                <w:bCs/>
              </w:rPr>
            </w:pPr>
            <w:r w:rsidRPr="000D6328">
              <w:rPr>
                <w:bCs/>
              </w:rPr>
              <w:t>1.</w:t>
            </w:r>
          </w:p>
        </w:tc>
        <w:tc>
          <w:tcPr>
            <w:tcW w:w="2613" w:type="dxa"/>
          </w:tcPr>
          <w:p w14:paraId="52274707" w14:textId="77777777" w:rsidR="0021740C" w:rsidRPr="000D6328" w:rsidRDefault="007559D4" w:rsidP="0021740C">
            <w:pPr>
              <w:ind w:left="57" w:right="57"/>
            </w:pPr>
            <w:r w:rsidRPr="000D6328">
              <w:t>Projekta izpildē iesaistītās institūcijas</w:t>
            </w:r>
          </w:p>
        </w:tc>
        <w:tc>
          <w:tcPr>
            <w:tcW w:w="6317" w:type="dxa"/>
          </w:tcPr>
          <w:p w14:paraId="47DCC10B" w14:textId="58139C50" w:rsidR="00ED5537" w:rsidRPr="000D6328" w:rsidRDefault="00065B6E" w:rsidP="00065B6E">
            <w:pPr>
              <w:shd w:val="clear" w:color="auto" w:fill="FFFFFF"/>
              <w:ind w:left="57" w:right="113"/>
              <w:jc w:val="both"/>
            </w:pPr>
            <w:r w:rsidRPr="000D6328">
              <w:t xml:space="preserve">VARAM, 5.6.2. SAM </w:t>
            </w:r>
            <w:r w:rsidR="000D6328" w:rsidRPr="000D6328">
              <w:t xml:space="preserve">projektu iesniedzēji, </w:t>
            </w:r>
            <w:r w:rsidRPr="000D6328">
              <w:t xml:space="preserve">finansējuma saņēmēji un CFLA. </w:t>
            </w:r>
          </w:p>
        </w:tc>
      </w:tr>
      <w:tr w:rsidR="00C71FAA" w:rsidRPr="00065B6E" w14:paraId="3139E565" w14:textId="77777777" w:rsidTr="005E7287">
        <w:trPr>
          <w:trHeight w:val="339"/>
        </w:trPr>
        <w:tc>
          <w:tcPr>
            <w:tcW w:w="426" w:type="dxa"/>
          </w:tcPr>
          <w:p w14:paraId="7AAB9FF7" w14:textId="77777777" w:rsidR="0021740C" w:rsidRPr="000D6328" w:rsidRDefault="007559D4" w:rsidP="0021740C">
            <w:pPr>
              <w:ind w:left="57" w:right="57"/>
              <w:jc w:val="both"/>
              <w:rPr>
                <w:bCs/>
              </w:rPr>
            </w:pPr>
            <w:r w:rsidRPr="000D6328">
              <w:rPr>
                <w:bCs/>
              </w:rPr>
              <w:t>2.</w:t>
            </w:r>
          </w:p>
        </w:tc>
        <w:tc>
          <w:tcPr>
            <w:tcW w:w="2613" w:type="dxa"/>
          </w:tcPr>
          <w:p w14:paraId="2524BD0B" w14:textId="77777777" w:rsidR="0021740C" w:rsidRPr="000D6328" w:rsidRDefault="007559D4" w:rsidP="0021740C">
            <w:pPr>
              <w:ind w:left="57" w:right="57"/>
            </w:pPr>
            <w:r w:rsidRPr="000D6328">
              <w:t xml:space="preserve">Projekta izpildes ietekme uz pārvaldes funkcijām un institucionālo struktūru. </w:t>
            </w:r>
          </w:p>
          <w:p w14:paraId="0D7521A5" w14:textId="77777777" w:rsidR="0021740C" w:rsidRPr="000D6328" w:rsidRDefault="007559D4" w:rsidP="0021740C">
            <w:pPr>
              <w:ind w:left="57" w:right="57"/>
            </w:pPr>
            <w:r w:rsidRPr="000D6328">
              <w:t>Jaunu institūciju izveide, esošu institūciju likvidācija vai reorganizācija, to ietekme uz institūcijas cilvēkresursiem</w:t>
            </w:r>
          </w:p>
        </w:tc>
        <w:tc>
          <w:tcPr>
            <w:tcW w:w="6317" w:type="dxa"/>
          </w:tcPr>
          <w:p w14:paraId="3E9225B4" w14:textId="7EF5FF2B" w:rsidR="0021740C" w:rsidRPr="000D6328" w:rsidRDefault="00ED5537">
            <w:pPr>
              <w:shd w:val="clear" w:color="auto" w:fill="FFFFFF"/>
              <w:ind w:left="57" w:right="113"/>
              <w:jc w:val="both"/>
              <w:rPr>
                <w:bCs/>
                <w:iCs/>
              </w:rPr>
            </w:pPr>
            <w:r w:rsidRPr="000D6328">
              <w:rPr>
                <w:spacing w:val="-4"/>
              </w:rPr>
              <w:t>N</w:t>
            </w:r>
            <w:r w:rsidR="007559D4" w:rsidRPr="000D6328">
              <w:rPr>
                <w:spacing w:val="-4"/>
              </w:rPr>
              <w:t xml:space="preserve">oteikumu </w:t>
            </w:r>
            <w:r w:rsidR="007559D4" w:rsidRPr="000D6328">
              <w:rPr>
                <w:bCs/>
                <w:iCs/>
              </w:rPr>
              <w:t>projekta īstenošana tiks veikta esošo cilvēk</w:t>
            </w:r>
            <w:r w:rsidRPr="000D6328">
              <w:rPr>
                <w:bCs/>
                <w:iCs/>
              </w:rPr>
              <w:t>resursu ietvaros. Saistībā ar n</w:t>
            </w:r>
            <w:r w:rsidR="007559D4" w:rsidRPr="000D6328">
              <w:rPr>
                <w:bCs/>
                <w:iCs/>
              </w:rPr>
              <w:t>oteikumu projekta izpildi nebūs nepieciešams veidot jaunas institūcijas vai likvidēt, reorganizēt esošās.</w:t>
            </w:r>
          </w:p>
          <w:p w14:paraId="619877D4" w14:textId="37E1537E" w:rsidR="00811460" w:rsidRPr="000D6328" w:rsidRDefault="00811460">
            <w:pPr>
              <w:shd w:val="clear" w:color="auto" w:fill="FFFFFF"/>
              <w:ind w:left="57" w:right="113"/>
              <w:jc w:val="both"/>
              <w:rPr>
                <w:kern w:val="24"/>
              </w:rPr>
            </w:pPr>
          </w:p>
        </w:tc>
      </w:tr>
      <w:tr w:rsidR="00C71FAA" w14:paraId="44D7D651" w14:textId="77777777" w:rsidTr="005E7287">
        <w:trPr>
          <w:trHeight w:val="351"/>
        </w:trPr>
        <w:tc>
          <w:tcPr>
            <w:tcW w:w="426" w:type="dxa"/>
          </w:tcPr>
          <w:p w14:paraId="15222451" w14:textId="77777777" w:rsidR="0021740C" w:rsidRPr="000D6328" w:rsidRDefault="007559D4" w:rsidP="0021740C">
            <w:pPr>
              <w:ind w:left="57" w:right="57"/>
              <w:jc w:val="both"/>
              <w:rPr>
                <w:bCs/>
              </w:rPr>
            </w:pPr>
            <w:r w:rsidRPr="000D6328">
              <w:rPr>
                <w:bCs/>
              </w:rPr>
              <w:t>3.</w:t>
            </w:r>
          </w:p>
        </w:tc>
        <w:tc>
          <w:tcPr>
            <w:tcW w:w="2613" w:type="dxa"/>
          </w:tcPr>
          <w:p w14:paraId="59D7FBFC" w14:textId="77777777" w:rsidR="0021740C" w:rsidRPr="000D6328" w:rsidRDefault="007559D4" w:rsidP="0021740C">
            <w:pPr>
              <w:ind w:left="57" w:right="57"/>
            </w:pPr>
            <w:r w:rsidRPr="000D6328">
              <w:t>Cita informācija</w:t>
            </w:r>
          </w:p>
        </w:tc>
        <w:tc>
          <w:tcPr>
            <w:tcW w:w="6317" w:type="dxa"/>
          </w:tcPr>
          <w:p w14:paraId="4DEAD41A" w14:textId="77777777" w:rsidR="0021740C" w:rsidRPr="000D6328" w:rsidRDefault="007559D4" w:rsidP="0021740C">
            <w:pPr>
              <w:shd w:val="clear" w:color="auto" w:fill="FFFFFF"/>
              <w:ind w:left="57" w:right="113"/>
              <w:jc w:val="both"/>
            </w:pPr>
            <w:r w:rsidRPr="000D6328">
              <w:t>Nav</w:t>
            </w:r>
          </w:p>
        </w:tc>
      </w:tr>
    </w:tbl>
    <w:p w14:paraId="2745B858" w14:textId="77777777" w:rsidR="00750FB6" w:rsidRPr="006E3F47" w:rsidRDefault="00750FB6" w:rsidP="00750FB6">
      <w:pPr>
        <w:jc w:val="both"/>
      </w:pPr>
    </w:p>
    <w:p w14:paraId="38BDD66B" w14:textId="77777777" w:rsidR="00424A71" w:rsidRDefault="00424A71" w:rsidP="0008236A">
      <w:pPr>
        <w:pStyle w:val="Header"/>
        <w:rPr>
          <w:szCs w:val="20"/>
          <w:lang w:val="lv-LV"/>
        </w:rPr>
      </w:pPr>
    </w:p>
    <w:p w14:paraId="0D2DE766" w14:textId="77777777" w:rsidR="000D6328" w:rsidRPr="00874D98" w:rsidRDefault="000D6328" w:rsidP="000D6328">
      <w:pPr>
        <w:ind w:firstLine="709"/>
      </w:pPr>
      <w:r w:rsidRPr="006F0C88">
        <w:t xml:space="preserve">Vides aizsardzības un reģionālās </w:t>
      </w:r>
    </w:p>
    <w:p w14:paraId="3512E1D6" w14:textId="5053669B" w:rsidR="000D6328" w:rsidRPr="00874D98" w:rsidRDefault="000D6328" w:rsidP="000D6328">
      <w:pPr>
        <w:tabs>
          <w:tab w:val="left" w:pos="6804"/>
        </w:tabs>
        <w:ind w:left="540" w:firstLine="169"/>
      </w:pPr>
      <w:r w:rsidRPr="00874D98">
        <w:t>attīstības ministr</w:t>
      </w:r>
      <w:r w:rsidR="009A6490" w:rsidRPr="00874D98">
        <w:t>s</w:t>
      </w:r>
      <w:r w:rsidRPr="00874D98">
        <w:tab/>
      </w:r>
      <w:r w:rsidR="009A6490" w:rsidRPr="00874D98">
        <w:t>A. T. </w:t>
      </w:r>
      <w:proofErr w:type="spellStart"/>
      <w:r w:rsidR="009A6490" w:rsidRPr="00874D98">
        <w:t>Plešs</w:t>
      </w:r>
      <w:proofErr w:type="spellEnd"/>
    </w:p>
    <w:p w14:paraId="65D7A787" w14:textId="3E8B9DB4" w:rsidR="0008236A" w:rsidRPr="00BF3F2B" w:rsidRDefault="0008236A" w:rsidP="0008236A">
      <w:pPr>
        <w:pStyle w:val="Header"/>
        <w:rPr>
          <w:szCs w:val="20"/>
          <w:lang w:val="lv-LV"/>
        </w:rPr>
      </w:pPr>
    </w:p>
    <w:p w14:paraId="1D42CC06" w14:textId="77777777" w:rsidR="0008236A" w:rsidRDefault="0008236A" w:rsidP="0008236A">
      <w:pPr>
        <w:pStyle w:val="Header"/>
        <w:rPr>
          <w:szCs w:val="20"/>
          <w:lang w:val="lv-LV"/>
        </w:rPr>
      </w:pPr>
    </w:p>
    <w:p w14:paraId="01A5A6A7" w14:textId="77777777" w:rsidR="005E5F62" w:rsidRDefault="005E5F62" w:rsidP="0008236A">
      <w:pPr>
        <w:pStyle w:val="Header"/>
        <w:rPr>
          <w:szCs w:val="20"/>
          <w:lang w:val="lv-LV"/>
        </w:rPr>
      </w:pPr>
    </w:p>
    <w:p w14:paraId="2699BDD3" w14:textId="77777777" w:rsidR="00377F78" w:rsidRDefault="00377F78" w:rsidP="00BF3F2B">
      <w:pPr>
        <w:pStyle w:val="Header"/>
        <w:rPr>
          <w:szCs w:val="20"/>
          <w:lang w:val="lv-LV"/>
        </w:rPr>
      </w:pPr>
    </w:p>
    <w:p w14:paraId="7314119B" w14:textId="77777777" w:rsidR="0042012D" w:rsidRPr="00B559B4" w:rsidRDefault="007559D4" w:rsidP="0042012D">
      <w:pPr>
        <w:rPr>
          <w:color w:val="000000"/>
          <w:sz w:val="20"/>
          <w:szCs w:val="20"/>
        </w:rPr>
      </w:pPr>
      <w:r w:rsidRPr="00B559B4">
        <w:rPr>
          <w:color w:val="000000"/>
          <w:sz w:val="20"/>
          <w:szCs w:val="20"/>
        </w:rPr>
        <w:t>L. Dorbe, 66016767</w:t>
      </w:r>
    </w:p>
    <w:p w14:paraId="63F44BDC" w14:textId="77777777" w:rsidR="00750FB6" w:rsidRDefault="006418E0" w:rsidP="00753980">
      <w:pPr>
        <w:rPr>
          <w:rStyle w:val="Hyperlink"/>
          <w:sz w:val="20"/>
          <w:szCs w:val="20"/>
        </w:rPr>
      </w:pPr>
      <w:hyperlink r:id="rId10" w:history="1">
        <w:r w:rsidR="007559D4" w:rsidRPr="00B559B4">
          <w:rPr>
            <w:rStyle w:val="Hyperlink"/>
            <w:sz w:val="20"/>
            <w:szCs w:val="20"/>
          </w:rPr>
          <w:t>liene.dorbe@varam.gov.lv</w:t>
        </w:r>
      </w:hyperlink>
    </w:p>
    <w:p w14:paraId="650F59AA" w14:textId="77777777" w:rsidR="00995B6A" w:rsidRDefault="00995B6A" w:rsidP="00753980">
      <w:pPr>
        <w:rPr>
          <w:rStyle w:val="Hyperlink"/>
          <w:sz w:val="20"/>
          <w:szCs w:val="20"/>
        </w:rPr>
      </w:pPr>
    </w:p>
    <w:sectPr w:rsidR="00995B6A" w:rsidSect="0092486D">
      <w:headerReference w:type="default" r:id="rId11"/>
      <w:footerReference w:type="even" r:id="rId12"/>
      <w:footerReference w:type="default" r:id="rId13"/>
      <w:headerReference w:type="first" r:id="rId14"/>
      <w:footerReference w:type="first" r:id="rId15"/>
      <w:pgSz w:w="11906" w:h="16838"/>
      <w:pgMar w:top="993" w:right="1134" w:bottom="1134" w:left="1701" w:header="70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18CF1" w14:textId="77777777" w:rsidR="006418E0" w:rsidRDefault="006418E0">
      <w:r>
        <w:separator/>
      </w:r>
    </w:p>
  </w:endnote>
  <w:endnote w:type="continuationSeparator" w:id="0">
    <w:p w14:paraId="48065208" w14:textId="77777777" w:rsidR="006418E0" w:rsidRDefault="006418E0">
      <w:r>
        <w:continuationSeparator/>
      </w:r>
    </w:p>
  </w:endnote>
  <w:endnote w:type="continuationNotice" w:id="1">
    <w:p w14:paraId="683EE991" w14:textId="77777777" w:rsidR="006418E0" w:rsidRDefault="00641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0"/>
    <w:family w:val="roman"/>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29A4F" w14:textId="77777777" w:rsidR="009F5BB7" w:rsidRPr="00186C21" w:rsidRDefault="009F5BB7" w:rsidP="00750FB6">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E4D5E" w14:textId="0D573A7B" w:rsidR="009F5BB7" w:rsidRPr="00330635" w:rsidRDefault="009F5BB7" w:rsidP="0019642C">
    <w:pPr>
      <w:pStyle w:val="BodyText2"/>
      <w:spacing w:line="240" w:lineRule="auto"/>
      <w:jc w:val="both"/>
      <w:rPr>
        <w:b w:val="0"/>
        <w:bCs w:val="0"/>
        <w:sz w:val="20"/>
        <w:szCs w:val="20"/>
        <w:lang w:val="lv-LV"/>
      </w:rPr>
    </w:pPr>
    <w:r w:rsidRPr="002F3C33">
      <w:rPr>
        <w:b w:val="0"/>
        <w:sz w:val="20"/>
        <w:szCs w:val="20"/>
        <w:lang w:val="lv-LV" w:eastAsia="lv-LV"/>
      </w:rPr>
      <w:t>VARAMAnot_</w:t>
    </w:r>
    <w:r w:rsidR="00B7483A">
      <w:rPr>
        <w:b w:val="0"/>
        <w:sz w:val="20"/>
        <w:szCs w:val="20"/>
        <w:lang w:val="lv-LV" w:eastAsia="lv-LV"/>
      </w:rPr>
      <w:t>08</w:t>
    </w:r>
    <w:r w:rsidR="005C36E8">
      <w:rPr>
        <w:b w:val="0"/>
        <w:sz w:val="20"/>
        <w:szCs w:val="20"/>
        <w:lang w:val="lv-LV" w:eastAsia="lv-LV"/>
      </w:rPr>
      <w:t>02</w:t>
    </w:r>
    <w:r w:rsidR="00E10F5E">
      <w:rPr>
        <w:b w:val="0"/>
        <w:sz w:val="20"/>
        <w:szCs w:val="20"/>
        <w:lang w:val="lv-LV" w:eastAsia="lv-LV"/>
      </w:rPr>
      <w:t>21</w:t>
    </w:r>
    <w:r w:rsidRPr="002F3C33">
      <w:rPr>
        <w:b w:val="0"/>
        <w:sz w:val="20"/>
        <w:szCs w:val="20"/>
        <w:lang w:val="lv-LV" w:eastAsia="lv-LV"/>
      </w:rPr>
      <w:t>_groz645</w:t>
    </w:r>
  </w:p>
  <w:p w14:paraId="60992F45" w14:textId="35564693" w:rsidR="009F5BB7" w:rsidRPr="0019642C" w:rsidRDefault="009F5BB7" w:rsidP="001964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02408" w14:textId="6A9BAA21" w:rsidR="009F5BB7" w:rsidRPr="00330635" w:rsidRDefault="009F5BB7" w:rsidP="00750FB6">
    <w:pPr>
      <w:pStyle w:val="BodyText2"/>
      <w:spacing w:line="240" w:lineRule="auto"/>
      <w:jc w:val="both"/>
      <w:rPr>
        <w:b w:val="0"/>
        <w:bCs w:val="0"/>
        <w:sz w:val="20"/>
        <w:szCs w:val="20"/>
        <w:lang w:val="lv-LV"/>
      </w:rPr>
    </w:pPr>
    <w:r w:rsidRPr="002F3C33">
      <w:rPr>
        <w:b w:val="0"/>
        <w:sz w:val="20"/>
        <w:szCs w:val="20"/>
        <w:lang w:val="lv-LV" w:eastAsia="lv-LV"/>
      </w:rPr>
      <w:t>VARAMAnot_</w:t>
    </w:r>
    <w:r w:rsidR="00B7483A">
      <w:rPr>
        <w:b w:val="0"/>
        <w:sz w:val="20"/>
        <w:szCs w:val="20"/>
        <w:lang w:val="lv-LV" w:eastAsia="lv-LV"/>
      </w:rPr>
      <w:t>08</w:t>
    </w:r>
    <w:r w:rsidR="005C36E8">
      <w:rPr>
        <w:b w:val="0"/>
        <w:sz w:val="20"/>
        <w:szCs w:val="20"/>
        <w:lang w:val="lv-LV" w:eastAsia="lv-LV"/>
      </w:rPr>
      <w:t>02</w:t>
    </w:r>
    <w:r w:rsidR="00E10F5E">
      <w:rPr>
        <w:b w:val="0"/>
        <w:sz w:val="20"/>
        <w:szCs w:val="20"/>
        <w:lang w:val="lv-LV" w:eastAsia="lv-LV"/>
      </w:rPr>
      <w:t>21</w:t>
    </w:r>
    <w:r w:rsidRPr="002F3C33">
      <w:rPr>
        <w:b w:val="0"/>
        <w:sz w:val="20"/>
        <w:szCs w:val="20"/>
        <w:lang w:val="lv-LV" w:eastAsia="lv-LV"/>
      </w:rPr>
      <w:t>_groz645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59426" w14:textId="77777777" w:rsidR="006418E0" w:rsidRDefault="006418E0">
      <w:r>
        <w:separator/>
      </w:r>
    </w:p>
  </w:footnote>
  <w:footnote w:type="continuationSeparator" w:id="0">
    <w:p w14:paraId="65891781" w14:textId="77777777" w:rsidR="006418E0" w:rsidRDefault="006418E0">
      <w:r>
        <w:continuationSeparator/>
      </w:r>
    </w:p>
  </w:footnote>
  <w:footnote w:type="continuationNotice" w:id="1">
    <w:p w14:paraId="55392554" w14:textId="77777777" w:rsidR="006418E0" w:rsidRDefault="006418E0"/>
  </w:footnote>
  <w:footnote w:id="2">
    <w:p w14:paraId="3DB3EE99" w14:textId="626DCB0B" w:rsidR="009F5BB7" w:rsidRDefault="009F5BB7" w:rsidP="009F0132">
      <w:pPr>
        <w:pStyle w:val="FootnoteText"/>
        <w:jc w:val="both"/>
      </w:pPr>
      <w:r>
        <w:rPr>
          <w:rStyle w:val="FootnoteReference"/>
        </w:rPr>
        <w:footnoteRef/>
      </w:r>
      <w:r>
        <w:t xml:space="preserve"> Šis nosacījums nav attiecināms uz tiem projektu iesniegumiem, kas atbilst ar </w:t>
      </w:r>
      <w:r w:rsidRPr="004F7EFF">
        <w:t>MK 2020. gada 26. maija sēdes protokola Nr. 36 34.§ "Informatīvais ziņojums "Par priekšlikumiem COVID-19 seku mazināšanai un Eiropas Savienības fondu 2014.-2020. gada plānošanas perioda pašvaldību investīciju pārskatīšanai"" 5</w:t>
      </w:r>
      <w:r>
        <w:t xml:space="preserve">. punktā noteiktajam izņēmumam. </w:t>
      </w:r>
    </w:p>
  </w:footnote>
  <w:footnote w:id="3">
    <w:p w14:paraId="0B731173" w14:textId="1C7D6505" w:rsidR="009F5BB7" w:rsidRDefault="009F5BB7" w:rsidP="005D5084">
      <w:pPr>
        <w:pStyle w:val="FootnoteText"/>
        <w:jc w:val="both"/>
      </w:pPr>
      <w:r>
        <w:rPr>
          <w:rStyle w:val="FootnoteReference"/>
        </w:rPr>
        <w:footnoteRef/>
      </w:r>
      <w:r>
        <w:t xml:space="preserve"> Pirmo reizi ārkārtējā situācija Latvijā tika izsludināta 2020. gada 12. martā ar </w:t>
      </w:r>
      <w:r w:rsidRPr="008919A6">
        <w:t>M</w:t>
      </w:r>
      <w:r>
        <w:t xml:space="preserve">inistru kabineta 2020. gada 12. marta rīkojumu </w:t>
      </w:r>
      <w:r w:rsidRPr="008919A6">
        <w:t xml:space="preserve">Nr. 103 </w:t>
      </w:r>
      <w:r w:rsidRPr="00D84273">
        <w:t>"</w:t>
      </w:r>
      <w:r w:rsidRPr="008919A6">
        <w:t>Par ārkārtējās situācijas izsludināšanu</w:t>
      </w:r>
      <w:r w:rsidRPr="00D84273">
        <w:t>"</w:t>
      </w:r>
      <w:r>
        <w:t xml:space="preserve"> ar</w:t>
      </w:r>
      <w:r w:rsidRPr="00B47E2A">
        <w:rPr>
          <w:rFonts w:eastAsia="Times New Roman"/>
        </w:rPr>
        <w:t xml:space="preserve"> sākotnējo termiņu līdz 2020. gada 14. aprīlim, kas vēlāk tika pagarināts līdz pat 2020. gada 9. jūnijam</w:t>
      </w:r>
      <w:r>
        <w:rPr>
          <w:rFonts w:eastAsia="Times New Roman"/>
        </w:rPr>
        <w:t>.</w:t>
      </w:r>
    </w:p>
  </w:footnote>
  <w:footnote w:id="4">
    <w:p w14:paraId="58E7A93D" w14:textId="237EED1A" w:rsidR="009F5BB7" w:rsidRDefault="009F5BB7">
      <w:pPr>
        <w:pStyle w:val="FootnoteText"/>
      </w:pPr>
      <w:r>
        <w:rPr>
          <w:rStyle w:val="FootnoteReference"/>
        </w:rPr>
        <w:footnoteRef/>
      </w:r>
      <w:r>
        <w:t xml:space="preserve"> </w:t>
      </w:r>
      <w:r w:rsidRPr="005D5084">
        <w:t xml:space="preserve">Ministru kabineta 2020. gada 6. novembra rīkojums Nr. 655 "Par ārkārtējās situācijas izsludināšanu". </w:t>
      </w:r>
    </w:p>
  </w:footnote>
  <w:footnote w:id="5">
    <w:p w14:paraId="0CAEDF4E" w14:textId="3377AD64" w:rsidR="007B313B" w:rsidRDefault="007B313B" w:rsidP="007B313B">
      <w:pPr>
        <w:pStyle w:val="FootnoteText"/>
        <w:jc w:val="both"/>
      </w:pPr>
      <w:r>
        <w:rPr>
          <w:rStyle w:val="FootnoteReference"/>
        </w:rPr>
        <w:footnoteRef/>
      </w:r>
      <w:r>
        <w:t xml:space="preserve"> </w:t>
      </w:r>
      <w:r w:rsidRPr="00D57340">
        <w:t xml:space="preserve">Norādītais ERAF finansējums netiek uzskatīts par ERAF finansējumu, kurš atbilstoši MK 2020. gada 22. septembra sēdes protokola Nr. 55 30.§ "Informatīvais ziņojums "Par Kohēzijas politikas Eiropas Savienības fondu investīciju aktualitātēm (pusgada ziņojums)""2.1. apakšpunktam novirzāms </w:t>
      </w:r>
      <w:proofErr w:type="spellStart"/>
      <w:r w:rsidRPr="00D57340">
        <w:t>virssaistību</w:t>
      </w:r>
      <w:proofErr w:type="spellEnd"/>
      <w:r w:rsidRPr="00D57340">
        <w:t xml:space="preserve"> kompensēšanai, ņemot vērā, ka MK 2020. gada 26. maija sēdes protokola Nr. 36 34.§ "Informatīvais ziņojums "Par priekšlikumiem COVID-19 seku mazināšanai un Eiropas Savienības fondu 2014.-2020. gada plānošanas perioda pašvaldību investīciju pārskatīšanai"" 7. punkts noteica, ka tas novirzāms jauna</w:t>
      </w:r>
      <w:r>
        <w:t>i</w:t>
      </w:r>
      <w:r w:rsidRPr="00D57340">
        <w:t xml:space="preserve"> atlases kārta</w:t>
      </w:r>
      <w:r>
        <w:t>i</w:t>
      </w:r>
      <w:r w:rsidRPr="00D57340">
        <w:t xml:space="preserve">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ietvaros.</w:t>
      </w:r>
      <w:r w:rsidRPr="000C6B45">
        <w:t xml:space="preserve"> Tā kā kopš 2020. gada pavasara ir konc</w:t>
      </w:r>
      <w:r>
        <w:t xml:space="preserve">eptuāli pārskatīts lēmums par 5.6.2. SAM ERAF </w:t>
      </w:r>
      <w:r w:rsidRPr="000C6B45">
        <w:t>finansējuma atlikumu izmantošanu</w:t>
      </w:r>
      <w:r>
        <w:t>, tas tiek novirzīts 5.6.2. SAM jaunajai (ceturtajai) atlases kārtai.</w:t>
      </w:r>
    </w:p>
  </w:footnote>
  <w:footnote w:id="6">
    <w:p w14:paraId="51BEE06E" w14:textId="5EEC611D" w:rsidR="009F5BB7" w:rsidRDefault="009F5BB7" w:rsidP="00D84273">
      <w:pPr>
        <w:pStyle w:val="FootnoteText"/>
        <w:jc w:val="both"/>
      </w:pPr>
      <w:r>
        <w:rPr>
          <w:rStyle w:val="FootnoteReference"/>
        </w:rPr>
        <w:footnoteRef/>
      </w:r>
      <w:r>
        <w:t xml:space="preserve"> Šis nosacījums nav attiecināms uz tiem projektu iesniegumiem, kas atbilst ar </w:t>
      </w:r>
      <w:r w:rsidRPr="004F7EFF">
        <w:t>MK 2020. gada 26. maija sēdes protokola Nr. 36 34.§ "Informatīvais ziņojums "Par priekšlikumiem COVID-19 seku mazināšanai un Eiropas Savienības fondu 2014.-2020. gada plānošanas perioda pašvaldību investīciju pārskatīšanai"" 5</w:t>
      </w:r>
      <w:r>
        <w:t xml:space="preserve">. punktā noteiktajam izņēmumam. </w:t>
      </w:r>
    </w:p>
  </w:footnote>
  <w:footnote w:id="7">
    <w:p w14:paraId="10CE0F30" w14:textId="77777777" w:rsidR="009F5BB7" w:rsidRDefault="009F5BB7" w:rsidP="00043E1F">
      <w:pPr>
        <w:pStyle w:val="FootnoteText"/>
        <w:jc w:val="both"/>
      </w:pPr>
      <w:r>
        <w:rPr>
          <w:rStyle w:val="FootnoteReference"/>
        </w:rPr>
        <w:footnoteRef/>
      </w:r>
      <w:r>
        <w:t xml:space="preserve"> </w:t>
      </w:r>
      <w:r w:rsidRPr="002676E0">
        <w:t>Pašvaldības, kuras atbilstoši Administratīvo teritoriju un apdzīvoto vietu likuma pārejas noteikumu 25. punktam pēc 2021. gada 1. jūlija sadarbojas ilgtspējīgas attīstības stratēģijas un attīstības programmas izstrādē un izveido kopīgas sadarbības institūcijas šādās jomās: civilā aizsardzība, izglītība un atkritumu apsaimniekošana.</w:t>
      </w:r>
    </w:p>
  </w:footnote>
  <w:footnote w:id="8">
    <w:p w14:paraId="0F6DEC3D" w14:textId="77777777" w:rsidR="009F5BB7" w:rsidRDefault="009F5BB7" w:rsidP="00FD2543">
      <w:pPr>
        <w:pStyle w:val="FootnoteText"/>
      </w:pPr>
      <w:r>
        <w:rPr>
          <w:rStyle w:val="FootnoteReference"/>
        </w:rPr>
        <w:footnoteRef/>
      </w:r>
      <w:r>
        <w:t xml:space="preserve"> </w:t>
      </w:r>
      <w:hyperlink r:id="rId1" w:history="1">
        <w:r>
          <w:rPr>
            <w:rStyle w:val="Hyperlink"/>
          </w:rPr>
          <w:t>https://www.kp.gov.lv/oldfiles/23/normativie_akti%2Flesd_101_102_pants.pdf</w:t>
        </w:r>
      </w:hyperlink>
    </w:p>
  </w:footnote>
  <w:footnote w:id="9">
    <w:p w14:paraId="23DC452C" w14:textId="77777777" w:rsidR="009F5BB7" w:rsidRPr="005B5E24" w:rsidRDefault="009F5BB7" w:rsidP="00C34EBA">
      <w:pPr>
        <w:pStyle w:val="FootnoteText"/>
      </w:pPr>
      <w:r w:rsidRPr="005B5E24">
        <w:rPr>
          <w:rStyle w:val="FootnoteReference"/>
        </w:rPr>
        <w:footnoteRef/>
      </w:r>
      <w:r w:rsidRPr="005B5E24">
        <w:t xml:space="preserve"> </w:t>
      </w:r>
      <w:hyperlink r:id="rId2" w:history="1">
        <w:r w:rsidRPr="005B5E24">
          <w:rPr>
            <w:rStyle w:val="Hyperlink"/>
          </w:rPr>
          <w:t>https://eur-lex.europa.eu/legal-content/LV/TXT/?qid=1588580774040&amp;uri=CELEX:52019DC0640</w:t>
        </w:r>
      </w:hyperlink>
      <w:r w:rsidRPr="005B5E24">
        <w:t xml:space="preserve"> </w:t>
      </w:r>
    </w:p>
  </w:footnote>
  <w:footnote w:id="10">
    <w:p w14:paraId="7D51D095" w14:textId="2D54D375" w:rsidR="0005737A" w:rsidRPr="005B5E24" w:rsidRDefault="0005737A" w:rsidP="0005737A">
      <w:pPr>
        <w:pStyle w:val="FootnoteText"/>
        <w:jc w:val="both"/>
      </w:pPr>
      <w:r w:rsidRPr="005B5E24">
        <w:rPr>
          <w:rStyle w:val="FootnoteReference"/>
        </w:rPr>
        <w:footnoteRef/>
      </w:r>
      <w:r w:rsidRPr="005B5E24">
        <w:t xml:space="preserve"> Ministru kabineta 2017. gada 20. jūnija noteikumu Nr. 353 "Prasības zaļajam publiskajam iepirkumam un to piemērošanas kārtība" 1. pielikums "Preču un pakalpojumu grupas, kurām obligāti piemērojams zaļais publiskais iepirkums (ZPI)" un 2. pielikums "Zaļā publiskā iepirkuma (ZPI) prasības un kritēriji, kurus var izmantot būvdarbu, citu prioritāru preču un pakalpojumu grupu publiskajā iepirkumā"</w:t>
      </w:r>
    </w:p>
  </w:footnote>
  <w:footnote w:id="11">
    <w:p w14:paraId="7624AEDD" w14:textId="78CF13BE" w:rsidR="0005737A" w:rsidRDefault="0005737A" w:rsidP="0005737A">
      <w:pPr>
        <w:pStyle w:val="FootnoteText"/>
        <w:jc w:val="both"/>
      </w:pPr>
      <w:r w:rsidRPr="005B5E24">
        <w:rPr>
          <w:rStyle w:val="FootnoteReference"/>
        </w:rPr>
        <w:footnoteRef/>
      </w:r>
      <w:r w:rsidRPr="005B5E24">
        <w:t xml:space="preserve"> Ministru kabineta 2017. gada 20. jūnija noteikumu Nr. 353 "Prasības zaļajam publiskajam iepirkumam un to piemērošanas kārtība" 5. punktā minētos principus – videi draudzīgs iepirkums, kaitējuma novēršana, aprites cikla skatījums, ietekmju uz vi</w:t>
      </w:r>
      <w:r w:rsidR="005B5E24">
        <w:t>d</w:t>
      </w:r>
      <w:r w:rsidRPr="005B5E24">
        <w:t>i salīdzinājums, informācija par vides aizsardzības pasākumiem</w:t>
      </w:r>
    </w:p>
  </w:footnote>
  <w:footnote w:id="12">
    <w:p w14:paraId="66E3D50F" w14:textId="77777777" w:rsidR="008A01C7" w:rsidRPr="00535C5E" w:rsidRDefault="008A01C7" w:rsidP="008A01C7">
      <w:pPr>
        <w:pStyle w:val="FootnoteText"/>
        <w:jc w:val="both"/>
      </w:pPr>
      <w:r w:rsidRPr="00535C5E">
        <w:rPr>
          <w:rStyle w:val="FootnoteReference"/>
        </w:rPr>
        <w:footnoteRef/>
      </w:r>
      <w:r w:rsidRPr="00535C5E">
        <w:t xml:space="preserve"> Latvijas pielāgošanās klimata pārmaiņām plāns laika posmam līdz 2030. gadam</w:t>
      </w:r>
      <w:r>
        <w:t>, 9.lpp</w:t>
      </w:r>
      <w:r w:rsidRPr="00535C5E">
        <w:t xml:space="preserve">. Definīcija ņemta no Eiropas Zaļās infrastruktūras stratēģijas (COM (2013) 249 </w:t>
      </w:r>
      <w:proofErr w:type="spellStart"/>
      <w:r w:rsidRPr="00535C5E">
        <w:t>final</w:t>
      </w:r>
      <w:proofErr w:type="spellEnd"/>
      <w:r w:rsidRPr="00535C5E">
        <w:t xml:space="preserve">. Komisijas paziņojums Eiropas parlamentam, padomei, Eiropas ekonomikas un sociālo lietu komitejai un Reģionu komitejai. Zaļā infrastruktūra (ZI) — Eiropas dabas kapitāla pilnveide. Pieejams: </w:t>
      </w:r>
      <w:hyperlink r:id="rId3" w:history="1">
        <w:r w:rsidRPr="00535C5E">
          <w:rPr>
            <w:rStyle w:val="Hyperlink"/>
          </w:rPr>
          <w:t>https://eur-lex.europa.eu/legal-content/EN/TXT/?uri=CELEX:52013DC0249</w:t>
        </w:r>
      </w:hyperlink>
      <w:r w:rsidRPr="00535C5E">
        <w:rPr>
          <w:rStyle w:val="Hyperlink"/>
        </w:rPr>
        <w:t>)</w:t>
      </w:r>
    </w:p>
  </w:footnote>
  <w:footnote w:id="13">
    <w:p w14:paraId="10CE8152" w14:textId="2DF63975" w:rsidR="00CD0CCE" w:rsidRDefault="00CD0CCE" w:rsidP="00CD0CCE">
      <w:pPr>
        <w:pStyle w:val="FootnoteText"/>
        <w:jc w:val="both"/>
      </w:pPr>
      <w:r>
        <w:rPr>
          <w:rStyle w:val="FootnoteReference"/>
        </w:rPr>
        <w:footnoteRef/>
      </w:r>
      <w:r>
        <w:t xml:space="preserve"> </w:t>
      </w:r>
      <w:r w:rsidRPr="00CD0CCE">
        <w:t>3</w:t>
      </w:r>
      <w:r>
        <w:t xml:space="preserve">.3.1. specifiskā atbalsta mērķis </w:t>
      </w:r>
      <w:r w:rsidRPr="00CD0CCE">
        <w:t>"Palielināt privāto investīciju apjomu reģionos, veicot ieguldījumus uzņēmējdarbības attīstībai atbilstoši pašvaldību attīstības programmās noteiktajai teritoriju ekonomiskajai specializācijai un balstoties uz vietējo uzņēmēju vajadzībām"</w:t>
      </w:r>
    </w:p>
  </w:footnote>
  <w:footnote w:id="14">
    <w:p w14:paraId="73B69C26" w14:textId="77777777" w:rsidR="009F5BB7" w:rsidRDefault="009F5BB7" w:rsidP="005D5084">
      <w:pPr>
        <w:pStyle w:val="FootnoteText"/>
        <w:jc w:val="both"/>
      </w:pPr>
      <w:r>
        <w:rPr>
          <w:rStyle w:val="FootnoteReference"/>
        </w:rPr>
        <w:footnoteRef/>
      </w:r>
      <w:r>
        <w:t xml:space="preserve"> V</w:t>
      </w:r>
      <w:r w:rsidRPr="0088028C">
        <w:t xml:space="preserve">isām projekta ietvaros plānotajām būvniecības darbībām ir augsta gatavības pakāpe, ja ir veikta būvvaldes atzīme par </w:t>
      </w:r>
      <w:r>
        <w:t xml:space="preserve"> projektēšanas</w:t>
      </w:r>
      <w:r w:rsidRPr="0088028C">
        <w:t xml:space="preserve"> nosacījumu izpildi būvatļaujā vai apliecinājuma kartē, vai paskaidrojuma rakstā, vai ir iesniegta būvvaldes izziņa, kas liecina, ka būvdarbiem būvatļauja, paskaidrojuma raksts vai apliecinājuma karte nav nepieciešama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B3E65" w14:textId="77777777" w:rsidR="009F5BB7" w:rsidRDefault="009F5BB7" w:rsidP="00750FB6">
    <w:pPr>
      <w:pStyle w:val="Header"/>
      <w:framePr w:wrap="auto" w:vAnchor="text" w:hAnchor="margin" w:xAlign="center" w:y="1"/>
      <w:rPr>
        <w:rStyle w:val="PageNumber"/>
      </w:rPr>
    </w:pPr>
    <w:r w:rsidRPr="00EF0BD3">
      <w:rPr>
        <w:rStyle w:val="PageNumber"/>
      </w:rPr>
      <w:fldChar w:fldCharType="begin"/>
    </w:r>
    <w:r w:rsidRPr="00EF0BD3">
      <w:rPr>
        <w:rStyle w:val="PageNumber"/>
      </w:rPr>
      <w:instrText xml:space="preserve">PAGE  </w:instrText>
    </w:r>
    <w:r w:rsidRPr="00EF0BD3">
      <w:rPr>
        <w:rStyle w:val="PageNumber"/>
      </w:rPr>
      <w:fldChar w:fldCharType="separate"/>
    </w:r>
    <w:r w:rsidR="00A65FD2">
      <w:rPr>
        <w:rStyle w:val="PageNumber"/>
        <w:noProof/>
      </w:rPr>
      <w:t>17</w:t>
    </w:r>
    <w:r w:rsidRPr="00EF0BD3">
      <w:rPr>
        <w:rStyle w:val="PageNumber"/>
      </w:rPr>
      <w:fldChar w:fldCharType="end"/>
    </w:r>
  </w:p>
  <w:p w14:paraId="37A59962" w14:textId="77777777" w:rsidR="009F5BB7" w:rsidRDefault="009F5B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C36A2" w14:textId="77777777" w:rsidR="009F5BB7" w:rsidRDefault="009F5BB7" w:rsidP="00750FB6">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1433DF"/>
    <w:multiLevelType w:val="hybridMultilevel"/>
    <w:tmpl w:val="3FE6B164"/>
    <w:lvl w:ilvl="0" w:tplc="FDC4E1B4">
      <w:start w:val="1"/>
      <w:numFmt w:val="bullet"/>
      <w:lvlText w:val=""/>
      <w:lvlJc w:val="left"/>
      <w:pPr>
        <w:ind w:left="720" w:hanging="360"/>
      </w:pPr>
      <w:rPr>
        <w:rFonts w:ascii="Symbol" w:hAnsi="Symbol" w:hint="default"/>
      </w:rPr>
    </w:lvl>
    <w:lvl w:ilvl="1" w:tplc="51769EF0" w:tentative="1">
      <w:start w:val="1"/>
      <w:numFmt w:val="bullet"/>
      <w:lvlText w:val="o"/>
      <w:lvlJc w:val="left"/>
      <w:pPr>
        <w:ind w:left="1440" w:hanging="360"/>
      </w:pPr>
      <w:rPr>
        <w:rFonts w:ascii="Courier New" w:hAnsi="Courier New" w:cs="Courier New" w:hint="default"/>
      </w:rPr>
    </w:lvl>
    <w:lvl w:ilvl="2" w:tplc="E910C198" w:tentative="1">
      <w:start w:val="1"/>
      <w:numFmt w:val="bullet"/>
      <w:lvlText w:val=""/>
      <w:lvlJc w:val="left"/>
      <w:pPr>
        <w:ind w:left="2160" w:hanging="360"/>
      </w:pPr>
      <w:rPr>
        <w:rFonts w:ascii="Wingdings" w:hAnsi="Wingdings" w:hint="default"/>
      </w:rPr>
    </w:lvl>
    <w:lvl w:ilvl="3" w:tplc="71D0BD60" w:tentative="1">
      <w:start w:val="1"/>
      <w:numFmt w:val="bullet"/>
      <w:lvlText w:val=""/>
      <w:lvlJc w:val="left"/>
      <w:pPr>
        <w:ind w:left="2880" w:hanging="360"/>
      </w:pPr>
      <w:rPr>
        <w:rFonts w:ascii="Symbol" w:hAnsi="Symbol" w:hint="default"/>
      </w:rPr>
    </w:lvl>
    <w:lvl w:ilvl="4" w:tplc="9BC6A916" w:tentative="1">
      <w:start w:val="1"/>
      <w:numFmt w:val="bullet"/>
      <w:lvlText w:val="o"/>
      <w:lvlJc w:val="left"/>
      <w:pPr>
        <w:ind w:left="3600" w:hanging="360"/>
      </w:pPr>
      <w:rPr>
        <w:rFonts w:ascii="Courier New" w:hAnsi="Courier New" w:cs="Courier New" w:hint="default"/>
      </w:rPr>
    </w:lvl>
    <w:lvl w:ilvl="5" w:tplc="2626FEBA" w:tentative="1">
      <w:start w:val="1"/>
      <w:numFmt w:val="bullet"/>
      <w:lvlText w:val=""/>
      <w:lvlJc w:val="left"/>
      <w:pPr>
        <w:ind w:left="4320" w:hanging="360"/>
      </w:pPr>
      <w:rPr>
        <w:rFonts w:ascii="Wingdings" w:hAnsi="Wingdings" w:hint="default"/>
      </w:rPr>
    </w:lvl>
    <w:lvl w:ilvl="6" w:tplc="DF58DDF0" w:tentative="1">
      <w:start w:val="1"/>
      <w:numFmt w:val="bullet"/>
      <w:lvlText w:val=""/>
      <w:lvlJc w:val="left"/>
      <w:pPr>
        <w:ind w:left="5040" w:hanging="360"/>
      </w:pPr>
      <w:rPr>
        <w:rFonts w:ascii="Symbol" w:hAnsi="Symbol" w:hint="default"/>
      </w:rPr>
    </w:lvl>
    <w:lvl w:ilvl="7" w:tplc="C788388C" w:tentative="1">
      <w:start w:val="1"/>
      <w:numFmt w:val="bullet"/>
      <w:lvlText w:val="o"/>
      <w:lvlJc w:val="left"/>
      <w:pPr>
        <w:ind w:left="5760" w:hanging="360"/>
      </w:pPr>
      <w:rPr>
        <w:rFonts w:ascii="Courier New" w:hAnsi="Courier New" w:cs="Courier New" w:hint="default"/>
      </w:rPr>
    </w:lvl>
    <w:lvl w:ilvl="8" w:tplc="D9B0B0E0" w:tentative="1">
      <w:start w:val="1"/>
      <w:numFmt w:val="bullet"/>
      <w:lvlText w:val=""/>
      <w:lvlJc w:val="left"/>
      <w:pPr>
        <w:ind w:left="6480" w:hanging="360"/>
      </w:pPr>
      <w:rPr>
        <w:rFonts w:ascii="Wingdings" w:hAnsi="Wingdings" w:hint="default"/>
      </w:rPr>
    </w:lvl>
  </w:abstractNum>
  <w:abstractNum w:abstractNumId="1" w15:restartNumberingAfterBreak="0">
    <w:nsid w:val="051C4050"/>
    <w:multiLevelType w:val="hybridMultilevel"/>
    <w:tmpl w:val="F84AD690"/>
    <w:lvl w:ilvl="0" w:tplc="04260001">
      <w:start w:val="1"/>
      <w:numFmt w:val="bullet"/>
      <w:lvlText w:val=""/>
      <w:lvlJc w:val="left"/>
      <w:pPr>
        <w:ind w:left="1545" w:hanging="360"/>
      </w:pPr>
      <w:rPr>
        <w:rFonts w:ascii="Symbol" w:hAnsi="Symbol" w:hint="default"/>
      </w:rPr>
    </w:lvl>
    <w:lvl w:ilvl="1" w:tplc="04260003" w:tentative="1">
      <w:start w:val="1"/>
      <w:numFmt w:val="bullet"/>
      <w:lvlText w:val="o"/>
      <w:lvlJc w:val="left"/>
      <w:pPr>
        <w:ind w:left="2265" w:hanging="360"/>
      </w:pPr>
      <w:rPr>
        <w:rFonts w:ascii="Courier New" w:hAnsi="Courier New" w:cs="Courier New" w:hint="default"/>
      </w:rPr>
    </w:lvl>
    <w:lvl w:ilvl="2" w:tplc="04260005" w:tentative="1">
      <w:start w:val="1"/>
      <w:numFmt w:val="bullet"/>
      <w:lvlText w:val=""/>
      <w:lvlJc w:val="left"/>
      <w:pPr>
        <w:ind w:left="2985" w:hanging="360"/>
      </w:pPr>
      <w:rPr>
        <w:rFonts w:ascii="Wingdings" w:hAnsi="Wingdings" w:hint="default"/>
      </w:rPr>
    </w:lvl>
    <w:lvl w:ilvl="3" w:tplc="04260001" w:tentative="1">
      <w:start w:val="1"/>
      <w:numFmt w:val="bullet"/>
      <w:lvlText w:val=""/>
      <w:lvlJc w:val="left"/>
      <w:pPr>
        <w:ind w:left="3705" w:hanging="360"/>
      </w:pPr>
      <w:rPr>
        <w:rFonts w:ascii="Symbol" w:hAnsi="Symbol" w:hint="default"/>
      </w:rPr>
    </w:lvl>
    <w:lvl w:ilvl="4" w:tplc="04260003" w:tentative="1">
      <w:start w:val="1"/>
      <w:numFmt w:val="bullet"/>
      <w:lvlText w:val="o"/>
      <w:lvlJc w:val="left"/>
      <w:pPr>
        <w:ind w:left="4425" w:hanging="360"/>
      </w:pPr>
      <w:rPr>
        <w:rFonts w:ascii="Courier New" w:hAnsi="Courier New" w:cs="Courier New" w:hint="default"/>
      </w:rPr>
    </w:lvl>
    <w:lvl w:ilvl="5" w:tplc="04260005" w:tentative="1">
      <w:start w:val="1"/>
      <w:numFmt w:val="bullet"/>
      <w:lvlText w:val=""/>
      <w:lvlJc w:val="left"/>
      <w:pPr>
        <w:ind w:left="5145" w:hanging="360"/>
      </w:pPr>
      <w:rPr>
        <w:rFonts w:ascii="Wingdings" w:hAnsi="Wingdings" w:hint="default"/>
      </w:rPr>
    </w:lvl>
    <w:lvl w:ilvl="6" w:tplc="04260001" w:tentative="1">
      <w:start w:val="1"/>
      <w:numFmt w:val="bullet"/>
      <w:lvlText w:val=""/>
      <w:lvlJc w:val="left"/>
      <w:pPr>
        <w:ind w:left="5865" w:hanging="360"/>
      </w:pPr>
      <w:rPr>
        <w:rFonts w:ascii="Symbol" w:hAnsi="Symbol" w:hint="default"/>
      </w:rPr>
    </w:lvl>
    <w:lvl w:ilvl="7" w:tplc="04260003" w:tentative="1">
      <w:start w:val="1"/>
      <w:numFmt w:val="bullet"/>
      <w:lvlText w:val="o"/>
      <w:lvlJc w:val="left"/>
      <w:pPr>
        <w:ind w:left="6585" w:hanging="360"/>
      </w:pPr>
      <w:rPr>
        <w:rFonts w:ascii="Courier New" w:hAnsi="Courier New" w:cs="Courier New" w:hint="default"/>
      </w:rPr>
    </w:lvl>
    <w:lvl w:ilvl="8" w:tplc="04260005" w:tentative="1">
      <w:start w:val="1"/>
      <w:numFmt w:val="bullet"/>
      <w:lvlText w:val=""/>
      <w:lvlJc w:val="left"/>
      <w:pPr>
        <w:ind w:left="7305" w:hanging="360"/>
      </w:pPr>
      <w:rPr>
        <w:rFonts w:ascii="Wingdings" w:hAnsi="Wingdings" w:hint="default"/>
      </w:rPr>
    </w:lvl>
  </w:abstractNum>
  <w:abstractNum w:abstractNumId="2" w15:restartNumberingAfterBreak="1">
    <w:nsid w:val="06F34F2B"/>
    <w:multiLevelType w:val="hybridMultilevel"/>
    <w:tmpl w:val="BFF6FBFE"/>
    <w:lvl w:ilvl="0" w:tplc="21924FAA">
      <w:start w:val="1"/>
      <w:numFmt w:val="decimal"/>
      <w:lvlText w:val="%1)"/>
      <w:lvlJc w:val="left"/>
      <w:pPr>
        <w:ind w:left="780" w:hanging="360"/>
      </w:pPr>
      <w:rPr>
        <w:rFonts w:hint="default"/>
      </w:rPr>
    </w:lvl>
    <w:lvl w:ilvl="1" w:tplc="AD504238" w:tentative="1">
      <w:start w:val="1"/>
      <w:numFmt w:val="bullet"/>
      <w:lvlText w:val="o"/>
      <w:lvlJc w:val="left"/>
      <w:pPr>
        <w:ind w:left="1500" w:hanging="360"/>
      </w:pPr>
      <w:rPr>
        <w:rFonts w:ascii="Courier New" w:hAnsi="Courier New" w:cs="Courier New" w:hint="default"/>
      </w:rPr>
    </w:lvl>
    <w:lvl w:ilvl="2" w:tplc="DA5CB808" w:tentative="1">
      <w:start w:val="1"/>
      <w:numFmt w:val="bullet"/>
      <w:lvlText w:val=""/>
      <w:lvlJc w:val="left"/>
      <w:pPr>
        <w:ind w:left="2220" w:hanging="360"/>
      </w:pPr>
      <w:rPr>
        <w:rFonts w:ascii="Wingdings" w:hAnsi="Wingdings" w:hint="default"/>
      </w:rPr>
    </w:lvl>
    <w:lvl w:ilvl="3" w:tplc="BFF6BD22" w:tentative="1">
      <w:start w:val="1"/>
      <w:numFmt w:val="bullet"/>
      <w:lvlText w:val=""/>
      <w:lvlJc w:val="left"/>
      <w:pPr>
        <w:ind w:left="2940" w:hanging="360"/>
      </w:pPr>
      <w:rPr>
        <w:rFonts w:ascii="Symbol" w:hAnsi="Symbol" w:hint="default"/>
      </w:rPr>
    </w:lvl>
    <w:lvl w:ilvl="4" w:tplc="4BC8CAD2" w:tentative="1">
      <w:start w:val="1"/>
      <w:numFmt w:val="bullet"/>
      <w:lvlText w:val="o"/>
      <w:lvlJc w:val="left"/>
      <w:pPr>
        <w:ind w:left="3660" w:hanging="360"/>
      </w:pPr>
      <w:rPr>
        <w:rFonts w:ascii="Courier New" w:hAnsi="Courier New" w:cs="Courier New" w:hint="default"/>
      </w:rPr>
    </w:lvl>
    <w:lvl w:ilvl="5" w:tplc="79F07366" w:tentative="1">
      <w:start w:val="1"/>
      <w:numFmt w:val="bullet"/>
      <w:lvlText w:val=""/>
      <w:lvlJc w:val="left"/>
      <w:pPr>
        <w:ind w:left="4380" w:hanging="360"/>
      </w:pPr>
      <w:rPr>
        <w:rFonts w:ascii="Wingdings" w:hAnsi="Wingdings" w:hint="default"/>
      </w:rPr>
    </w:lvl>
    <w:lvl w:ilvl="6" w:tplc="7388A622" w:tentative="1">
      <w:start w:val="1"/>
      <w:numFmt w:val="bullet"/>
      <w:lvlText w:val=""/>
      <w:lvlJc w:val="left"/>
      <w:pPr>
        <w:ind w:left="5100" w:hanging="360"/>
      </w:pPr>
      <w:rPr>
        <w:rFonts w:ascii="Symbol" w:hAnsi="Symbol" w:hint="default"/>
      </w:rPr>
    </w:lvl>
    <w:lvl w:ilvl="7" w:tplc="F64414C6" w:tentative="1">
      <w:start w:val="1"/>
      <w:numFmt w:val="bullet"/>
      <w:lvlText w:val="o"/>
      <w:lvlJc w:val="left"/>
      <w:pPr>
        <w:ind w:left="5820" w:hanging="360"/>
      </w:pPr>
      <w:rPr>
        <w:rFonts w:ascii="Courier New" w:hAnsi="Courier New" w:cs="Courier New" w:hint="default"/>
      </w:rPr>
    </w:lvl>
    <w:lvl w:ilvl="8" w:tplc="3AE024C4" w:tentative="1">
      <w:start w:val="1"/>
      <w:numFmt w:val="bullet"/>
      <w:lvlText w:val=""/>
      <w:lvlJc w:val="left"/>
      <w:pPr>
        <w:ind w:left="6540" w:hanging="360"/>
      </w:pPr>
      <w:rPr>
        <w:rFonts w:ascii="Wingdings" w:hAnsi="Wingdings" w:hint="default"/>
      </w:rPr>
    </w:lvl>
  </w:abstractNum>
  <w:abstractNum w:abstractNumId="3" w15:restartNumberingAfterBreak="1">
    <w:nsid w:val="0C3C0C7C"/>
    <w:multiLevelType w:val="hybridMultilevel"/>
    <w:tmpl w:val="A156E668"/>
    <w:lvl w:ilvl="0" w:tplc="DA4AC9C8">
      <w:start w:val="1"/>
      <w:numFmt w:val="decimal"/>
      <w:lvlText w:val="%1)"/>
      <w:lvlJc w:val="left"/>
      <w:pPr>
        <w:ind w:left="720" w:hanging="360"/>
      </w:pPr>
    </w:lvl>
    <w:lvl w:ilvl="1" w:tplc="8938B6A6">
      <w:numFmt w:val="bullet"/>
      <w:lvlText w:val="-"/>
      <w:lvlJc w:val="left"/>
      <w:pPr>
        <w:ind w:left="1800" w:hanging="720"/>
      </w:pPr>
      <w:rPr>
        <w:rFonts w:ascii="Times New Roman" w:eastAsia="Calibri" w:hAnsi="Times New Roman" w:cs="Times New Roman" w:hint="default"/>
      </w:rPr>
    </w:lvl>
    <w:lvl w:ilvl="2" w:tplc="803AB1C6" w:tentative="1">
      <w:start w:val="1"/>
      <w:numFmt w:val="lowerRoman"/>
      <w:lvlText w:val="%3."/>
      <w:lvlJc w:val="right"/>
      <w:pPr>
        <w:ind w:left="2160" w:hanging="180"/>
      </w:pPr>
    </w:lvl>
    <w:lvl w:ilvl="3" w:tplc="74149ED0" w:tentative="1">
      <w:start w:val="1"/>
      <w:numFmt w:val="decimal"/>
      <w:lvlText w:val="%4."/>
      <w:lvlJc w:val="left"/>
      <w:pPr>
        <w:ind w:left="2880" w:hanging="360"/>
      </w:pPr>
    </w:lvl>
    <w:lvl w:ilvl="4" w:tplc="24089312" w:tentative="1">
      <w:start w:val="1"/>
      <w:numFmt w:val="lowerLetter"/>
      <w:lvlText w:val="%5."/>
      <w:lvlJc w:val="left"/>
      <w:pPr>
        <w:ind w:left="3600" w:hanging="360"/>
      </w:pPr>
    </w:lvl>
    <w:lvl w:ilvl="5" w:tplc="9684B06C" w:tentative="1">
      <w:start w:val="1"/>
      <w:numFmt w:val="lowerRoman"/>
      <w:lvlText w:val="%6."/>
      <w:lvlJc w:val="right"/>
      <w:pPr>
        <w:ind w:left="4320" w:hanging="180"/>
      </w:pPr>
    </w:lvl>
    <w:lvl w:ilvl="6" w:tplc="B1CC5372" w:tentative="1">
      <w:start w:val="1"/>
      <w:numFmt w:val="decimal"/>
      <w:lvlText w:val="%7."/>
      <w:lvlJc w:val="left"/>
      <w:pPr>
        <w:ind w:left="5040" w:hanging="360"/>
      </w:pPr>
    </w:lvl>
    <w:lvl w:ilvl="7" w:tplc="B08452E4" w:tentative="1">
      <w:start w:val="1"/>
      <w:numFmt w:val="lowerLetter"/>
      <w:lvlText w:val="%8."/>
      <w:lvlJc w:val="left"/>
      <w:pPr>
        <w:ind w:left="5760" w:hanging="360"/>
      </w:pPr>
    </w:lvl>
    <w:lvl w:ilvl="8" w:tplc="457293BC" w:tentative="1">
      <w:start w:val="1"/>
      <w:numFmt w:val="lowerRoman"/>
      <w:lvlText w:val="%9."/>
      <w:lvlJc w:val="right"/>
      <w:pPr>
        <w:ind w:left="6480" w:hanging="180"/>
      </w:pPr>
    </w:lvl>
  </w:abstractNum>
  <w:abstractNum w:abstractNumId="4" w15:restartNumberingAfterBreak="1">
    <w:nsid w:val="0C776D51"/>
    <w:multiLevelType w:val="hybridMultilevel"/>
    <w:tmpl w:val="23108382"/>
    <w:lvl w:ilvl="0" w:tplc="8C8EBB5A">
      <w:start w:val="1"/>
      <w:numFmt w:val="decimal"/>
      <w:lvlText w:val="%1)"/>
      <w:lvlJc w:val="left"/>
      <w:pPr>
        <w:ind w:left="394" w:hanging="360"/>
      </w:pPr>
    </w:lvl>
    <w:lvl w:ilvl="1" w:tplc="141252FA">
      <w:start w:val="1"/>
      <w:numFmt w:val="decimal"/>
      <w:lvlText w:val="%2)"/>
      <w:lvlJc w:val="left"/>
      <w:pPr>
        <w:ind w:left="1114" w:hanging="360"/>
      </w:pPr>
    </w:lvl>
    <w:lvl w:ilvl="2" w:tplc="B96C0FEE" w:tentative="1">
      <w:start w:val="1"/>
      <w:numFmt w:val="lowerRoman"/>
      <w:lvlText w:val="%3."/>
      <w:lvlJc w:val="right"/>
      <w:pPr>
        <w:ind w:left="1834" w:hanging="180"/>
      </w:pPr>
    </w:lvl>
    <w:lvl w:ilvl="3" w:tplc="6A386CBC" w:tentative="1">
      <w:start w:val="1"/>
      <w:numFmt w:val="decimal"/>
      <w:lvlText w:val="%4."/>
      <w:lvlJc w:val="left"/>
      <w:pPr>
        <w:ind w:left="2554" w:hanging="360"/>
      </w:pPr>
    </w:lvl>
    <w:lvl w:ilvl="4" w:tplc="F82A2C3C" w:tentative="1">
      <w:start w:val="1"/>
      <w:numFmt w:val="lowerLetter"/>
      <w:lvlText w:val="%5."/>
      <w:lvlJc w:val="left"/>
      <w:pPr>
        <w:ind w:left="3274" w:hanging="360"/>
      </w:pPr>
    </w:lvl>
    <w:lvl w:ilvl="5" w:tplc="8604D11C" w:tentative="1">
      <w:start w:val="1"/>
      <w:numFmt w:val="lowerRoman"/>
      <w:lvlText w:val="%6."/>
      <w:lvlJc w:val="right"/>
      <w:pPr>
        <w:ind w:left="3994" w:hanging="180"/>
      </w:pPr>
    </w:lvl>
    <w:lvl w:ilvl="6" w:tplc="A8A65F06" w:tentative="1">
      <w:start w:val="1"/>
      <w:numFmt w:val="decimal"/>
      <w:lvlText w:val="%7."/>
      <w:lvlJc w:val="left"/>
      <w:pPr>
        <w:ind w:left="4714" w:hanging="360"/>
      </w:pPr>
    </w:lvl>
    <w:lvl w:ilvl="7" w:tplc="F2AE9F0E" w:tentative="1">
      <w:start w:val="1"/>
      <w:numFmt w:val="lowerLetter"/>
      <w:lvlText w:val="%8."/>
      <w:lvlJc w:val="left"/>
      <w:pPr>
        <w:ind w:left="5434" w:hanging="360"/>
      </w:pPr>
    </w:lvl>
    <w:lvl w:ilvl="8" w:tplc="470E34DC" w:tentative="1">
      <w:start w:val="1"/>
      <w:numFmt w:val="lowerRoman"/>
      <w:lvlText w:val="%9."/>
      <w:lvlJc w:val="right"/>
      <w:pPr>
        <w:ind w:left="6154" w:hanging="180"/>
      </w:pPr>
    </w:lvl>
  </w:abstractNum>
  <w:abstractNum w:abstractNumId="5" w15:restartNumberingAfterBreak="1">
    <w:nsid w:val="12591D88"/>
    <w:multiLevelType w:val="hybridMultilevel"/>
    <w:tmpl w:val="D68EAB7A"/>
    <w:lvl w:ilvl="0" w:tplc="FACE4BA4">
      <w:start w:val="1"/>
      <w:numFmt w:val="decimal"/>
      <w:lvlText w:val="%1."/>
      <w:lvlJc w:val="left"/>
      <w:pPr>
        <w:ind w:left="720" w:hanging="360"/>
      </w:pPr>
      <w:rPr>
        <w:rFonts w:hint="default"/>
      </w:rPr>
    </w:lvl>
    <w:lvl w:ilvl="1" w:tplc="686EE3E4" w:tentative="1">
      <w:start w:val="1"/>
      <w:numFmt w:val="lowerLetter"/>
      <w:lvlText w:val="%2."/>
      <w:lvlJc w:val="left"/>
      <w:pPr>
        <w:ind w:left="1440" w:hanging="360"/>
      </w:pPr>
    </w:lvl>
    <w:lvl w:ilvl="2" w:tplc="1F8CB0E2" w:tentative="1">
      <w:start w:val="1"/>
      <w:numFmt w:val="lowerRoman"/>
      <w:lvlText w:val="%3."/>
      <w:lvlJc w:val="right"/>
      <w:pPr>
        <w:ind w:left="2160" w:hanging="180"/>
      </w:pPr>
    </w:lvl>
    <w:lvl w:ilvl="3" w:tplc="6770A89E" w:tentative="1">
      <w:start w:val="1"/>
      <w:numFmt w:val="decimal"/>
      <w:lvlText w:val="%4."/>
      <w:lvlJc w:val="left"/>
      <w:pPr>
        <w:ind w:left="2880" w:hanging="360"/>
      </w:pPr>
    </w:lvl>
    <w:lvl w:ilvl="4" w:tplc="36D4E310" w:tentative="1">
      <w:start w:val="1"/>
      <w:numFmt w:val="lowerLetter"/>
      <w:lvlText w:val="%5."/>
      <w:lvlJc w:val="left"/>
      <w:pPr>
        <w:ind w:left="3600" w:hanging="360"/>
      </w:pPr>
    </w:lvl>
    <w:lvl w:ilvl="5" w:tplc="61BE15DA" w:tentative="1">
      <w:start w:val="1"/>
      <w:numFmt w:val="lowerRoman"/>
      <w:lvlText w:val="%6."/>
      <w:lvlJc w:val="right"/>
      <w:pPr>
        <w:ind w:left="4320" w:hanging="180"/>
      </w:pPr>
    </w:lvl>
    <w:lvl w:ilvl="6" w:tplc="95F8B178" w:tentative="1">
      <w:start w:val="1"/>
      <w:numFmt w:val="decimal"/>
      <w:lvlText w:val="%7."/>
      <w:lvlJc w:val="left"/>
      <w:pPr>
        <w:ind w:left="5040" w:hanging="360"/>
      </w:pPr>
    </w:lvl>
    <w:lvl w:ilvl="7" w:tplc="D2BE6FCE" w:tentative="1">
      <w:start w:val="1"/>
      <w:numFmt w:val="lowerLetter"/>
      <w:lvlText w:val="%8."/>
      <w:lvlJc w:val="left"/>
      <w:pPr>
        <w:ind w:left="5760" w:hanging="360"/>
      </w:pPr>
    </w:lvl>
    <w:lvl w:ilvl="8" w:tplc="B948B6C2" w:tentative="1">
      <w:start w:val="1"/>
      <w:numFmt w:val="lowerRoman"/>
      <w:lvlText w:val="%9."/>
      <w:lvlJc w:val="right"/>
      <w:pPr>
        <w:ind w:left="6480" w:hanging="180"/>
      </w:pPr>
    </w:lvl>
  </w:abstractNum>
  <w:abstractNum w:abstractNumId="6" w15:restartNumberingAfterBreak="1">
    <w:nsid w:val="13694497"/>
    <w:multiLevelType w:val="hybridMultilevel"/>
    <w:tmpl w:val="3D3A3AE8"/>
    <w:lvl w:ilvl="0" w:tplc="6A966DAC">
      <w:start w:val="1"/>
      <w:numFmt w:val="decimal"/>
      <w:lvlText w:val="%1."/>
      <w:lvlJc w:val="left"/>
      <w:pPr>
        <w:ind w:left="720" w:hanging="360"/>
      </w:pPr>
    </w:lvl>
    <w:lvl w:ilvl="1" w:tplc="F19455E2" w:tentative="1">
      <w:start w:val="1"/>
      <w:numFmt w:val="lowerLetter"/>
      <w:lvlText w:val="%2."/>
      <w:lvlJc w:val="left"/>
      <w:pPr>
        <w:ind w:left="1440" w:hanging="360"/>
      </w:pPr>
    </w:lvl>
    <w:lvl w:ilvl="2" w:tplc="4B2A11AC" w:tentative="1">
      <w:start w:val="1"/>
      <w:numFmt w:val="lowerRoman"/>
      <w:lvlText w:val="%3."/>
      <w:lvlJc w:val="right"/>
      <w:pPr>
        <w:ind w:left="2160" w:hanging="180"/>
      </w:pPr>
    </w:lvl>
    <w:lvl w:ilvl="3" w:tplc="5C00EA8C" w:tentative="1">
      <w:start w:val="1"/>
      <w:numFmt w:val="decimal"/>
      <w:lvlText w:val="%4."/>
      <w:lvlJc w:val="left"/>
      <w:pPr>
        <w:ind w:left="2880" w:hanging="360"/>
      </w:pPr>
    </w:lvl>
    <w:lvl w:ilvl="4" w:tplc="C39600CA" w:tentative="1">
      <w:start w:val="1"/>
      <w:numFmt w:val="lowerLetter"/>
      <w:lvlText w:val="%5."/>
      <w:lvlJc w:val="left"/>
      <w:pPr>
        <w:ind w:left="3600" w:hanging="360"/>
      </w:pPr>
    </w:lvl>
    <w:lvl w:ilvl="5" w:tplc="B5E6B642" w:tentative="1">
      <w:start w:val="1"/>
      <w:numFmt w:val="lowerRoman"/>
      <w:lvlText w:val="%6."/>
      <w:lvlJc w:val="right"/>
      <w:pPr>
        <w:ind w:left="4320" w:hanging="180"/>
      </w:pPr>
    </w:lvl>
    <w:lvl w:ilvl="6" w:tplc="A06A9E3E" w:tentative="1">
      <w:start w:val="1"/>
      <w:numFmt w:val="decimal"/>
      <w:lvlText w:val="%7."/>
      <w:lvlJc w:val="left"/>
      <w:pPr>
        <w:ind w:left="5040" w:hanging="360"/>
      </w:pPr>
    </w:lvl>
    <w:lvl w:ilvl="7" w:tplc="35F4495A" w:tentative="1">
      <w:start w:val="1"/>
      <w:numFmt w:val="lowerLetter"/>
      <w:lvlText w:val="%8."/>
      <w:lvlJc w:val="left"/>
      <w:pPr>
        <w:ind w:left="5760" w:hanging="360"/>
      </w:pPr>
    </w:lvl>
    <w:lvl w:ilvl="8" w:tplc="5E929022" w:tentative="1">
      <w:start w:val="1"/>
      <w:numFmt w:val="lowerRoman"/>
      <w:lvlText w:val="%9."/>
      <w:lvlJc w:val="right"/>
      <w:pPr>
        <w:ind w:left="6480" w:hanging="180"/>
      </w:pPr>
    </w:lvl>
  </w:abstractNum>
  <w:abstractNum w:abstractNumId="7" w15:restartNumberingAfterBreak="0">
    <w:nsid w:val="1535552B"/>
    <w:multiLevelType w:val="hybridMultilevel"/>
    <w:tmpl w:val="1FAEAC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5A75F58"/>
    <w:multiLevelType w:val="hybridMultilevel"/>
    <w:tmpl w:val="D81895F0"/>
    <w:lvl w:ilvl="0" w:tplc="AC104F70">
      <w:start w:val="1"/>
      <w:numFmt w:val="lowerLetter"/>
      <w:lvlText w:val="%1)"/>
      <w:lvlJc w:val="left"/>
      <w:pPr>
        <w:ind w:left="720" w:hanging="360"/>
      </w:pPr>
      <w:rPr>
        <w:rFonts w:ascii="Times New Roman" w:eastAsia="Calibri"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D66153E"/>
    <w:multiLevelType w:val="hybridMultilevel"/>
    <w:tmpl w:val="5D1C97D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A903E0"/>
    <w:multiLevelType w:val="hybridMultilevel"/>
    <w:tmpl w:val="F5820E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631576"/>
    <w:multiLevelType w:val="hybridMultilevel"/>
    <w:tmpl w:val="F1944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FF16C1"/>
    <w:multiLevelType w:val="hybridMultilevel"/>
    <w:tmpl w:val="5D60AB5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1">
    <w:nsid w:val="2CE03CB0"/>
    <w:multiLevelType w:val="hybridMultilevel"/>
    <w:tmpl w:val="C5B68AFE"/>
    <w:lvl w:ilvl="0" w:tplc="5EBE0F5E">
      <w:start w:val="1"/>
      <w:numFmt w:val="decimal"/>
      <w:lvlText w:val="%1."/>
      <w:lvlJc w:val="left"/>
      <w:pPr>
        <w:ind w:left="720" w:hanging="360"/>
      </w:pPr>
      <w:rPr>
        <w:rFonts w:hint="default"/>
      </w:rPr>
    </w:lvl>
    <w:lvl w:ilvl="1" w:tplc="E36C295C" w:tentative="1">
      <w:start w:val="1"/>
      <w:numFmt w:val="lowerLetter"/>
      <w:lvlText w:val="%2."/>
      <w:lvlJc w:val="left"/>
      <w:pPr>
        <w:ind w:left="1440" w:hanging="360"/>
      </w:pPr>
    </w:lvl>
    <w:lvl w:ilvl="2" w:tplc="1626F218" w:tentative="1">
      <w:start w:val="1"/>
      <w:numFmt w:val="lowerRoman"/>
      <w:lvlText w:val="%3."/>
      <w:lvlJc w:val="right"/>
      <w:pPr>
        <w:ind w:left="2160" w:hanging="180"/>
      </w:pPr>
    </w:lvl>
    <w:lvl w:ilvl="3" w:tplc="30FCA1CC" w:tentative="1">
      <w:start w:val="1"/>
      <w:numFmt w:val="decimal"/>
      <w:lvlText w:val="%4."/>
      <w:lvlJc w:val="left"/>
      <w:pPr>
        <w:ind w:left="2880" w:hanging="360"/>
      </w:pPr>
    </w:lvl>
    <w:lvl w:ilvl="4" w:tplc="AA2ABF22" w:tentative="1">
      <w:start w:val="1"/>
      <w:numFmt w:val="lowerLetter"/>
      <w:lvlText w:val="%5."/>
      <w:lvlJc w:val="left"/>
      <w:pPr>
        <w:ind w:left="3600" w:hanging="360"/>
      </w:pPr>
    </w:lvl>
    <w:lvl w:ilvl="5" w:tplc="0910034C" w:tentative="1">
      <w:start w:val="1"/>
      <w:numFmt w:val="lowerRoman"/>
      <w:lvlText w:val="%6."/>
      <w:lvlJc w:val="right"/>
      <w:pPr>
        <w:ind w:left="4320" w:hanging="180"/>
      </w:pPr>
    </w:lvl>
    <w:lvl w:ilvl="6" w:tplc="F5F8D062" w:tentative="1">
      <w:start w:val="1"/>
      <w:numFmt w:val="decimal"/>
      <w:lvlText w:val="%7."/>
      <w:lvlJc w:val="left"/>
      <w:pPr>
        <w:ind w:left="5040" w:hanging="360"/>
      </w:pPr>
    </w:lvl>
    <w:lvl w:ilvl="7" w:tplc="D884DB50" w:tentative="1">
      <w:start w:val="1"/>
      <w:numFmt w:val="lowerLetter"/>
      <w:lvlText w:val="%8."/>
      <w:lvlJc w:val="left"/>
      <w:pPr>
        <w:ind w:left="5760" w:hanging="360"/>
      </w:pPr>
    </w:lvl>
    <w:lvl w:ilvl="8" w:tplc="311C64A2" w:tentative="1">
      <w:start w:val="1"/>
      <w:numFmt w:val="lowerRoman"/>
      <w:lvlText w:val="%9."/>
      <w:lvlJc w:val="right"/>
      <w:pPr>
        <w:ind w:left="6480" w:hanging="180"/>
      </w:pPr>
    </w:lvl>
  </w:abstractNum>
  <w:abstractNum w:abstractNumId="14" w15:restartNumberingAfterBreak="1">
    <w:nsid w:val="2E6930F1"/>
    <w:multiLevelType w:val="hybridMultilevel"/>
    <w:tmpl w:val="0D68B2E8"/>
    <w:lvl w:ilvl="0" w:tplc="168EA91E">
      <w:start w:val="1"/>
      <w:numFmt w:val="decimal"/>
      <w:lvlText w:val="%1."/>
      <w:lvlJc w:val="left"/>
      <w:pPr>
        <w:ind w:left="785" w:hanging="360"/>
      </w:pPr>
      <w:rPr>
        <w:rFonts w:hint="default"/>
      </w:rPr>
    </w:lvl>
    <w:lvl w:ilvl="1" w:tplc="55B206BA">
      <w:start w:val="1"/>
      <w:numFmt w:val="lowerLetter"/>
      <w:lvlText w:val="%2."/>
      <w:lvlJc w:val="left"/>
      <w:pPr>
        <w:ind w:left="1363" w:hanging="360"/>
      </w:pPr>
    </w:lvl>
    <w:lvl w:ilvl="2" w:tplc="4BB0F5C4" w:tentative="1">
      <w:start w:val="1"/>
      <w:numFmt w:val="lowerRoman"/>
      <w:lvlText w:val="%3."/>
      <w:lvlJc w:val="right"/>
      <w:pPr>
        <w:ind w:left="2083" w:hanging="180"/>
      </w:pPr>
    </w:lvl>
    <w:lvl w:ilvl="3" w:tplc="ED046C56" w:tentative="1">
      <w:start w:val="1"/>
      <w:numFmt w:val="decimal"/>
      <w:lvlText w:val="%4."/>
      <w:lvlJc w:val="left"/>
      <w:pPr>
        <w:ind w:left="2803" w:hanging="360"/>
      </w:pPr>
    </w:lvl>
    <w:lvl w:ilvl="4" w:tplc="8B247EFA" w:tentative="1">
      <w:start w:val="1"/>
      <w:numFmt w:val="lowerLetter"/>
      <w:lvlText w:val="%5."/>
      <w:lvlJc w:val="left"/>
      <w:pPr>
        <w:ind w:left="3523" w:hanging="360"/>
      </w:pPr>
    </w:lvl>
    <w:lvl w:ilvl="5" w:tplc="A4246F8C" w:tentative="1">
      <w:start w:val="1"/>
      <w:numFmt w:val="lowerRoman"/>
      <w:lvlText w:val="%6."/>
      <w:lvlJc w:val="right"/>
      <w:pPr>
        <w:ind w:left="4243" w:hanging="180"/>
      </w:pPr>
    </w:lvl>
    <w:lvl w:ilvl="6" w:tplc="B5643882" w:tentative="1">
      <w:start w:val="1"/>
      <w:numFmt w:val="decimal"/>
      <w:lvlText w:val="%7."/>
      <w:lvlJc w:val="left"/>
      <w:pPr>
        <w:ind w:left="4963" w:hanging="360"/>
      </w:pPr>
    </w:lvl>
    <w:lvl w:ilvl="7" w:tplc="3DFEACF0" w:tentative="1">
      <w:start w:val="1"/>
      <w:numFmt w:val="lowerLetter"/>
      <w:lvlText w:val="%8."/>
      <w:lvlJc w:val="left"/>
      <w:pPr>
        <w:ind w:left="5683" w:hanging="360"/>
      </w:pPr>
    </w:lvl>
    <w:lvl w:ilvl="8" w:tplc="F956F572" w:tentative="1">
      <w:start w:val="1"/>
      <w:numFmt w:val="lowerRoman"/>
      <w:lvlText w:val="%9."/>
      <w:lvlJc w:val="right"/>
      <w:pPr>
        <w:ind w:left="6403" w:hanging="180"/>
      </w:pPr>
    </w:lvl>
  </w:abstractNum>
  <w:abstractNum w:abstractNumId="15" w15:restartNumberingAfterBreak="0">
    <w:nsid w:val="2EE65843"/>
    <w:multiLevelType w:val="hybridMultilevel"/>
    <w:tmpl w:val="025007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1">
    <w:nsid w:val="2F4056A2"/>
    <w:multiLevelType w:val="hybridMultilevel"/>
    <w:tmpl w:val="F738B738"/>
    <w:lvl w:ilvl="0" w:tplc="8B0E1E8A">
      <w:start w:val="1"/>
      <w:numFmt w:val="decimal"/>
      <w:lvlText w:val="%1."/>
      <w:lvlJc w:val="left"/>
      <w:pPr>
        <w:ind w:left="497" w:hanging="360"/>
      </w:pPr>
      <w:rPr>
        <w:rFonts w:hint="default"/>
      </w:rPr>
    </w:lvl>
    <w:lvl w:ilvl="1" w:tplc="1C0654A4" w:tentative="1">
      <w:start w:val="1"/>
      <w:numFmt w:val="lowerLetter"/>
      <w:lvlText w:val="%2."/>
      <w:lvlJc w:val="left"/>
      <w:pPr>
        <w:ind w:left="1217" w:hanging="360"/>
      </w:pPr>
    </w:lvl>
    <w:lvl w:ilvl="2" w:tplc="885A55BE" w:tentative="1">
      <w:start w:val="1"/>
      <w:numFmt w:val="lowerRoman"/>
      <w:lvlText w:val="%3."/>
      <w:lvlJc w:val="right"/>
      <w:pPr>
        <w:ind w:left="1937" w:hanging="180"/>
      </w:pPr>
    </w:lvl>
    <w:lvl w:ilvl="3" w:tplc="C4D258BE" w:tentative="1">
      <w:start w:val="1"/>
      <w:numFmt w:val="decimal"/>
      <w:lvlText w:val="%4."/>
      <w:lvlJc w:val="left"/>
      <w:pPr>
        <w:ind w:left="2657" w:hanging="360"/>
      </w:pPr>
    </w:lvl>
    <w:lvl w:ilvl="4" w:tplc="CC7C40DA" w:tentative="1">
      <w:start w:val="1"/>
      <w:numFmt w:val="lowerLetter"/>
      <w:lvlText w:val="%5."/>
      <w:lvlJc w:val="left"/>
      <w:pPr>
        <w:ind w:left="3377" w:hanging="360"/>
      </w:pPr>
    </w:lvl>
    <w:lvl w:ilvl="5" w:tplc="6ECC1D6E" w:tentative="1">
      <w:start w:val="1"/>
      <w:numFmt w:val="lowerRoman"/>
      <w:lvlText w:val="%6."/>
      <w:lvlJc w:val="right"/>
      <w:pPr>
        <w:ind w:left="4097" w:hanging="180"/>
      </w:pPr>
    </w:lvl>
    <w:lvl w:ilvl="6" w:tplc="5F4A38DA" w:tentative="1">
      <w:start w:val="1"/>
      <w:numFmt w:val="decimal"/>
      <w:lvlText w:val="%7."/>
      <w:lvlJc w:val="left"/>
      <w:pPr>
        <w:ind w:left="4817" w:hanging="360"/>
      </w:pPr>
    </w:lvl>
    <w:lvl w:ilvl="7" w:tplc="5AF00B16" w:tentative="1">
      <w:start w:val="1"/>
      <w:numFmt w:val="lowerLetter"/>
      <w:lvlText w:val="%8."/>
      <w:lvlJc w:val="left"/>
      <w:pPr>
        <w:ind w:left="5537" w:hanging="360"/>
      </w:pPr>
    </w:lvl>
    <w:lvl w:ilvl="8" w:tplc="C394BC50" w:tentative="1">
      <w:start w:val="1"/>
      <w:numFmt w:val="lowerRoman"/>
      <w:lvlText w:val="%9."/>
      <w:lvlJc w:val="right"/>
      <w:pPr>
        <w:ind w:left="6257" w:hanging="180"/>
      </w:pPr>
    </w:lvl>
  </w:abstractNum>
  <w:abstractNum w:abstractNumId="17" w15:restartNumberingAfterBreak="1">
    <w:nsid w:val="2FA6424A"/>
    <w:multiLevelType w:val="hybridMultilevel"/>
    <w:tmpl w:val="3B9C39EA"/>
    <w:lvl w:ilvl="0" w:tplc="7B68A9D2">
      <w:start w:val="1"/>
      <w:numFmt w:val="decimal"/>
      <w:lvlText w:val="%1."/>
      <w:lvlJc w:val="left"/>
      <w:pPr>
        <w:ind w:left="417" w:hanging="360"/>
      </w:pPr>
      <w:rPr>
        <w:rFonts w:hint="default"/>
      </w:rPr>
    </w:lvl>
    <w:lvl w:ilvl="1" w:tplc="6CBCE720" w:tentative="1">
      <w:start w:val="1"/>
      <w:numFmt w:val="lowerLetter"/>
      <w:lvlText w:val="%2."/>
      <w:lvlJc w:val="left"/>
      <w:pPr>
        <w:ind w:left="1137" w:hanging="360"/>
      </w:pPr>
    </w:lvl>
    <w:lvl w:ilvl="2" w:tplc="728AA950" w:tentative="1">
      <w:start w:val="1"/>
      <w:numFmt w:val="lowerRoman"/>
      <w:lvlText w:val="%3."/>
      <w:lvlJc w:val="right"/>
      <w:pPr>
        <w:ind w:left="1857" w:hanging="180"/>
      </w:pPr>
    </w:lvl>
    <w:lvl w:ilvl="3" w:tplc="CF20928C" w:tentative="1">
      <w:start w:val="1"/>
      <w:numFmt w:val="decimal"/>
      <w:lvlText w:val="%4."/>
      <w:lvlJc w:val="left"/>
      <w:pPr>
        <w:ind w:left="2577" w:hanging="360"/>
      </w:pPr>
    </w:lvl>
    <w:lvl w:ilvl="4" w:tplc="9ADECAEC" w:tentative="1">
      <w:start w:val="1"/>
      <w:numFmt w:val="lowerLetter"/>
      <w:lvlText w:val="%5."/>
      <w:lvlJc w:val="left"/>
      <w:pPr>
        <w:ind w:left="3297" w:hanging="360"/>
      </w:pPr>
    </w:lvl>
    <w:lvl w:ilvl="5" w:tplc="4674383E" w:tentative="1">
      <w:start w:val="1"/>
      <w:numFmt w:val="lowerRoman"/>
      <w:lvlText w:val="%6."/>
      <w:lvlJc w:val="right"/>
      <w:pPr>
        <w:ind w:left="4017" w:hanging="180"/>
      </w:pPr>
    </w:lvl>
    <w:lvl w:ilvl="6" w:tplc="0426A9AC" w:tentative="1">
      <w:start w:val="1"/>
      <w:numFmt w:val="decimal"/>
      <w:lvlText w:val="%7."/>
      <w:lvlJc w:val="left"/>
      <w:pPr>
        <w:ind w:left="4737" w:hanging="360"/>
      </w:pPr>
    </w:lvl>
    <w:lvl w:ilvl="7" w:tplc="98B4CC68" w:tentative="1">
      <w:start w:val="1"/>
      <w:numFmt w:val="lowerLetter"/>
      <w:lvlText w:val="%8."/>
      <w:lvlJc w:val="left"/>
      <w:pPr>
        <w:ind w:left="5457" w:hanging="360"/>
      </w:pPr>
    </w:lvl>
    <w:lvl w:ilvl="8" w:tplc="674666B0" w:tentative="1">
      <w:start w:val="1"/>
      <w:numFmt w:val="lowerRoman"/>
      <w:lvlText w:val="%9."/>
      <w:lvlJc w:val="right"/>
      <w:pPr>
        <w:ind w:left="6177" w:hanging="180"/>
      </w:pPr>
    </w:lvl>
  </w:abstractNum>
  <w:abstractNum w:abstractNumId="18" w15:restartNumberingAfterBreak="1">
    <w:nsid w:val="2FD66B57"/>
    <w:multiLevelType w:val="hybridMultilevel"/>
    <w:tmpl w:val="69C63096"/>
    <w:lvl w:ilvl="0" w:tplc="FDC4FE40">
      <w:start w:val="1"/>
      <w:numFmt w:val="decimal"/>
      <w:lvlText w:val="%1."/>
      <w:lvlJc w:val="left"/>
      <w:pPr>
        <w:ind w:left="720" w:hanging="360"/>
      </w:pPr>
      <w:rPr>
        <w:rFonts w:hint="default"/>
      </w:rPr>
    </w:lvl>
    <w:lvl w:ilvl="1" w:tplc="8B641DD0" w:tentative="1">
      <w:start w:val="1"/>
      <w:numFmt w:val="lowerLetter"/>
      <w:lvlText w:val="%2."/>
      <w:lvlJc w:val="left"/>
      <w:pPr>
        <w:ind w:left="1440" w:hanging="360"/>
      </w:pPr>
    </w:lvl>
    <w:lvl w:ilvl="2" w:tplc="FE5E26D0" w:tentative="1">
      <w:start w:val="1"/>
      <w:numFmt w:val="lowerRoman"/>
      <w:lvlText w:val="%3."/>
      <w:lvlJc w:val="right"/>
      <w:pPr>
        <w:ind w:left="2160" w:hanging="180"/>
      </w:pPr>
    </w:lvl>
    <w:lvl w:ilvl="3" w:tplc="51161BEC" w:tentative="1">
      <w:start w:val="1"/>
      <w:numFmt w:val="decimal"/>
      <w:lvlText w:val="%4."/>
      <w:lvlJc w:val="left"/>
      <w:pPr>
        <w:ind w:left="2880" w:hanging="360"/>
      </w:pPr>
    </w:lvl>
    <w:lvl w:ilvl="4" w:tplc="8CC03A56" w:tentative="1">
      <w:start w:val="1"/>
      <w:numFmt w:val="lowerLetter"/>
      <w:lvlText w:val="%5."/>
      <w:lvlJc w:val="left"/>
      <w:pPr>
        <w:ind w:left="3600" w:hanging="360"/>
      </w:pPr>
    </w:lvl>
    <w:lvl w:ilvl="5" w:tplc="72E08FF6" w:tentative="1">
      <w:start w:val="1"/>
      <w:numFmt w:val="lowerRoman"/>
      <w:lvlText w:val="%6."/>
      <w:lvlJc w:val="right"/>
      <w:pPr>
        <w:ind w:left="4320" w:hanging="180"/>
      </w:pPr>
    </w:lvl>
    <w:lvl w:ilvl="6" w:tplc="7B666190" w:tentative="1">
      <w:start w:val="1"/>
      <w:numFmt w:val="decimal"/>
      <w:lvlText w:val="%7."/>
      <w:lvlJc w:val="left"/>
      <w:pPr>
        <w:ind w:left="5040" w:hanging="360"/>
      </w:pPr>
    </w:lvl>
    <w:lvl w:ilvl="7" w:tplc="2C96C7A0" w:tentative="1">
      <w:start w:val="1"/>
      <w:numFmt w:val="lowerLetter"/>
      <w:lvlText w:val="%8."/>
      <w:lvlJc w:val="left"/>
      <w:pPr>
        <w:ind w:left="5760" w:hanging="360"/>
      </w:pPr>
    </w:lvl>
    <w:lvl w:ilvl="8" w:tplc="EBEA19E0" w:tentative="1">
      <w:start w:val="1"/>
      <w:numFmt w:val="lowerRoman"/>
      <w:lvlText w:val="%9."/>
      <w:lvlJc w:val="right"/>
      <w:pPr>
        <w:ind w:left="6480" w:hanging="180"/>
      </w:pPr>
    </w:lvl>
  </w:abstractNum>
  <w:abstractNum w:abstractNumId="19" w15:restartNumberingAfterBreak="0">
    <w:nsid w:val="3073744B"/>
    <w:multiLevelType w:val="multilevel"/>
    <w:tmpl w:val="71D6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0D5A6E"/>
    <w:multiLevelType w:val="hybridMultilevel"/>
    <w:tmpl w:val="D81895F0"/>
    <w:lvl w:ilvl="0" w:tplc="AC104F70">
      <w:start w:val="1"/>
      <w:numFmt w:val="lowerLetter"/>
      <w:lvlText w:val="%1)"/>
      <w:lvlJc w:val="left"/>
      <w:pPr>
        <w:ind w:left="720" w:hanging="360"/>
      </w:pPr>
      <w:rPr>
        <w:rFonts w:ascii="Times New Roman" w:eastAsia="Calibri"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33D11B71"/>
    <w:multiLevelType w:val="hybridMultilevel"/>
    <w:tmpl w:val="CF3CEB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7196A10"/>
    <w:multiLevelType w:val="multilevel"/>
    <w:tmpl w:val="2458AB5A"/>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2628"/>
        </w:tabs>
        <w:ind w:left="2608"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abstractNum w:abstractNumId="23" w15:restartNumberingAfterBreak="1">
    <w:nsid w:val="38AE288E"/>
    <w:multiLevelType w:val="hybridMultilevel"/>
    <w:tmpl w:val="27321958"/>
    <w:lvl w:ilvl="0" w:tplc="FBC436B0">
      <w:start w:val="1"/>
      <w:numFmt w:val="decimal"/>
      <w:lvlText w:val="%1)"/>
      <w:lvlJc w:val="left"/>
      <w:pPr>
        <w:ind w:left="720" w:hanging="360"/>
      </w:pPr>
      <w:rPr>
        <w:rFonts w:hint="default"/>
      </w:rPr>
    </w:lvl>
    <w:lvl w:ilvl="1" w:tplc="8BEE9646" w:tentative="1">
      <w:start w:val="1"/>
      <w:numFmt w:val="bullet"/>
      <w:lvlText w:val="o"/>
      <w:lvlJc w:val="left"/>
      <w:pPr>
        <w:ind w:left="1440" w:hanging="360"/>
      </w:pPr>
      <w:rPr>
        <w:rFonts w:ascii="Courier New" w:hAnsi="Courier New" w:cs="Courier New" w:hint="default"/>
      </w:rPr>
    </w:lvl>
    <w:lvl w:ilvl="2" w:tplc="9F9815FE" w:tentative="1">
      <w:start w:val="1"/>
      <w:numFmt w:val="bullet"/>
      <w:lvlText w:val=""/>
      <w:lvlJc w:val="left"/>
      <w:pPr>
        <w:ind w:left="2160" w:hanging="360"/>
      </w:pPr>
      <w:rPr>
        <w:rFonts w:ascii="Wingdings" w:hAnsi="Wingdings" w:hint="default"/>
      </w:rPr>
    </w:lvl>
    <w:lvl w:ilvl="3" w:tplc="F01600E6" w:tentative="1">
      <w:start w:val="1"/>
      <w:numFmt w:val="bullet"/>
      <w:lvlText w:val=""/>
      <w:lvlJc w:val="left"/>
      <w:pPr>
        <w:ind w:left="2880" w:hanging="360"/>
      </w:pPr>
      <w:rPr>
        <w:rFonts w:ascii="Symbol" w:hAnsi="Symbol" w:hint="default"/>
      </w:rPr>
    </w:lvl>
    <w:lvl w:ilvl="4" w:tplc="C8E81646" w:tentative="1">
      <w:start w:val="1"/>
      <w:numFmt w:val="bullet"/>
      <w:lvlText w:val="o"/>
      <w:lvlJc w:val="left"/>
      <w:pPr>
        <w:ind w:left="3600" w:hanging="360"/>
      </w:pPr>
      <w:rPr>
        <w:rFonts w:ascii="Courier New" w:hAnsi="Courier New" w:cs="Courier New" w:hint="default"/>
      </w:rPr>
    </w:lvl>
    <w:lvl w:ilvl="5" w:tplc="C37E38D4" w:tentative="1">
      <w:start w:val="1"/>
      <w:numFmt w:val="bullet"/>
      <w:lvlText w:val=""/>
      <w:lvlJc w:val="left"/>
      <w:pPr>
        <w:ind w:left="4320" w:hanging="360"/>
      </w:pPr>
      <w:rPr>
        <w:rFonts w:ascii="Wingdings" w:hAnsi="Wingdings" w:hint="default"/>
      </w:rPr>
    </w:lvl>
    <w:lvl w:ilvl="6" w:tplc="A0AC5D86" w:tentative="1">
      <w:start w:val="1"/>
      <w:numFmt w:val="bullet"/>
      <w:lvlText w:val=""/>
      <w:lvlJc w:val="left"/>
      <w:pPr>
        <w:ind w:left="5040" w:hanging="360"/>
      </w:pPr>
      <w:rPr>
        <w:rFonts w:ascii="Symbol" w:hAnsi="Symbol" w:hint="default"/>
      </w:rPr>
    </w:lvl>
    <w:lvl w:ilvl="7" w:tplc="65FAC0F0" w:tentative="1">
      <w:start w:val="1"/>
      <w:numFmt w:val="bullet"/>
      <w:lvlText w:val="o"/>
      <w:lvlJc w:val="left"/>
      <w:pPr>
        <w:ind w:left="5760" w:hanging="360"/>
      </w:pPr>
      <w:rPr>
        <w:rFonts w:ascii="Courier New" w:hAnsi="Courier New" w:cs="Courier New" w:hint="default"/>
      </w:rPr>
    </w:lvl>
    <w:lvl w:ilvl="8" w:tplc="2BB65074" w:tentative="1">
      <w:start w:val="1"/>
      <w:numFmt w:val="bullet"/>
      <w:lvlText w:val=""/>
      <w:lvlJc w:val="left"/>
      <w:pPr>
        <w:ind w:left="6480" w:hanging="360"/>
      </w:pPr>
      <w:rPr>
        <w:rFonts w:ascii="Wingdings" w:hAnsi="Wingdings" w:hint="default"/>
      </w:rPr>
    </w:lvl>
  </w:abstractNum>
  <w:abstractNum w:abstractNumId="24" w15:restartNumberingAfterBreak="0">
    <w:nsid w:val="392501F7"/>
    <w:multiLevelType w:val="hybridMultilevel"/>
    <w:tmpl w:val="A664B4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1">
    <w:nsid w:val="3B4E5D47"/>
    <w:multiLevelType w:val="hybridMultilevel"/>
    <w:tmpl w:val="26EEF052"/>
    <w:lvl w:ilvl="0" w:tplc="FA6EDF64">
      <w:start w:val="1"/>
      <w:numFmt w:val="decimal"/>
      <w:lvlText w:val="%1."/>
      <w:lvlJc w:val="left"/>
      <w:pPr>
        <w:ind w:left="720" w:hanging="360"/>
      </w:pPr>
      <w:rPr>
        <w:rFonts w:hint="default"/>
      </w:rPr>
    </w:lvl>
    <w:lvl w:ilvl="1" w:tplc="AA588F76" w:tentative="1">
      <w:start w:val="1"/>
      <w:numFmt w:val="lowerLetter"/>
      <w:lvlText w:val="%2."/>
      <w:lvlJc w:val="left"/>
      <w:pPr>
        <w:ind w:left="1440" w:hanging="360"/>
      </w:pPr>
    </w:lvl>
    <w:lvl w:ilvl="2" w:tplc="4C60555E" w:tentative="1">
      <w:start w:val="1"/>
      <w:numFmt w:val="lowerRoman"/>
      <w:lvlText w:val="%3."/>
      <w:lvlJc w:val="right"/>
      <w:pPr>
        <w:ind w:left="2160" w:hanging="180"/>
      </w:pPr>
    </w:lvl>
    <w:lvl w:ilvl="3" w:tplc="4E28CF5C" w:tentative="1">
      <w:start w:val="1"/>
      <w:numFmt w:val="decimal"/>
      <w:lvlText w:val="%4."/>
      <w:lvlJc w:val="left"/>
      <w:pPr>
        <w:ind w:left="2880" w:hanging="360"/>
      </w:pPr>
    </w:lvl>
    <w:lvl w:ilvl="4" w:tplc="BC90970A" w:tentative="1">
      <w:start w:val="1"/>
      <w:numFmt w:val="lowerLetter"/>
      <w:lvlText w:val="%5."/>
      <w:lvlJc w:val="left"/>
      <w:pPr>
        <w:ind w:left="3600" w:hanging="360"/>
      </w:pPr>
    </w:lvl>
    <w:lvl w:ilvl="5" w:tplc="0282A622" w:tentative="1">
      <w:start w:val="1"/>
      <w:numFmt w:val="lowerRoman"/>
      <w:lvlText w:val="%6."/>
      <w:lvlJc w:val="right"/>
      <w:pPr>
        <w:ind w:left="4320" w:hanging="180"/>
      </w:pPr>
    </w:lvl>
    <w:lvl w:ilvl="6" w:tplc="D59E91FE" w:tentative="1">
      <w:start w:val="1"/>
      <w:numFmt w:val="decimal"/>
      <w:lvlText w:val="%7."/>
      <w:lvlJc w:val="left"/>
      <w:pPr>
        <w:ind w:left="5040" w:hanging="360"/>
      </w:pPr>
    </w:lvl>
    <w:lvl w:ilvl="7" w:tplc="27AC3428" w:tentative="1">
      <w:start w:val="1"/>
      <w:numFmt w:val="lowerLetter"/>
      <w:lvlText w:val="%8."/>
      <w:lvlJc w:val="left"/>
      <w:pPr>
        <w:ind w:left="5760" w:hanging="360"/>
      </w:pPr>
    </w:lvl>
    <w:lvl w:ilvl="8" w:tplc="40521D60" w:tentative="1">
      <w:start w:val="1"/>
      <w:numFmt w:val="lowerRoman"/>
      <w:lvlText w:val="%9."/>
      <w:lvlJc w:val="right"/>
      <w:pPr>
        <w:ind w:left="6480" w:hanging="180"/>
      </w:pPr>
    </w:lvl>
  </w:abstractNum>
  <w:abstractNum w:abstractNumId="26" w15:restartNumberingAfterBreak="0">
    <w:nsid w:val="408F6999"/>
    <w:multiLevelType w:val="hybridMultilevel"/>
    <w:tmpl w:val="C8421DC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383161"/>
    <w:multiLevelType w:val="hybridMultilevel"/>
    <w:tmpl w:val="F9CCD0C0"/>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E33180"/>
    <w:multiLevelType w:val="hybridMultilevel"/>
    <w:tmpl w:val="29A89708"/>
    <w:lvl w:ilvl="0" w:tplc="A3E89192">
      <w:start w:val="1"/>
      <w:numFmt w:val="lowerLetter"/>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8BB752B"/>
    <w:multiLevelType w:val="hybridMultilevel"/>
    <w:tmpl w:val="02E8BF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1">
    <w:nsid w:val="4B0E18A1"/>
    <w:multiLevelType w:val="hybridMultilevel"/>
    <w:tmpl w:val="1FCAED34"/>
    <w:lvl w:ilvl="0" w:tplc="3F18E32E">
      <w:start w:val="1"/>
      <w:numFmt w:val="bullet"/>
      <w:lvlText w:val=""/>
      <w:lvlJc w:val="left"/>
      <w:pPr>
        <w:ind w:left="720" w:hanging="360"/>
      </w:pPr>
      <w:rPr>
        <w:rFonts w:ascii="Symbol" w:hAnsi="Symbol" w:hint="default"/>
      </w:rPr>
    </w:lvl>
    <w:lvl w:ilvl="1" w:tplc="FDD68E62" w:tentative="1">
      <w:start w:val="1"/>
      <w:numFmt w:val="bullet"/>
      <w:lvlText w:val="o"/>
      <w:lvlJc w:val="left"/>
      <w:pPr>
        <w:ind w:left="1440" w:hanging="360"/>
      </w:pPr>
      <w:rPr>
        <w:rFonts w:ascii="Courier New" w:hAnsi="Courier New" w:cs="Courier New" w:hint="default"/>
      </w:rPr>
    </w:lvl>
    <w:lvl w:ilvl="2" w:tplc="D5944B12" w:tentative="1">
      <w:start w:val="1"/>
      <w:numFmt w:val="bullet"/>
      <w:lvlText w:val=""/>
      <w:lvlJc w:val="left"/>
      <w:pPr>
        <w:ind w:left="2160" w:hanging="360"/>
      </w:pPr>
      <w:rPr>
        <w:rFonts w:ascii="Wingdings" w:hAnsi="Wingdings" w:hint="default"/>
      </w:rPr>
    </w:lvl>
    <w:lvl w:ilvl="3" w:tplc="60B200B4" w:tentative="1">
      <w:start w:val="1"/>
      <w:numFmt w:val="bullet"/>
      <w:lvlText w:val=""/>
      <w:lvlJc w:val="left"/>
      <w:pPr>
        <w:ind w:left="2880" w:hanging="360"/>
      </w:pPr>
      <w:rPr>
        <w:rFonts w:ascii="Symbol" w:hAnsi="Symbol" w:hint="default"/>
      </w:rPr>
    </w:lvl>
    <w:lvl w:ilvl="4" w:tplc="6B004B70" w:tentative="1">
      <w:start w:val="1"/>
      <w:numFmt w:val="bullet"/>
      <w:lvlText w:val="o"/>
      <w:lvlJc w:val="left"/>
      <w:pPr>
        <w:ind w:left="3600" w:hanging="360"/>
      </w:pPr>
      <w:rPr>
        <w:rFonts w:ascii="Courier New" w:hAnsi="Courier New" w:cs="Courier New" w:hint="default"/>
      </w:rPr>
    </w:lvl>
    <w:lvl w:ilvl="5" w:tplc="761C916C" w:tentative="1">
      <w:start w:val="1"/>
      <w:numFmt w:val="bullet"/>
      <w:lvlText w:val=""/>
      <w:lvlJc w:val="left"/>
      <w:pPr>
        <w:ind w:left="4320" w:hanging="360"/>
      </w:pPr>
      <w:rPr>
        <w:rFonts w:ascii="Wingdings" w:hAnsi="Wingdings" w:hint="default"/>
      </w:rPr>
    </w:lvl>
    <w:lvl w:ilvl="6" w:tplc="70166DEC" w:tentative="1">
      <w:start w:val="1"/>
      <w:numFmt w:val="bullet"/>
      <w:lvlText w:val=""/>
      <w:lvlJc w:val="left"/>
      <w:pPr>
        <w:ind w:left="5040" w:hanging="360"/>
      </w:pPr>
      <w:rPr>
        <w:rFonts w:ascii="Symbol" w:hAnsi="Symbol" w:hint="default"/>
      </w:rPr>
    </w:lvl>
    <w:lvl w:ilvl="7" w:tplc="7F28C7EC" w:tentative="1">
      <w:start w:val="1"/>
      <w:numFmt w:val="bullet"/>
      <w:lvlText w:val="o"/>
      <w:lvlJc w:val="left"/>
      <w:pPr>
        <w:ind w:left="5760" w:hanging="360"/>
      </w:pPr>
      <w:rPr>
        <w:rFonts w:ascii="Courier New" w:hAnsi="Courier New" w:cs="Courier New" w:hint="default"/>
      </w:rPr>
    </w:lvl>
    <w:lvl w:ilvl="8" w:tplc="66F083D2" w:tentative="1">
      <w:start w:val="1"/>
      <w:numFmt w:val="bullet"/>
      <w:lvlText w:val=""/>
      <w:lvlJc w:val="left"/>
      <w:pPr>
        <w:ind w:left="6480" w:hanging="360"/>
      </w:pPr>
      <w:rPr>
        <w:rFonts w:ascii="Wingdings" w:hAnsi="Wingdings" w:hint="default"/>
      </w:rPr>
    </w:lvl>
  </w:abstractNum>
  <w:abstractNum w:abstractNumId="31" w15:restartNumberingAfterBreak="0">
    <w:nsid w:val="4D8A7AE8"/>
    <w:multiLevelType w:val="hybridMultilevel"/>
    <w:tmpl w:val="B5AC34E8"/>
    <w:lvl w:ilvl="0" w:tplc="CFFC71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15:restartNumberingAfterBreak="1">
    <w:nsid w:val="58AC187C"/>
    <w:multiLevelType w:val="hybridMultilevel"/>
    <w:tmpl w:val="16925782"/>
    <w:lvl w:ilvl="0" w:tplc="50BCD48C">
      <w:start w:val="1"/>
      <w:numFmt w:val="bullet"/>
      <w:lvlText w:val=""/>
      <w:lvlJc w:val="left"/>
      <w:pPr>
        <w:ind w:left="720" w:hanging="360"/>
      </w:pPr>
      <w:rPr>
        <w:rFonts w:ascii="Symbol" w:hAnsi="Symbol" w:hint="default"/>
      </w:rPr>
    </w:lvl>
    <w:lvl w:ilvl="1" w:tplc="B71410C4" w:tentative="1">
      <w:start w:val="1"/>
      <w:numFmt w:val="bullet"/>
      <w:lvlText w:val="o"/>
      <w:lvlJc w:val="left"/>
      <w:pPr>
        <w:ind w:left="1440" w:hanging="360"/>
      </w:pPr>
      <w:rPr>
        <w:rFonts w:ascii="Courier New" w:hAnsi="Courier New" w:cs="Courier New" w:hint="default"/>
      </w:rPr>
    </w:lvl>
    <w:lvl w:ilvl="2" w:tplc="A7D64428" w:tentative="1">
      <w:start w:val="1"/>
      <w:numFmt w:val="bullet"/>
      <w:lvlText w:val=""/>
      <w:lvlJc w:val="left"/>
      <w:pPr>
        <w:ind w:left="2160" w:hanging="360"/>
      </w:pPr>
      <w:rPr>
        <w:rFonts w:ascii="Wingdings" w:hAnsi="Wingdings" w:hint="default"/>
      </w:rPr>
    </w:lvl>
    <w:lvl w:ilvl="3" w:tplc="2880276E" w:tentative="1">
      <w:start w:val="1"/>
      <w:numFmt w:val="bullet"/>
      <w:lvlText w:val=""/>
      <w:lvlJc w:val="left"/>
      <w:pPr>
        <w:ind w:left="2880" w:hanging="360"/>
      </w:pPr>
      <w:rPr>
        <w:rFonts w:ascii="Symbol" w:hAnsi="Symbol" w:hint="default"/>
      </w:rPr>
    </w:lvl>
    <w:lvl w:ilvl="4" w:tplc="0F2420B6" w:tentative="1">
      <w:start w:val="1"/>
      <w:numFmt w:val="bullet"/>
      <w:lvlText w:val="o"/>
      <w:lvlJc w:val="left"/>
      <w:pPr>
        <w:ind w:left="3600" w:hanging="360"/>
      </w:pPr>
      <w:rPr>
        <w:rFonts w:ascii="Courier New" w:hAnsi="Courier New" w:cs="Courier New" w:hint="default"/>
      </w:rPr>
    </w:lvl>
    <w:lvl w:ilvl="5" w:tplc="513A82EE" w:tentative="1">
      <w:start w:val="1"/>
      <w:numFmt w:val="bullet"/>
      <w:lvlText w:val=""/>
      <w:lvlJc w:val="left"/>
      <w:pPr>
        <w:ind w:left="4320" w:hanging="360"/>
      </w:pPr>
      <w:rPr>
        <w:rFonts w:ascii="Wingdings" w:hAnsi="Wingdings" w:hint="default"/>
      </w:rPr>
    </w:lvl>
    <w:lvl w:ilvl="6" w:tplc="455AEF64" w:tentative="1">
      <w:start w:val="1"/>
      <w:numFmt w:val="bullet"/>
      <w:lvlText w:val=""/>
      <w:lvlJc w:val="left"/>
      <w:pPr>
        <w:ind w:left="5040" w:hanging="360"/>
      </w:pPr>
      <w:rPr>
        <w:rFonts w:ascii="Symbol" w:hAnsi="Symbol" w:hint="default"/>
      </w:rPr>
    </w:lvl>
    <w:lvl w:ilvl="7" w:tplc="50AC3BDE" w:tentative="1">
      <w:start w:val="1"/>
      <w:numFmt w:val="bullet"/>
      <w:lvlText w:val="o"/>
      <w:lvlJc w:val="left"/>
      <w:pPr>
        <w:ind w:left="5760" w:hanging="360"/>
      </w:pPr>
      <w:rPr>
        <w:rFonts w:ascii="Courier New" w:hAnsi="Courier New" w:cs="Courier New" w:hint="default"/>
      </w:rPr>
    </w:lvl>
    <w:lvl w:ilvl="8" w:tplc="2BFA90EA" w:tentative="1">
      <w:start w:val="1"/>
      <w:numFmt w:val="bullet"/>
      <w:lvlText w:val=""/>
      <w:lvlJc w:val="left"/>
      <w:pPr>
        <w:ind w:left="6480" w:hanging="360"/>
      </w:pPr>
      <w:rPr>
        <w:rFonts w:ascii="Wingdings" w:hAnsi="Wingdings" w:hint="default"/>
      </w:rPr>
    </w:lvl>
  </w:abstractNum>
  <w:abstractNum w:abstractNumId="33" w15:restartNumberingAfterBreak="0">
    <w:nsid w:val="5DDC0E5F"/>
    <w:multiLevelType w:val="hybridMultilevel"/>
    <w:tmpl w:val="B9347910"/>
    <w:lvl w:ilvl="0" w:tplc="EF761D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1FB1731"/>
    <w:multiLevelType w:val="hybridMultilevel"/>
    <w:tmpl w:val="AD5883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1">
    <w:nsid w:val="675F0396"/>
    <w:multiLevelType w:val="hybridMultilevel"/>
    <w:tmpl w:val="26EEF052"/>
    <w:lvl w:ilvl="0" w:tplc="A1D4AA64">
      <w:start w:val="1"/>
      <w:numFmt w:val="decimal"/>
      <w:lvlText w:val="%1."/>
      <w:lvlJc w:val="left"/>
      <w:pPr>
        <w:ind w:left="720" w:hanging="360"/>
      </w:pPr>
      <w:rPr>
        <w:rFonts w:hint="default"/>
      </w:rPr>
    </w:lvl>
    <w:lvl w:ilvl="1" w:tplc="6AB07B96" w:tentative="1">
      <w:start w:val="1"/>
      <w:numFmt w:val="lowerLetter"/>
      <w:lvlText w:val="%2."/>
      <w:lvlJc w:val="left"/>
      <w:pPr>
        <w:ind w:left="1440" w:hanging="360"/>
      </w:pPr>
    </w:lvl>
    <w:lvl w:ilvl="2" w:tplc="BE208C5C" w:tentative="1">
      <w:start w:val="1"/>
      <w:numFmt w:val="lowerRoman"/>
      <w:lvlText w:val="%3."/>
      <w:lvlJc w:val="right"/>
      <w:pPr>
        <w:ind w:left="2160" w:hanging="180"/>
      </w:pPr>
    </w:lvl>
    <w:lvl w:ilvl="3" w:tplc="2ED2BBF6" w:tentative="1">
      <w:start w:val="1"/>
      <w:numFmt w:val="decimal"/>
      <w:lvlText w:val="%4."/>
      <w:lvlJc w:val="left"/>
      <w:pPr>
        <w:ind w:left="2880" w:hanging="360"/>
      </w:pPr>
    </w:lvl>
    <w:lvl w:ilvl="4" w:tplc="42343DEE" w:tentative="1">
      <w:start w:val="1"/>
      <w:numFmt w:val="lowerLetter"/>
      <w:lvlText w:val="%5."/>
      <w:lvlJc w:val="left"/>
      <w:pPr>
        <w:ind w:left="3600" w:hanging="360"/>
      </w:pPr>
    </w:lvl>
    <w:lvl w:ilvl="5" w:tplc="51768EC4" w:tentative="1">
      <w:start w:val="1"/>
      <w:numFmt w:val="lowerRoman"/>
      <w:lvlText w:val="%6."/>
      <w:lvlJc w:val="right"/>
      <w:pPr>
        <w:ind w:left="4320" w:hanging="180"/>
      </w:pPr>
    </w:lvl>
    <w:lvl w:ilvl="6" w:tplc="845063C4" w:tentative="1">
      <w:start w:val="1"/>
      <w:numFmt w:val="decimal"/>
      <w:lvlText w:val="%7."/>
      <w:lvlJc w:val="left"/>
      <w:pPr>
        <w:ind w:left="5040" w:hanging="360"/>
      </w:pPr>
    </w:lvl>
    <w:lvl w:ilvl="7" w:tplc="D7DC9528" w:tentative="1">
      <w:start w:val="1"/>
      <w:numFmt w:val="lowerLetter"/>
      <w:lvlText w:val="%8."/>
      <w:lvlJc w:val="left"/>
      <w:pPr>
        <w:ind w:left="5760" w:hanging="360"/>
      </w:pPr>
    </w:lvl>
    <w:lvl w:ilvl="8" w:tplc="CC7EA626" w:tentative="1">
      <w:start w:val="1"/>
      <w:numFmt w:val="lowerRoman"/>
      <w:lvlText w:val="%9."/>
      <w:lvlJc w:val="right"/>
      <w:pPr>
        <w:ind w:left="6480" w:hanging="180"/>
      </w:pPr>
    </w:lvl>
  </w:abstractNum>
  <w:abstractNum w:abstractNumId="36" w15:restartNumberingAfterBreak="1">
    <w:nsid w:val="6F655211"/>
    <w:multiLevelType w:val="hybridMultilevel"/>
    <w:tmpl w:val="602618FC"/>
    <w:lvl w:ilvl="0" w:tplc="872E56A2">
      <w:start w:val="1"/>
      <w:numFmt w:val="decimal"/>
      <w:lvlText w:val="%1)"/>
      <w:lvlJc w:val="left"/>
      <w:pPr>
        <w:ind w:left="720" w:hanging="360"/>
      </w:pPr>
      <w:rPr>
        <w:rFonts w:hint="default"/>
        <w:i w:val="0"/>
      </w:rPr>
    </w:lvl>
    <w:lvl w:ilvl="1" w:tplc="E746114E" w:tentative="1">
      <w:start w:val="1"/>
      <w:numFmt w:val="bullet"/>
      <w:lvlText w:val="o"/>
      <w:lvlJc w:val="left"/>
      <w:pPr>
        <w:ind w:left="1440" w:hanging="360"/>
      </w:pPr>
      <w:rPr>
        <w:rFonts w:ascii="Courier New" w:hAnsi="Courier New" w:cs="Courier New" w:hint="default"/>
      </w:rPr>
    </w:lvl>
    <w:lvl w:ilvl="2" w:tplc="2382B746" w:tentative="1">
      <w:start w:val="1"/>
      <w:numFmt w:val="bullet"/>
      <w:lvlText w:val=""/>
      <w:lvlJc w:val="left"/>
      <w:pPr>
        <w:ind w:left="2160" w:hanging="360"/>
      </w:pPr>
      <w:rPr>
        <w:rFonts w:ascii="Wingdings" w:hAnsi="Wingdings" w:hint="default"/>
      </w:rPr>
    </w:lvl>
    <w:lvl w:ilvl="3" w:tplc="7886271C" w:tentative="1">
      <w:start w:val="1"/>
      <w:numFmt w:val="bullet"/>
      <w:lvlText w:val=""/>
      <w:lvlJc w:val="left"/>
      <w:pPr>
        <w:ind w:left="2880" w:hanging="360"/>
      </w:pPr>
      <w:rPr>
        <w:rFonts w:ascii="Symbol" w:hAnsi="Symbol" w:hint="default"/>
      </w:rPr>
    </w:lvl>
    <w:lvl w:ilvl="4" w:tplc="B3CE7812" w:tentative="1">
      <w:start w:val="1"/>
      <w:numFmt w:val="bullet"/>
      <w:lvlText w:val="o"/>
      <w:lvlJc w:val="left"/>
      <w:pPr>
        <w:ind w:left="3600" w:hanging="360"/>
      </w:pPr>
      <w:rPr>
        <w:rFonts w:ascii="Courier New" w:hAnsi="Courier New" w:cs="Courier New" w:hint="default"/>
      </w:rPr>
    </w:lvl>
    <w:lvl w:ilvl="5" w:tplc="A6AC81C8" w:tentative="1">
      <w:start w:val="1"/>
      <w:numFmt w:val="bullet"/>
      <w:lvlText w:val=""/>
      <w:lvlJc w:val="left"/>
      <w:pPr>
        <w:ind w:left="4320" w:hanging="360"/>
      </w:pPr>
      <w:rPr>
        <w:rFonts w:ascii="Wingdings" w:hAnsi="Wingdings" w:hint="default"/>
      </w:rPr>
    </w:lvl>
    <w:lvl w:ilvl="6" w:tplc="56A0C632" w:tentative="1">
      <w:start w:val="1"/>
      <w:numFmt w:val="bullet"/>
      <w:lvlText w:val=""/>
      <w:lvlJc w:val="left"/>
      <w:pPr>
        <w:ind w:left="5040" w:hanging="360"/>
      </w:pPr>
      <w:rPr>
        <w:rFonts w:ascii="Symbol" w:hAnsi="Symbol" w:hint="default"/>
      </w:rPr>
    </w:lvl>
    <w:lvl w:ilvl="7" w:tplc="E8E66440" w:tentative="1">
      <w:start w:val="1"/>
      <w:numFmt w:val="bullet"/>
      <w:lvlText w:val="o"/>
      <w:lvlJc w:val="left"/>
      <w:pPr>
        <w:ind w:left="5760" w:hanging="360"/>
      </w:pPr>
      <w:rPr>
        <w:rFonts w:ascii="Courier New" w:hAnsi="Courier New" w:cs="Courier New" w:hint="default"/>
      </w:rPr>
    </w:lvl>
    <w:lvl w:ilvl="8" w:tplc="5350B43E" w:tentative="1">
      <w:start w:val="1"/>
      <w:numFmt w:val="bullet"/>
      <w:lvlText w:val=""/>
      <w:lvlJc w:val="left"/>
      <w:pPr>
        <w:ind w:left="6480" w:hanging="360"/>
      </w:pPr>
      <w:rPr>
        <w:rFonts w:ascii="Wingdings" w:hAnsi="Wingdings" w:hint="default"/>
      </w:rPr>
    </w:lvl>
  </w:abstractNum>
  <w:abstractNum w:abstractNumId="37" w15:restartNumberingAfterBreak="0">
    <w:nsid w:val="72A56746"/>
    <w:multiLevelType w:val="hybridMultilevel"/>
    <w:tmpl w:val="1EA054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ACB19DF"/>
    <w:multiLevelType w:val="hybridMultilevel"/>
    <w:tmpl w:val="BF0822A4"/>
    <w:lvl w:ilvl="0" w:tplc="0880666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231E06"/>
    <w:multiLevelType w:val="hybridMultilevel"/>
    <w:tmpl w:val="255480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3"/>
  </w:num>
  <w:num w:numId="4">
    <w:abstractNumId w:val="2"/>
  </w:num>
  <w:num w:numId="5">
    <w:abstractNumId w:val="4"/>
  </w:num>
  <w:num w:numId="6">
    <w:abstractNumId w:val="23"/>
  </w:num>
  <w:num w:numId="7">
    <w:abstractNumId w:val="6"/>
  </w:num>
  <w:num w:numId="8">
    <w:abstractNumId w:val="30"/>
  </w:num>
  <w:num w:numId="9">
    <w:abstractNumId w:val="32"/>
  </w:num>
  <w:num w:numId="10">
    <w:abstractNumId w:val="14"/>
  </w:num>
  <w:num w:numId="11">
    <w:abstractNumId w:val="18"/>
  </w:num>
  <w:num w:numId="12">
    <w:abstractNumId w:val="13"/>
  </w:num>
  <w:num w:numId="13">
    <w:abstractNumId w:val="5"/>
  </w:num>
  <w:num w:numId="14">
    <w:abstractNumId w:val="17"/>
  </w:num>
  <w:num w:numId="15">
    <w:abstractNumId w:val="25"/>
  </w:num>
  <w:num w:numId="16">
    <w:abstractNumId w:val="16"/>
  </w:num>
  <w:num w:numId="17">
    <w:abstractNumId w:val="35"/>
  </w:num>
  <w:num w:numId="18">
    <w:abstractNumId w:val="11"/>
  </w:num>
  <w:num w:numId="19">
    <w:abstractNumId w:val="15"/>
  </w:num>
  <w:num w:numId="20">
    <w:abstractNumId w:val="37"/>
  </w:num>
  <w:num w:numId="21">
    <w:abstractNumId w:val="9"/>
  </w:num>
  <w:num w:numId="22">
    <w:abstractNumId w:val="27"/>
  </w:num>
  <w:num w:numId="23">
    <w:abstractNumId w:val="8"/>
  </w:num>
  <w:num w:numId="24">
    <w:abstractNumId w:val="19"/>
  </w:num>
  <w:num w:numId="25">
    <w:abstractNumId w:val="20"/>
  </w:num>
  <w:num w:numId="26">
    <w:abstractNumId w:val="7"/>
  </w:num>
  <w:num w:numId="27">
    <w:abstractNumId w:val="21"/>
  </w:num>
  <w:num w:numId="28">
    <w:abstractNumId w:val="28"/>
  </w:num>
  <w:num w:numId="29">
    <w:abstractNumId w:val="26"/>
  </w:num>
  <w:num w:numId="30">
    <w:abstractNumId w:val="38"/>
  </w:num>
  <w:num w:numId="31">
    <w:abstractNumId w:val="10"/>
  </w:num>
  <w:num w:numId="32">
    <w:abstractNumId w:val="22"/>
  </w:num>
  <w:num w:numId="33">
    <w:abstractNumId w:val="33"/>
  </w:num>
  <w:num w:numId="34">
    <w:abstractNumId w:val="29"/>
  </w:num>
  <w:num w:numId="35">
    <w:abstractNumId w:val="12"/>
  </w:num>
  <w:num w:numId="36">
    <w:abstractNumId w:val="34"/>
  </w:num>
  <w:num w:numId="37">
    <w:abstractNumId w:val="1"/>
  </w:num>
  <w:num w:numId="38">
    <w:abstractNumId w:val="39"/>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1A"/>
    <w:rsid w:val="0000490F"/>
    <w:rsid w:val="00011756"/>
    <w:rsid w:val="00011997"/>
    <w:rsid w:val="00014E4F"/>
    <w:rsid w:val="0001564E"/>
    <w:rsid w:val="000168C2"/>
    <w:rsid w:val="0002044C"/>
    <w:rsid w:val="00021773"/>
    <w:rsid w:val="000218E8"/>
    <w:rsid w:val="0002224E"/>
    <w:rsid w:val="00022922"/>
    <w:rsid w:val="00022FE7"/>
    <w:rsid w:val="00024254"/>
    <w:rsid w:val="00027929"/>
    <w:rsid w:val="00031B1A"/>
    <w:rsid w:val="0003294D"/>
    <w:rsid w:val="00034B7E"/>
    <w:rsid w:val="00037E41"/>
    <w:rsid w:val="00041F43"/>
    <w:rsid w:val="00043E1F"/>
    <w:rsid w:val="0004486B"/>
    <w:rsid w:val="000457E5"/>
    <w:rsid w:val="00046474"/>
    <w:rsid w:val="00046C0C"/>
    <w:rsid w:val="0004740C"/>
    <w:rsid w:val="00050C59"/>
    <w:rsid w:val="0005186C"/>
    <w:rsid w:val="000525ED"/>
    <w:rsid w:val="00052A4F"/>
    <w:rsid w:val="0005436B"/>
    <w:rsid w:val="00056630"/>
    <w:rsid w:val="0005737A"/>
    <w:rsid w:val="00060180"/>
    <w:rsid w:val="000615C8"/>
    <w:rsid w:val="00063344"/>
    <w:rsid w:val="00065B6E"/>
    <w:rsid w:val="00066BAC"/>
    <w:rsid w:val="00071C5D"/>
    <w:rsid w:val="00075D7D"/>
    <w:rsid w:val="000764E2"/>
    <w:rsid w:val="000807F3"/>
    <w:rsid w:val="00080C22"/>
    <w:rsid w:val="00080C6B"/>
    <w:rsid w:val="0008236A"/>
    <w:rsid w:val="0008532D"/>
    <w:rsid w:val="000909DE"/>
    <w:rsid w:val="00090AAB"/>
    <w:rsid w:val="00090B81"/>
    <w:rsid w:val="00091ECE"/>
    <w:rsid w:val="000932A0"/>
    <w:rsid w:val="00097D46"/>
    <w:rsid w:val="000A2574"/>
    <w:rsid w:val="000A4AEA"/>
    <w:rsid w:val="000A51AA"/>
    <w:rsid w:val="000A5391"/>
    <w:rsid w:val="000B2338"/>
    <w:rsid w:val="000B79B3"/>
    <w:rsid w:val="000B7D8C"/>
    <w:rsid w:val="000C322B"/>
    <w:rsid w:val="000C33C6"/>
    <w:rsid w:val="000C4BF2"/>
    <w:rsid w:val="000C6B45"/>
    <w:rsid w:val="000C7129"/>
    <w:rsid w:val="000C7CEF"/>
    <w:rsid w:val="000D0DC0"/>
    <w:rsid w:val="000D14B1"/>
    <w:rsid w:val="000D19FD"/>
    <w:rsid w:val="000D283D"/>
    <w:rsid w:val="000D2C46"/>
    <w:rsid w:val="000D59DF"/>
    <w:rsid w:val="000D5F35"/>
    <w:rsid w:val="000D606F"/>
    <w:rsid w:val="000D6328"/>
    <w:rsid w:val="000D7688"/>
    <w:rsid w:val="000D7720"/>
    <w:rsid w:val="000E2374"/>
    <w:rsid w:val="000E3ED8"/>
    <w:rsid w:val="000F076A"/>
    <w:rsid w:val="000F0A8D"/>
    <w:rsid w:val="000F59AE"/>
    <w:rsid w:val="000F73C9"/>
    <w:rsid w:val="00102D3B"/>
    <w:rsid w:val="00103B9E"/>
    <w:rsid w:val="00105520"/>
    <w:rsid w:val="00111DCB"/>
    <w:rsid w:val="001221A1"/>
    <w:rsid w:val="00122905"/>
    <w:rsid w:val="00122EAC"/>
    <w:rsid w:val="001233AB"/>
    <w:rsid w:val="001238F4"/>
    <w:rsid w:val="00123EB3"/>
    <w:rsid w:val="001266FE"/>
    <w:rsid w:val="00126AA9"/>
    <w:rsid w:val="001309C7"/>
    <w:rsid w:val="0013592E"/>
    <w:rsid w:val="00141614"/>
    <w:rsid w:val="001417E6"/>
    <w:rsid w:val="0014544D"/>
    <w:rsid w:val="001467B3"/>
    <w:rsid w:val="00146862"/>
    <w:rsid w:val="00147446"/>
    <w:rsid w:val="00151DB1"/>
    <w:rsid w:val="00156B9B"/>
    <w:rsid w:val="00157CBE"/>
    <w:rsid w:val="001674D6"/>
    <w:rsid w:val="00170C88"/>
    <w:rsid w:val="00171097"/>
    <w:rsid w:val="00172C32"/>
    <w:rsid w:val="00174A9B"/>
    <w:rsid w:val="001810AB"/>
    <w:rsid w:val="00181FC9"/>
    <w:rsid w:val="00183976"/>
    <w:rsid w:val="00183A0F"/>
    <w:rsid w:val="00183AC5"/>
    <w:rsid w:val="00186C21"/>
    <w:rsid w:val="00190ADB"/>
    <w:rsid w:val="00194E7C"/>
    <w:rsid w:val="00196197"/>
    <w:rsid w:val="0019642C"/>
    <w:rsid w:val="0019740B"/>
    <w:rsid w:val="001A2871"/>
    <w:rsid w:val="001A52C0"/>
    <w:rsid w:val="001A5EB1"/>
    <w:rsid w:val="001A6C2C"/>
    <w:rsid w:val="001B049D"/>
    <w:rsid w:val="001B5724"/>
    <w:rsid w:val="001C1C28"/>
    <w:rsid w:val="001C35E3"/>
    <w:rsid w:val="001C48FF"/>
    <w:rsid w:val="001D00AE"/>
    <w:rsid w:val="001D0A5D"/>
    <w:rsid w:val="001D1391"/>
    <w:rsid w:val="001D2A98"/>
    <w:rsid w:val="001D40C1"/>
    <w:rsid w:val="001D4BD4"/>
    <w:rsid w:val="001D4CCA"/>
    <w:rsid w:val="001D5729"/>
    <w:rsid w:val="001D5A20"/>
    <w:rsid w:val="001D611A"/>
    <w:rsid w:val="001D6AF4"/>
    <w:rsid w:val="001D6B9F"/>
    <w:rsid w:val="001E5FE2"/>
    <w:rsid w:val="001F278A"/>
    <w:rsid w:val="002014C9"/>
    <w:rsid w:val="00210EEE"/>
    <w:rsid w:val="00214B2C"/>
    <w:rsid w:val="00216D43"/>
    <w:rsid w:val="0021740C"/>
    <w:rsid w:val="00230431"/>
    <w:rsid w:val="00232CAC"/>
    <w:rsid w:val="0023560E"/>
    <w:rsid w:val="00235F10"/>
    <w:rsid w:val="0023692A"/>
    <w:rsid w:val="00246694"/>
    <w:rsid w:val="00250A29"/>
    <w:rsid w:val="00250B3C"/>
    <w:rsid w:val="00250C43"/>
    <w:rsid w:val="00250F24"/>
    <w:rsid w:val="00251C50"/>
    <w:rsid w:val="002574EB"/>
    <w:rsid w:val="00262B97"/>
    <w:rsid w:val="00263A7A"/>
    <w:rsid w:val="00267378"/>
    <w:rsid w:val="00271A17"/>
    <w:rsid w:val="0027448F"/>
    <w:rsid w:val="002765A2"/>
    <w:rsid w:val="002808D9"/>
    <w:rsid w:val="00285E00"/>
    <w:rsid w:val="00286AF0"/>
    <w:rsid w:val="00287A2A"/>
    <w:rsid w:val="00290164"/>
    <w:rsid w:val="002902E4"/>
    <w:rsid w:val="00290FC1"/>
    <w:rsid w:val="002919FD"/>
    <w:rsid w:val="00295A2D"/>
    <w:rsid w:val="002A0F45"/>
    <w:rsid w:val="002A480A"/>
    <w:rsid w:val="002A6225"/>
    <w:rsid w:val="002B4CFB"/>
    <w:rsid w:val="002B4F0E"/>
    <w:rsid w:val="002B5495"/>
    <w:rsid w:val="002B566D"/>
    <w:rsid w:val="002B57AB"/>
    <w:rsid w:val="002C602E"/>
    <w:rsid w:val="002C73C2"/>
    <w:rsid w:val="002C794B"/>
    <w:rsid w:val="002D3245"/>
    <w:rsid w:val="002D534F"/>
    <w:rsid w:val="002D6159"/>
    <w:rsid w:val="002E0D76"/>
    <w:rsid w:val="002E1653"/>
    <w:rsid w:val="002E1A73"/>
    <w:rsid w:val="002E311E"/>
    <w:rsid w:val="002E3C71"/>
    <w:rsid w:val="002E43AD"/>
    <w:rsid w:val="002E48C8"/>
    <w:rsid w:val="002E79BF"/>
    <w:rsid w:val="002E7BF4"/>
    <w:rsid w:val="002F3C33"/>
    <w:rsid w:val="002F45C6"/>
    <w:rsid w:val="002F7B75"/>
    <w:rsid w:val="003000F7"/>
    <w:rsid w:val="00300C2D"/>
    <w:rsid w:val="00301510"/>
    <w:rsid w:val="0030253A"/>
    <w:rsid w:val="003037E6"/>
    <w:rsid w:val="003043EA"/>
    <w:rsid w:val="00306E14"/>
    <w:rsid w:val="00315337"/>
    <w:rsid w:val="0031583B"/>
    <w:rsid w:val="003158BE"/>
    <w:rsid w:val="0031645E"/>
    <w:rsid w:val="00316738"/>
    <w:rsid w:val="00321AA7"/>
    <w:rsid w:val="0032319C"/>
    <w:rsid w:val="0032436E"/>
    <w:rsid w:val="00330635"/>
    <w:rsid w:val="00330764"/>
    <w:rsid w:val="0033228C"/>
    <w:rsid w:val="00334386"/>
    <w:rsid w:val="00335B5F"/>
    <w:rsid w:val="00337255"/>
    <w:rsid w:val="003441D1"/>
    <w:rsid w:val="00344B95"/>
    <w:rsid w:val="00344C82"/>
    <w:rsid w:val="003477A3"/>
    <w:rsid w:val="00351579"/>
    <w:rsid w:val="00352D84"/>
    <w:rsid w:val="00355B9A"/>
    <w:rsid w:val="00357350"/>
    <w:rsid w:val="0036204C"/>
    <w:rsid w:val="00363B0E"/>
    <w:rsid w:val="00375558"/>
    <w:rsid w:val="00377F78"/>
    <w:rsid w:val="00380F98"/>
    <w:rsid w:val="00381583"/>
    <w:rsid w:val="00382F25"/>
    <w:rsid w:val="003870F1"/>
    <w:rsid w:val="0039025B"/>
    <w:rsid w:val="00390E01"/>
    <w:rsid w:val="0039302E"/>
    <w:rsid w:val="003957B5"/>
    <w:rsid w:val="00397DCE"/>
    <w:rsid w:val="003A38C4"/>
    <w:rsid w:val="003A41B8"/>
    <w:rsid w:val="003B0385"/>
    <w:rsid w:val="003B5763"/>
    <w:rsid w:val="003B5F10"/>
    <w:rsid w:val="003B61F4"/>
    <w:rsid w:val="003B7AFF"/>
    <w:rsid w:val="003C15BB"/>
    <w:rsid w:val="003C531C"/>
    <w:rsid w:val="003C62FB"/>
    <w:rsid w:val="003C65A6"/>
    <w:rsid w:val="003D2BF8"/>
    <w:rsid w:val="003D57CD"/>
    <w:rsid w:val="003E01F3"/>
    <w:rsid w:val="003E03E0"/>
    <w:rsid w:val="003E0823"/>
    <w:rsid w:val="003E0A60"/>
    <w:rsid w:val="003E63A2"/>
    <w:rsid w:val="003F1C60"/>
    <w:rsid w:val="003F38D9"/>
    <w:rsid w:val="003F3E7E"/>
    <w:rsid w:val="003F43F4"/>
    <w:rsid w:val="003F44CD"/>
    <w:rsid w:val="003F7EE8"/>
    <w:rsid w:val="00401381"/>
    <w:rsid w:val="00404407"/>
    <w:rsid w:val="00405C90"/>
    <w:rsid w:val="00405E80"/>
    <w:rsid w:val="00410328"/>
    <w:rsid w:val="00412E20"/>
    <w:rsid w:val="00413BE1"/>
    <w:rsid w:val="00413D51"/>
    <w:rsid w:val="004170B9"/>
    <w:rsid w:val="00417D46"/>
    <w:rsid w:val="0042012D"/>
    <w:rsid w:val="0042480C"/>
    <w:rsid w:val="00424A71"/>
    <w:rsid w:val="00426833"/>
    <w:rsid w:val="00432834"/>
    <w:rsid w:val="00434B47"/>
    <w:rsid w:val="00435000"/>
    <w:rsid w:val="00437375"/>
    <w:rsid w:val="00443A9E"/>
    <w:rsid w:val="004477BC"/>
    <w:rsid w:val="0045512A"/>
    <w:rsid w:val="00455C6F"/>
    <w:rsid w:val="00457959"/>
    <w:rsid w:val="00457963"/>
    <w:rsid w:val="00461163"/>
    <w:rsid w:val="004613F8"/>
    <w:rsid w:val="00463513"/>
    <w:rsid w:val="00464442"/>
    <w:rsid w:val="00466200"/>
    <w:rsid w:val="00471591"/>
    <w:rsid w:val="004725E0"/>
    <w:rsid w:val="00472F3D"/>
    <w:rsid w:val="004750C6"/>
    <w:rsid w:val="00482B6E"/>
    <w:rsid w:val="00485381"/>
    <w:rsid w:val="004911CB"/>
    <w:rsid w:val="0049172A"/>
    <w:rsid w:val="00493258"/>
    <w:rsid w:val="00494022"/>
    <w:rsid w:val="004A1126"/>
    <w:rsid w:val="004A12B4"/>
    <w:rsid w:val="004A1802"/>
    <w:rsid w:val="004A188F"/>
    <w:rsid w:val="004A300C"/>
    <w:rsid w:val="004A594A"/>
    <w:rsid w:val="004A71BC"/>
    <w:rsid w:val="004A79A7"/>
    <w:rsid w:val="004B1BAF"/>
    <w:rsid w:val="004B462E"/>
    <w:rsid w:val="004B52CC"/>
    <w:rsid w:val="004B5728"/>
    <w:rsid w:val="004B7660"/>
    <w:rsid w:val="004C0B22"/>
    <w:rsid w:val="004C2D7E"/>
    <w:rsid w:val="004C5C9D"/>
    <w:rsid w:val="004D28D0"/>
    <w:rsid w:val="004D5003"/>
    <w:rsid w:val="004D64C1"/>
    <w:rsid w:val="004D6D26"/>
    <w:rsid w:val="004E01E6"/>
    <w:rsid w:val="004E13BE"/>
    <w:rsid w:val="004E1527"/>
    <w:rsid w:val="004E1E2D"/>
    <w:rsid w:val="004E2DC4"/>
    <w:rsid w:val="004E5B40"/>
    <w:rsid w:val="004E6541"/>
    <w:rsid w:val="004E7B0E"/>
    <w:rsid w:val="004F0706"/>
    <w:rsid w:val="004F324F"/>
    <w:rsid w:val="004F35C4"/>
    <w:rsid w:val="004F5D7B"/>
    <w:rsid w:val="005024ED"/>
    <w:rsid w:val="00502B8A"/>
    <w:rsid w:val="00503090"/>
    <w:rsid w:val="00505CD3"/>
    <w:rsid w:val="00507301"/>
    <w:rsid w:val="00510177"/>
    <w:rsid w:val="0051229F"/>
    <w:rsid w:val="0051233B"/>
    <w:rsid w:val="005145A9"/>
    <w:rsid w:val="00515468"/>
    <w:rsid w:val="005165A8"/>
    <w:rsid w:val="00520AC8"/>
    <w:rsid w:val="005211DF"/>
    <w:rsid w:val="005229EF"/>
    <w:rsid w:val="00523673"/>
    <w:rsid w:val="00523E74"/>
    <w:rsid w:val="00524CC3"/>
    <w:rsid w:val="00525E3E"/>
    <w:rsid w:val="00526101"/>
    <w:rsid w:val="005273BC"/>
    <w:rsid w:val="00527931"/>
    <w:rsid w:val="00530648"/>
    <w:rsid w:val="00531B3E"/>
    <w:rsid w:val="005328C7"/>
    <w:rsid w:val="005355D4"/>
    <w:rsid w:val="00535F79"/>
    <w:rsid w:val="00540FF4"/>
    <w:rsid w:val="0054186C"/>
    <w:rsid w:val="0054406F"/>
    <w:rsid w:val="00544A87"/>
    <w:rsid w:val="00544CDA"/>
    <w:rsid w:val="00545818"/>
    <w:rsid w:val="00545B6D"/>
    <w:rsid w:val="005466FD"/>
    <w:rsid w:val="00546E14"/>
    <w:rsid w:val="00551858"/>
    <w:rsid w:val="005532B1"/>
    <w:rsid w:val="0056744D"/>
    <w:rsid w:val="005701E6"/>
    <w:rsid w:val="005705B0"/>
    <w:rsid w:val="00570D6E"/>
    <w:rsid w:val="00571BFF"/>
    <w:rsid w:val="00577A74"/>
    <w:rsid w:val="00580DB1"/>
    <w:rsid w:val="005928BE"/>
    <w:rsid w:val="005931D4"/>
    <w:rsid w:val="00593B6B"/>
    <w:rsid w:val="00595D51"/>
    <w:rsid w:val="005964E6"/>
    <w:rsid w:val="00596974"/>
    <w:rsid w:val="005A00F0"/>
    <w:rsid w:val="005A5ED2"/>
    <w:rsid w:val="005A6AF0"/>
    <w:rsid w:val="005A7548"/>
    <w:rsid w:val="005A78C1"/>
    <w:rsid w:val="005B092B"/>
    <w:rsid w:val="005B1B80"/>
    <w:rsid w:val="005B36DA"/>
    <w:rsid w:val="005B4F69"/>
    <w:rsid w:val="005B5A95"/>
    <w:rsid w:val="005B5E24"/>
    <w:rsid w:val="005B6F69"/>
    <w:rsid w:val="005C36E8"/>
    <w:rsid w:val="005C7B67"/>
    <w:rsid w:val="005D5084"/>
    <w:rsid w:val="005E1D8F"/>
    <w:rsid w:val="005E4907"/>
    <w:rsid w:val="005E5F62"/>
    <w:rsid w:val="005E7287"/>
    <w:rsid w:val="005E7430"/>
    <w:rsid w:val="005F0051"/>
    <w:rsid w:val="005F1A5C"/>
    <w:rsid w:val="005F2DA4"/>
    <w:rsid w:val="005F38A5"/>
    <w:rsid w:val="005F38DB"/>
    <w:rsid w:val="00600190"/>
    <w:rsid w:val="0060101B"/>
    <w:rsid w:val="0060469F"/>
    <w:rsid w:val="0060780C"/>
    <w:rsid w:val="00607E8A"/>
    <w:rsid w:val="00610ED9"/>
    <w:rsid w:val="006112BA"/>
    <w:rsid w:val="0061300F"/>
    <w:rsid w:val="00613FEB"/>
    <w:rsid w:val="00624D7B"/>
    <w:rsid w:val="00634116"/>
    <w:rsid w:val="00635402"/>
    <w:rsid w:val="00635631"/>
    <w:rsid w:val="00636E17"/>
    <w:rsid w:val="00637F06"/>
    <w:rsid w:val="00640614"/>
    <w:rsid w:val="006418E0"/>
    <w:rsid w:val="006424A7"/>
    <w:rsid w:val="0064360A"/>
    <w:rsid w:val="006436CC"/>
    <w:rsid w:val="00647E49"/>
    <w:rsid w:val="006546EA"/>
    <w:rsid w:val="00655773"/>
    <w:rsid w:val="00656D9F"/>
    <w:rsid w:val="00660210"/>
    <w:rsid w:val="006641FD"/>
    <w:rsid w:val="0066513A"/>
    <w:rsid w:val="00671A71"/>
    <w:rsid w:val="006749B3"/>
    <w:rsid w:val="006770AC"/>
    <w:rsid w:val="00677217"/>
    <w:rsid w:val="00677859"/>
    <w:rsid w:val="00680317"/>
    <w:rsid w:val="00682A69"/>
    <w:rsid w:val="00686252"/>
    <w:rsid w:val="006862E0"/>
    <w:rsid w:val="0069301A"/>
    <w:rsid w:val="00694D1A"/>
    <w:rsid w:val="006A06F6"/>
    <w:rsid w:val="006A39ED"/>
    <w:rsid w:val="006A43FF"/>
    <w:rsid w:val="006A44C2"/>
    <w:rsid w:val="006A5142"/>
    <w:rsid w:val="006A5FD6"/>
    <w:rsid w:val="006A7D6A"/>
    <w:rsid w:val="006B1082"/>
    <w:rsid w:val="006B1A48"/>
    <w:rsid w:val="006B76A6"/>
    <w:rsid w:val="006C0CE5"/>
    <w:rsid w:val="006C3D08"/>
    <w:rsid w:val="006C3EB9"/>
    <w:rsid w:val="006C69B8"/>
    <w:rsid w:val="006C7913"/>
    <w:rsid w:val="006D4514"/>
    <w:rsid w:val="006D6762"/>
    <w:rsid w:val="006E0A42"/>
    <w:rsid w:val="006E3F47"/>
    <w:rsid w:val="006E4BF8"/>
    <w:rsid w:val="006E6D43"/>
    <w:rsid w:val="006E7D09"/>
    <w:rsid w:val="006F3E2A"/>
    <w:rsid w:val="006F69F0"/>
    <w:rsid w:val="0070022C"/>
    <w:rsid w:val="0070181C"/>
    <w:rsid w:val="00704AC0"/>
    <w:rsid w:val="0070523B"/>
    <w:rsid w:val="0071065B"/>
    <w:rsid w:val="00710CAA"/>
    <w:rsid w:val="00711AEC"/>
    <w:rsid w:val="007135B8"/>
    <w:rsid w:val="00715082"/>
    <w:rsid w:val="00717100"/>
    <w:rsid w:val="007218B4"/>
    <w:rsid w:val="007230EF"/>
    <w:rsid w:val="00724342"/>
    <w:rsid w:val="007263A9"/>
    <w:rsid w:val="007320FA"/>
    <w:rsid w:val="0073445A"/>
    <w:rsid w:val="007344DF"/>
    <w:rsid w:val="00735289"/>
    <w:rsid w:val="007366B3"/>
    <w:rsid w:val="00737957"/>
    <w:rsid w:val="00741D42"/>
    <w:rsid w:val="0074242E"/>
    <w:rsid w:val="00746CA4"/>
    <w:rsid w:val="00747630"/>
    <w:rsid w:val="00747D25"/>
    <w:rsid w:val="007503A8"/>
    <w:rsid w:val="00750DEC"/>
    <w:rsid w:val="00750FB6"/>
    <w:rsid w:val="00753212"/>
    <w:rsid w:val="00753980"/>
    <w:rsid w:val="00753BB3"/>
    <w:rsid w:val="007559D4"/>
    <w:rsid w:val="00756B3E"/>
    <w:rsid w:val="00760FAF"/>
    <w:rsid w:val="007641D0"/>
    <w:rsid w:val="00766DA4"/>
    <w:rsid w:val="007745F3"/>
    <w:rsid w:val="00775CD8"/>
    <w:rsid w:val="007760D5"/>
    <w:rsid w:val="00780B6F"/>
    <w:rsid w:val="007859F9"/>
    <w:rsid w:val="00785D21"/>
    <w:rsid w:val="00787D85"/>
    <w:rsid w:val="00797283"/>
    <w:rsid w:val="007A2EBF"/>
    <w:rsid w:val="007A6517"/>
    <w:rsid w:val="007A68DC"/>
    <w:rsid w:val="007B0570"/>
    <w:rsid w:val="007B1AFD"/>
    <w:rsid w:val="007B313B"/>
    <w:rsid w:val="007B4870"/>
    <w:rsid w:val="007B666B"/>
    <w:rsid w:val="007C0693"/>
    <w:rsid w:val="007C071A"/>
    <w:rsid w:val="007C1EBD"/>
    <w:rsid w:val="007C26EB"/>
    <w:rsid w:val="007C2DF6"/>
    <w:rsid w:val="007C4127"/>
    <w:rsid w:val="007C53D5"/>
    <w:rsid w:val="007C6201"/>
    <w:rsid w:val="007D0907"/>
    <w:rsid w:val="007D5061"/>
    <w:rsid w:val="007D541F"/>
    <w:rsid w:val="007D6E58"/>
    <w:rsid w:val="007E1573"/>
    <w:rsid w:val="007E64ED"/>
    <w:rsid w:val="007F00DD"/>
    <w:rsid w:val="007F10D3"/>
    <w:rsid w:val="007F1308"/>
    <w:rsid w:val="007F6BC8"/>
    <w:rsid w:val="007F7E59"/>
    <w:rsid w:val="00801A18"/>
    <w:rsid w:val="00802C8A"/>
    <w:rsid w:val="0080481F"/>
    <w:rsid w:val="00806409"/>
    <w:rsid w:val="00807005"/>
    <w:rsid w:val="008078B3"/>
    <w:rsid w:val="00807EFD"/>
    <w:rsid w:val="00810F6E"/>
    <w:rsid w:val="00811460"/>
    <w:rsid w:val="008128B2"/>
    <w:rsid w:val="00814ED6"/>
    <w:rsid w:val="008163CF"/>
    <w:rsid w:val="00817182"/>
    <w:rsid w:val="008233A3"/>
    <w:rsid w:val="00823AB3"/>
    <w:rsid w:val="00824900"/>
    <w:rsid w:val="00832D39"/>
    <w:rsid w:val="008351BA"/>
    <w:rsid w:val="008454BF"/>
    <w:rsid w:val="00845B0D"/>
    <w:rsid w:val="00845DF8"/>
    <w:rsid w:val="0084688A"/>
    <w:rsid w:val="00846B15"/>
    <w:rsid w:val="00851EBA"/>
    <w:rsid w:val="00853855"/>
    <w:rsid w:val="00853EF0"/>
    <w:rsid w:val="00855327"/>
    <w:rsid w:val="00855466"/>
    <w:rsid w:val="00855737"/>
    <w:rsid w:val="00857F77"/>
    <w:rsid w:val="00861AE0"/>
    <w:rsid w:val="008645EC"/>
    <w:rsid w:val="00871582"/>
    <w:rsid w:val="00871E54"/>
    <w:rsid w:val="00874D98"/>
    <w:rsid w:val="00877A18"/>
    <w:rsid w:val="00890768"/>
    <w:rsid w:val="00892854"/>
    <w:rsid w:val="00895AD7"/>
    <w:rsid w:val="00897226"/>
    <w:rsid w:val="008A01C7"/>
    <w:rsid w:val="008A02B1"/>
    <w:rsid w:val="008A0C2F"/>
    <w:rsid w:val="008A1CE0"/>
    <w:rsid w:val="008A34B1"/>
    <w:rsid w:val="008A35E0"/>
    <w:rsid w:val="008A3A36"/>
    <w:rsid w:val="008A5163"/>
    <w:rsid w:val="008A6C24"/>
    <w:rsid w:val="008A6CF0"/>
    <w:rsid w:val="008A70AC"/>
    <w:rsid w:val="008B0D72"/>
    <w:rsid w:val="008B6DD1"/>
    <w:rsid w:val="008C0627"/>
    <w:rsid w:val="008C1DFB"/>
    <w:rsid w:val="008D04F8"/>
    <w:rsid w:val="008D17FB"/>
    <w:rsid w:val="008D3CF4"/>
    <w:rsid w:val="008D4A3D"/>
    <w:rsid w:val="008D4AA7"/>
    <w:rsid w:val="008D7142"/>
    <w:rsid w:val="008E3999"/>
    <w:rsid w:val="008E5951"/>
    <w:rsid w:val="008E6468"/>
    <w:rsid w:val="008E7642"/>
    <w:rsid w:val="008F0B36"/>
    <w:rsid w:val="008F4748"/>
    <w:rsid w:val="008F78BE"/>
    <w:rsid w:val="0090676D"/>
    <w:rsid w:val="00906D1B"/>
    <w:rsid w:val="0090769B"/>
    <w:rsid w:val="0091205B"/>
    <w:rsid w:val="009120EA"/>
    <w:rsid w:val="00913E4A"/>
    <w:rsid w:val="00914404"/>
    <w:rsid w:val="00914FD3"/>
    <w:rsid w:val="00915533"/>
    <w:rsid w:val="00916114"/>
    <w:rsid w:val="00917D33"/>
    <w:rsid w:val="00920C89"/>
    <w:rsid w:val="00922A93"/>
    <w:rsid w:val="00922DB1"/>
    <w:rsid w:val="0092486D"/>
    <w:rsid w:val="009264AF"/>
    <w:rsid w:val="00930B29"/>
    <w:rsid w:val="00934FD6"/>
    <w:rsid w:val="009354B1"/>
    <w:rsid w:val="00935D29"/>
    <w:rsid w:val="009370CD"/>
    <w:rsid w:val="00937E6E"/>
    <w:rsid w:val="009404E1"/>
    <w:rsid w:val="00941915"/>
    <w:rsid w:val="009430F6"/>
    <w:rsid w:val="0094311D"/>
    <w:rsid w:val="009435A0"/>
    <w:rsid w:val="00945006"/>
    <w:rsid w:val="0094745A"/>
    <w:rsid w:val="009475B0"/>
    <w:rsid w:val="00947EF8"/>
    <w:rsid w:val="00952D26"/>
    <w:rsid w:val="00953559"/>
    <w:rsid w:val="00954343"/>
    <w:rsid w:val="00960936"/>
    <w:rsid w:val="009624BD"/>
    <w:rsid w:val="00962DDF"/>
    <w:rsid w:val="00964CD4"/>
    <w:rsid w:val="00967CE2"/>
    <w:rsid w:val="009725CF"/>
    <w:rsid w:val="00973BA5"/>
    <w:rsid w:val="009753FC"/>
    <w:rsid w:val="00977A2B"/>
    <w:rsid w:val="0098022B"/>
    <w:rsid w:val="00981797"/>
    <w:rsid w:val="00984693"/>
    <w:rsid w:val="00984ECE"/>
    <w:rsid w:val="00985311"/>
    <w:rsid w:val="009874E0"/>
    <w:rsid w:val="00991532"/>
    <w:rsid w:val="00992AC4"/>
    <w:rsid w:val="00994806"/>
    <w:rsid w:val="00995B6A"/>
    <w:rsid w:val="009A1223"/>
    <w:rsid w:val="009A40F5"/>
    <w:rsid w:val="009A4DD9"/>
    <w:rsid w:val="009A538F"/>
    <w:rsid w:val="009A562F"/>
    <w:rsid w:val="009A6490"/>
    <w:rsid w:val="009A78E1"/>
    <w:rsid w:val="009B49CB"/>
    <w:rsid w:val="009B6329"/>
    <w:rsid w:val="009C21F5"/>
    <w:rsid w:val="009C5DDD"/>
    <w:rsid w:val="009D3AD8"/>
    <w:rsid w:val="009D4DDF"/>
    <w:rsid w:val="009D571A"/>
    <w:rsid w:val="009D58D2"/>
    <w:rsid w:val="009D6A85"/>
    <w:rsid w:val="009D7128"/>
    <w:rsid w:val="009E5849"/>
    <w:rsid w:val="009E68E7"/>
    <w:rsid w:val="009F0132"/>
    <w:rsid w:val="009F5BB7"/>
    <w:rsid w:val="00A01E5E"/>
    <w:rsid w:val="00A02AC6"/>
    <w:rsid w:val="00A0404B"/>
    <w:rsid w:val="00A0460F"/>
    <w:rsid w:val="00A1344F"/>
    <w:rsid w:val="00A14926"/>
    <w:rsid w:val="00A26EC4"/>
    <w:rsid w:val="00A27208"/>
    <w:rsid w:val="00A30FA7"/>
    <w:rsid w:val="00A333E8"/>
    <w:rsid w:val="00A42DEE"/>
    <w:rsid w:val="00A43276"/>
    <w:rsid w:val="00A4483E"/>
    <w:rsid w:val="00A46C00"/>
    <w:rsid w:val="00A470A3"/>
    <w:rsid w:val="00A52C76"/>
    <w:rsid w:val="00A54964"/>
    <w:rsid w:val="00A54EBC"/>
    <w:rsid w:val="00A569D3"/>
    <w:rsid w:val="00A578B3"/>
    <w:rsid w:val="00A57F6F"/>
    <w:rsid w:val="00A6084B"/>
    <w:rsid w:val="00A659CD"/>
    <w:rsid w:val="00A65E15"/>
    <w:rsid w:val="00A65FD2"/>
    <w:rsid w:val="00A66632"/>
    <w:rsid w:val="00A737FF"/>
    <w:rsid w:val="00A73930"/>
    <w:rsid w:val="00A772A4"/>
    <w:rsid w:val="00A777BE"/>
    <w:rsid w:val="00A8169D"/>
    <w:rsid w:val="00A831DD"/>
    <w:rsid w:val="00A83460"/>
    <w:rsid w:val="00A85660"/>
    <w:rsid w:val="00A87374"/>
    <w:rsid w:val="00A87980"/>
    <w:rsid w:val="00A90749"/>
    <w:rsid w:val="00AA54A5"/>
    <w:rsid w:val="00AA7369"/>
    <w:rsid w:val="00AA74AD"/>
    <w:rsid w:val="00AB0571"/>
    <w:rsid w:val="00AB4200"/>
    <w:rsid w:val="00AB43C0"/>
    <w:rsid w:val="00AB5618"/>
    <w:rsid w:val="00AB703D"/>
    <w:rsid w:val="00AB75C3"/>
    <w:rsid w:val="00AC2FF8"/>
    <w:rsid w:val="00AC33C5"/>
    <w:rsid w:val="00AD0F41"/>
    <w:rsid w:val="00AD1A10"/>
    <w:rsid w:val="00AD5D28"/>
    <w:rsid w:val="00AD6AE4"/>
    <w:rsid w:val="00AE04FB"/>
    <w:rsid w:val="00AE0652"/>
    <w:rsid w:val="00AE07DC"/>
    <w:rsid w:val="00AE18B7"/>
    <w:rsid w:val="00AE3714"/>
    <w:rsid w:val="00AE49DA"/>
    <w:rsid w:val="00AE6A4E"/>
    <w:rsid w:val="00AE6ED3"/>
    <w:rsid w:val="00AF02E2"/>
    <w:rsid w:val="00AF0968"/>
    <w:rsid w:val="00AF38A5"/>
    <w:rsid w:val="00AF3B5A"/>
    <w:rsid w:val="00AF69B8"/>
    <w:rsid w:val="00AF7100"/>
    <w:rsid w:val="00AF7EA1"/>
    <w:rsid w:val="00B00705"/>
    <w:rsid w:val="00B00946"/>
    <w:rsid w:val="00B0682C"/>
    <w:rsid w:val="00B11E3B"/>
    <w:rsid w:val="00B15C48"/>
    <w:rsid w:val="00B17ECD"/>
    <w:rsid w:val="00B20632"/>
    <w:rsid w:val="00B20ACD"/>
    <w:rsid w:val="00B216B5"/>
    <w:rsid w:val="00B22BD3"/>
    <w:rsid w:val="00B2375A"/>
    <w:rsid w:val="00B23E4A"/>
    <w:rsid w:val="00B248B4"/>
    <w:rsid w:val="00B264A3"/>
    <w:rsid w:val="00B2683A"/>
    <w:rsid w:val="00B27E26"/>
    <w:rsid w:val="00B30F83"/>
    <w:rsid w:val="00B350EC"/>
    <w:rsid w:val="00B36A68"/>
    <w:rsid w:val="00B40570"/>
    <w:rsid w:val="00B44441"/>
    <w:rsid w:val="00B45EF0"/>
    <w:rsid w:val="00B47474"/>
    <w:rsid w:val="00B47E2A"/>
    <w:rsid w:val="00B53709"/>
    <w:rsid w:val="00B559B4"/>
    <w:rsid w:val="00B61F3C"/>
    <w:rsid w:val="00B62B79"/>
    <w:rsid w:val="00B62F27"/>
    <w:rsid w:val="00B65806"/>
    <w:rsid w:val="00B71DED"/>
    <w:rsid w:val="00B71E02"/>
    <w:rsid w:val="00B7483A"/>
    <w:rsid w:val="00B75486"/>
    <w:rsid w:val="00B768E8"/>
    <w:rsid w:val="00B80141"/>
    <w:rsid w:val="00B859D0"/>
    <w:rsid w:val="00B85F42"/>
    <w:rsid w:val="00B878DA"/>
    <w:rsid w:val="00B936C0"/>
    <w:rsid w:val="00B95636"/>
    <w:rsid w:val="00BA01A2"/>
    <w:rsid w:val="00BA061E"/>
    <w:rsid w:val="00BB0F06"/>
    <w:rsid w:val="00BB2B26"/>
    <w:rsid w:val="00BB79F8"/>
    <w:rsid w:val="00BC36D6"/>
    <w:rsid w:val="00BC449C"/>
    <w:rsid w:val="00BC4CB6"/>
    <w:rsid w:val="00BC62D9"/>
    <w:rsid w:val="00BD1048"/>
    <w:rsid w:val="00BD48C0"/>
    <w:rsid w:val="00BE29C3"/>
    <w:rsid w:val="00BE3620"/>
    <w:rsid w:val="00BE481F"/>
    <w:rsid w:val="00BE664B"/>
    <w:rsid w:val="00BE7257"/>
    <w:rsid w:val="00BE7E65"/>
    <w:rsid w:val="00BF3F2B"/>
    <w:rsid w:val="00BF47FB"/>
    <w:rsid w:val="00BF4F9C"/>
    <w:rsid w:val="00BF6E32"/>
    <w:rsid w:val="00C02E90"/>
    <w:rsid w:val="00C103F9"/>
    <w:rsid w:val="00C13CCD"/>
    <w:rsid w:val="00C219D5"/>
    <w:rsid w:val="00C25971"/>
    <w:rsid w:val="00C26A27"/>
    <w:rsid w:val="00C3010C"/>
    <w:rsid w:val="00C32248"/>
    <w:rsid w:val="00C34EBA"/>
    <w:rsid w:val="00C3594C"/>
    <w:rsid w:val="00C37DFE"/>
    <w:rsid w:val="00C41CC9"/>
    <w:rsid w:val="00C42B55"/>
    <w:rsid w:val="00C4511A"/>
    <w:rsid w:val="00C473DC"/>
    <w:rsid w:val="00C523DC"/>
    <w:rsid w:val="00C60E0C"/>
    <w:rsid w:val="00C61DD2"/>
    <w:rsid w:val="00C62F86"/>
    <w:rsid w:val="00C63BFC"/>
    <w:rsid w:val="00C71FAA"/>
    <w:rsid w:val="00C72B82"/>
    <w:rsid w:val="00C775C5"/>
    <w:rsid w:val="00C802DF"/>
    <w:rsid w:val="00C83AC9"/>
    <w:rsid w:val="00C844F6"/>
    <w:rsid w:val="00C85419"/>
    <w:rsid w:val="00C92007"/>
    <w:rsid w:val="00C93A40"/>
    <w:rsid w:val="00C95173"/>
    <w:rsid w:val="00C95948"/>
    <w:rsid w:val="00CA0A1A"/>
    <w:rsid w:val="00CA433E"/>
    <w:rsid w:val="00CA5FE3"/>
    <w:rsid w:val="00CA6EB3"/>
    <w:rsid w:val="00CA6F5B"/>
    <w:rsid w:val="00CB15EE"/>
    <w:rsid w:val="00CB2F77"/>
    <w:rsid w:val="00CB33E2"/>
    <w:rsid w:val="00CB5C9C"/>
    <w:rsid w:val="00CC06B4"/>
    <w:rsid w:val="00CC2B92"/>
    <w:rsid w:val="00CC2DAF"/>
    <w:rsid w:val="00CC4E86"/>
    <w:rsid w:val="00CD0CCE"/>
    <w:rsid w:val="00CD1599"/>
    <w:rsid w:val="00CD28F6"/>
    <w:rsid w:val="00CD337F"/>
    <w:rsid w:val="00CD3EBF"/>
    <w:rsid w:val="00CD4793"/>
    <w:rsid w:val="00CE0FDD"/>
    <w:rsid w:val="00CE253D"/>
    <w:rsid w:val="00CE394A"/>
    <w:rsid w:val="00CE3AC7"/>
    <w:rsid w:val="00CE3EA4"/>
    <w:rsid w:val="00CE4E1E"/>
    <w:rsid w:val="00CE7583"/>
    <w:rsid w:val="00CE7B80"/>
    <w:rsid w:val="00CF04CD"/>
    <w:rsid w:val="00CF0BE0"/>
    <w:rsid w:val="00CF0CE7"/>
    <w:rsid w:val="00CF1040"/>
    <w:rsid w:val="00CF312D"/>
    <w:rsid w:val="00CF50D0"/>
    <w:rsid w:val="00D0170B"/>
    <w:rsid w:val="00D022C3"/>
    <w:rsid w:val="00D0427D"/>
    <w:rsid w:val="00D05808"/>
    <w:rsid w:val="00D06875"/>
    <w:rsid w:val="00D06E4E"/>
    <w:rsid w:val="00D133F0"/>
    <w:rsid w:val="00D2058D"/>
    <w:rsid w:val="00D222CE"/>
    <w:rsid w:val="00D30BAF"/>
    <w:rsid w:val="00D3461B"/>
    <w:rsid w:val="00D3536A"/>
    <w:rsid w:val="00D37A2C"/>
    <w:rsid w:val="00D405FC"/>
    <w:rsid w:val="00D42420"/>
    <w:rsid w:val="00D440F8"/>
    <w:rsid w:val="00D451CF"/>
    <w:rsid w:val="00D521C3"/>
    <w:rsid w:val="00D54034"/>
    <w:rsid w:val="00D55FD9"/>
    <w:rsid w:val="00D5714A"/>
    <w:rsid w:val="00D57340"/>
    <w:rsid w:val="00D57AE8"/>
    <w:rsid w:val="00D65724"/>
    <w:rsid w:val="00D66270"/>
    <w:rsid w:val="00D70D49"/>
    <w:rsid w:val="00D720F0"/>
    <w:rsid w:val="00D72C9B"/>
    <w:rsid w:val="00D7436B"/>
    <w:rsid w:val="00D801AA"/>
    <w:rsid w:val="00D8075B"/>
    <w:rsid w:val="00D84273"/>
    <w:rsid w:val="00D85063"/>
    <w:rsid w:val="00D8577D"/>
    <w:rsid w:val="00D94D82"/>
    <w:rsid w:val="00DA125D"/>
    <w:rsid w:val="00DA316E"/>
    <w:rsid w:val="00DA46D1"/>
    <w:rsid w:val="00DA4E01"/>
    <w:rsid w:val="00DA4F65"/>
    <w:rsid w:val="00DA5E1D"/>
    <w:rsid w:val="00DA7864"/>
    <w:rsid w:val="00DB40E2"/>
    <w:rsid w:val="00DB4A61"/>
    <w:rsid w:val="00DB4E57"/>
    <w:rsid w:val="00DB5A76"/>
    <w:rsid w:val="00DB6E08"/>
    <w:rsid w:val="00DC01F6"/>
    <w:rsid w:val="00DC2051"/>
    <w:rsid w:val="00DC27F0"/>
    <w:rsid w:val="00DC2B6E"/>
    <w:rsid w:val="00DC3B0F"/>
    <w:rsid w:val="00DC6E84"/>
    <w:rsid w:val="00DD0B49"/>
    <w:rsid w:val="00DD1235"/>
    <w:rsid w:val="00DD203C"/>
    <w:rsid w:val="00DD25AF"/>
    <w:rsid w:val="00DD2D71"/>
    <w:rsid w:val="00DD37F3"/>
    <w:rsid w:val="00DD5DB1"/>
    <w:rsid w:val="00DE0961"/>
    <w:rsid w:val="00DE0BEB"/>
    <w:rsid w:val="00DE1B07"/>
    <w:rsid w:val="00DE28C5"/>
    <w:rsid w:val="00DE512A"/>
    <w:rsid w:val="00DE716B"/>
    <w:rsid w:val="00DE7CA8"/>
    <w:rsid w:val="00DE7E84"/>
    <w:rsid w:val="00DF2298"/>
    <w:rsid w:val="00DF2F5B"/>
    <w:rsid w:val="00DF45CB"/>
    <w:rsid w:val="00DF58C3"/>
    <w:rsid w:val="00DF5BED"/>
    <w:rsid w:val="00DF611E"/>
    <w:rsid w:val="00DF61C4"/>
    <w:rsid w:val="00DF6AB7"/>
    <w:rsid w:val="00DF6C2D"/>
    <w:rsid w:val="00E00088"/>
    <w:rsid w:val="00E05495"/>
    <w:rsid w:val="00E059CA"/>
    <w:rsid w:val="00E10F5E"/>
    <w:rsid w:val="00E11783"/>
    <w:rsid w:val="00E12D73"/>
    <w:rsid w:val="00E167D6"/>
    <w:rsid w:val="00E20FF4"/>
    <w:rsid w:val="00E21893"/>
    <w:rsid w:val="00E21A78"/>
    <w:rsid w:val="00E24561"/>
    <w:rsid w:val="00E32C40"/>
    <w:rsid w:val="00E33362"/>
    <w:rsid w:val="00E334A0"/>
    <w:rsid w:val="00E34182"/>
    <w:rsid w:val="00E437DE"/>
    <w:rsid w:val="00E43AA3"/>
    <w:rsid w:val="00E470FF"/>
    <w:rsid w:val="00E516F8"/>
    <w:rsid w:val="00E51FE7"/>
    <w:rsid w:val="00E55491"/>
    <w:rsid w:val="00E57279"/>
    <w:rsid w:val="00E61888"/>
    <w:rsid w:val="00E61FA0"/>
    <w:rsid w:val="00E632C5"/>
    <w:rsid w:val="00E648E8"/>
    <w:rsid w:val="00E71481"/>
    <w:rsid w:val="00E76285"/>
    <w:rsid w:val="00E76E9B"/>
    <w:rsid w:val="00E80F5D"/>
    <w:rsid w:val="00E813A7"/>
    <w:rsid w:val="00E8201E"/>
    <w:rsid w:val="00E82DE9"/>
    <w:rsid w:val="00E8324E"/>
    <w:rsid w:val="00E9061F"/>
    <w:rsid w:val="00E91CD2"/>
    <w:rsid w:val="00E945D0"/>
    <w:rsid w:val="00E96C17"/>
    <w:rsid w:val="00EA0B7A"/>
    <w:rsid w:val="00EA2025"/>
    <w:rsid w:val="00EA2C15"/>
    <w:rsid w:val="00EA2F25"/>
    <w:rsid w:val="00EA4B2A"/>
    <w:rsid w:val="00EA6081"/>
    <w:rsid w:val="00EB19CD"/>
    <w:rsid w:val="00EB1CAF"/>
    <w:rsid w:val="00EB2403"/>
    <w:rsid w:val="00EB3743"/>
    <w:rsid w:val="00EB68A2"/>
    <w:rsid w:val="00EC0D23"/>
    <w:rsid w:val="00EC3BFF"/>
    <w:rsid w:val="00EC3CDD"/>
    <w:rsid w:val="00ED04AF"/>
    <w:rsid w:val="00ED05B6"/>
    <w:rsid w:val="00ED0C64"/>
    <w:rsid w:val="00ED321B"/>
    <w:rsid w:val="00ED3E77"/>
    <w:rsid w:val="00ED45ED"/>
    <w:rsid w:val="00ED5537"/>
    <w:rsid w:val="00EE0107"/>
    <w:rsid w:val="00EE0646"/>
    <w:rsid w:val="00EE1187"/>
    <w:rsid w:val="00EE1A2F"/>
    <w:rsid w:val="00EE7818"/>
    <w:rsid w:val="00EF0BD3"/>
    <w:rsid w:val="00EF197A"/>
    <w:rsid w:val="00EF6CB3"/>
    <w:rsid w:val="00EF6FF1"/>
    <w:rsid w:val="00F01A3E"/>
    <w:rsid w:val="00F04A57"/>
    <w:rsid w:val="00F04B89"/>
    <w:rsid w:val="00F104B1"/>
    <w:rsid w:val="00F10BEC"/>
    <w:rsid w:val="00F13DF2"/>
    <w:rsid w:val="00F14E1B"/>
    <w:rsid w:val="00F15565"/>
    <w:rsid w:val="00F15CCB"/>
    <w:rsid w:val="00F16C35"/>
    <w:rsid w:val="00F17506"/>
    <w:rsid w:val="00F20F77"/>
    <w:rsid w:val="00F21A42"/>
    <w:rsid w:val="00F25326"/>
    <w:rsid w:val="00F26C67"/>
    <w:rsid w:val="00F27859"/>
    <w:rsid w:val="00F27D83"/>
    <w:rsid w:val="00F3008F"/>
    <w:rsid w:val="00F3030D"/>
    <w:rsid w:val="00F355CA"/>
    <w:rsid w:val="00F356AC"/>
    <w:rsid w:val="00F3664E"/>
    <w:rsid w:val="00F4210E"/>
    <w:rsid w:val="00F421A8"/>
    <w:rsid w:val="00F42245"/>
    <w:rsid w:val="00F4375C"/>
    <w:rsid w:val="00F443D2"/>
    <w:rsid w:val="00F47025"/>
    <w:rsid w:val="00F522B0"/>
    <w:rsid w:val="00F609F5"/>
    <w:rsid w:val="00F61490"/>
    <w:rsid w:val="00F6238B"/>
    <w:rsid w:val="00F659CF"/>
    <w:rsid w:val="00F74740"/>
    <w:rsid w:val="00F7497C"/>
    <w:rsid w:val="00F75648"/>
    <w:rsid w:val="00F768AC"/>
    <w:rsid w:val="00F80B52"/>
    <w:rsid w:val="00F83844"/>
    <w:rsid w:val="00F844E7"/>
    <w:rsid w:val="00F86F23"/>
    <w:rsid w:val="00F8785D"/>
    <w:rsid w:val="00F9091E"/>
    <w:rsid w:val="00F916B5"/>
    <w:rsid w:val="00F937B9"/>
    <w:rsid w:val="00F94FEF"/>
    <w:rsid w:val="00FA14E3"/>
    <w:rsid w:val="00FA258B"/>
    <w:rsid w:val="00FA45DC"/>
    <w:rsid w:val="00FA62C3"/>
    <w:rsid w:val="00FA64FC"/>
    <w:rsid w:val="00FB1ACE"/>
    <w:rsid w:val="00FB2116"/>
    <w:rsid w:val="00FB4587"/>
    <w:rsid w:val="00FB79CD"/>
    <w:rsid w:val="00FB7FB2"/>
    <w:rsid w:val="00FC0D1A"/>
    <w:rsid w:val="00FC2978"/>
    <w:rsid w:val="00FC52FB"/>
    <w:rsid w:val="00FC6361"/>
    <w:rsid w:val="00FC65B4"/>
    <w:rsid w:val="00FC6B06"/>
    <w:rsid w:val="00FD2418"/>
    <w:rsid w:val="00FD2543"/>
    <w:rsid w:val="00FD3AAC"/>
    <w:rsid w:val="00FD4904"/>
    <w:rsid w:val="00FD4CE1"/>
    <w:rsid w:val="00FD5868"/>
    <w:rsid w:val="00FD7A88"/>
    <w:rsid w:val="00FF3CF1"/>
    <w:rsid w:val="00FF70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D5C7"/>
  <w15:docId w15:val="{DEB9009B-2505-465F-8DAE-29C733E4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CB"/>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link w:val="Heading1Char"/>
    <w:uiPriority w:val="9"/>
    <w:qFormat/>
    <w:rsid w:val="002B5495"/>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FCB"/>
    <w:pPr>
      <w:tabs>
        <w:tab w:val="center" w:pos="4153"/>
        <w:tab w:val="right" w:pos="8306"/>
      </w:tabs>
    </w:pPr>
    <w:rPr>
      <w:lang w:val="x-none"/>
    </w:rPr>
  </w:style>
  <w:style w:type="character" w:customStyle="1" w:styleId="HeaderChar">
    <w:name w:val="Header Char"/>
    <w:basedOn w:val="DefaultParagraphFont"/>
    <w:link w:val="Header"/>
    <w:rsid w:val="00DF0FCB"/>
    <w:rPr>
      <w:rFonts w:ascii="Times New Roman" w:eastAsia="Calibri" w:hAnsi="Times New Roman" w:cs="Times New Roman"/>
      <w:sz w:val="24"/>
      <w:szCs w:val="24"/>
      <w:lang w:val="x-none" w:eastAsia="lv-LV"/>
    </w:rPr>
  </w:style>
  <w:style w:type="character" w:styleId="PageNumber">
    <w:name w:val="page number"/>
    <w:rsid w:val="00DF0FCB"/>
    <w:rPr>
      <w:rFonts w:cs="Times New Roman"/>
    </w:rPr>
  </w:style>
  <w:style w:type="paragraph" w:styleId="BodyText2">
    <w:name w:val="Body Text 2"/>
    <w:basedOn w:val="Normal"/>
    <w:link w:val="BodyText2Char"/>
    <w:semiHidden/>
    <w:rsid w:val="00DF0FCB"/>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0FCB"/>
    <w:rPr>
      <w:rFonts w:ascii="Times New Roman" w:eastAsia="Calibri" w:hAnsi="Times New Roman" w:cs="Times New Roman"/>
      <w:b/>
      <w:bCs/>
      <w:sz w:val="28"/>
      <w:szCs w:val="28"/>
      <w:lang w:val="x-none" w:eastAsia="x-none"/>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Strip"/>
    <w:basedOn w:val="Normal"/>
    <w:link w:val="ListParagraphChar"/>
    <w:uiPriority w:val="34"/>
    <w:qFormat/>
    <w:rsid w:val="00DF0FCB"/>
    <w:pPr>
      <w:ind w:left="720"/>
      <w:contextualSpacing/>
    </w:pPr>
    <w:rPr>
      <w:rFonts w:eastAsia="Times New Roman"/>
      <w:sz w:val="22"/>
      <w:szCs w:val="22"/>
    </w:rPr>
  </w:style>
  <w:style w:type="paragraph" w:customStyle="1" w:styleId="naisnod">
    <w:name w:val="naisnod"/>
    <w:basedOn w:val="Normal"/>
    <w:rsid w:val="00DF0FCB"/>
    <w:pPr>
      <w:spacing w:before="100" w:beforeAutospacing="1" w:after="100" w:afterAutospacing="1"/>
    </w:pPr>
    <w:rPr>
      <w:rFonts w:eastAsia="Times New Roman"/>
    </w:rPr>
  </w:style>
  <w:style w:type="character" w:customStyle="1" w:styleId="ListParagraphChar">
    <w:name w:val="List Paragraph Char"/>
    <w:aliases w:val="2 Char,Bullet 1 Char,Bullet Points Char,Colorful List - Accent 11 Char,Dot pt Char,F5 List Paragraph Char,H&amp;P List Paragraph Char,Indicator Text Char,List Paragraph Char Char Char Char,List Paragraph1 Char,List Paragraph11 Char"/>
    <w:link w:val="ListParagraph"/>
    <w:uiPriority w:val="34"/>
    <w:qFormat/>
    <w:rsid w:val="00DF0FCB"/>
    <w:rPr>
      <w:rFonts w:ascii="Times New Roman" w:eastAsia="Times New Roman" w:hAnsi="Times New Roman" w:cs="Times New Roman"/>
      <w:lang w:eastAsia="lv-LV"/>
    </w:rPr>
  </w:style>
  <w:style w:type="character" w:customStyle="1" w:styleId="apple-converted-space">
    <w:name w:val="apple-converted-space"/>
    <w:rsid w:val="00DF0FCB"/>
  </w:style>
  <w:style w:type="paragraph" w:styleId="BalloonText">
    <w:name w:val="Balloon Text"/>
    <w:basedOn w:val="Normal"/>
    <w:link w:val="BalloonTextChar"/>
    <w:uiPriority w:val="99"/>
    <w:semiHidden/>
    <w:unhideWhenUsed/>
    <w:rsid w:val="00EF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E4"/>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AB7485"/>
    <w:rPr>
      <w:sz w:val="16"/>
      <w:szCs w:val="16"/>
    </w:rPr>
  </w:style>
  <w:style w:type="paragraph" w:styleId="CommentText">
    <w:name w:val="annotation text"/>
    <w:basedOn w:val="Normal"/>
    <w:link w:val="CommentTextChar"/>
    <w:uiPriority w:val="99"/>
    <w:unhideWhenUsed/>
    <w:rsid w:val="00AB7485"/>
    <w:rPr>
      <w:sz w:val="20"/>
      <w:szCs w:val="20"/>
    </w:rPr>
  </w:style>
  <w:style w:type="character" w:customStyle="1" w:styleId="CommentTextChar">
    <w:name w:val="Comment Text Char"/>
    <w:basedOn w:val="DefaultParagraphFont"/>
    <w:link w:val="CommentText"/>
    <w:uiPriority w:val="99"/>
    <w:rsid w:val="00AB748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7485"/>
    <w:rPr>
      <w:b/>
      <w:bCs/>
    </w:rPr>
  </w:style>
  <w:style w:type="character" w:customStyle="1" w:styleId="CommentSubjectChar">
    <w:name w:val="Comment Subject Char"/>
    <w:basedOn w:val="CommentTextChar"/>
    <w:link w:val="CommentSubject"/>
    <w:uiPriority w:val="99"/>
    <w:semiHidden/>
    <w:rsid w:val="00AB7485"/>
    <w:rPr>
      <w:rFonts w:ascii="Times New Roman" w:eastAsia="Calibri" w:hAnsi="Times New Roman" w:cs="Times New Roman"/>
      <w:b/>
      <w:bCs/>
      <w:sz w:val="20"/>
      <w:szCs w:val="20"/>
      <w:lang w:eastAsia="lv-LV"/>
    </w:rPr>
  </w:style>
  <w:style w:type="paragraph" w:styleId="Footer">
    <w:name w:val="footer"/>
    <w:basedOn w:val="Normal"/>
    <w:link w:val="FooterChar"/>
    <w:uiPriority w:val="99"/>
    <w:semiHidden/>
    <w:unhideWhenUsed/>
    <w:rsid w:val="00863DF9"/>
    <w:pPr>
      <w:tabs>
        <w:tab w:val="center" w:pos="4153"/>
        <w:tab w:val="right" w:pos="8306"/>
      </w:tabs>
    </w:pPr>
  </w:style>
  <w:style w:type="character" w:customStyle="1" w:styleId="FooterChar">
    <w:name w:val="Footer Char"/>
    <w:basedOn w:val="DefaultParagraphFont"/>
    <w:link w:val="Footer"/>
    <w:uiPriority w:val="99"/>
    <w:semiHidden/>
    <w:rsid w:val="00863DF9"/>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404407"/>
    <w:rPr>
      <w:color w:val="0563C1"/>
      <w:u w:val="single"/>
    </w:rPr>
  </w:style>
  <w:style w:type="character" w:styleId="FollowedHyperlink">
    <w:name w:val="FollowedHyperlink"/>
    <w:basedOn w:val="DefaultParagraphFont"/>
    <w:uiPriority w:val="99"/>
    <w:semiHidden/>
    <w:unhideWhenUsed/>
    <w:rsid w:val="00334386"/>
    <w:rPr>
      <w:color w:val="800080" w:themeColor="followedHyperlink"/>
      <w:u w:val="single"/>
    </w:rPr>
  </w:style>
  <w:style w:type="table" w:styleId="TableGrid">
    <w:name w:val="Table Grid"/>
    <w:basedOn w:val="TableNormal"/>
    <w:uiPriority w:val="59"/>
    <w:rsid w:val="0033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1614"/>
    <w:pPr>
      <w:spacing w:after="120"/>
      <w:ind w:left="283"/>
    </w:pPr>
  </w:style>
  <w:style w:type="character" w:customStyle="1" w:styleId="BodyTextIndentChar">
    <w:name w:val="Body Text Indent Char"/>
    <w:basedOn w:val="DefaultParagraphFont"/>
    <w:link w:val="BodyTextIndent"/>
    <w:uiPriority w:val="99"/>
    <w:semiHidden/>
    <w:rsid w:val="00141614"/>
    <w:rPr>
      <w:rFonts w:ascii="Times New Roman" w:eastAsia="Calibri" w:hAnsi="Times New Roman" w:cs="Times New Roman"/>
      <w:sz w:val="24"/>
      <w:szCs w:val="24"/>
      <w:lang w:eastAsia="lv-LV"/>
    </w:rPr>
  </w:style>
  <w:style w:type="paragraph" w:customStyle="1" w:styleId="Default">
    <w:name w:val="Default"/>
    <w:rsid w:val="000E3ED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FootnoteText">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Normal"/>
    <w:link w:val="FootnoteTextChar"/>
    <w:uiPriority w:val="99"/>
    <w:unhideWhenUsed/>
    <w:qFormat/>
    <w:rsid w:val="00C13CCD"/>
    <w:rPr>
      <w:sz w:val="20"/>
      <w:szCs w:val="20"/>
    </w:rPr>
  </w:style>
  <w:style w:type="character" w:customStyle="1" w:styleId="FootnoteTextChar">
    <w:name w:val="Footnote Text Char"/>
    <w:aliases w:val="Footnote Char,Fußnote Char1,Fußnote Char Char,Fußnote Char Char Char Char,Fußnotentext Char Char1,Fußnotentext Char1 Char1 Char,Fußnotentext Char Char Char Char Char,Fußnotentext Char1 Char Char Char Char1,Fußnotentext Char Char Char"/>
    <w:basedOn w:val="DefaultParagraphFont"/>
    <w:link w:val="FootnoteText"/>
    <w:uiPriority w:val="99"/>
    <w:qFormat/>
    <w:rsid w:val="00C13CCD"/>
    <w:rPr>
      <w:rFonts w:ascii="Times New Roman" w:eastAsia="Calibri" w:hAnsi="Times New Roman" w:cs="Times New Roman"/>
      <w:sz w:val="20"/>
      <w:szCs w:val="20"/>
      <w:lang w:eastAsia="lv-LV"/>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basedOn w:val="DefaultParagraphFont"/>
    <w:link w:val="CharCharCharChar"/>
    <w:uiPriority w:val="99"/>
    <w:unhideWhenUsed/>
    <w:qFormat/>
    <w:rsid w:val="00C13CCD"/>
    <w:rPr>
      <w:vertAlign w:val="superscript"/>
    </w:rPr>
  </w:style>
  <w:style w:type="paragraph" w:customStyle="1" w:styleId="tvhtml">
    <w:name w:val="tv_html"/>
    <w:basedOn w:val="Normal"/>
    <w:rsid w:val="00CE0FDD"/>
    <w:pPr>
      <w:spacing w:before="100" w:beforeAutospacing="1" w:after="100" w:afterAutospacing="1"/>
    </w:pPr>
    <w:rPr>
      <w:rFonts w:eastAsia="Times New Roman"/>
    </w:rPr>
  </w:style>
  <w:style w:type="paragraph" w:styleId="Revision">
    <w:name w:val="Revision"/>
    <w:hidden/>
    <w:uiPriority w:val="99"/>
    <w:semiHidden/>
    <w:rsid w:val="00B15C48"/>
    <w:pPr>
      <w:spacing w:after="0" w:line="240" w:lineRule="auto"/>
    </w:pPr>
    <w:rPr>
      <w:rFonts w:ascii="Times New Roman" w:eastAsia="Calibri"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075D7D"/>
    <w:rPr>
      <w:color w:val="605E5C"/>
      <w:shd w:val="clear" w:color="auto" w:fill="E1DFDD"/>
    </w:rPr>
  </w:style>
  <w:style w:type="character" w:customStyle="1" w:styleId="Heading1Char">
    <w:name w:val="Heading 1 Char"/>
    <w:basedOn w:val="DefaultParagraphFont"/>
    <w:link w:val="Heading1"/>
    <w:uiPriority w:val="9"/>
    <w:rsid w:val="002B5495"/>
    <w:rPr>
      <w:rFonts w:ascii="Times New Roman" w:eastAsia="Times New Roman" w:hAnsi="Times New Roman" w:cs="Times New Roman"/>
      <w:b/>
      <w:bCs/>
      <w:kern w:val="36"/>
      <w:sz w:val="48"/>
      <w:szCs w:val="48"/>
      <w:lang w:eastAsia="lv-LV"/>
    </w:rPr>
  </w:style>
  <w:style w:type="character" w:styleId="Strong">
    <w:name w:val="Strong"/>
    <w:basedOn w:val="DefaultParagraphFont"/>
    <w:uiPriority w:val="22"/>
    <w:qFormat/>
    <w:rsid w:val="005A78C1"/>
    <w:rPr>
      <w:b/>
      <w:bCs/>
    </w:rPr>
  </w:style>
  <w:style w:type="paragraph" w:customStyle="1" w:styleId="CharCharCharChar">
    <w:name w:val="Char Char Char Char"/>
    <w:aliases w:val="Char2"/>
    <w:basedOn w:val="Normal"/>
    <w:next w:val="Normal"/>
    <w:link w:val="FootnoteReference"/>
    <w:uiPriority w:val="99"/>
    <w:rsid w:val="009F0132"/>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1limenis">
    <w:name w:val="1 limenis"/>
    <w:basedOn w:val="Normal"/>
    <w:rsid w:val="00656D9F"/>
    <w:pPr>
      <w:numPr>
        <w:numId w:val="32"/>
      </w:numPr>
    </w:pPr>
    <w:rPr>
      <w:rFonts w:eastAsia="Times New Roman"/>
    </w:rPr>
  </w:style>
  <w:style w:type="paragraph" w:customStyle="1" w:styleId="2limenis">
    <w:name w:val="2 limenis"/>
    <w:basedOn w:val="Normal"/>
    <w:rsid w:val="00656D9F"/>
    <w:pPr>
      <w:numPr>
        <w:ilvl w:val="1"/>
        <w:numId w:val="32"/>
      </w:numPr>
    </w:pPr>
    <w:rPr>
      <w:rFonts w:eastAsia="Times New Roman"/>
    </w:rPr>
  </w:style>
  <w:style w:type="paragraph" w:customStyle="1" w:styleId="3limenis">
    <w:name w:val="3 limenis"/>
    <w:basedOn w:val="Normal"/>
    <w:rsid w:val="00656D9F"/>
    <w:pPr>
      <w:numPr>
        <w:ilvl w:val="2"/>
        <w:numId w:val="32"/>
      </w:numPr>
    </w:pPr>
    <w:rPr>
      <w:rFonts w:eastAsia="Times New Roman"/>
    </w:rPr>
  </w:style>
  <w:style w:type="paragraph" w:customStyle="1" w:styleId="tv213">
    <w:name w:val="tv213"/>
    <w:basedOn w:val="Normal"/>
    <w:rsid w:val="0023560E"/>
    <w:pPr>
      <w:spacing w:before="100" w:beforeAutospacing="1" w:after="100" w:afterAutospacing="1"/>
    </w:pPr>
    <w:rPr>
      <w:rFonts w:eastAsia="Times New Roman"/>
    </w:rPr>
  </w:style>
  <w:style w:type="paragraph" w:styleId="BodyText">
    <w:name w:val="Body Text"/>
    <w:basedOn w:val="Normal"/>
    <w:link w:val="BodyTextChar"/>
    <w:rsid w:val="00AF38A5"/>
    <w:pPr>
      <w:spacing w:after="120"/>
    </w:pPr>
  </w:style>
  <w:style w:type="character" w:customStyle="1" w:styleId="BodyTextChar">
    <w:name w:val="Body Text Char"/>
    <w:basedOn w:val="DefaultParagraphFont"/>
    <w:link w:val="BodyText"/>
    <w:rsid w:val="00AF38A5"/>
    <w:rPr>
      <w:rFonts w:ascii="Times New Roman" w:eastAsia="Calibri" w:hAnsi="Times New Roman" w:cs="Times New Roman"/>
      <w:sz w:val="24"/>
      <w:szCs w:val="24"/>
      <w:lang w:eastAsia="lv-LV"/>
    </w:rPr>
  </w:style>
  <w:style w:type="paragraph" w:customStyle="1" w:styleId="Body">
    <w:name w:val="Body"/>
    <w:rsid w:val="00080C22"/>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52977">
      <w:bodyDiv w:val="1"/>
      <w:marLeft w:val="0"/>
      <w:marRight w:val="0"/>
      <w:marTop w:val="0"/>
      <w:marBottom w:val="0"/>
      <w:divBdr>
        <w:top w:val="none" w:sz="0" w:space="0" w:color="auto"/>
        <w:left w:val="none" w:sz="0" w:space="0" w:color="auto"/>
        <w:bottom w:val="none" w:sz="0" w:space="0" w:color="auto"/>
        <w:right w:val="none" w:sz="0" w:space="0" w:color="auto"/>
      </w:divBdr>
    </w:div>
    <w:div w:id="643394427">
      <w:bodyDiv w:val="1"/>
      <w:marLeft w:val="0"/>
      <w:marRight w:val="0"/>
      <w:marTop w:val="0"/>
      <w:marBottom w:val="0"/>
      <w:divBdr>
        <w:top w:val="none" w:sz="0" w:space="0" w:color="auto"/>
        <w:left w:val="none" w:sz="0" w:space="0" w:color="auto"/>
        <w:bottom w:val="none" w:sz="0" w:space="0" w:color="auto"/>
        <w:right w:val="none" w:sz="0" w:space="0" w:color="auto"/>
      </w:divBdr>
    </w:div>
    <w:div w:id="679963931">
      <w:bodyDiv w:val="1"/>
      <w:marLeft w:val="0"/>
      <w:marRight w:val="0"/>
      <w:marTop w:val="0"/>
      <w:marBottom w:val="0"/>
      <w:divBdr>
        <w:top w:val="none" w:sz="0" w:space="0" w:color="auto"/>
        <w:left w:val="none" w:sz="0" w:space="0" w:color="auto"/>
        <w:bottom w:val="none" w:sz="0" w:space="0" w:color="auto"/>
        <w:right w:val="none" w:sz="0" w:space="0" w:color="auto"/>
      </w:divBdr>
    </w:div>
    <w:div w:id="792334014">
      <w:bodyDiv w:val="1"/>
      <w:marLeft w:val="0"/>
      <w:marRight w:val="0"/>
      <w:marTop w:val="0"/>
      <w:marBottom w:val="0"/>
      <w:divBdr>
        <w:top w:val="none" w:sz="0" w:space="0" w:color="auto"/>
        <w:left w:val="none" w:sz="0" w:space="0" w:color="auto"/>
        <w:bottom w:val="none" w:sz="0" w:space="0" w:color="auto"/>
        <w:right w:val="none" w:sz="0" w:space="0" w:color="auto"/>
      </w:divBdr>
    </w:div>
    <w:div w:id="1019701852">
      <w:bodyDiv w:val="1"/>
      <w:marLeft w:val="0"/>
      <w:marRight w:val="0"/>
      <w:marTop w:val="0"/>
      <w:marBottom w:val="0"/>
      <w:divBdr>
        <w:top w:val="none" w:sz="0" w:space="0" w:color="auto"/>
        <w:left w:val="none" w:sz="0" w:space="0" w:color="auto"/>
        <w:bottom w:val="none" w:sz="0" w:space="0" w:color="auto"/>
        <w:right w:val="none" w:sz="0" w:space="0" w:color="auto"/>
      </w:divBdr>
    </w:div>
    <w:div w:id="1047754128">
      <w:bodyDiv w:val="1"/>
      <w:marLeft w:val="0"/>
      <w:marRight w:val="0"/>
      <w:marTop w:val="0"/>
      <w:marBottom w:val="0"/>
      <w:divBdr>
        <w:top w:val="none" w:sz="0" w:space="0" w:color="auto"/>
        <w:left w:val="none" w:sz="0" w:space="0" w:color="auto"/>
        <w:bottom w:val="none" w:sz="0" w:space="0" w:color="auto"/>
        <w:right w:val="none" w:sz="0" w:space="0" w:color="auto"/>
      </w:divBdr>
    </w:div>
    <w:div w:id="1206914626">
      <w:bodyDiv w:val="1"/>
      <w:marLeft w:val="0"/>
      <w:marRight w:val="0"/>
      <w:marTop w:val="0"/>
      <w:marBottom w:val="0"/>
      <w:divBdr>
        <w:top w:val="none" w:sz="0" w:space="0" w:color="auto"/>
        <w:left w:val="none" w:sz="0" w:space="0" w:color="auto"/>
        <w:bottom w:val="none" w:sz="0" w:space="0" w:color="auto"/>
        <w:right w:val="none" w:sz="0" w:space="0" w:color="auto"/>
      </w:divBdr>
    </w:div>
    <w:div w:id="1352533113">
      <w:bodyDiv w:val="1"/>
      <w:marLeft w:val="0"/>
      <w:marRight w:val="0"/>
      <w:marTop w:val="0"/>
      <w:marBottom w:val="0"/>
      <w:divBdr>
        <w:top w:val="none" w:sz="0" w:space="0" w:color="auto"/>
        <w:left w:val="none" w:sz="0" w:space="0" w:color="auto"/>
        <w:bottom w:val="none" w:sz="0" w:space="0" w:color="auto"/>
        <w:right w:val="none" w:sz="0" w:space="0" w:color="auto"/>
      </w:divBdr>
    </w:div>
    <w:div w:id="1398479993">
      <w:bodyDiv w:val="1"/>
      <w:marLeft w:val="0"/>
      <w:marRight w:val="0"/>
      <w:marTop w:val="0"/>
      <w:marBottom w:val="0"/>
      <w:divBdr>
        <w:top w:val="none" w:sz="0" w:space="0" w:color="auto"/>
        <w:left w:val="none" w:sz="0" w:space="0" w:color="auto"/>
        <w:bottom w:val="none" w:sz="0" w:space="0" w:color="auto"/>
        <w:right w:val="none" w:sz="0" w:space="0" w:color="auto"/>
      </w:divBdr>
    </w:div>
    <w:div w:id="1575772380">
      <w:bodyDiv w:val="1"/>
      <w:marLeft w:val="0"/>
      <w:marRight w:val="0"/>
      <w:marTop w:val="0"/>
      <w:marBottom w:val="0"/>
      <w:divBdr>
        <w:top w:val="none" w:sz="0" w:space="0" w:color="auto"/>
        <w:left w:val="none" w:sz="0" w:space="0" w:color="auto"/>
        <w:bottom w:val="none" w:sz="0" w:space="0" w:color="auto"/>
        <w:right w:val="none" w:sz="0" w:space="0" w:color="auto"/>
      </w:divBdr>
    </w:div>
    <w:div w:id="1591816190">
      <w:bodyDiv w:val="1"/>
      <w:marLeft w:val="0"/>
      <w:marRight w:val="0"/>
      <w:marTop w:val="0"/>
      <w:marBottom w:val="0"/>
      <w:divBdr>
        <w:top w:val="none" w:sz="0" w:space="0" w:color="auto"/>
        <w:left w:val="none" w:sz="0" w:space="0" w:color="auto"/>
        <w:bottom w:val="none" w:sz="0" w:space="0" w:color="auto"/>
        <w:right w:val="none" w:sz="0" w:space="0" w:color="auto"/>
      </w:divBdr>
    </w:div>
    <w:div w:id="1732996407">
      <w:bodyDiv w:val="1"/>
      <w:marLeft w:val="0"/>
      <w:marRight w:val="0"/>
      <w:marTop w:val="0"/>
      <w:marBottom w:val="0"/>
      <w:divBdr>
        <w:top w:val="none" w:sz="0" w:space="0" w:color="auto"/>
        <w:left w:val="none" w:sz="0" w:space="0" w:color="auto"/>
        <w:bottom w:val="none" w:sz="0" w:space="0" w:color="auto"/>
        <w:right w:val="none" w:sz="0" w:space="0" w:color="auto"/>
      </w:divBdr>
    </w:div>
    <w:div w:id="1846898013">
      <w:bodyDiv w:val="1"/>
      <w:marLeft w:val="0"/>
      <w:marRight w:val="0"/>
      <w:marTop w:val="0"/>
      <w:marBottom w:val="0"/>
      <w:divBdr>
        <w:top w:val="none" w:sz="0" w:space="0" w:color="auto"/>
        <w:left w:val="none" w:sz="0" w:space="0" w:color="auto"/>
        <w:bottom w:val="none" w:sz="0" w:space="0" w:color="auto"/>
        <w:right w:val="none" w:sz="0" w:space="0" w:color="auto"/>
      </w:divBdr>
    </w:div>
    <w:div w:id="1882788640">
      <w:bodyDiv w:val="1"/>
      <w:marLeft w:val="0"/>
      <w:marRight w:val="0"/>
      <w:marTop w:val="0"/>
      <w:marBottom w:val="0"/>
      <w:divBdr>
        <w:top w:val="none" w:sz="0" w:space="0" w:color="auto"/>
        <w:left w:val="none" w:sz="0" w:space="0" w:color="auto"/>
        <w:bottom w:val="none" w:sz="0" w:space="0" w:color="auto"/>
        <w:right w:val="none" w:sz="0" w:space="0" w:color="auto"/>
      </w:divBdr>
    </w:div>
    <w:div w:id="1917401937">
      <w:bodyDiv w:val="1"/>
      <w:marLeft w:val="0"/>
      <w:marRight w:val="0"/>
      <w:marTop w:val="0"/>
      <w:marBottom w:val="0"/>
      <w:divBdr>
        <w:top w:val="none" w:sz="0" w:space="0" w:color="auto"/>
        <w:left w:val="none" w:sz="0" w:space="0" w:color="auto"/>
        <w:bottom w:val="none" w:sz="0" w:space="0" w:color="auto"/>
        <w:right w:val="none" w:sz="0" w:space="0" w:color="auto"/>
      </w:divBdr>
    </w:div>
    <w:div w:id="200909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liene.dorbe@varam.gov.lv"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52013DC0249" TargetMode="External"/><Relationship Id="rId2" Type="http://schemas.openxmlformats.org/officeDocument/2006/relationships/hyperlink" Target="https://eur-lex.europa.eu/legal-content/LV/TXT/?qid=1588580774040&amp;uri=CELEX:52019DC0640" TargetMode="External"/><Relationship Id="rId1" Type="http://schemas.openxmlformats.org/officeDocument/2006/relationships/hyperlink" Target="https://www.kp.gov.lv/oldfiles/23/normativie_akti%2Flesd_101_102_pa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A2714-87A4-4E81-96DA-956B559A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17</Pages>
  <Words>28949</Words>
  <Characters>16501</Characters>
  <Application>Microsoft Office Word</Application>
  <DocSecurity>0</DocSecurity>
  <Lines>137</Lines>
  <Paragraphs>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 MK noteikumu projektam "Grozījumi Ministru kabineta 2015. gada 10. novembra noteikumos Nr. 645 "Darbības programmas "Izaugsme un nodarbinātība" 5.6.2. specifiskā atbalsta mērķa "Teritoriju revitalizācija, reģenerējot degradētās teritorijas atbil</vt:lpstr>
      <vt:lpstr>Anotācija MK noteikumu projektam "Grozījumi Ministru kabineta 2015. gada 10. novembra noteikumos Nr. 645 "Darbības programmas "Izaugsme un nodarbinātība" 5.6.2. specifiskā atbalsta mērķa "Teritoriju revitalizācija, reģenerējot degradētās teritorijas atbil</vt:lpstr>
    </vt:vector>
  </TitlesOfParts>
  <Company>Vides aizsardzības un reģionālās attīstības ministrija</Company>
  <LinksUpToDate>false</LinksUpToDate>
  <CharactersWithSpaces>45360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noteikumu projektam "Grozījumi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dc:title>
  <dc:subject>Anotācijas projekts</dc:subject>
  <dc:creator>Liene Dorbe</dc:creator>
  <dc:description>66016767,_x000d_
liene.dorbe@varam.gov.lv</dc:description>
  <cp:lastModifiedBy>Liene Dorbe</cp:lastModifiedBy>
  <cp:revision>1</cp:revision>
  <cp:lastPrinted>2019-08-05T11:47:00Z</cp:lastPrinted>
  <dcterms:created xsi:type="dcterms:W3CDTF">2020-12-07T07:55:00Z</dcterms:created>
  <dcterms:modified xsi:type="dcterms:W3CDTF">2021-02-08T07:06:00Z</dcterms:modified>
</cp:coreProperties>
</file>