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85EC3" w14:textId="1AD76AAB" w:rsidR="000D4A29" w:rsidRPr="00684288" w:rsidRDefault="000D4A29" w:rsidP="00A8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884062"/>
      <w:r w:rsidRPr="00684288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3E4271" w:rsidRPr="00684288">
        <w:rPr>
          <w:rFonts w:ascii="Times New Roman" w:hAnsi="Times New Roman" w:cs="Times New Roman"/>
          <w:b/>
          <w:sz w:val="24"/>
          <w:szCs w:val="24"/>
        </w:rPr>
        <w:t>rīkojuma</w:t>
      </w:r>
      <w:r w:rsidRPr="0068428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42AAF" w:rsidRPr="00342AAF">
        <w:rPr>
          <w:rFonts w:ascii="Times New Roman" w:hAnsi="Times New Roman" w:cs="Times New Roman"/>
          <w:b/>
          <w:sz w:val="24"/>
          <w:szCs w:val="24"/>
        </w:rPr>
        <w:t>Gr</w:t>
      </w:r>
      <w:r w:rsidR="00342AAF">
        <w:rPr>
          <w:rFonts w:ascii="Times New Roman" w:hAnsi="Times New Roman" w:cs="Times New Roman"/>
          <w:b/>
          <w:sz w:val="24"/>
          <w:szCs w:val="24"/>
        </w:rPr>
        <w:t>ozījum</w:t>
      </w:r>
      <w:r w:rsidR="00E10096">
        <w:rPr>
          <w:rFonts w:ascii="Times New Roman" w:hAnsi="Times New Roman" w:cs="Times New Roman"/>
          <w:b/>
          <w:sz w:val="24"/>
          <w:szCs w:val="24"/>
        </w:rPr>
        <w:t>s</w:t>
      </w:r>
      <w:r w:rsidR="00342AAF">
        <w:rPr>
          <w:rFonts w:ascii="Times New Roman" w:hAnsi="Times New Roman" w:cs="Times New Roman"/>
          <w:b/>
          <w:sz w:val="24"/>
          <w:szCs w:val="24"/>
        </w:rPr>
        <w:t xml:space="preserve"> Ministru kabineta 2020.</w:t>
      </w:r>
      <w:r w:rsidR="00CF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AAF">
        <w:rPr>
          <w:rFonts w:ascii="Times New Roman" w:hAnsi="Times New Roman" w:cs="Times New Roman"/>
          <w:b/>
          <w:sz w:val="24"/>
          <w:szCs w:val="24"/>
        </w:rPr>
        <w:t>gada 2.</w:t>
      </w:r>
      <w:r w:rsidR="00CF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AAF" w:rsidRPr="00342AAF">
        <w:rPr>
          <w:rFonts w:ascii="Times New Roman" w:hAnsi="Times New Roman" w:cs="Times New Roman"/>
          <w:b/>
          <w:sz w:val="24"/>
          <w:szCs w:val="24"/>
        </w:rPr>
        <w:t>jūnija rīkojumā Nr. 292 “Par pašvaldību investīciju projektu izvērtēšanas komisiju”</w:t>
      </w:r>
      <w:r w:rsidRPr="00684288">
        <w:rPr>
          <w:rFonts w:ascii="Times New Roman" w:hAnsi="Times New Roman" w:cs="Times New Roman"/>
          <w:b/>
          <w:sz w:val="24"/>
          <w:szCs w:val="24"/>
        </w:rPr>
        <w:t>” projekta sākotnējās ietekmes novērtējuma ziņojums</w:t>
      </w:r>
      <w:r w:rsidR="00CC73AE" w:rsidRPr="0068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88">
        <w:rPr>
          <w:rFonts w:ascii="Times New Roman" w:hAnsi="Times New Roman" w:cs="Times New Roman"/>
          <w:b/>
          <w:sz w:val="24"/>
          <w:szCs w:val="24"/>
        </w:rPr>
        <w:t>(anotācija)</w:t>
      </w:r>
    </w:p>
    <w:bookmarkEnd w:id="0"/>
    <w:p w14:paraId="10C8548E" w14:textId="77777777" w:rsidR="000D4A29" w:rsidRPr="00684288" w:rsidRDefault="000D4A29" w:rsidP="000D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70"/>
        <w:gridCol w:w="6235"/>
      </w:tblGrid>
      <w:tr w:rsidR="00684288" w:rsidRPr="00684288" w14:paraId="430842B0" w14:textId="77777777" w:rsidTr="00245753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608CD9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84288" w:rsidRPr="00684288" w14:paraId="40FA0E02" w14:textId="77777777" w:rsidTr="00245753">
        <w:tc>
          <w:tcPr>
            <w:tcW w:w="1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33C78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31A70" w14:textId="27D2C416" w:rsidR="00C365EE" w:rsidRPr="00684288" w:rsidRDefault="00A66F6B" w:rsidP="00E9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53F83BF7" w14:textId="77777777" w:rsidR="000D4A29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2"/>
        <w:gridCol w:w="2428"/>
        <w:gridCol w:w="6235"/>
      </w:tblGrid>
      <w:tr w:rsidR="00684288" w:rsidRPr="00684288" w14:paraId="1B6ED899" w14:textId="77777777" w:rsidTr="0024575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215961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84288" w:rsidRPr="00684288" w14:paraId="3E421160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830E4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83CFF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8D5E3" w14:textId="7156F099" w:rsidR="00E57FB2" w:rsidRPr="00684288" w:rsidRDefault="00A66F6B" w:rsidP="00C3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D7E">
              <w:rPr>
                <w:rFonts w:ascii="Times New Roman" w:hAnsi="Times New Roman" w:cs="Times New Roman"/>
                <w:sz w:val="24"/>
                <w:szCs w:val="24"/>
              </w:rPr>
              <w:t>Ministru kabineta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7E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februāra</w:t>
            </w:r>
            <w:r w:rsidRPr="00283D7E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1005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7E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Pr="00283D7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04864">
              <w:rPr>
                <w:rFonts w:ascii="Times New Roman" w:hAnsi="Times New Roman" w:cs="Times New Roman"/>
                <w:sz w:val="24"/>
                <w:szCs w:val="24"/>
              </w:rPr>
              <w:t>Noteikumi par kritērijiem un kārtību, kādā tiek izvērtēti un izsniegti valsts aizdevumi pašvaldībām Covid-19 izraisītās krīzes seku mazināšanai un novēršanai”</w:t>
            </w: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noteikumi Nr.</w:t>
            </w:r>
            <w:r w:rsidR="00480B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104) 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B1C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>punkts.</w:t>
            </w:r>
          </w:p>
        </w:tc>
      </w:tr>
      <w:tr w:rsidR="00684288" w:rsidRPr="00684288" w14:paraId="0ECA1D78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1544A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B4823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B5BD4" w14:textId="37DF6FA0" w:rsidR="00994DD3" w:rsidRDefault="00994DD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 w:rsidR="00680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80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E36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80C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februārī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kabinets apstiprināja MK noteikumus Nr. </w:t>
            </w:r>
            <w:r w:rsidR="00E36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  <w:r w:rsidR="00480BB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kas aizstāj 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 xml:space="preserve">Ministru kabineta 2020. gada </w:t>
            </w:r>
            <w:r w:rsidR="00D92901">
              <w:rPr>
                <w:rFonts w:ascii="Times New Roman" w:hAnsi="Times New Roman"/>
                <w:sz w:val="24"/>
                <w:szCs w:val="24"/>
              </w:rPr>
              <w:t>14.</w:t>
            </w:r>
            <w:r w:rsidR="00A66F6B">
              <w:rPr>
                <w:rFonts w:ascii="Times New Roman" w:hAnsi="Times New Roman"/>
                <w:sz w:val="24"/>
                <w:szCs w:val="24"/>
              </w:rPr>
              <w:t> </w:t>
            </w:r>
            <w:r w:rsidR="00D92901">
              <w:rPr>
                <w:rFonts w:ascii="Times New Roman" w:hAnsi="Times New Roman"/>
                <w:sz w:val="24"/>
                <w:szCs w:val="24"/>
              </w:rPr>
              <w:t>jūlija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 xml:space="preserve"> noteikumu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BB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807">
              <w:rPr>
                <w:rFonts w:ascii="Times New Roman" w:hAnsi="Times New Roman"/>
                <w:sz w:val="24"/>
                <w:szCs w:val="24"/>
              </w:rPr>
              <w:t>456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0B2807" w:rsidRPr="000B2807">
              <w:rPr>
                <w:rFonts w:ascii="Times New Roman" w:hAnsi="Times New Roman"/>
                <w:sz w:val="24"/>
                <w:szCs w:val="24"/>
              </w:rPr>
              <w:t>Noteikumi par nosacījumiem un kārtību, kādā pašvaldībām izsniedz valsts aizdevumu ārkārtējās situācijas ietekmes mazināšanai un novēršanai saistībā ar Covid-19 izplatību</w:t>
            </w:r>
            <w:r>
              <w:rPr>
                <w:rFonts w:ascii="Times New Roman" w:hAnsi="Times New Roman"/>
                <w:sz w:val="24"/>
                <w:szCs w:val="24"/>
              </w:rPr>
              <w:t>” (turpmāk – MK noteikumi Nr.</w:t>
            </w:r>
            <w:r w:rsidR="00E36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F4C">
              <w:rPr>
                <w:rFonts w:ascii="Times New Roman" w:hAnsi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pamatojoties uz 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>Covid-19 infekcijas izplatības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>seku pārvarēšanas likuma 29.</w:t>
            </w:r>
            <w:r w:rsidR="00A66F6B">
              <w:rPr>
                <w:rFonts w:ascii="Times New Roman" w:hAnsi="Times New Roman"/>
                <w:sz w:val="24"/>
                <w:szCs w:val="24"/>
              </w:rPr>
              <w:t> 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>pant</w:t>
            </w:r>
            <w:r w:rsidR="00563FB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63FB9" w:rsidRPr="00563FB9">
              <w:rPr>
                <w:rFonts w:ascii="Times New Roman" w:hAnsi="Times New Roman"/>
                <w:sz w:val="24"/>
                <w:szCs w:val="24"/>
              </w:rPr>
              <w:t>1.</w:t>
            </w:r>
            <w:r w:rsidR="00563FB9" w:rsidRPr="00563FB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63FB9" w:rsidRPr="00563FB9">
              <w:rPr>
                <w:rFonts w:ascii="Times New Roman" w:hAnsi="Times New Roman"/>
                <w:sz w:val="24"/>
                <w:szCs w:val="24"/>
              </w:rPr>
              <w:t> daļu.</w:t>
            </w:r>
          </w:p>
          <w:p w14:paraId="1D7EAA30" w14:textId="77777777" w:rsidR="00994DD3" w:rsidRDefault="00994DD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3A292" w14:textId="4AD715D4" w:rsidR="00994DD3" w:rsidRDefault="00994DD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Gan MK noteikumi Nr. </w:t>
            </w:r>
            <w:r w:rsidR="00184F4C">
              <w:rPr>
                <w:rFonts w:ascii="Times New Roman" w:hAnsi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/>
                <w:sz w:val="24"/>
                <w:szCs w:val="24"/>
              </w:rPr>
              <w:t>, gan MK noteikumi Nr.</w:t>
            </w:r>
            <w:r w:rsidR="00CB1CC3">
              <w:rPr>
                <w:rFonts w:ascii="Times New Roman" w:hAnsi="Times New Roman"/>
                <w:sz w:val="24"/>
                <w:szCs w:val="24"/>
              </w:rPr>
              <w:t> </w:t>
            </w:r>
            <w:r w:rsidR="00E36F98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paredz, ka 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>saskaņā ar šiem noteikumiem iesniegtos pašvaldību investīciju projektus izvērtē attiecīga komisija. Komisijas sastāvu nosaka Ministru kabinets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690782E" w14:textId="77777777" w:rsidR="00994DD3" w:rsidRDefault="00994DD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2C3F02" w14:textId="281DC42F" w:rsidR="0010059A" w:rsidRDefault="0010059A" w:rsidP="00100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“</w:t>
            </w:r>
            <w:r w:rsidRPr="00832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ozījums Ministru kabineta 2020.  gada 2. </w:t>
            </w:r>
            <w:r w:rsidRPr="00832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 rīkojumā Nr. 292 “Par pašvaldību investīciju projektu izvērtēšanas komisiju”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projekts (turpmāk – rīkojuma projekts) </w:t>
            </w:r>
            <w:r w:rsidRPr="00104864">
              <w:rPr>
                <w:rFonts w:ascii="Times New Roman" w:hAnsi="Times New Roman" w:cs="Times New Roman"/>
                <w:sz w:val="24"/>
                <w:szCs w:val="24"/>
              </w:rPr>
              <w:t>precizē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šajā rīkojumā atsauci uz </w:t>
            </w: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>MK noteikumi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em, uz kuru pamata ir izdots attiecīgais rīkojums, t.i., r</w:t>
            </w:r>
            <w:r>
              <w:rPr>
                <w:rFonts w:ascii="Times New Roman" w:hAnsi="Times New Roman"/>
                <w:sz w:val="24"/>
                <w:szCs w:val="24"/>
              </w:rPr>
              <w:t>īkojuma projekts paredz aizstāt atsauci uz MK noteikumiem Nr. 456 ar atsauci uz MK noteikumiem Nr. 104, lai nodrošinātu atbilstību aktuālajam normatīvajam regulējumam.</w:t>
            </w:r>
          </w:p>
          <w:p w14:paraId="75535A23" w14:textId="77777777" w:rsidR="0010059A" w:rsidRDefault="0010059A" w:rsidP="00100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F5EF1" w14:textId="7E2E6CC1" w:rsidR="00994DD3" w:rsidRDefault="00504D39" w:rsidP="00100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sastāvs tiek saglabāts </w:t>
            </w:r>
            <w:r w:rsidR="0010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2020.  gada 2. </w:t>
            </w:r>
            <w:r w:rsidR="0010059A" w:rsidRPr="00832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 rīkojum</w:t>
            </w:r>
            <w:r w:rsidR="00100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0059A" w:rsidRPr="00832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292 “Par pašvaldību investīciju projektu izvērtēšanas komisiju”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AAF">
              <w:rPr>
                <w:rFonts w:ascii="Times New Roman" w:hAnsi="Times New Roman"/>
                <w:sz w:val="24"/>
                <w:szCs w:val="24"/>
              </w:rPr>
              <w:t xml:space="preserve">spēkā esošajā </w:t>
            </w:r>
            <w:r>
              <w:rPr>
                <w:rFonts w:ascii="Times New Roman" w:hAnsi="Times New Roman"/>
                <w:sz w:val="24"/>
                <w:szCs w:val="24"/>
              </w:rPr>
              <w:t>redakcijā.</w:t>
            </w:r>
          </w:p>
          <w:p w14:paraId="18CA226A" w14:textId="77777777" w:rsidR="00832603" w:rsidRDefault="0083260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1E710" w14:textId="77777777" w:rsidR="00504D39" w:rsidRPr="00684288" w:rsidRDefault="00504D39" w:rsidP="0010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4288" w:rsidRPr="00684288" w14:paraId="4C59210A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93119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3D883C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A06540" w14:textId="26F4DB87" w:rsidR="000D4A29" w:rsidRPr="00684288" w:rsidRDefault="00913DE9" w:rsidP="00CE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projektu izstrādāja </w:t>
            </w:r>
            <w:r w:rsidR="00B803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  <w:r w:rsidR="00B926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VARAM)</w:t>
            </w:r>
            <w:r w:rsidR="00001F2F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53832" w:rsidRPr="00684288" w14:paraId="6B649D75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55FD7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A8176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57B35" w14:textId="77777777" w:rsidR="000D4A29" w:rsidRPr="00684288" w:rsidRDefault="00CF6448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DF97F6D" w14:textId="77777777" w:rsidR="00C80D6A" w:rsidRPr="00684288" w:rsidRDefault="00C80D6A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9A3E0F" w14:textId="77777777" w:rsidR="00C80D6A" w:rsidRPr="00684288" w:rsidRDefault="00C80D6A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1"/>
        <w:gridCol w:w="3078"/>
        <w:gridCol w:w="5586"/>
      </w:tblGrid>
      <w:tr w:rsidR="00684288" w:rsidRPr="00684288" w14:paraId="739B748C" w14:textId="77777777" w:rsidTr="0024575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4B8789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84288" w:rsidRPr="00684288" w14:paraId="4B03EB2C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D320A3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7D7C5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D7024" w14:textId="77777777" w:rsidR="000D4A29" w:rsidRPr="00684288" w:rsidRDefault="004D3543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  <w:tr w:rsidR="00684288" w:rsidRPr="00684288" w14:paraId="0323B90E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61C582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2F3DA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1D421" w14:textId="77777777" w:rsidR="004D3543" w:rsidRPr="00684288" w:rsidRDefault="00EB0B44" w:rsidP="001E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</w:t>
            </w:r>
            <w:r w:rsidR="00A719F6" w:rsidRPr="00684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4288" w:rsidRPr="00684288" w14:paraId="0221A2F7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7EF102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07F90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AC418" w14:textId="77777777" w:rsidR="000D4A29" w:rsidRPr="00684288" w:rsidRDefault="00DD2AC6" w:rsidP="000A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ietvertajam tiesiskajam regulējumam nav ietekmes uz administratīvajām izmaksām (naudas izteiksmē). Pašvaldību projektu pieteikumu vērtēšana tiks nodrošināta esošā budžeta ietvaros.</w:t>
            </w:r>
          </w:p>
        </w:tc>
      </w:tr>
      <w:tr w:rsidR="00684288" w:rsidRPr="00684288" w14:paraId="2E7AE908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7593D4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50B67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341AB" w14:textId="77777777" w:rsidR="000D4A29" w:rsidRPr="00684288" w:rsidRDefault="00DD2AC6" w:rsidP="0068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ietvertajam tiesiskajam regulējumam nav ietekmes uz atbilstības izmaksām (naudas izteiksmē). Pašvaldību projektu pieteikumu vērtēšana tiks nodrošināta esošā budžeta ietvaros.</w:t>
            </w:r>
          </w:p>
        </w:tc>
      </w:tr>
      <w:tr w:rsidR="00684288" w:rsidRPr="00684288" w14:paraId="7E82A93F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A9C51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BA30C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AD21B" w14:textId="77777777" w:rsidR="00F23AE4" w:rsidRPr="00684288" w:rsidRDefault="004D3543" w:rsidP="00AE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  <w:p w14:paraId="23AB5257" w14:textId="77777777" w:rsidR="00F23AE4" w:rsidRPr="00684288" w:rsidRDefault="00F23AE4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5A3C753" w14:textId="77777777" w:rsidR="006962F8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205"/>
      </w:tblGrid>
      <w:tr w:rsidR="00684288" w:rsidRPr="00684288" w14:paraId="7A85E349" w14:textId="77777777" w:rsidTr="0024575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22BBA8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84288" w:rsidRPr="00684288" w14:paraId="67B2A73A" w14:textId="77777777" w:rsidTr="0024575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6D5DC1" w14:textId="77777777" w:rsidR="00514B33" w:rsidRPr="00684288" w:rsidRDefault="008E2436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BC64E7C" w14:textId="77777777" w:rsidR="008E2436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E2436" w:rsidRPr="0068428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4288" w:rsidRPr="00684288" w14:paraId="3A5091F4" w14:textId="77777777" w:rsidTr="00245753">
        <w:tc>
          <w:tcPr>
            <w:tcW w:w="9209" w:type="dxa"/>
            <w:vAlign w:val="center"/>
          </w:tcPr>
          <w:p w14:paraId="11BDD2E7" w14:textId="77777777" w:rsidR="00F3005C" w:rsidRPr="00684288" w:rsidRDefault="00F3005C" w:rsidP="00F3005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D43D8" w:rsidRPr="00684288" w14:paraId="7E9ECEA8" w14:textId="77777777" w:rsidTr="00752A75">
        <w:trPr>
          <w:trHeight w:val="377"/>
        </w:trPr>
        <w:tc>
          <w:tcPr>
            <w:tcW w:w="9209" w:type="dxa"/>
          </w:tcPr>
          <w:p w14:paraId="23D6B307" w14:textId="61BDEBB9" w:rsidR="00CD43D8" w:rsidRPr="00684288" w:rsidRDefault="00CD43D8" w:rsidP="00752A7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6C84FCB" w14:textId="77777777" w:rsidR="00F3005C" w:rsidRPr="00684288" w:rsidRDefault="00F3005C" w:rsidP="000D4A2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205"/>
      </w:tblGrid>
      <w:tr w:rsidR="00684288" w:rsidRPr="00684288" w14:paraId="19B8A670" w14:textId="77777777" w:rsidTr="0024575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A9E4BB" w14:textId="77777777" w:rsidR="00F3005C" w:rsidRPr="00684288" w:rsidRDefault="00F3005C" w:rsidP="00F3005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3005C" w:rsidRPr="00684288" w14:paraId="365740CC" w14:textId="77777777" w:rsidTr="0024575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D5DB9F" w14:textId="77777777" w:rsidR="00F3005C" w:rsidRPr="00684288" w:rsidRDefault="00F3005C" w:rsidP="00F3005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C5DAA60" w14:textId="77777777" w:rsidR="008E2436" w:rsidRPr="00684288" w:rsidRDefault="008E2436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1"/>
        <w:gridCol w:w="3078"/>
        <w:gridCol w:w="5586"/>
      </w:tblGrid>
      <w:tr w:rsidR="00684288" w:rsidRPr="00684288" w14:paraId="70D945F6" w14:textId="77777777" w:rsidTr="0024575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5DFDAA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84288" w:rsidRPr="00684288" w14:paraId="0B7FE9A0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DDB16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ACA69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AA88D9" w14:textId="7705FC72" w:rsidR="00A66F6B" w:rsidRDefault="00A66F6B" w:rsidP="00A6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5E">
              <w:rPr>
                <w:rFonts w:ascii="Times New Roman" w:hAnsi="Times New Roman" w:cs="Times New Roman"/>
                <w:sz w:val="24"/>
                <w:szCs w:val="24"/>
              </w:rPr>
              <w:t>Ar rīkojuma projektu netiek mainīts normatīvais regulējums, kā arī tas neparedz ieviest jaunas politiskās iniciatīvas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jo ir tehnisks proj</w:t>
            </w:r>
            <w:r w:rsidR="009F28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kts</w:t>
            </w:r>
            <w:r w:rsidRPr="0002485E">
              <w:rPr>
                <w:rFonts w:ascii="Times New Roman" w:hAnsi="Times New Roman" w:cs="Times New Roman"/>
                <w:sz w:val="24"/>
                <w:szCs w:val="24"/>
              </w:rPr>
              <w:t>. Līdz ar to sabiedrības līdzdalība un komunikācijas aktivitātes rīkojuma projekta izstrādē netika organizētas (Ministru kabineta 2009.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85E">
              <w:rPr>
                <w:rFonts w:ascii="Times New Roman" w:hAnsi="Times New Roman" w:cs="Times New Roman"/>
                <w:sz w:val="24"/>
                <w:szCs w:val="24"/>
              </w:rPr>
              <w:t>gada 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85E">
              <w:rPr>
                <w:rFonts w:ascii="Times New Roman" w:hAnsi="Times New Roman" w:cs="Times New Roman"/>
                <w:sz w:val="24"/>
                <w:szCs w:val="24"/>
              </w:rPr>
              <w:t>augusta noteikumu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85E">
              <w:rPr>
                <w:rFonts w:ascii="Times New Roman" w:hAnsi="Times New Roman" w:cs="Times New Roman"/>
                <w:sz w:val="24"/>
                <w:szCs w:val="24"/>
              </w:rPr>
              <w:t>970 „Sabiedrības līdzdalības kārtība attīstības plānošanas procesā”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485E">
              <w:rPr>
                <w:rFonts w:ascii="Times New Roman" w:hAnsi="Times New Roman" w:cs="Times New Roman"/>
                <w:sz w:val="24"/>
                <w:szCs w:val="24"/>
              </w:rPr>
              <w:t>punkts)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3FBCD" w14:textId="3AAD0018" w:rsidR="00A85303" w:rsidRPr="00684288" w:rsidRDefault="00A66F6B" w:rsidP="00A6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50B8">
              <w:rPr>
                <w:rFonts w:ascii="Times New Roman" w:hAnsi="Times New Roman" w:cs="Times New Roman"/>
                <w:sz w:val="24"/>
                <w:szCs w:val="24"/>
              </w:rPr>
              <w:t>Vienlaikus norādāms, ka rīkojuma projekts un tā anotācija pēc</w:t>
            </w:r>
            <w:r w:rsidRPr="00E17B25">
              <w:rPr>
                <w:rFonts w:ascii="Times New Roman" w:hAnsi="Times New Roman" w:cs="Times New Roman"/>
                <w:sz w:val="24"/>
                <w:szCs w:val="24"/>
              </w:rPr>
              <w:t xml:space="preserve"> to iekļaušanas attiecīgās Ministru kabineta sēdē izskatāmo jautājumu sarakstā būs publiski pieejams Ministru kabineta tīmekļvietnē </w:t>
            </w:r>
            <w:hyperlink r:id="rId8" w:history="1">
              <w:r w:rsidRPr="004155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www.mk.gov.lv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B25">
              <w:rPr>
                <w:rFonts w:ascii="Times New Roman" w:hAnsi="Times New Roman" w:cs="Times New Roman"/>
                <w:sz w:val="24"/>
                <w:szCs w:val="24"/>
              </w:rPr>
              <w:t>sadaļā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60442">
              <w:rPr>
                <w:rFonts w:ascii="Times New Roman" w:hAnsi="Times New Roman" w:cs="Times New Roman"/>
                <w:i/>
                <w:sz w:val="24"/>
                <w:szCs w:val="24"/>
              </w:rPr>
              <w:t>Ministru kabineta sēdes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160442">
              <w:rPr>
                <w:rFonts w:ascii="Times New Roman" w:hAnsi="Times New Roman" w:cs="Times New Roman"/>
                <w:i/>
                <w:sz w:val="24"/>
                <w:szCs w:val="24"/>
              </w:rPr>
              <w:t>Tiesību aktu projekti</w:t>
            </w:r>
            <w:r w:rsidRPr="009950B8">
              <w:rPr>
                <w:rFonts w:ascii="Times New Roman" w:hAnsi="Times New Roman" w:cs="Times New Roman"/>
                <w:sz w:val="24"/>
                <w:szCs w:val="24"/>
              </w:rPr>
              <w:t>, kur ar tiem varēs iepazīties jebkurš interesents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288" w:rsidRPr="00684288" w14:paraId="2DB93DBC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2663B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8CDBC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497924" w14:textId="77777777" w:rsidR="000D4A29" w:rsidRPr="00684288" w:rsidRDefault="007F48ED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684288" w:rsidRPr="00684288" w14:paraId="579973E4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21F1A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FFF10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8E1C0" w14:textId="77777777" w:rsidR="000D4A29" w:rsidRPr="00684288" w:rsidRDefault="00945CF2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</w:t>
            </w:r>
          </w:p>
        </w:tc>
      </w:tr>
      <w:tr w:rsidR="00684288" w:rsidRPr="00684288" w14:paraId="6C8F4ABB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FFD64F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D5E6D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C719C" w14:textId="77777777" w:rsidR="000D4A29" w:rsidRPr="00684288" w:rsidRDefault="00C62470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032D8B3" w14:textId="77777777" w:rsidR="000D4A29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1"/>
        <w:gridCol w:w="3078"/>
        <w:gridCol w:w="5586"/>
      </w:tblGrid>
      <w:tr w:rsidR="00684288" w:rsidRPr="00684288" w14:paraId="07A551C1" w14:textId="77777777" w:rsidTr="0024575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B0331A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84288" w:rsidRPr="00684288" w14:paraId="1950867F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3DFC67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8EA77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79232" w14:textId="3BB2A8E3" w:rsidR="000D4A29" w:rsidRPr="00684288" w:rsidRDefault="00B926EE" w:rsidP="001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  <w:r w:rsidR="001941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54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84288" w:rsidRPr="00684288" w14:paraId="4E5EE544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447334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46D26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C5427" w14:textId="77777777" w:rsidR="00452814" w:rsidRPr="00684288" w:rsidRDefault="00EB0B44" w:rsidP="0045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projekta</w:t>
            </w:r>
            <w:r w:rsidR="00965F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965F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 tiks nodrošināta esošo cilvēkresursu ietvaros.</w:t>
            </w:r>
          </w:p>
          <w:p w14:paraId="1D950DB3" w14:textId="77777777" w:rsidR="00965FE4" w:rsidRPr="00684288" w:rsidRDefault="00965FE4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3B41F9" w14:textId="77777777" w:rsidR="00965FE4" w:rsidRPr="00684288" w:rsidRDefault="00D2614C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</w:t>
            </w:r>
            <w:r w:rsidR="00965F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neparedz veidot jaunas institūcijas, likvidēt vai reorganizēt esošās.</w:t>
            </w:r>
          </w:p>
        </w:tc>
      </w:tr>
      <w:tr w:rsidR="00C01774" w:rsidRPr="00684288" w14:paraId="4C016B8C" w14:textId="77777777" w:rsidTr="00245753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E4CA1" w14:textId="77777777"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1E77AE" w14:textId="77777777"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23B15" w14:textId="77777777" w:rsidR="000D4A29" w:rsidRPr="00684288" w:rsidRDefault="0050335C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D87A84F" w14:textId="77777777" w:rsidR="00945CF2" w:rsidRPr="00684288" w:rsidRDefault="00945CF2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0850BF5C" w14:textId="2C9FCF5C" w:rsidR="00F3005C" w:rsidRDefault="00F3005C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09E2CC39" w14:textId="5CC16B57" w:rsidR="00245753" w:rsidRDefault="00245753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033FD122" w14:textId="77777777" w:rsidR="00245753" w:rsidRPr="00684288" w:rsidRDefault="00245753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1CC9EC30" w14:textId="77777777" w:rsidR="00F3005C" w:rsidRPr="00684288" w:rsidRDefault="00F3005C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0976B705" w14:textId="77777777" w:rsidR="005E700C" w:rsidRPr="00684288" w:rsidRDefault="005E700C" w:rsidP="003E461B">
      <w:pPr>
        <w:tabs>
          <w:tab w:val="left" w:pos="652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Vides aizsardzības un </w:t>
      </w:r>
    </w:p>
    <w:p w14:paraId="2A57FC88" w14:textId="0306570D" w:rsidR="005E700C" w:rsidRPr="00684288" w:rsidRDefault="005E700C" w:rsidP="003E461B">
      <w:pPr>
        <w:tabs>
          <w:tab w:val="left" w:pos="652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>reģionālās attīstības ministrs</w:t>
      </w: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3E461B"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194116">
        <w:rPr>
          <w:rFonts w:ascii="Times New Roman" w:eastAsia="Times New Roman" w:hAnsi="Times New Roman" w:cs="Times New Roman"/>
          <w:sz w:val="24"/>
          <w:szCs w:val="28"/>
          <w:lang w:eastAsia="lv-LV"/>
        </w:rPr>
        <w:t>A. T.</w:t>
      </w:r>
      <w:r w:rsidR="00CD43D8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proofErr w:type="spellStart"/>
      <w:r w:rsidR="00194116">
        <w:rPr>
          <w:rFonts w:ascii="Times New Roman" w:eastAsia="Times New Roman" w:hAnsi="Times New Roman" w:cs="Times New Roman"/>
          <w:sz w:val="24"/>
          <w:szCs w:val="28"/>
          <w:lang w:eastAsia="lv-LV"/>
        </w:rPr>
        <w:t>Plešs</w:t>
      </w:r>
      <w:proofErr w:type="spellEnd"/>
    </w:p>
    <w:p w14:paraId="0C7FAC59" w14:textId="77777777" w:rsidR="005E700C" w:rsidRPr="00684288" w:rsidRDefault="005E700C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19039BFD" w14:textId="4246C7BD" w:rsidR="005E700C" w:rsidRDefault="005E700C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306974F5" w14:textId="58B89692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3C754864" w14:textId="7A66E6A3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58AAF1E6" w14:textId="310EF9F8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26986AC6" w14:textId="4044F2F0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3028C631" w14:textId="274819F2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14183215" w14:textId="7F4608F2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3CD22A65" w14:textId="65B12F8B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5979D2F1" w14:textId="319E5386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21F70BB5" w14:textId="1D88D1EF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24EA73A0" w14:textId="516284A2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4B872DF1" w14:textId="1BFA5064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6CEADDFF" w14:textId="09537F65" w:rsidR="00245753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634AEDA0" w14:textId="77777777" w:rsidR="00245753" w:rsidRPr="00684288" w:rsidRDefault="00245753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3A840197" w14:textId="77777777" w:rsidR="00853CA8" w:rsidRPr="00684288" w:rsidRDefault="00853CA8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753DDF09" w14:textId="1A9A5167" w:rsidR="005E700C" w:rsidRPr="00684288" w:rsidRDefault="00194116" w:rsidP="005E7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Vaivode</w:t>
      </w:r>
      <w:r w:rsidR="005E700C" w:rsidRPr="0068428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5E700C" w:rsidRPr="00684288">
        <w:rPr>
          <w:rFonts w:ascii="Times New Roman" w:eastAsia="Times New Roman" w:hAnsi="Times New Roman" w:cs="Times New Roman"/>
          <w:iCs/>
          <w:sz w:val="20"/>
          <w:szCs w:val="20"/>
        </w:rPr>
        <w:t>66016</w:t>
      </w:r>
      <w:r w:rsidR="006155A4">
        <w:rPr>
          <w:rFonts w:ascii="Times New Roman" w:eastAsia="Times New Roman" w:hAnsi="Times New Roman" w:cs="Times New Roman"/>
          <w:iCs/>
          <w:sz w:val="20"/>
          <w:szCs w:val="20"/>
        </w:rPr>
        <w:t>749</w:t>
      </w:r>
    </w:p>
    <w:p w14:paraId="61A24CA9" w14:textId="191F2042" w:rsidR="00DC24F0" w:rsidRPr="006155A4" w:rsidRDefault="00016ADC" w:rsidP="00C80D6A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hyperlink r:id="rId9" w:history="1">
        <w:r w:rsidR="006155A4" w:rsidRPr="006155A4">
          <w:rPr>
            <w:rStyle w:val="Hyperlink"/>
            <w:rFonts w:ascii="Times New Roman" w:hAnsi="Times New Roman" w:cs="Times New Roman"/>
            <w:sz w:val="20"/>
            <w:szCs w:val="20"/>
          </w:rPr>
          <w:t>solvita.vaivode@varam.gov.lv</w:t>
        </w:r>
      </w:hyperlink>
    </w:p>
    <w:p w14:paraId="6ACC0613" w14:textId="77777777" w:rsidR="006155A4" w:rsidRPr="00684288" w:rsidRDefault="006155A4" w:rsidP="00C80D6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</w:p>
    <w:sectPr w:rsidR="006155A4" w:rsidRPr="00684288" w:rsidSect="00853CA8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A309" w14:textId="77777777" w:rsidR="00451017" w:rsidRDefault="00451017" w:rsidP="000D4A29">
      <w:pPr>
        <w:spacing w:after="0" w:line="240" w:lineRule="auto"/>
      </w:pPr>
      <w:r>
        <w:separator/>
      </w:r>
    </w:p>
  </w:endnote>
  <w:endnote w:type="continuationSeparator" w:id="0">
    <w:p w14:paraId="6B63013E" w14:textId="77777777" w:rsidR="00451017" w:rsidRDefault="00451017" w:rsidP="000D4A29">
      <w:pPr>
        <w:spacing w:after="0" w:line="240" w:lineRule="auto"/>
      </w:pPr>
      <w:r>
        <w:continuationSeparator/>
      </w:r>
    </w:p>
  </w:endnote>
  <w:endnote w:type="continuationNotice" w:id="1">
    <w:p w14:paraId="6657D787" w14:textId="77777777" w:rsidR="00451017" w:rsidRDefault="00451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1501" w14:textId="2580591F" w:rsidR="00184CD0" w:rsidRPr="00342AAF" w:rsidRDefault="00016ADC" w:rsidP="00342AAF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540916965"/>
        <w:docPartObj>
          <w:docPartGallery w:val="Page Numbers (Bottom of Page)"/>
          <w:docPartUnique/>
        </w:docPartObj>
      </w:sdtPr>
      <w:sdtEndPr/>
      <w:sdtContent>
        <w:r w:rsidR="00342AAF">
          <w:rPr>
            <w:rFonts w:ascii="Times New Roman" w:hAnsi="Times New Roman" w:cs="Times New Roman"/>
            <w:sz w:val="20"/>
            <w:szCs w:val="20"/>
          </w:rPr>
          <w:t>VARAM</w:t>
        </w:r>
        <w:r w:rsidR="006155A4">
          <w:rPr>
            <w:rFonts w:ascii="Times New Roman" w:hAnsi="Times New Roman" w:cs="Times New Roman"/>
            <w:sz w:val="20"/>
            <w:szCs w:val="20"/>
          </w:rPr>
          <w:t>a</w:t>
        </w:r>
        <w:r w:rsidR="00342AAF">
          <w:rPr>
            <w:rFonts w:ascii="Times New Roman" w:hAnsi="Times New Roman" w:cs="Times New Roman"/>
            <w:sz w:val="20"/>
            <w:szCs w:val="20"/>
          </w:rPr>
          <w:t>not_</w:t>
        </w:r>
        <w:r w:rsidR="00883452">
          <w:rPr>
            <w:rFonts w:ascii="Times New Roman" w:hAnsi="Times New Roman" w:cs="Times New Roman"/>
            <w:sz w:val="20"/>
            <w:szCs w:val="20"/>
          </w:rPr>
          <w:t>25</w:t>
        </w:r>
        <w:r w:rsidR="006155A4">
          <w:rPr>
            <w:rFonts w:ascii="Times New Roman" w:hAnsi="Times New Roman" w:cs="Times New Roman"/>
            <w:sz w:val="20"/>
            <w:szCs w:val="20"/>
          </w:rPr>
          <w:t>02</w:t>
        </w:r>
        <w:r w:rsidR="00342AAF">
          <w:rPr>
            <w:rFonts w:ascii="Times New Roman" w:hAnsi="Times New Roman" w:cs="Times New Roman"/>
            <w:sz w:val="20"/>
            <w:szCs w:val="20"/>
          </w:rPr>
          <w:t>2</w:t>
        </w:r>
        <w:r w:rsidR="006155A4">
          <w:rPr>
            <w:rFonts w:ascii="Times New Roman" w:hAnsi="Times New Roman" w:cs="Times New Roman"/>
            <w:sz w:val="20"/>
            <w:szCs w:val="20"/>
          </w:rPr>
          <w:t>1</w:t>
        </w:r>
        <w:r w:rsidR="00342AAF">
          <w:rPr>
            <w:rFonts w:ascii="Times New Roman" w:hAnsi="Times New Roman" w:cs="Times New Roman"/>
            <w:sz w:val="20"/>
            <w:szCs w:val="20"/>
          </w:rPr>
          <w:t>_komisija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EF59" w14:textId="238A1D94" w:rsidR="00184CD0" w:rsidRPr="006155A4" w:rsidRDefault="00016ADC" w:rsidP="006155A4">
    <w:pPr>
      <w:pStyle w:val="Footer"/>
    </w:pPr>
    <w:sdt>
      <w:sdtPr>
        <w:rPr>
          <w:rFonts w:ascii="Times New Roman" w:hAnsi="Times New Roman" w:cs="Times New Roman"/>
          <w:sz w:val="20"/>
          <w:szCs w:val="20"/>
        </w:rPr>
        <w:id w:val="1218092621"/>
        <w:docPartObj>
          <w:docPartGallery w:val="Page Numbers (Bottom of Page)"/>
          <w:docPartUnique/>
        </w:docPartObj>
      </w:sdtPr>
      <w:sdtEndPr/>
      <w:sdtContent>
        <w:r w:rsidR="006155A4">
          <w:rPr>
            <w:rFonts w:ascii="Times New Roman" w:hAnsi="Times New Roman" w:cs="Times New Roman"/>
            <w:sz w:val="20"/>
            <w:szCs w:val="20"/>
          </w:rPr>
          <w:t>VARAManot_</w:t>
        </w:r>
        <w:r w:rsidR="00E94697">
          <w:rPr>
            <w:rFonts w:ascii="Times New Roman" w:hAnsi="Times New Roman" w:cs="Times New Roman"/>
            <w:sz w:val="20"/>
            <w:szCs w:val="20"/>
          </w:rPr>
          <w:t>2</w:t>
        </w:r>
        <w:r w:rsidR="00883452">
          <w:rPr>
            <w:rFonts w:ascii="Times New Roman" w:hAnsi="Times New Roman" w:cs="Times New Roman"/>
            <w:sz w:val="20"/>
            <w:szCs w:val="20"/>
          </w:rPr>
          <w:t>5</w:t>
        </w:r>
        <w:r w:rsidR="006155A4">
          <w:rPr>
            <w:rFonts w:ascii="Times New Roman" w:hAnsi="Times New Roman" w:cs="Times New Roman"/>
            <w:sz w:val="20"/>
            <w:szCs w:val="20"/>
          </w:rPr>
          <w:t>0221_komisija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D652" w14:textId="77777777" w:rsidR="00451017" w:rsidRDefault="00451017" w:rsidP="000D4A29">
      <w:pPr>
        <w:spacing w:after="0" w:line="240" w:lineRule="auto"/>
      </w:pPr>
      <w:r>
        <w:separator/>
      </w:r>
    </w:p>
  </w:footnote>
  <w:footnote w:type="continuationSeparator" w:id="0">
    <w:p w14:paraId="5F2562AC" w14:textId="77777777" w:rsidR="00451017" w:rsidRDefault="00451017" w:rsidP="000D4A29">
      <w:pPr>
        <w:spacing w:after="0" w:line="240" w:lineRule="auto"/>
      </w:pPr>
      <w:r>
        <w:continuationSeparator/>
      </w:r>
    </w:p>
  </w:footnote>
  <w:footnote w:type="continuationNotice" w:id="1">
    <w:p w14:paraId="22E54DAD" w14:textId="77777777" w:rsidR="00451017" w:rsidRDefault="00451017">
      <w:pPr>
        <w:spacing w:after="0" w:line="240" w:lineRule="auto"/>
      </w:pPr>
    </w:p>
  </w:footnote>
  <w:footnote w:id="2">
    <w:p w14:paraId="490C710B" w14:textId="49D9FBE8" w:rsidR="00480BB2" w:rsidRPr="00563FB9" w:rsidRDefault="00480BB2">
      <w:pPr>
        <w:pStyle w:val="FootnoteText"/>
        <w:rPr>
          <w:rFonts w:ascii="Times New Roman" w:hAnsi="Times New Roman" w:cs="Times New Roman"/>
        </w:rPr>
      </w:pPr>
      <w:r w:rsidRPr="00563FB9">
        <w:rPr>
          <w:rStyle w:val="FootnoteReference"/>
          <w:rFonts w:ascii="Times New Roman" w:hAnsi="Times New Roman" w:cs="Times New Roman"/>
        </w:rPr>
        <w:footnoteRef/>
      </w:r>
      <w:r w:rsidRPr="00563FB9">
        <w:rPr>
          <w:rFonts w:ascii="Times New Roman" w:hAnsi="Times New Roman" w:cs="Times New Roman"/>
        </w:rPr>
        <w:t xml:space="preserve"> MK noteikumi Nr. 104 stājās spēkā 2021. gada 18. februārī.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494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8F86ED" w14:textId="77777777" w:rsidR="00184CD0" w:rsidRPr="00853CA8" w:rsidRDefault="00DB214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4CD0" w:rsidRPr="00853C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3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D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C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F3835D2" w14:textId="77777777" w:rsidR="00184CD0" w:rsidRDefault="0018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E4A"/>
    <w:multiLevelType w:val="hybridMultilevel"/>
    <w:tmpl w:val="0BAC031A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B91"/>
    <w:multiLevelType w:val="hybridMultilevel"/>
    <w:tmpl w:val="02247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7D5"/>
    <w:multiLevelType w:val="hybridMultilevel"/>
    <w:tmpl w:val="4B1010D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B6C70"/>
    <w:multiLevelType w:val="multilevel"/>
    <w:tmpl w:val="F7F6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6A768C"/>
    <w:multiLevelType w:val="hybridMultilevel"/>
    <w:tmpl w:val="6B9A6B0A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2D9A"/>
    <w:multiLevelType w:val="hybridMultilevel"/>
    <w:tmpl w:val="3104D67C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34667"/>
    <w:multiLevelType w:val="hybridMultilevel"/>
    <w:tmpl w:val="71846D90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611E"/>
    <w:multiLevelType w:val="hybridMultilevel"/>
    <w:tmpl w:val="F3385F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73D40"/>
    <w:multiLevelType w:val="hybridMultilevel"/>
    <w:tmpl w:val="13921958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10F"/>
    <w:multiLevelType w:val="multilevel"/>
    <w:tmpl w:val="F7F6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702D86"/>
    <w:multiLevelType w:val="hybridMultilevel"/>
    <w:tmpl w:val="59D0EE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1DBA"/>
    <w:multiLevelType w:val="hybridMultilevel"/>
    <w:tmpl w:val="21A62DF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91D4D"/>
    <w:multiLevelType w:val="hybridMultilevel"/>
    <w:tmpl w:val="810AC8E4"/>
    <w:lvl w:ilvl="0" w:tplc="27683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6730A2"/>
    <w:multiLevelType w:val="hybridMultilevel"/>
    <w:tmpl w:val="B71889D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29"/>
    <w:rsid w:val="00001F2F"/>
    <w:rsid w:val="00003966"/>
    <w:rsid w:val="00016ADC"/>
    <w:rsid w:val="00016D1F"/>
    <w:rsid w:val="0002067F"/>
    <w:rsid w:val="0003739D"/>
    <w:rsid w:val="000430B0"/>
    <w:rsid w:val="00052BE3"/>
    <w:rsid w:val="0007392E"/>
    <w:rsid w:val="0009492F"/>
    <w:rsid w:val="00094D53"/>
    <w:rsid w:val="000A1628"/>
    <w:rsid w:val="000A5CA4"/>
    <w:rsid w:val="000B23B1"/>
    <w:rsid w:val="000B2807"/>
    <w:rsid w:val="000B2D9A"/>
    <w:rsid w:val="000D4A29"/>
    <w:rsid w:val="0010059A"/>
    <w:rsid w:val="00104864"/>
    <w:rsid w:val="00117395"/>
    <w:rsid w:val="00117691"/>
    <w:rsid w:val="00121A44"/>
    <w:rsid w:val="00125461"/>
    <w:rsid w:val="001335D9"/>
    <w:rsid w:val="00164F64"/>
    <w:rsid w:val="00165E38"/>
    <w:rsid w:val="00166811"/>
    <w:rsid w:val="001752BA"/>
    <w:rsid w:val="001805AB"/>
    <w:rsid w:val="00184CD0"/>
    <w:rsid w:val="00184F4C"/>
    <w:rsid w:val="00194116"/>
    <w:rsid w:val="00197E97"/>
    <w:rsid w:val="001A4952"/>
    <w:rsid w:val="001B1A97"/>
    <w:rsid w:val="001B3F7A"/>
    <w:rsid w:val="001B72B6"/>
    <w:rsid w:val="001C0C58"/>
    <w:rsid w:val="001C7B71"/>
    <w:rsid w:val="001E6DCF"/>
    <w:rsid w:val="00242FC4"/>
    <w:rsid w:val="002449BC"/>
    <w:rsid w:val="00245753"/>
    <w:rsid w:val="00253832"/>
    <w:rsid w:val="002641E4"/>
    <w:rsid w:val="00267467"/>
    <w:rsid w:val="00274677"/>
    <w:rsid w:val="002956C7"/>
    <w:rsid w:val="002A20FE"/>
    <w:rsid w:val="002A6072"/>
    <w:rsid w:val="002A7D8F"/>
    <w:rsid w:val="002B736F"/>
    <w:rsid w:val="002C5B2E"/>
    <w:rsid w:val="002D6339"/>
    <w:rsid w:val="002D633F"/>
    <w:rsid w:val="002F5D55"/>
    <w:rsid w:val="002F63D1"/>
    <w:rsid w:val="00320463"/>
    <w:rsid w:val="003332C4"/>
    <w:rsid w:val="00342AAF"/>
    <w:rsid w:val="00354F85"/>
    <w:rsid w:val="003576B0"/>
    <w:rsid w:val="00376859"/>
    <w:rsid w:val="003A090D"/>
    <w:rsid w:val="003A5F52"/>
    <w:rsid w:val="003A79E7"/>
    <w:rsid w:val="003C1A68"/>
    <w:rsid w:val="003C34B4"/>
    <w:rsid w:val="003E1F26"/>
    <w:rsid w:val="003E4271"/>
    <w:rsid w:val="003E461B"/>
    <w:rsid w:val="003F37D9"/>
    <w:rsid w:val="00416EFE"/>
    <w:rsid w:val="00426FC2"/>
    <w:rsid w:val="00436C33"/>
    <w:rsid w:val="00451017"/>
    <w:rsid w:val="00452814"/>
    <w:rsid w:val="004541A3"/>
    <w:rsid w:val="004552B8"/>
    <w:rsid w:val="00480BB2"/>
    <w:rsid w:val="0048716A"/>
    <w:rsid w:val="00494BF8"/>
    <w:rsid w:val="004965B1"/>
    <w:rsid w:val="004A327E"/>
    <w:rsid w:val="004A4FCD"/>
    <w:rsid w:val="004B3E59"/>
    <w:rsid w:val="004D3543"/>
    <w:rsid w:val="004D6B62"/>
    <w:rsid w:val="004F1432"/>
    <w:rsid w:val="004F6EC4"/>
    <w:rsid w:val="00500BA9"/>
    <w:rsid w:val="0050335C"/>
    <w:rsid w:val="00504D39"/>
    <w:rsid w:val="0051147F"/>
    <w:rsid w:val="005119C3"/>
    <w:rsid w:val="00514B33"/>
    <w:rsid w:val="0053666F"/>
    <w:rsid w:val="00540DEF"/>
    <w:rsid w:val="00557E18"/>
    <w:rsid w:val="00563FB9"/>
    <w:rsid w:val="00582486"/>
    <w:rsid w:val="005B3C62"/>
    <w:rsid w:val="005B7A85"/>
    <w:rsid w:val="005C12FA"/>
    <w:rsid w:val="005D6D54"/>
    <w:rsid w:val="005E700C"/>
    <w:rsid w:val="005E70CE"/>
    <w:rsid w:val="0060211D"/>
    <w:rsid w:val="00606B2D"/>
    <w:rsid w:val="006072C2"/>
    <w:rsid w:val="006155A4"/>
    <w:rsid w:val="00615F02"/>
    <w:rsid w:val="00617EED"/>
    <w:rsid w:val="00621821"/>
    <w:rsid w:val="0062326E"/>
    <w:rsid w:val="00627515"/>
    <w:rsid w:val="00650026"/>
    <w:rsid w:val="0065398A"/>
    <w:rsid w:val="00670882"/>
    <w:rsid w:val="00676480"/>
    <w:rsid w:val="00680C43"/>
    <w:rsid w:val="006829AE"/>
    <w:rsid w:val="00684288"/>
    <w:rsid w:val="00684810"/>
    <w:rsid w:val="006873F1"/>
    <w:rsid w:val="006962F8"/>
    <w:rsid w:val="00697140"/>
    <w:rsid w:val="006A431B"/>
    <w:rsid w:val="006A46E0"/>
    <w:rsid w:val="006A6442"/>
    <w:rsid w:val="006B28FF"/>
    <w:rsid w:val="006C5B77"/>
    <w:rsid w:val="006C6269"/>
    <w:rsid w:val="006F2BE0"/>
    <w:rsid w:val="006F55A5"/>
    <w:rsid w:val="00713921"/>
    <w:rsid w:val="007152E2"/>
    <w:rsid w:val="007365F6"/>
    <w:rsid w:val="00743365"/>
    <w:rsid w:val="00752A75"/>
    <w:rsid w:val="0077181D"/>
    <w:rsid w:val="0077233A"/>
    <w:rsid w:val="0077413B"/>
    <w:rsid w:val="007976A9"/>
    <w:rsid w:val="007977B0"/>
    <w:rsid w:val="007C0740"/>
    <w:rsid w:val="007C3158"/>
    <w:rsid w:val="007D7321"/>
    <w:rsid w:val="007F48ED"/>
    <w:rsid w:val="008016B9"/>
    <w:rsid w:val="00812CCF"/>
    <w:rsid w:val="00821C87"/>
    <w:rsid w:val="008259C7"/>
    <w:rsid w:val="00827C30"/>
    <w:rsid w:val="00832603"/>
    <w:rsid w:val="00842EDB"/>
    <w:rsid w:val="00851EB9"/>
    <w:rsid w:val="00853CA8"/>
    <w:rsid w:val="00883452"/>
    <w:rsid w:val="008A62FD"/>
    <w:rsid w:val="008B543B"/>
    <w:rsid w:val="008C6983"/>
    <w:rsid w:val="008E2436"/>
    <w:rsid w:val="008E426F"/>
    <w:rsid w:val="008F385D"/>
    <w:rsid w:val="009015C3"/>
    <w:rsid w:val="00903CC1"/>
    <w:rsid w:val="00913DE9"/>
    <w:rsid w:val="009162CF"/>
    <w:rsid w:val="00916596"/>
    <w:rsid w:val="00945CF2"/>
    <w:rsid w:val="00947C0D"/>
    <w:rsid w:val="00955439"/>
    <w:rsid w:val="00965FE4"/>
    <w:rsid w:val="00982DBE"/>
    <w:rsid w:val="00983A83"/>
    <w:rsid w:val="00994DD3"/>
    <w:rsid w:val="00997717"/>
    <w:rsid w:val="009D09B6"/>
    <w:rsid w:val="009F28B5"/>
    <w:rsid w:val="009F2D27"/>
    <w:rsid w:val="00A0570E"/>
    <w:rsid w:val="00A23145"/>
    <w:rsid w:val="00A55E00"/>
    <w:rsid w:val="00A66F6B"/>
    <w:rsid w:val="00A719F6"/>
    <w:rsid w:val="00A7562F"/>
    <w:rsid w:val="00A76EA5"/>
    <w:rsid w:val="00A85303"/>
    <w:rsid w:val="00A863FC"/>
    <w:rsid w:val="00A86C14"/>
    <w:rsid w:val="00A92C6F"/>
    <w:rsid w:val="00A957D5"/>
    <w:rsid w:val="00A971ED"/>
    <w:rsid w:val="00AB109E"/>
    <w:rsid w:val="00AB408D"/>
    <w:rsid w:val="00AE60C5"/>
    <w:rsid w:val="00AE7FFC"/>
    <w:rsid w:val="00AF4A02"/>
    <w:rsid w:val="00B14B15"/>
    <w:rsid w:val="00B1500F"/>
    <w:rsid w:val="00B2460B"/>
    <w:rsid w:val="00B367BC"/>
    <w:rsid w:val="00B4024A"/>
    <w:rsid w:val="00B570CB"/>
    <w:rsid w:val="00B70749"/>
    <w:rsid w:val="00B7255A"/>
    <w:rsid w:val="00B7519E"/>
    <w:rsid w:val="00B769C0"/>
    <w:rsid w:val="00B803D0"/>
    <w:rsid w:val="00B815F6"/>
    <w:rsid w:val="00B86657"/>
    <w:rsid w:val="00B926EE"/>
    <w:rsid w:val="00B93E43"/>
    <w:rsid w:val="00BA283B"/>
    <w:rsid w:val="00BA6837"/>
    <w:rsid w:val="00BB0194"/>
    <w:rsid w:val="00BC4780"/>
    <w:rsid w:val="00BC5A22"/>
    <w:rsid w:val="00BC7E6F"/>
    <w:rsid w:val="00BE195A"/>
    <w:rsid w:val="00BF4250"/>
    <w:rsid w:val="00C01774"/>
    <w:rsid w:val="00C07C2C"/>
    <w:rsid w:val="00C15BC6"/>
    <w:rsid w:val="00C25E6B"/>
    <w:rsid w:val="00C26F3D"/>
    <w:rsid w:val="00C365EE"/>
    <w:rsid w:val="00C57448"/>
    <w:rsid w:val="00C62470"/>
    <w:rsid w:val="00C631D6"/>
    <w:rsid w:val="00C80D6A"/>
    <w:rsid w:val="00C84373"/>
    <w:rsid w:val="00CA1E5E"/>
    <w:rsid w:val="00CA56FB"/>
    <w:rsid w:val="00CB1CC3"/>
    <w:rsid w:val="00CB397B"/>
    <w:rsid w:val="00CC5448"/>
    <w:rsid w:val="00CC73AE"/>
    <w:rsid w:val="00CD1EE6"/>
    <w:rsid w:val="00CD24E2"/>
    <w:rsid w:val="00CD2571"/>
    <w:rsid w:val="00CD43D8"/>
    <w:rsid w:val="00CE5409"/>
    <w:rsid w:val="00CF036D"/>
    <w:rsid w:val="00CF611C"/>
    <w:rsid w:val="00CF6448"/>
    <w:rsid w:val="00D11960"/>
    <w:rsid w:val="00D15907"/>
    <w:rsid w:val="00D208EB"/>
    <w:rsid w:val="00D2614C"/>
    <w:rsid w:val="00D32B46"/>
    <w:rsid w:val="00D40060"/>
    <w:rsid w:val="00D53C63"/>
    <w:rsid w:val="00D608EE"/>
    <w:rsid w:val="00D639ED"/>
    <w:rsid w:val="00D70BF9"/>
    <w:rsid w:val="00D76895"/>
    <w:rsid w:val="00D778BF"/>
    <w:rsid w:val="00D92901"/>
    <w:rsid w:val="00D93B2F"/>
    <w:rsid w:val="00D9562C"/>
    <w:rsid w:val="00DA20A7"/>
    <w:rsid w:val="00DB2140"/>
    <w:rsid w:val="00DC24F0"/>
    <w:rsid w:val="00DD2AC6"/>
    <w:rsid w:val="00DD2DC4"/>
    <w:rsid w:val="00DF7E94"/>
    <w:rsid w:val="00E10096"/>
    <w:rsid w:val="00E15864"/>
    <w:rsid w:val="00E2612D"/>
    <w:rsid w:val="00E36F98"/>
    <w:rsid w:val="00E377AC"/>
    <w:rsid w:val="00E45A3F"/>
    <w:rsid w:val="00E52DD5"/>
    <w:rsid w:val="00E5721E"/>
    <w:rsid w:val="00E57FB2"/>
    <w:rsid w:val="00E64740"/>
    <w:rsid w:val="00E77F65"/>
    <w:rsid w:val="00E91882"/>
    <w:rsid w:val="00E94697"/>
    <w:rsid w:val="00EA0568"/>
    <w:rsid w:val="00EB0B44"/>
    <w:rsid w:val="00EB3FC6"/>
    <w:rsid w:val="00EC648E"/>
    <w:rsid w:val="00ED007E"/>
    <w:rsid w:val="00EE12B0"/>
    <w:rsid w:val="00EE71DC"/>
    <w:rsid w:val="00EF67B3"/>
    <w:rsid w:val="00F23AE4"/>
    <w:rsid w:val="00F3005C"/>
    <w:rsid w:val="00F328A1"/>
    <w:rsid w:val="00F37B56"/>
    <w:rsid w:val="00F416B9"/>
    <w:rsid w:val="00F42DCF"/>
    <w:rsid w:val="00F47954"/>
    <w:rsid w:val="00F64C24"/>
    <w:rsid w:val="00F64C83"/>
    <w:rsid w:val="00F82F58"/>
    <w:rsid w:val="00F841EB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8A84A"/>
  <w15:docId w15:val="{9283FA2A-E368-4F10-9D39-F8744D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D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D4A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29"/>
  </w:style>
  <w:style w:type="paragraph" w:styleId="Footer">
    <w:name w:val="footer"/>
    <w:basedOn w:val="Normal"/>
    <w:link w:val="FooterChar"/>
    <w:uiPriority w:val="99"/>
    <w:unhideWhenUsed/>
    <w:rsid w:val="000D4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29"/>
  </w:style>
  <w:style w:type="paragraph" w:styleId="BalloonText">
    <w:name w:val="Balloon Text"/>
    <w:basedOn w:val="Normal"/>
    <w:link w:val="BalloonTextChar"/>
    <w:uiPriority w:val="99"/>
    <w:semiHidden/>
    <w:unhideWhenUsed/>
    <w:rsid w:val="000D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70E"/>
    <w:rPr>
      <w:sz w:val="16"/>
      <w:szCs w:val="16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0570E"/>
    <w:pPr>
      <w:spacing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0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7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644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00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250"/>
    <w:rPr>
      <w:vertAlign w:val="superscript"/>
    </w:rPr>
  </w:style>
  <w:style w:type="paragraph" w:customStyle="1" w:styleId="Standard">
    <w:name w:val="Standard"/>
    <w:rsid w:val="004D354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styleId="TableGrid">
    <w:name w:val="Table Grid"/>
    <w:basedOn w:val="TableNormal"/>
    <w:uiPriority w:val="39"/>
    <w:rsid w:val="00F3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35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53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lvita.vaivod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4C92-7A0E-4E9C-8568-E7DB5139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rīkojumā Nr.292 "Par pašvaldību investīciju projektu izvērtēšanas komisiju"</vt:lpstr>
    </vt:vector>
  </TitlesOfParts>
  <Company>VARAM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rīkojumā Nr.292 "Par pašvaldību investīciju projektu izvērtēšanas komisiju"</dc:title>
  <dc:subject>MK rīkojuma projekta anotācija</dc:subject>
  <dc:creator>Solvita Vaivode</dc:creator>
  <cp:keywords/>
  <dc:description>66016749 solvita.vaivode@varam.gov.lv</dc:description>
  <cp:lastModifiedBy>Solvita Vaivode</cp:lastModifiedBy>
  <cp:revision>5</cp:revision>
  <dcterms:created xsi:type="dcterms:W3CDTF">2021-02-25T13:30:00Z</dcterms:created>
  <dcterms:modified xsi:type="dcterms:W3CDTF">2021-02-25T13:57:00Z</dcterms:modified>
</cp:coreProperties>
</file>