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11B1C67F" w14:textId="01318154" w:rsidR="00EC63C8" w:rsidRPr="004A6791" w:rsidRDefault="00141BBC" w:rsidP="00EC63C8">
      <w:pPr>
        <w:tabs>
          <w:tab w:val="center" w:pos="4153"/>
          <w:tab w:val="right" w:pos="8306"/>
        </w:tabs>
        <w:jc w:val="center"/>
        <w:rPr>
          <w:b/>
          <w:sz w:val="28"/>
          <w:szCs w:val="28"/>
        </w:rPr>
      </w:pPr>
      <w:r w:rsidRPr="004A6791">
        <w:rPr>
          <w:b/>
          <w:noProof/>
          <w:sz w:val="28"/>
          <w:szCs w:val="28"/>
          <w:lang w:eastAsia="lv-LV"/>
        </w:rPr>
        <mc:AlternateContent>
          <mc:Choice Requires="wps">
            <w:drawing>
              <wp:anchor distT="0" distB="0" distL="114300" distR="114300" simplePos="0" relativeHeight="251658240" behindDoc="0" locked="0" layoutInCell="1" allowOverlap="1" wp14:anchorId="34C2AB3D" wp14:editId="66D2C180">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5EB7"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Start w:id="6" w:name="OLE_LINK4"/>
      <w:bookmarkStart w:id="7" w:name="OLE_LINK5"/>
      <w:r w:rsidR="00EC63C8" w:rsidRPr="004A6791">
        <w:rPr>
          <w:b/>
          <w:sz w:val="28"/>
          <w:szCs w:val="28"/>
          <w:lang w:eastAsia="lv-LV"/>
        </w:rPr>
        <w:t>Ministru kabineta noteikumu projekta „</w:t>
      </w:r>
      <w:r w:rsidR="00BF4EDA" w:rsidRPr="004A6791">
        <w:rPr>
          <w:b/>
          <w:sz w:val="28"/>
          <w:szCs w:val="28"/>
        </w:rPr>
        <w:t xml:space="preserve">Darbības programmas „Izaugsme un nodarbinātība” </w:t>
      </w:r>
      <w:r w:rsidR="0068261C" w:rsidRPr="004A6791">
        <w:rPr>
          <w:b/>
          <w:sz w:val="28"/>
          <w:szCs w:val="28"/>
        </w:rPr>
        <w:t>9</w:t>
      </w:r>
      <w:r w:rsidR="00D46E0B" w:rsidRPr="004A6791">
        <w:rPr>
          <w:b/>
          <w:sz w:val="28"/>
          <w:szCs w:val="28"/>
        </w:rPr>
        <w:t>.</w:t>
      </w:r>
      <w:r w:rsidR="0068261C" w:rsidRPr="004A6791">
        <w:rPr>
          <w:b/>
          <w:sz w:val="28"/>
          <w:szCs w:val="28"/>
        </w:rPr>
        <w:t>2</w:t>
      </w:r>
      <w:r w:rsidR="00D46E0B" w:rsidRPr="004A6791">
        <w:rPr>
          <w:b/>
          <w:sz w:val="28"/>
          <w:szCs w:val="28"/>
        </w:rPr>
        <w:t>.</w:t>
      </w:r>
      <w:r w:rsidR="0068598B">
        <w:rPr>
          <w:b/>
          <w:sz w:val="28"/>
          <w:szCs w:val="28"/>
        </w:rPr>
        <w:t>7</w:t>
      </w:r>
      <w:r w:rsidR="00D46E0B" w:rsidRPr="004A6791">
        <w:rPr>
          <w:b/>
          <w:sz w:val="28"/>
          <w:szCs w:val="28"/>
        </w:rPr>
        <w:t xml:space="preserve">. </w:t>
      </w:r>
      <w:r w:rsidR="0068261C" w:rsidRPr="004A6791">
        <w:rPr>
          <w:b/>
          <w:sz w:val="28"/>
          <w:szCs w:val="28"/>
        </w:rPr>
        <w:t xml:space="preserve">specifiskā atbalsta mērķa </w:t>
      </w:r>
      <w:r w:rsidR="0068598B" w:rsidRPr="00F55AD9">
        <w:rPr>
          <w:b/>
          <w:color w:val="000000" w:themeColor="text1"/>
          <w:sz w:val="28"/>
          <w:szCs w:val="28"/>
        </w:rPr>
        <w:t>„Atbalsts ārstniecības personām, kas nodrošina pacientu ārstēšanu sabiedrības veselības krīžu situāciju novēršanai</w:t>
      </w:r>
      <w:r w:rsidR="00D41187" w:rsidRPr="004A6791">
        <w:rPr>
          <w:b/>
          <w:sz w:val="28"/>
          <w:szCs w:val="28"/>
        </w:rPr>
        <w:t>”</w:t>
      </w:r>
      <w:r w:rsidR="00EC63C8" w:rsidRPr="004A6791">
        <w:rPr>
          <w:b/>
          <w:sz w:val="28"/>
          <w:szCs w:val="28"/>
        </w:rPr>
        <w:t xml:space="preserve"> sākotnējās ietekmes novērtējuma ziņojums (anotācija)</w:t>
      </w:r>
      <w:bookmarkEnd w:id="0"/>
      <w:bookmarkEnd w:id="1"/>
      <w:bookmarkEnd w:id="2"/>
      <w:bookmarkEnd w:id="6"/>
      <w:bookmarkEnd w:id="7"/>
    </w:p>
    <w:bookmarkEnd w:id="3"/>
    <w:bookmarkEnd w:id="4"/>
    <w:bookmarkEnd w:id="5"/>
    <w:p w14:paraId="6C18A5A4" w14:textId="77777777" w:rsidR="00C1591C" w:rsidRPr="004A6791"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4A6791" w14:paraId="32F9B604" w14:textId="77777777" w:rsidTr="00C1591C">
        <w:trPr>
          <w:trHeight w:val="419"/>
        </w:trPr>
        <w:tc>
          <w:tcPr>
            <w:tcW w:w="5000" w:type="pct"/>
            <w:gridSpan w:val="3"/>
            <w:vAlign w:val="center"/>
          </w:tcPr>
          <w:p w14:paraId="08976491" w14:textId="77777777" w:rsidR="003735C6" w:rsidRPr="004A6791" w:rsidRDefault="003735C6" w:rsidP="00C1591C">
            <w:pPr>
              <w:pStyle w:val="naisnod"/>
              <w:spacing w:before="0" w:beforeAutospacing="0" w:after="0" w:afterAutospacing="0"/>
              <w:ind w:left="57" w:right="57"/>
              <w:jc w:val="center"/>
              <w:rPr>
                <w:b/>
              </w:rPr>
            </w:pPr>
            <w:r w:rsidRPr="004A6791">
              <w:rPr>
                <w:b/>
              </w:rPr>
              <w:t>I</w:t>
            </w:r>
            <w:r w:rsidR="00D46E0B" w:rsidRPr="004A6791">
              <w:rPr>
                <w:b/>
              </w:rPr>
              <w:t xml:space="preserve">. </w:t>
            </w:r>
            <w:r w:rsidRPr="004A6791">
              <w:rPr>
                <w:b/>
              </w:rPr>
              <w:t>Tiesību akta projekta izstrādes nepieciešamība</w:t>
            </w:r>
          </w:p>
        </w:tc>
      </w:tr>
      <w:tr w:rsidR="003735C6" w:rsidRPr="004A6791" w14:paraId="6DEBB60F" w14:textId="77777777" w:rsidTr="00C1591C">
        <w:trPr>
          <w:trHeight w:val="415"/>
        </w:trPr>
        <w:tc>
          <w:tcPr>
            <w:tcW w:w="251" w:type="pct"/>
          </w:tcPr>
          <w:p w14:paraId="30C878CB" w14:textId="77777777" w:rsidR="003735C6" w:rsidRPr="004A6791" w:rsidRDefault="003735C6" w:rsidP="00C1591C">
            <w:pPr>
              <w:pStyle w:val="naiskr"/>
              <w:spacing w:before="0" w:beforeAutospacing="0" w:after="0" w:afterAutospacing="0"/>
              <w:ind w:left="57" w:right="57"/>
              <w:jc w:val="center"/>
            </w:pPr>
            <w:r w:rsidRPr="004A6791">
              <w:t>1</w:t>
            </w:r>
            <w:r w:rsidR="00D46E0B" w:rsidRPr="004A6791">
              <w:t xml:space="preserve">. </w:t>
            </w:r>
          </w:p>
        </w:tc>
        <w:tc>
          <w:tcPr>
            <w:tcW w:w="1354" w:type="pct"/>
          </w:tcPr>
          <w:p w14:paraId="15CEC636" w14:textId="77777777" w:rsidR="003735C6" w:rsidRPr="004A6791" w:rsidRDefault="003735C6" w:rsidP="00C1591C">
            <w:pPr>
              <w:pStyle w:val="naiskr"/>
              <w:spacing w:before="0" w:beforeAutospacing="0" w:after="0" w:afterAutospacing="0"/>
              <w:ind w:left="57" w:right="57"/>
              <w:rPr>
                <w:rFonts w:eastAsiaTheme="minorHAnsi"/>
                <w:lang w:eastAsia="en-US"/>
              </w:rPr>
            </w:pPr>
            <w:r w:rsidRPr="004A6791">
              <w:rPr>
                <w:rFonts w:eastAsiaTheme="minorHAnsi"/>
                <w:lang w:eastAsia="en-US"/>
              </w:rPr>
              <w:t>Pamatojums</w:t>
            </w:r>
          </w:p>
        </w:tc>
        <w:tc>
          <w:tcPr>
            <w:tcW w:w="3395" w:type="pct"/>
          </w:tcPr>
          <w:p w14:paraId="3896BD84" w14:textId="2D87EC2B" w:rsidR="008E23E9" w:rsidRPr="004A6791" w:rsidRDefault="00B6659C" w:rsidP="0077373B">
            <w:pPr>
              <w:pStyle w:val="naiskr"/>
              <w:spacing w:before="40" w:beforeAutospacing="0" w:after="40" w:afterAutospacing="0"/>
              <w:ind w:left="57" w:right="57" w:firstLine="284"/>
              <w:jc w:val="both"/>
              <w:rPr>
                <w:bCs/>
              </w:rPr>
            </w:pPr>
            <w:r w:rsidRPr="004A6791">
              <w:rPr>
                <w:rFonts w:eastAsiaTheme="minorHAnsi"/>
              </w:rPr>
              <w:t>Eiropas Savienības (turpmāk – ES) fondu 2014</w:t>
            </w:r>
            <w:r w:rsidR="00D46E0B" w:rsidRPr="004A6791">
              <w:rPr>
                <w:rFonts w:eastAsiaTheme="minorHAnsi"/>
              </w:rPr>
              <w:t xml:space="preserve">. </w:t>
            </w:r>
            <w:r w:rsidRPr="004A6791">
              <w:rPr>
                <w:rFonts w:eastAsiaTheme="minorHAnsi"/>
              </w:rPr>
              <w:t>– 2020</w:t>
            </w:r>
            <w:r w:rsidR="00D46E0B" w:rsidRPr="004A6791">
              <w:rPr>
                <w:rFonts w:eastAsiaTheme="minorHAnsi"/>
              </w:rPr>
              <w:t xml:space="preserve">. </w:t>
            </w:r>
            <w:r w:rsidRPr="004A6791">
              <w:rPr>
                <w:rFonts w:eastAsiaTheme="minorHAnsi"/>
              </w:rPr>
              <w:t xml:space="preserve">gada </w:t>
            </w:r>
            <w:r w:rsidRPr="004A6791">
              <w:t>plānošanas</w:t>
            </w:r>
            <w:r w:rsidRPr="004A6791">
              <w:rPr>
                <w:rFonts w:eastAsiaTheme="minorHAnsi"/>
              </w:rPr>
              <w:t xml:space="preserve"> perioda </w:t>
            </w:r>
            <w:r w:rsidRPr="004A6791">
              <w:t>Darbības programmas “</w:t>
            </w:r>
            <w:r w:rsidRPr="004A6791">
              <w:rPr>
                <w:i/>
              </w:rPr>
              <w:t>Izaugsme un nodarbinātība</w:t>
            </w:r>
            <w:r w:rsidRPr="004A6791">
              <w:t>” prioritārā</w:t>
            </w:r>
            <w:r w:rsidRPr="004A6791">
              <w:rPr>
                <w:rFonts w:eastAsiaTheme="minorHAnsi"/>
              </w:rPr>
              <w:t xml:space="preserve"> virziena “</w:t>
            </w:r>
            <w:r w:rsidRPr="004A6791">
              <w:rPr>
                <w:rFonts w:eastAsia="Calibri"/>
                <w:i/>
              </w:rPr>
              <w:t>Sociālā iekļaušana un nabadzības apkarošana</w:t>
            </w:r>
            <w:r w:rsidRPr="004A6791">
              <w:rPr>
                <w:rFonts w:eastAsiaTheme="minorHAnsi"/>
              </w:rPr>
              <w:t xml:space="preserve">” </w:t>
            </w:r>
            <w:r w:rsidR="005D4183" w:rsidRPr="004A6791">
              <w:t>9</w:t>
            </w:r>
            <w:r w:rsidR="00D46E0B" w:rsidRPr="004A6791">
              <w:t>.</w:t>
            </w:r>
            <w:r w:rsidR="005D4183" w:rsidRPr="004A6791">
              <w:t>2</w:t>
            </w:r>
            <w:r w:rsidR="00D46E0B" w:rsidRPr="004A6791">
              <w:t>.</w:t>
            </w:r>
            <w:r w:rsidR="0068598B">
              <w:t>7</w:t>
            </w:r>
            <w:r w:rsidR="00D46E0B" w:rsidRPr="004A6791">
              <w:t xml:space="preserve">. </w:t>
            </w:r>
            <w:r w:rsidR="005D4183" w:rsidRPr="004A6791">
              <w:t xml:space="preserve">specifiskā atbalsta mērķa </w:t>
            </w:r>
            <w:r w:rsidR="005D4183" w:rsidRPr="0068598B">
              <w:t>„</w:t>
            </w:r>
            <w:r w:rsidR="0068598B" w:rsidRPr="0068598B">
              <w:t>Atbalsts ārstniecības personām, kas nodrošina pacientu ārstēšanu sabiedrības veselības krīžu situāciju novēršanai</w:t>
            </w:r>
            <w:r w:rsidR="005D4183" w:rsidRPr="0068598B">
              <w:t>”</w:t>
            </w:r>
            <w:r w:rsidR="00C35426">
              <w:t xml:space="preserve"> (turpmāk – 9.2.7. SAM)</w:t>
            </w:r>
            <w:r w:rsidR="00BF4DB1" w:rsidRPr="004A6791">
              <w:rPr>
                <w:bCs/>
              </w:rPr>
              <w:t xml:space="preserve"> </w:t>
            </w:r>
            <w:r w:rsidR="008E23E9" w:rsidRPr="004A6791">
              <w:rPr>
                <w:bCs/>
              </w:rPr>
              <w:t xml:space="preserve">(turpmāk specifiskais atbalsts) </w:t>
            </w:r>
            <w:r w:rsidR="00C2015A" w:rsidRPr="004A6791">
              <w:rPr>
                <w:bCs/>
              </w:rPr>
              <w:t>īstenošanas noteikumu projekts izstrādāts atbilstoši</w:t>
            </w:r>
            <w:r w:rsidR="008E23E9" w:rsidRPr="004A6791">
              <w:rPr>
                <w:bCs/>
              </w:rPr>
              <w:t>:</w:t>
            </w:r>
          </w:p>
          <w:p w14:paraId="09F137C4" w14:textId="77777777" w:rsidR="008E23E9" w:rsidRPr="004A6791" w:rsidRDefault="00B6659C" w:rsidP="00EB1B90">
            <w:pPr>
              <w:pStyle w:val="ListParagraph"/>
              <w:numPr>
                <w:ilvl w:val="0"/>
                <w:numId w:val="2"/>
              </w:numPr>
              <w:ind w:right="86"/>
              <w:jc w:val="both"/>
            </w:pPr>
            <w:r w:rsidRPr="004A6791">
              <w:t>darbības programmas “</w:t>
            </w:r>
            <w:r w:rsidRPr="004A6791">
              <w:rPr>
                <w:i/>
              </w:rPr>
              <w:t>Izaugsme un nodarbinātība</w:t>
            </w:r>
            <w:r w:rsidRPr="004A6791">
              <w:t>”</w:t>
            </w:r>
            <w:r w:rsidR="002C6B64" w:rsidRPr="004A6791">
              <w:t xml:space="preserve"> </w:t>
            </w:r>
            <w:r w:rsidR="00C2015A" w:rsidRPr="004A6791">
              <w:t>mērķiem</w:t>
            </w:r>
            <w:r w:rsidR="008E23E9" w:rsidRPr="004A6791">
              <w:t>;</w:t>
            </w:r>
          </w:p>
          <w:p w14:paraId="23181509" w14:textId="59629F14" w:rsidR="00E4475F" w:rsidRPr="004A6791" w:rsidRDefault="00C86654" w:rsidP="00EB1B90">
            <w:pPr>
              <w:pStyle w:val="ListParagraph"/>
              <w:numPr>
                <w:ilvl w:val="0"/>
                <w:numId w:val="2"/>
              </w:numPr>
              <w:ind w:right="86"/>
              <w:jc w:val="both"/>
            </w:pPr>
            <w:r w:rsidRPr="00C86654">
              <w:t xml:space="preserve">2020.gada </w:t>
            </w:r>
            <w:r w:rsidR="0068598B" w:rsidRPr="00C86654">
              <w:t>20.jūlija Eiropas Komisija</w:t>
            </w:r>
            <w:r w:rsidRPr="00C86654">
              <w:t xml:space="preserve">s lēmumam par darbības programmas “Izaugsme un nodarbinātība” (turpmāk – darbības programma) grozījumiem Nr.6, kas apstiprināti ar Ministru kabineta rīkojumu Nr. 371 </w:t>
            </w:r>
            <w:proofErr w:type="spellStart"/>
            <w:r w:rsidRPr="00C86654">
              <w:t>š..g</w:t>
            </w:r>
            <w:proofErr w:type="spellEnd"/>
            <w:r w:rsidRPr="00C86654">
              <w:t>. 2. jūlijā (prot. Nr. 42 59.§)</w:t>
            </w:r>
            <w:r>
              <w:t>.</w:t>
            </w:r>
          </w:p>
        </w:tc>
      </w:tr>
      <w:tr w:rsidR="003735C6" w:rsidRPr="004A6791" w14:paraId="42EEEB56" w14:textId="77777777" w:rsidTr="001767BB">
        <w:trPr>
          <w:trHeight w:val="56"/>
        </w:trPr>
        <w:tc>
          <w:tcPr>
            <w:tcW w:w="251" w:type="pct"/>
          </w:tcPr>
          <w:p w14:paraId="06B45BB5" w14:textId="77777777" w:rsidR="003735C6" w:rsidRPr="004A6791" w:rsidRDefault="003735C6" w:rsidP="00C1591C">
            <w:pPr>
              <w:pStyle w:val="naiskr"/>
              <w:spacing w:before="0" w:beforeAutospacing="0" w:after="0" w:afterAutospacing="0"/>
              <w:ind w:left="57" w:right="57"/>
              <w:jc w:val="center"/>
            </w:pPr>
            <w:r w:rsidRPr="004A6791">
              <w:t>2</w:t>
            </w:r>
            <w:r w:rsidR="00D46E0B" w:rsidRPr="004A6791">
              <w:t xml:space="preserve">. </w:t>
            </w:r>
          </w:p>
        </w:tc>
        <w:tc>
          <w:tcPr>
            <w:tcW w:w="1354" w:type="pct"/>
          </w:tcPr>
          <w:p w14:paraId="502EE4C7" w14:textId="77777777" w:rsidR="003735C6" w:rsidRPr="004A6791" w:rsidRDefault="003735C6" w:rsidP="00C1591C">
            <w:pPr>
              <w:pStyle w:val="naiskr"/>
              <w:tabs>
                <w:tab w:val="left" w:pos="170"/>
              </w:tabs>
              <w:spacing w:before="0" w:beforeAutospacing="0" w:after="0" w:afterAutospacing="0"/>
              <w:ind w:left="57" w:right="57"/>
            </w:pPr>
            <w:r w:rsidRPr="004A6791">
              <w:t>Pašreizējā situācija un problēmas, kuru risināšanai tiesību akta projekts izstrādāts, tiesiskā regulējuma mērķis un būtība</w:t>
            </w:r>
          </w:p>
        </w:tc>
        <w:tc>
          <w:tcPr>
            <w:tcW w:w="3395" w:type="pct"/>
          </w:tcPr>
          <w:p w14:paraId="361007F0" w14:textId="3C149B45" w:rsidR="00C86654" w:rsidRPr="00EF556F" w:rsidRDefault="008E23E9" w:rsidP="00EF556F">
            <w:pPr>
              <w:tabs>
                <w:tab w:val="left" w:pos="426"/>
                <w:tab w:val="left" w:pos="993"/>
              </w:tabs>
              <w:spacing w:before="120" w:after="240"/>
              <w:ind w:firstLine="396"/>
              <w:jc w:val="both"/>
              <w:rPr>
                <w:bCs/>
                <w:color w:val="000000" w:themeColor="text1"/>
                <w:spacing w:val="-2"/>
                <w:sz w:val="28"/>
                <w:szCs w:val="28"/>
              </w:rPr>
            </w:pPr>
            <w:r w:rsidRPr="00EF556F">
              <w:rPr>
                <w:rFonts w:eastAsiaTheme="minorHAnsi"/>
                <w:b/>
                <w:u w:val="single"/>
              </w:rPr>
              <w:t>Specifiskā atbalsta</w:t>
            </w:r>
            <w:r w:rsidR="003C6583" w:rsidRPr="00EF556F">
              <w:rPr>
                <w:rFonts w:eastAsiaTheme="minorHAnsi"/>
                <w:b/>
                <w:u w:val="single"/>
              </w:rPr>
              <w:t xml:space="preserve"> mērķis</w:t>
            </w:r>
            <w:r w:rsidR="003C6583" w:rsidRPr="00EF556F">
              <w:rPr>
                <w:rFonts w:eastAsiaTheme="minorHAnsi"/>
              </w:rPr>
              <w:t xml:space="preserve"> </w:t>
            </w:r>
            <w:r w:rsidR="00252AE0" w:rsidRPr="00EF556F">
              <w:rPr>
                <w:bCs/>
                <w:spacing w:val="-2"/>
              </w:rPr>
              <w:t>i</w:t>
            </w:r>
            <w:r w:rsidR="00252AE0" w:rsidRPr="00C86654">
              <w:t xml:space="preserve">r </w:t>
            </w:r>
            <w:r w:rsidR="00C86654" w:rsidRPr="00C86654">
              <w:t xml:space="preserve"> sniegt atbalstu ārstniecības personām, kas nodrošina pacientu ārstēšanu sabiedrības veselības krīžu situāciju novēršanai. </w:t>
            </w:r>
          </w:p>
          <w:p w14:paraId="7E08CC7A" w14:textId="200D5F7A" w:rsidR="00460ED6" w:rsidRPr="004A6791" w:rsidRDefault="008E23E9" w:rsidP="00D46E0B">
            <w:pPr>
              <w:pStyle w:val="naiskr"/>
              <w:spacing w:before="40" w:beforeAutospacing="0" w:after="40" w:afterAutospacing="0"/>
              <w:ind w:left="57" w:right="57" w:firstLine="284"/>
              <w:jc w:val="both"/>
            </w:pPr>
            <w:r w:rsidRPr="004A6791">
              <w:rPr>
                <w:rFonts w:eastAsiaTheme="minorHAnsi"/>
                <w:b/>
                <w:u w:val="single"/>
              </w:rPr>
              <w:t xml:space="preserve">Ar specifisko atbalstu saistīto </w:t>
            </w:r>
            <w:r w:rsidR="00D26824" w:rsidRPr="004A6791">
              <w:rPr>
                <w:rFonts w:eastAsiaTheme="minorHAnsi"/>
                <w:b/>
                <w:u w:val="single"/>
              </w:rPr>
              <w:t>problēm</w:t>
            </w:r>
            <w:r w:rsidRPr="004A6791">
              <w:rPr>
                <w:rFonts w:eastAsiaTheme="minorHAnsi"/>
                <w:b/>
                <w:u w:val="single"/>
              </w:rPr>
              <w:t>u</w:t>
            </w:r>
            <w:r w:rsidR="00D26824" w:rsidRPr="004A6791">
              <w:rPr>
                <w:rFonts w:eastAsiaTheme="minorHAnsi"/>
                <w:b/>
                <w:u w:val="single"/>
              </w:rPr>
              <w:t xml:space="preserve"> apraksts:</w:t>
            </w:r>
            <w:r w:rsidR="00460ED6" w:rsidRPr="004A6791">
              <w:rPr>
                <w:rFonts w:eastAsiaTheme="minorHAnsi"/>
                <w:b/>
                <w:u w:val="single"/>
              </w:rPr>
              <w:t xml:space="preserve"> </w:t>
            </w:r>
          </w:p>
          <w:p w14:paraId="1E3ED8DA" w14:textId="36E7644C" w:rsidR="00E73470" w:rsidRDefault="00E73470" w:rsidP="00E73470">
            <w:pPr>
              <w:ind w:left="112" w:firstLine="425"/>
              <w:jc w:val="both"/>
              <w:rPr>
                <w:b/>
                <w:szCs w:val="22"/>
              </w:rPr>
            </w:pPr>
            <w:r>
              <w:rPr>
                <w:bCs/>
              </w:rPr>
              <w:t>COVID-19 izraisītā krīze ir izgaismojusi problēmas veselības aprūpes pakalpojumu jomā, kas gan COVID-19 uzliesmojuma laikā, gan arī citu sabiedrības veselības krīžu situācijā radītu riskus sabiedrībai. Latvijā pakalpojumu pieejamību būtiski ietekmē ārstniecības personu trūkums slimnīcās un Neatliekamās medicīniskās palīdzības dienestā Rīgā, kur COVID-19 pacientu skaits ir vislielākais un kur tiek ārstēti smagākie saslimšanas gadījumi visās diagnožu un pacientu grupās.</w:t>
            </w:r>
          </w:p>
          <w:p w14:paraId="665EDEA7" w14:textId="0E612030" w:rsidR="00C86654" w:rsidRDefault="00C86654" w:rsidP="00B57461">
            <w:pPr>
              <w:pStyle w:val="ListParagraph"/>
              <w:shd w:val="clear" w:color="auto" w:fill="FFFFFF"/>
              <w:ind w:left="0" w:firstLine="396"/>
              <w:jc w:val="both"/>
              <w:rPr>
                <w:rFonts w:cstheme="minorHAnsi"/>
                <w:color w:val="000000" w:themeColor="text1"/>
                <w:lang w:eastAsia="lv-LV"/>
              </w:rPr>
            </w:pPr>
            <w:r>
              <w:rPr>
                <w:rFonts w:cstheme="minorHAnsi"/>
                <w:color w:val="000000" w:themeColor="text1"/>
              </w:rPr>
              <w:t xml:space="preserve">Pamatojoties uz </w:t>
            </w:r>
            <w:r w:rsidR="00F53320">
              <w:rPr>
                <w:rFonts w:cstheme="minorHAnsi"/>
                <w:color w:val="000000" w:themeColor="text1"/>
                <w:lang w:eastAsia="lv-LV"/>
              </w:rPr>
              <w:t xml:space="preserve">COVID-19 infekcijas izplatības pārvaldības </w:t>
            </w:r>
            <w:r w:rsidR="00F53320" w:rsidRPr="008134DA">
              <w:rPr>
                <w:rFonts w:cstheme="minorHAnsi"/>
                <w:color w:val="000000" w:themeColor="text1"/>
                <w:lang w:eastAsia="lv-LV"/>
              </w:rPr>
              <w:t>likumu,</w:t>
            </w:r>
            <w:r w:rsidR="00F53320" w:rsidRPr="008134DA">
              <w:rPr>
                <w:rFonts w:cstheme="minorHAnsi"/>
                <w:color w:val="000000" w:themeColor="text1"/>
              </w:rPr>
              <w:t xml:space="preserve"> </w:t>
            </w:r>
            <w:r w:rsidR="00B57461" w:rsidRPr="008134DA">
              <w:rPr>
                <w:rFonts w:cstheme="minorHAnsi"/>
                <w:color w:val="000000" w:themeColor="text1"/>
              </w:rPr>
              <w:t xml:space="preserve">spēku zaudējušā </w:t>
            </w:r>
            <w:r w:rsidRPr="008134DA">
              <w:rPr>
                <w:rFonts w:cstheme="minorHAnsi"/>
                <w:color w:val="000000" w:themeColor="text1"/>
                <w:lang w:eastAsia="lv-LV"/>
              </w:rPr>
              <w:t xml:space="preserve">Ministru kabineta 2020. gada 12. marta rīkojumu Nr. 103 </w:t>
            </w:r>
            <w:r w:rsidR="005E1257" w:rsidRPr="008134DA">
              <w:rPr>
                <w:rFonts w:cstheme="minorHAnsi"/>
                <w:color w:val="000000" w:themeColor="text1"/>
                <w:lang w:eastAsia="lv-LV"/>
              </w:rPr>
              <w:t>“</w:t>
            </w:r>
            <w:r w:rsidRPr="008134DA">
              <w:rPr>
                <w:rFonts w:cstheme="minorHAnsi"/>
                <w:color w:val="000000" w:themeColor="text1"/>
                <w:lang w:eastAsia="lv-LV"/>
              </w:rPr>
              <w:t>Par ārkārtējās situācijas izsludināšanu</w:t>
            </w:r>
            <w:r w:rsidR="005E1257" w:rsidRPr="008134DA">
              <w:rPr>
                <w:rFonts w:cstheme="minorHAnsi"/>
                <w:color w:val="000000" w:themeColor="text1"/>
                <w:lang w:eastAsia="lv-LV"/>
              </w:rPr>
              <w:t>”</w:t>
            </w:r>
            <w:r w:rsidR="00F53320" w:rsidRPr="008134DA">
              <w:rPr>
                <w:rFonts w:cstheme="minorHAnsi"/>
                <w:color w:val="000000" w:themeColor="text1"/>
                <w:lang w:eastAsia="lv-LV"/>
              </w:rPr>
              <w:t xml:space="preserve">, </w:t>
            </w:r>
            <w:r w:rsidRPr="008134DA">
              <w:rPr>
                <w:rFonts w:cstheme="minorHAnsi"/>
                <w:color w:val="000000" w:themeColor="text1"/>
                <w:lang w:eastAsia="lv-LV"/>
              </w:rPr>
              <w:t>kā</w:t>
            </w:r>
            <w:r>
              <w:rPr>
                <w:rFonts w:cstheme="minorHAnsi"/>
                <w:color w:val="000000" w:themeColor="text1"/>
                <w:lang w:eastAsia="lv-LV"/>
              </w:rPr>
              <w:t xml:space="preserve"> arī uz epidemioloģisko situāciju 2020.gadā </w:t>
            </w:r>
            <w:r w:rsidR="005E1257">
              <w:rPr>
                <w:rFonts w:cstheme="minorHAnsi"/>
                <w:color w:val="000000" w:themeColor="text1"/>
                <w:lang w:eastAsia="lv-LV"/>
              </w:rPr>
              <w:t xml:space="preserve"> saistībā </w:t>
            </w:r>
            <w:r>
              <w:rPr>
                <w:rFonts w:cstheme="minorHAnsi"/>
                <w:color w:val="000000" w:themeColor="text1"/>
                <w:lang w:eastAsia="lv-LV"/>
              </w:rPr>
              <w:t>ar COVID</w:t>
            </w:r>
            <w:r w:rsidR="00B57461">
              <w:rPr>
                <w:rFonts w:cstheme="minorHAnsi"/>
                <w:color w:val="000000" w:themeColor="text1"/>
                <w:lang w:eastAsia="lv-LV"/>
              </w:rPr>
              <w:t>-</w:t>
            </w:r>
            <w:r>
              <w:rPr>
                <w:rFonts w:cstheme="minorHAnsi"/>
                <w:color w:val="000000" w:themeColor="text1"/>
                <w:lang w:eastAsia="lv-LV"/>
              </w:rPr>
              <w:t>19 izplatību</w:t>
            </w:r>
            <w:r w:rsidR="005E1257">
              <w:rPr>
                <w:rFonts w:cstheme="minorHAnsi"/>
                <w:color w:val="000000" w:themeColor="text1"/>
                <w:lang w:eastAsia="lv-LV"/>
              </w:rPr>
              <w:t xml:space="preserve"> Latvijā un Eiropā</w:t>
            </w:r>
            <w:r>
              <w:rPr>
                <w:rFonts w:cstheme="minorHAnsi"/>
                <w:color w:val="000000" w:themeColor="text1"/>
                <w:lang w:eastAsia="lv-LV"/>
              </w:rPr>
              <w:t>, nepieciešams ātra rīcība aktuālo problēmu novēršanai veselības aprūpē</w:t>
            </w:r>
            <w:r w:rsidR="005E1257">
              <w:rPr>
                <w:rFonts w:cstheme="minorHAnsi"/>
                <w:color w:val="000000" w:themeColor="text1"/>
                <w:lang w:eastAsia="lv-LV"/>
              </w:rPr>
              <w:t>:</w:t>
            </w:r>
            <w:r>
              <w:rPr>
                <w:rFonts w:cstheme="minorHAnsi"/>
                <w:color w:val="000000" w:themeColor="text1"/>
                <w:lang w:eastAsia="lv-LV"/>
              </w:rPr>
              <w:t xml:space="preserve"> </w:t>
            </w:r>
            <w:r w:rsidRPr="00003658">
              <w:rPr>
                <w:rFonts w:cstheme="minorHAnsi"/>
                <w:color w:val="000000" w:themeColor="text1"/>
                <w:lang w:eastAsia="lv-LV"/>
              </w:rPr>
              <w:t>pakalpojumu pieejamīb</w:t>
            </w:r>
            <w:r w:rsidR="005E1257" w:rsidRPr="00003658">
              <w:rPr>
                <w:rFonts w:cstheme="minorHAnsi"/>
                <w:color w:val="000000" w:themeColor="text1"/>
                <w:lang w:eastAsia="lv-LV"/>
              </w:rPr>
              <w:t xml:space="preserve">as nodrošināšana </w:t>
            </w:r>
            <w:r w:rsidRPr="00003658">
              <w:rPr>
                <w:rFonts w:cstheme="minorHAnsi"/>
                <w:color w:val="000000" w:themeColor="text1"/>
                <w:lang w:eastAsia="lv-LV"/>
              </w:rPr>
              <w:t>iedzīvotājiem, COVID</w:t>
            </w:r>
            <w:r w:rsidR="00B57461" w:rsidRPr="00003658">
              <w:rPr>
                <w:rFonts w:cstheme="minorHAnsi"/>
                <w:color w:val="000000" w:themeColor="text1"/>
                <w:lang w:eastAsia="lv-LV"/>
              </w:rPr>
              <w:t>-</w:t>
            </w:r>
            <w:r w:rsidRPr="00003658">
              <w:rPr>
                <w:rFonts w:cstheme="minorHAnsi"/>
                <w:color w:val="000000" w:themeColor="text1"/>
                <w:lang w:eastAsia="lv-LV"/>
              </w:rPr>
              <w:t>19 izplatīb</w:t>
            </w:r>
            <w:r w:rsidR="005E1257" w:rsidRPr="00003658">
              <w:rPr>
                <w:rFonts w:cstheme="minorHAnsi"/>
                <w:color w:val="000000" w:themeColor="text1"/>
                <w:lang w:eastAsia="lv-LV"/>
              </w:rPr>
              <w:t>as novēršana,</w:t>
            </w:r>
            <w:r w:rsidRPr="00003658">
              <w:rPr>
                <w:rFonts w:cstheme="minorHAnsi"/>
                <w:color w:val="000000" w:themeColor="text1"/>
                <w:lang w:eastAsia="lv-LV"/>
              </w:rPr>
              <w:t xml:space="preserve"> atkārtotu slimības uzliesmojum</w:t>
            </w:r>
            <w:r w:rsidR="005E1257" w:rsidRPr="00003658">
              <w:rPr>
                <w:rFonts w:cstheme="minorHAnsi"/>
                <w:color w:val="000000" w:themeColor="text1"/>
                <w:lang w:eastAsia="lv-LV"/>
              </w:rPr>
              <w:t>a</w:t>
            </w:r>
            <w:r w:rsidRPr="00003658">
              <w:rPr>
                <w:rFonts w:cstheme="minorHAnsi"/>
                <w:color w:val="000000" w:themeColor="text1"/>
                <w:lang w:eastAsia="lv-LV"/>
              </w:rPr>
              <w:t xml:space="preserve"> viļņu risk</w:t>
            </w:r>
            <w:r w:rsidR="005E1257" w:rsidRPr="00003658">
              <w:rPr>
                <w:rFonts w:cstheme="minorHAnsi"/>
                <w:color w:val="000000" w:themeColor="text1"/>
                <w:lang w:eastAsia="lv-LV"/>
              </w:rPr>
              <w:t>a novēršana vai mazināšana</w:t>
            </w:r>
            <w:r w:rsidRPr="00003658">
              <w:rPr>
                <w:rFonts w:cstheme="minorHAnsi"/>
                <w:color w:val="000000" w:themeColor="text1"/>
                <w:lang w:eastAsia="lv-LV"/>
              </w:rPr>
              <w:t>.</w:t>
            </w:r>
            <w:r w:rsidR="00003658" w:rsidRPr="00003658">
              <w:rPr>
                <w:rFonts w:cstheme="minorHAnsi"/>
                <w:color w:val="000000" w:themeColor="text1"/>
                <w:lang w:eastAsia="lv-LV"/>
              </w:rPr>
              <w:t xml:space="preserve"> </w:t>
            </w:r>
            <w:r w:rsidR="00003658" w:rsidRPr="00003658">
              <w:t xml:space="preserve">Arī Eiropas Savienības Padomes rekomendācijas Latvijai 2020. gadā noteica stiprināt veselības sistēmas noturību un </w:t>
            </w:r>
            <w:r w:rsidR="00003658" w:rsidRPr="00003658">
              <w:lastRenderedPageBreak/>
              <w:t xml:space="preserve">pieejamību, tostarp nodrošinot papildu cilvēkresursus un finanšu resursus. </w:t>
            </w:r>
            <w:r w:rsidRPr="00003658">
              <w:rPr>
                <w:rFonts w:cstheme="minorHAnsi"/>
                <w:color w:val="000000" w:themeColor="text1"/>
                <w:lang w:eastAsia="lv-LV"/>
              </w:rPr>
              <w:t>Analizējot esošos ES fondu pasākumus un pieejamo finansējumu veselības aprūpes pakalpojumu pieejamībai, līdz</w:t>
            </w:r>
            <w:r>
              <w:rPr>
                <w:rFonts w:cstheme="minorHAnsi"/>
                <w:color w:val="000000" w:themeColor="text1"/>
                <w:lang w:eastAsia="lv-LV"/>
              </w:rPr>
              <w:t xml:space="preserve"> šim nebija pieejams atbalsts ārstniecības personu piesaistei darbam Rīgā, līdz ar to tika pieņemts lēmums izveidot jaunu specifisko atbalsta mērķi šim atbalstam</w:t>
            </w:r>
            <w:r w:rsidR="009C2B22">
              <w:rPr>
                <w:rFonts w:cstheme="minorHAnsi"/>
                <w:color w:val="000000" w:themeColor="text1"/>
                <w:lang w:eastAsia="lv-LV"/>
              </w:rPr>
              <w:t>.</w:t>
            </w:r>
          </w:p>
          <w:p w14:paraId="38507E06" w14:textId="2BB476ED" w:rsidR="00A22D99" w:rsidRDefault="00A22D99" w:rsidP="00A22D99">
            <w:pPr>
              <w:pStyle w:val="NormalWeb"/>
              <w:shd w:val="clear" w:color="auto" w:fill="FFFFFF"/>
              <w:spacing w:before="0" w:beforeAutospacing="0" w:after="0" w:afterAutospacing="0"/>
              <w:ind w:firstLine="396"/>
              <w:jc w:val="both"/>
            </w:pPr>
            <w:proofErr w:type="spellStart"/>
            <w:r>
              <w:t>Būtiskākās</w:t>
            </w:r>
            <w:proofErr w:type="spellEnd"/>
            <w:r>
              <w:t xml:space="preserve"> </w:t>
            </w:r>
            <w:proofErr w:type="spellStart"/>
            <w:r>
              <w:t>problēmas</w:t>
            </w:r>
            <w:proofErr w:type="spellEnd"/>
            <w:r>
              <w:t xml:space="preserve">, kas </w:t>
            </w:r>
            <w:proofErr w:type="spellStart"/>
            <w:r>
              <w:t>saistītas</w:t>
            </w:r>
            <w:proofErr w:type="spellEnd"/>
            <w:r>
              <w:t xml:space="preserve"> </w:t>
            </w:r>
            <w:proofErr w:type="spellStart"/>
            <w:r>
              <w:t>ar</w:t>
            </w:r>
            <w:proofErr w:type="spellEnd"/>
            <w:r>
              <w:t xml:space="preserve"> </w:t>
            </w:r>
            <w:proofErr w:type="spellStart"/>
            <w:r>
              <w:t>ārstniecības</w:t>
            </w:r>
            <w:proofErr w:type="spellEnd"/>
            <w:r>
              <w:t xml:space="preserve"> </w:t>
            </w:r>
            <w:proofErr w:type="spellStart"/>
            <w:r>
              <w:t>personu</w:t>
            </w:r>
            <w:proofErr w:type="spellEnd"/>
            <w:r>
              <w:t xml:space="preserve"> </w:t>
            </w:r>
            <w:proofErr w:type="spellStart"/>
            <w:r w:rsidR="009C2B22">
              <w:t>pieejamību</w:t>
            </w:r>
            <w:proofErr w:type="spellEnd"/>
            <w:r w:rsidR="009C2B22">
              <w:t xml:space="preserve"> </w:t>
            </w:r>
            <w:proofErr w:type="spellStart"/>
            <w:r>
              <w:t>Rīgā</w:t>
            </w:r>
            <w:proofErr w:type="spellEnd"/>
            <w:r>
              <w:t>:</w:t>
            </w:r>
          </w:p>
          <w:p w14:paraId="2DBD1EAB" w14:textId="798BDD76" w:rsidR="0087207D" w:rsidRDefault="00A22D99" w:rsidP="00F32F69">
            <w:pPr>
              <w:pStyle w:val="ListParagraph"/>
              <w:widowControl w:val="0"/>
              <w:numPr>
                <w:ilvl w:val="0"/>
                <w:numId w:val="3"/>
              </w:numPr>
              <w:suppressAutoHyphens/>
              <w:autoSpaceDN w:val="0"/>
              <w:contextualSpacing w:val="0"/>
              <w:jc w:val="both"/>
            </w:pPr>
            <w:r>
              <w:t xml:space="preserve">Medicīnas māsu un māsu palīgu, kā arī ārstu palīgu trūkums. Praktizējošo ārstniecības personu </w:t>
            </w:r>
            <w:r w:rsidR="00B57461">
              <w:t xml:space="preserve">skaits </w:t>
            </w:r>
            <w:r>
              <w:t>ar vidējo medicīnisko izglītību uz 10 000 iedzīvotāj</w:t>
            </w:r>
            <w:r w:rsidR="00B57461">
              <w:t>iem</w:t>
            </w:r>
            <w:r>
              <w:t xml:space="preserve"> pēdējos gados Rīgā samazinās – 2013.gadā šis skaits bija 115,9, savukārt 2017.gadā tikai 109,9. Latvi</w:t>
            </w:r>
            <w:proofErr w:type="spellStart"/>
            <w:r w:rsidRPr="00F10B3D">
              <w:rPr>
                <w:lang w:val="en-GB"/>
              </w:rPr>
              <w:t>jā</w:t>
            </w:r>
            <w:proofErr w:type="spellEnd"/>
            <w:r w:rsidRPr="00F10B3D">
              <w:rPr>
                <w:lang w:val="en-GB"/>
              </w:rPr>
              <w:t xml:space="preserve"> </w:t>
            </w:r>
            <w:proofErr w:type="spellStart"/>
            <w:r w:rsidRPr="00F10B3D">
              <w:rPr>
                <w:lang w:val="en-GB"/>
              </w:rPr>
              <w:t>uz</w:t>
            </w:r>
            <w:proofErr w:type="spellEnd"/>
            <w:r w:rsidRPr="00F10B3D">
              <w:rPr>
                <w:lang w:val="en-GB"/>
              </w:rPr>
              <w:t xml:space="preserve"> 10 000 </w:t>
            </w:r>
            <w:proofErr w:type="spellStart"/>
            <w:r w:rsidRPr="00F10B3D">
              <w:rPr>
                <w:lang w:val="en-GB"/>
              </w:rPr>
              <w:t>iedzīvotājiem</w:t>
            </w:r>
            <w:proofErr w:type="spellEnd"/>
            <w:r w:rsidRPr="00F10B3D">
              <w:rPr>
                <w:lang w:val="en-GB"/>
              </w:rPr>
              <w:t xml:space="preserve"> </w:t>
            </w:r>
            <w:proofErr w:type="spellStart"/>
            <w:r w:rsidRPr="00F10B3D">
              <w:rPr>
                <w:lang w:val="en-GB"/>
              </w:rPr>
              <w:t>ir</w:t>
            </w:r>
            <w:proofErr w:type="spellEnd"/>
            <w:r w:rsidRPr="00F10B3D">
              <w:rPr>
                <w:lang w:val="en-GB"/>
              </w:rPr>
              <w:t xml:space="preserve"> 45,7 </w:t>
            </w:r>
            <w:proofErr w:type="spellStart"/>
            <w:r w:rsidRPr="00F10B3D">
              <w:rPr>
                <w:lang w:val="en-GB"/>
              </w:rPr>
              <w:t>praktizējošas</w:t>
            </w:r>
            <w:proofErr w:type="spellEnd"/>
            <w:r w:rsidRPr="00F10B3D">
              <w:rPr>
                <w:lang w:val="en-GB"/>
              </w:rPr>
              <w:t xml:space="preserve"> </w:t>
            </w:r>
            <w:proofErr w:type="spellStart"/>
            <w:r w:rsidRPr="00F10B3D">
              <w:rPr>
                <w:lang w:val="en-GB"/>
              </w:rPr>
              <w:t>māsas</w:t>
            </w:r>
            <w:proofErr w:type="spellEnd"/>
            <w:r w:rsidRPr="00F10B3D">
              <w:rPr>
                <w:lang w:val="en-GB"/>
              </w:rPr>
              <w:t xml:space="preserve">, kas </w:t>
            </w:r>
            <w:proofErr w:type="spellStart"/>
            <w:r w:rsidRPr="00F10B3D">
              <w:rPr>
                <w:lang w:val="en-GB"/>
              </w:rPr>
              <w:t>ir</w:t>
            </w:r>
            <w:proofErr w:type="spellEnd"/>
            <w:r w:rsidRPr="00F10B3D">
              <w:rPr>
                <w:lang w:val="en-GB"/>
              </w:rPr>
              <w:t xml:space="preserve"> 3.zemākais </w:t>
            </w:r>
            <w:proofErr w:type="spellStart"/>
            <w:r w:rsidRPr="00F10B3D">
              <w:rPr>
                <w:lang w:val="en-GB"/>
              </w:rPr>
              <w:t>rādītājs</w:t>
            </w:r>
            <w:proofErr w:type="spellEnd"/>
            <w:r w:rsidRPr="00F10B3D">
              <w:rPr>
                <w:lang w:val="en-GB"/>
              </w:rPr>
              <w:t xml:space="preserve"> ES</w:t>
            </w:r>
            <w:r w:rsidRPr="00F10B3D">
              <w:rPr>
                <w:vertAlign w:val="superscript"/>
                <w:lang w:val="en-GB"/>
              </w:rPr>
              <w:footnoteReference w:id="1"/>
            </w:r>
            <w:r w:rsidRPr="00F10B3D">
              <w:rPr>
                <w:vertAlign w:val="superscript"/>
                <w:lang w:val="en-GB"/>
              </w:rPr>
              <w:t>.</w:t>
            </w:r>
            <w:r w:rsidR="00F10B3D" w:rsidRPr="00F10B3D">
              <w:rPr>
                <w:lang w:val="en-GB"/>
              </w:rPr>
              <w:t xml:space="preserve"> </w:t>
            </w:r>
            <w:proofErr w:type="spellStart"/>
            <w:r w:rsidR="00F10B3D" w:rsidRPr="00F10B3D">
              <w:rPr>
                <w:lang w:val="en-GB"/>
              </w:rPr>
              <w:t>Pēdējo</w:t>
            </w:r>
            <w:proofErr w:type="spellEnd"/>
            <w:r w:rsidR="00F10B3D" w:rsidRPr="00F10B3D">
              <w:rPr>
                <w:lang w:val="en-GB"/>
              </w:rPr>
              <w:t xml:space="preserve"> 10 </w:t>
            </w:r>
            <w:proofErr w:type="spellStart"/>
            <w:r w:rsidR="00F10B3D" w:rsidRPr="00F10B3D">
              <w:rPr>
                <w:lang w:val="en-GB"/>
              </w:rPr>
              <w:t>gadu</w:t>
            </w:r>
            <w:proofErr w:type="spellEnd"/>
            <w:r w:rsidR="00F10B3D" w:rsidRPr="00F10B3D">
              <w:rPr>
                <w:lang w:val="en-GB"/>
              </w:rPr>
              <w:t xml:space="preserve"> </w:t>
            </w:r>
            <w:proofErr w:type="spellStart"/>
            <w:r w:rsidR="00F10B3D" w:rsidRPr="00F10B3D">
              <w:rPr>
                <w:lang w:val="en-GB"/>
              </w:rPr>
              <w:t>laikā</w:t>
            </w:r>
            <w:proofErr w:type="spellEnd"/>
            <w:r w:rsidR="00F10B3D" w:rsidRPr="00F10B3D">
              <w:rPr>
                <w:lang w:val="en-GB"/>
              </w:rPr>
              <w:t xml:space="preserve"> </w:t>
            </w:r>
            <w:proofErr w:type="spellStart"/>
            <w:r w:rsidR="00F10B3D" w:rsidRPr="00F10B3D">
              <w:rPr>
                <w:lang w:val="en-GB"/>
              </w:rPr>
              <w:t>reģistrētu</w:t>
            </w:r>
            <w:proofErr w:type="spellEnd"/>
            <w:r w:rsidR="00F10B3D" w:rsidRPr="00F10B3D">
              <w:rPr>
                <w:lang w:val="en-GB"/>
              </w:rPr>
              <w:t xml:space="preserve"> </w:t>
            </w:r>
            <w:proofErr w:type="spellStart"/>
            <w:r w:rsidR="00F10B3D" w:rsidRPr="00F10B3D">
              <w:rPr>
                <w:lang w:val="en-GB"/>
              </w:rPr>
              <w:t>strādājošu</w:t>
            </w:r>
            <w:proofErr w:type="spellEnd"/>
            <w:r w:rsidR="00F10B3D" w:rsidRPr="00F10B3D">
              <w:rPr>
                <w:lang w:val="en-GB"/>
              </w:rPr>
              <w:t xml:space="preserve"> </w:t>
            </w:r>
            <w:proofErr w:type="spellStart"/>
            <w:r w:rsidR="00F10B3D" w:rsidRPr="00F10B3D">
              <w:rPr>
                <w:lang w:val="en-GB"/>
              </w:rPr>
              <w:t>māsu</w:t>
            </w:r>
            <w:proofErr w:type="spellEnd"/>
            <w:r w:rsidR="00F10B3D" w:rsidRPr="00F10B3D">
              <w:rPr>
                <w:lang w:val="en-GB"/>
              </w:rPr>
              <w:t xml:space="preserve"> </w:t>
            </w:r>
            <w:proofErr w:type="spellStart"/>
            <w:r w:rsidR="00F10B3D" w:rsidRPr="00F10B3D">
              <w:rPr>
                <w:lang w:val="en-GB"/>
              </w:rPr>
              <w:t>skaits</w:t>
            </w:r>
            <w:proofErr w:type="spellEnd"/>
            <w:r w:rsidR="00F10B3D" w:rsidRPr="00F10B3D">
              <w:rPr>
                <w:lang w:val="en-GB"/>
              </w:rPr>
              <w:t xml:space="preserve"> </w:t>
            </w:r>
            <w:proofErr w:type="spellStart"/>
            <w:r w:rsidR="00F10B3D" w:rsidRPr="00F10B3D">
              <w:rPr>
                <w:lang w:val="en-GB"/>
              </w:rPr>
              <w:t>sarucis</w:t>
            </w:r>
            <w:proofErr w:type="spellEnd"/>
            <w:r w:rsidR="00F10B3D" w:rsidRPr="00F10B3D">
              <w:rPr>
                <w:lang w:val="en-GB"/>
              </w:rPr>
              <w:t xml:space="preserve"> </w:t>
            </w:r>
            <w:proofErr w:type="spellStart"/>
            <w:r w:rsidR="00F10B3D" w:rsidRPr="00F10B3D">
              <w:rPr>
                <w:lang w:val="en-GB"/>
              </w:rPr>
              <w:t>aptuveni</w:t>
            </w:r>
            <w:proofErr w:type="spellEnd"/>
            <w:r w:rsidR="00F10B3D" w:rsidRPr="00F10B3D">
              <w:rPr>
                <w:lang w:val="en-GB"/>
              </w:rPr>
              <w:t xml:space="preserve"> par 21%, </w:t>
            </w:r>
            <w:proofErr w:type="spellStart"/>
            <w:r w:rsidR="00F10B3D" w:rsidRPr="00F10B3D">
              <w:rPr>
                <w:lang w:val="en-GB"/>
              </w:rPr>
              <w:t>t.i.</w:t>
            </w:r>
            <w:proofErr w:type="spellEnd"/>
            <w:r w:rsidR="00F10B3D" w:rsidRPr="00F10B3D">
              <w:rPr>
                <w:lang w:val="en-GB"/>
              </w:rPr>
              <w:t xml:space="preserve">, par 2319 </w:t>
            </w:r>
            <w:proofErr w:type="spellStart"/>
            <w:r w:rsidR="00F10B3D" w:rsidRPr="00F10B3D">
              <w:rPr>
                <w:lang w:val="en-GB"/>
              </w:rPr>
              <w:t>māsām</w:t>
            </w:r>
            <w:proofErr w:type="spellEnd"/>
            <w:r w:rsidR="00F10B3D">
              <w:rPr>
                <w:vertAlign w:val="superscript"/>
              </w:rPr>
              <w:footnoteReference w:id="2"/>
            </w:r>
            <w:r w:rsidR="00F10B3D">
              <w:t xml:space="preserve">, kas liecina, ka pieaug to māsu skaits, kas ieguvušas atbilstošu kvalifikāciju, bet nestrādā veselības aprūpes sistēmā. </w:t>
            </w:r>
            <w:r w:rsidR="00F32F69" w:rsidRPr="00F32F69">
              <w:t>Praktizējošo māsu vecumā līdz 35 gadiem proporcija kopš 2013.gada ļoti minimāli, bet pakāpeniski pieaug, tomēr māsām proporcionāli lielākā ir vecuma grupa 45-46 gadi, līdz ar to, lai nodrošinātu paaudžu nomaiņu un medicīnas māsu pieejamību veselības aprūpes pakalpojumu sniegšanā, nepieciešams piesaistīt papildu medicīnas māsas un māsu palīgus darbam</w:t>
            </w:r>
            <w:r w:rsidR="0016465D">
              <w:t xml:space="preserve"> </w:t>
            </w:r>
            <w:r w:rsidR="00F32F69" w:rsidRPr="00F32F69">
              <w:t>ārstniecības iestādēs Rīgā.</w:t>
            </w:r>
            <w:r w:rsidR="00F32F69">
              <w:t xml:space="preserve"> </w:t>
            </w:r>
            <w:r w:rsidR="007A18F5" w:rsidRPr="007A18F5">
              <w:t>Nepietiekamais māsu skaits veselības aprūpes sistēmā ievērojami apdraud veselības aprūpes kvalitāti kopumā, jo māsām, kas veido lielāko veselības aprūpes speciālistu grupu visās valstīs, ir centrālā loma drošu, kvalitatīvu, efektīvu veselības aprūpes pakalpojumu sniegšanā</w:t>
            </w:r>
            <w:r w:rsidR="007A18F5" w:rsidRPr="007A18F5">
              <w:rPr>
                <w:vertAlign w:val="superscript"/>
              </w:rPr>
              <w:footnoteReference w:id="3"/>
            </w:r>
            <w:r w:rsidR="007A18F5" w:rsidRPr="00C951FA">
              <w:t xml:space="preserve"> (šobrīd slimnīcās māsu deficīts ir ap 1500 māsu, bet optimāla skaita nodrošināšanai valstī kopā trūkst 3050 māsu</w:t>
            </w:r>
            <w:r w:rsidR="007A18F5" w:rsidRPr="007A18F5">
              <w:rPr>
                <w:vertAlign w:val="superscript"/>
              </w:rPr>
              <w:footnoteReference w:id="4"/>
            </w:r>
            <w:r w:rsidR="007A18F5" w:rsidRPr="00C951FA">
              <w:t xml:space="preserve">). </w:t>
            </w:r>
            <w:r>
              <w:t>Viena no problēmām tieši veselības aprūpē Rīgā ir tā, ka māsas strādā vairākās darba vietās, līdz ar to bieži vien darba slodze ir pārāk liela un rada izdegšanas riskus</w:t>
            </w:r>
            <w:r w:rsidR="00B57461">
              <w:t xml:space="preserve">. </w:t>
            </w:r>
            <w:r>
              <w:t>COVID</w:t>
            </w:r>
            <w:r w:rsidR="00B57461">
              <w:t>-</w:t>
            </w:r>
            <w:r>
              <w:t>19 krīzes apstākļos tieši māsu</w:t>
            </w:r>
            <w:r w:rsidR="00F53320">
              <w:t xml:space="preserve"> trūkums</w:t>
            </w:r>
            <w:r>
              <w:t xml:space="preserve"> negatīvi ietekmēja veselības aprūpes pakalpojumu pieejamību Rīgā</w:t>
            </w:r>
            <w:r w:rsidR="00F53320">
              <w:t xml:space="preserve"> un rada lielus draudus veselības aprūpes pakalpojumu pieejamībai nākotnē atkārtota slimības uzliesmojuma laikā vai citās veselības krīzes situācijās</w:t>
            </w:r>
            <w:r>
              <w:t xml:space="preserve">. </w:t>
            </w:r>
            <w:r w:rsidR="00FF13E4">
              <w:t xml:space="preserve">Liels cilvēkresursu trūkums ir arī </w:t>
            </w:r>
            <w:r>
              <w:t>Neatliekamās medicīniskās palīdzības dienest</w:t>
            </w:r>
            <w:r w:rsidR="00FF13E4">
              <w:t>a</w:t>
            </w:r>
            <w:r w:rsidR="00D30A53">
              <w:t xml:space="preserve"> (turpmāk </w:t>
            </w:r>
            <w:r w:rsidR="00D30A53" w:rsidRPr="00C86654">
              <w:t>–</w:t>
            </w:r>
            <w:r w:rsidR="00D30A53">
              <w:t xml:space="preserve"> NMPD)</w:t>
            </w:r>
            <w:r w:rsidR="00FF13E4">
              <w:t xml:space="preserve"> Rīga brigāžu atbalsta centros. </w:t>
            </w:r>
            <w:r w:rsidR="00036D9A">
              <w:t>2020.ga</w:t>
            </w:r>
            <w:r w:rsidR="00D30A53">
              <w:t xml:space="preserve">da augustā NMPD brigāžu </w:t>
            </w:r>
            <w:r w:rsidR="00D04DB1">
              <w:t>a</w:t>
            </w:r>
            <w:r w:rsidR="00D30A53">
              <w:t>tbalst</w:t>
            </w:r>
            <w:r w:rsidR="00D04DB1">
              <w:t>a</w:t>
            </w:r>
            <w:r w:rsidR="00D30A53">
              <w:t xml:space="preserve"> centros Rīgā ir v</w:t>
            </w:r>
            <w:r w:rsidR="00D04DB1">
              <w:t>a</w:t>
            </w:r>
            <w:r w:rsidR="00D30A53">
              <w:t xml:space="preserve">irāk kā simts ārsta palīgu vakances, līdz ar ko </w:t>
            </w:r>
            <w:r w:rsidR="00D30A53">
              <w:lastRenderedPageBreak/>
              <w:t>NMPD cilvēkresursu nodrošinājums ārsta palīga profesijā ir kritisks.</w:t>
            </w:r>
          </w:p>
          <w:p w14:paraId="1525C734" w14:textId="4307C0BD" w:rsidR="00A22D99" w:rsidRPr="00D678A0" w:rsidRDefault="0087207D" w:rsidP="0087207D">
            <w:pPr>
              <w:pStyle w:val="NormalWeb"/>
              <w:shd w:val="clear" w:color="auto" w:fill="FFFFFF"/>
              <w:spacing w:before="0" w:beforeAutospacing="0" w:after="0" w:afterAutospacing="0"/>
              <w:ind w:left="720"/>
              <w:jc w:val="both"/>
              <w:rPr>
                <w:lang w:val="lv-LV"/>
              </w:rPr>
            </w:pPr>
            <w:r w:rsidRPr="00D678A0">
              <w:rPr>
                <w:lang w:val="lv-LV"/>
              </w:rPr>
              <w:t>S</w:t>
            </w:r>
            <w:r w:rsidR="00A22D99" w:rsidRPr="00D678A0">
              <w:rPr>
                <w:lang w:val="lv-LV"/>
              </w:rPr>
              <w:t>abiedrības veselības krī</w:t>
            </w:r>
            <w:r w:rsidRPr="00D678A0">
              <w:rPr>
                <w:lang w:val="lv-LV"/>
              </w:rPr>
              <w:t>žu</w:t>
            </w:r>
            <w:r w:rsidR="00A22D99" w:rsidRPr="00D678A0">
              <w:rPr>
                <w:lang w:val="lv-LV"/>
              </w:rPr>
              <w:t xml:space="preserve"> apstākļos tieši š</w:t>
            </w:r>
            <w:r w:rsidRPr="00D678A0">
              <w:rPr>
                <w:lang w:val="lv-LV"/>
              </w:rPr>
              <w:t>o</w:t>
            </w:r>
            <w:r w:rsidR="00A22D99" w:rsidRPr="00D678A0">
              <w:rPr>
                <w:lang w:val="lv-LV"/>
              </w:rPr>
              <w:t xml:space="preserve"> </w:t>
            </w:r>
            <w:r w:rsidRPr="00D678A0">
              <w:rPr>
                <w:lang w:val="lv-LV"/>
              </w:rPr>
              <w:t xml:space="preserve">ārstniecības personu </w:t>
            </w:r>
            <w:r w:rsidR="00A22D99" w:rsidRPr="00D678A0">
              <w:rPr>
                <w:lang w:val="lv-LV"/>
              </w:rPr>
              <w:t xml:space="preserve"> iesaiste veselības aprūpes pakalpojumu nodrošināšanā ir būtiska gan slimnīcās, gan Neatliekamās medicīniskās palīdzības dienesta darbā.</w:t>
            </w:r>
          </w:p>
          <w:p w14:paraId="60C1C428" w14:textId="17D8A4C7" w:rsidR="00A22D99" w:rsidRDefault="00A22D99" w:rsidP="00EB1B90">
            <w:pPr>
              <w:pStyle w:val="ListParagraph"/>
              <w:numPr>
                <w:ilvl w:val="0"/>
                <w:numId w:val="3"/>
              </w:numPr>
              <w:jc w:val="both"/>
            </w:pPr>
            <w:r w:rsidRPr="00A22D99">
              <w:rPr>
                <w:bCs/>
              </w:rPr>
              <w:t xml:space="preserve">Ģimenes ārstu novecošanās (līdz 2020.gada beigām Rīgā strādās 130 ģimenes ārsti, kas jau sasnieguši pensijas vecumu) – minētais aspekts būtiski ietekmē ģimenes </w:t>
            </w:r>
            <w:r w:rsidR="0087207D">
              <w:rPr>
                <w:bCs/>
              </w:rPr>
              <w:t>ārstu</w:t>
            </w:r>
            <w:r w:rsidRPr="00A22D99">
              <w:rPr>
                <w:bCs/>
              </w:rPr>
              <w:t xml:space="preserve"> pieejamību Rīgā COVID-19 izplatības apstākļos, jo ģimenes ārstam kā primārās veselības aprūpes pakalpojumu sniedzējam ir būtiska loma COVID-19 un citu slimību ierobežošanā. </w:t>
            </w:r>
            <w:r>
              <w:t>Ģimenes ārstu paaudžu nomaiņa ir preventīvs pasākums veselības krīzes situācijas novēršanai – ja pirms vai krīzes laikā ģimenes ārsti pensijas vecumā pārtrauks darbu, operatīvi nenododot pacientus nākamai ārstu paaudzei, tas var ierobežot primārās veselības aprūpes pakalpojumu pieejamību.</w:t>
            </w:r>
            <w:r w:rsidR="0087207D">
              <w:t xml:space="preserve"> Tāpat jāņem vērā, ka personas, kas vecākas par 65 gadiem, ir viena</w:t>
            </w:r>
            <w:r w:rsidR="004D74A6">
              <w:t xml:space="preserve"> no</w:t>
            </w:r>
            <w:r w:rsidR="0087207D">
              <w:t xml:space="preserve"> COVID-19 riska grupām, līdz ar ko pensijas vecumu sasniegušie ģimenes ārsti</w:t>
            </w:r>
            <w:r w:rsidR="004D74A6">
              <w:t xml:space="preserve"> ir pakļauti smagākas saslimšanas norises riskam ar iespējamību attīstīties komplikācijām, kas</w:t>
            </w:r>
            <w:r w:rsidR="00DC77DE">
              <w:t xml:space="preserve"> </w:t>
            </w:r>
            <w:r w:rsidR="004D74A6">
              <w:t>ietekmē pacientu pieejamību primārās veselības aprūpes pakalpojumiem COVID-19 infekcijas uzliesmojumu laikā.</w:t>
            </w:r>
          </w:p>
          <w:p w14:paraId="29DDA092" w14:textId="39BAF971" w:rsidR="0062664C" w:rsidRDefault="0062664C" w:rsidP="0062664C">
            <w:pPr>
              <w:pStyle w:val="ListParagraph"/>
              <w:ind w:left="0" w:firstLine="396"/>
              <w:jc w:val="both"/>
            </w:pPr>
            <w:r>
              <w:t>Papildu motivācijas pasākumu neesamības gadījumā</w:t>
            </w:r>
            <w:r w:rsidR="00094968">
              <w:t>,</w:t>
            </w:r>
            <w:r>
              <w:t xml:space="preserve"> </w:t>
            </w:r>
            <w:r w:rsidR="00094968">
              <w:t xml:space="preserve">ņemot vērā ārstniecības personu trūkumu, </w:t>
            </w:r>
            <w:r>
              <w:t>varētu iestāties situācija, k</w:t>
            </w:r>
            <w:r w:rsidR="00094968">
              <w:t xml:space="preserve">urā </w:t>
            </w:r>
            <w:r>
              <w:t>būtu nepieciešams samazināt pieejamo veselības aprūpes pakalpojumu klāstu Rīgā</w:t>
            </w:r>
            <w:r w:rsidR="00094968">
              <w:t xml:space="preserve">. </w:t>
            </w:r>
            <w:r>
              <w:t>Atsakoties no pasākumiem ārstniecības personu piesaistei Rīgā, esošajiem speciālistiem būtu jānodrošina esošo speciālistu skaitam neadekvāti liels darba apjoms, apdraudot sniegto pakalpojumu kvalitāti</w:t>
            </w:r>
            <w:r w:rsidR="00094968">
              <w:t>, pacientu drošību</w:t>
            </w:r>
            <w:r>
              <w:t xml:space="preserve"> un </w:t>
            </w:r>
            <w:r w:rsidR="00094968">
              <w:t xml:space="preserve">veselības aprūpes pakalpojumu </w:t>
            </w:r>
            <w:r>
              <w:t xml:space="preserve">pieejamību. </w:t>
            </w:r>
          </w:p>
          <w:p w14:paraId="0A3CF6AD" w14:textId="77777777" w:rsidR="00E73470" w:rsidRDefault="00E73470" w:rsidP="00E73470">
            <w:pPr>
              <w:jc w:val="both"/>
            </w:pPr>
          </w:p>
          <w:p w14:paraId="6BA2487F" w14:textId="432B8C37" w:rsidR="00B023D5" w:rsidRPr="004A6791" w:rsidRDefault="00B023D5" w:rsidP="007212FD">
            <w:pPr>
              <w:pStyle w:val="naiskr"/>
              <w:spacing w:before="120" w:beforeAutospacing="0" w:after="40" w:afterAutospacing="0"/>
              <w:ind w:left="57" w:right="57" w:firstLine="284"/>
              <w:jc w:val="both"/>
              <w:rPr>
                <w:b/>
                <w:bCs/>
                <w:u w:val="single"/>
              </w:rPr>
            </w:pPr>
            <w:r w:rsidRPr="004A6791">
              <w:rPr>
                <w:b/>
                <w:bCs/>
                <w:u w:val="single"/>
              </w:rPr>
              <w:t>Specifiskā atbalsta plānotā ietekm</w:t>
            </w:r>
            <w:r w:rsidR="00907B91">
              <w:rPr>
                <w:b/>
                <w:bCs/>
                <w:u w:val="single"/>
              </w:rPr>
              <w:t>e</w:t>
            </w:r>
            <w:r w:rsidRPr="004A6791">
              <w:rPr>
                <w:b/>
                <w:bCs/>
                <w:u w:val="single"/>
              </w:rPr>
              <w:t>:</w:t>
            </w:r>
          </w:p>
          <w:p w14:paraId="73F6CAED" w14:textId="1B299D5F" w:rsidR="00F1655A" w:rsidRDefault="00305C17" w:rsidP="00D46E0B">
            <w:pPr>
              <w:pStyle w:val="naiskr"/>
              <w:spacing w:before="40" w:beforeAutospacing="0" w:after="40" w:afterAutospacing="0"/>
              <w:ind w:left="57" w:right="57" w:firstLine="284"/>
              <w:jc w:val="both"/>
            </w:pPr>
            <w:r>
              <w:t xml:space="preserve">Medicīnas māsu, māsu palīgu un ārstu palīgu trūkums atkārtota COVID-19 uzliesmojuma laikā un citu </w:t>
            </w:r>
            <w:r w:rsidR="006E4D2C">
              <w:t>sabiedrības</w:t>
            </w:r>
            <w:r>
              <w:t xml:space="preserve"> veselības krīžu laikā ir nopietns drauds sabiedrības veselībai</w:t>
            </w:r>
            <w:r w:rsidR="00926F87">
              <w:t xml:space="preserve">.  </w:t>
            </w:r>
            <w:r>
              <w:t xml:space="preserve"> </w:t>
            </w:r>
            <w:r w:rsidR="00343908" w:rsidRPr="004A6791">
              <w:t>Ņemot vērā Pasaules Bankas veikto analīzi</w:t>
            </w:r>
            <w:r w:rsidR="001529BA">
              <w:rPr>
                <w:rStyle w:val="FootnoteReference"/>
              </w:rPr>
              <w:footnoteReference w:id="5"/>
            </w:r>
            <w:r w:rsidR="00343908" w:rsidRPr="004A6791">
              <w:t xml:space="preserve">, kā arī Veselības ministrijas rīcībā esošo </w:t>
            </w:r>
            <w:r w:rsidR="00343908" w:rsidRPr="004A6791">
              <w:rPr>
                <w:rFonts w:eastAsiaTheme="minorHAnsi"/>
              </w:rPr>
              <w:t>informāciju</w:t>
            </w:r>
            <w:r w:rsidR="00343908" w:rsidRPr="004A6791">
              <w:t xml:space="preserve"> par to, ka šobrīd veselības jomā trūkst lielāks skaits māsu</w:t>
            </w:r>
            <w:r w:rsidR="00CA22B7">
              <w:t xml:space="preserve"> un ārstu palīgu</w:t>
            </w:r>
            <w:r w:rsidR="00343908" w:rsidRPr="004A6791">
              <w:t xml:space="preserve">, savukārt, trūkstošo ārstu skaits ir salīdzinoši mazāks, tad atbalstu plānots virzīt </w:t>
            </w:r>
            <w:r w:rsidR="00CA22B7">
              <w:t>tieši māsu, māsu palīgu un ārstu palīgu piesaistei darbam Rīgā</w:t>
            </w:r>
            <w:r w:rsidR="006E4D2C">
              <w:t>. Plānots, ka projekta ietvaros tiks piesaistītas un atbalstu saņems</w:t>
            </w:r>
            <w:r w:rsidR="006E4D2C" w:rsidRPr="006E4D2C">
              <w:t xml:space="preserve"> 270 ārstniecības personas, kas nodrošina pacientu ārstēšanu sabiedrības veselības krīžu situāciju </w:t>
            </w:r>
            <w:r w:rsidR="006E4D2C" w:rsidRPr="006E4D2C">
              <w:lastRenderedPageBreak/>
              <w:t>novēršanai</w:t>
            </w:r>
            <w:r w:rsidR="006E4D2C">
              <w:t xml:space="preserve"> darbam stacionārās ārstniecības iestādēs Rīgā, NMPD brigāžu atbalsta centros Rīgā un primārās veselības aprūpes pakalpojumu sniegšanai ģimenes ārsta praksēs.</w:t>
            </w:r>
            <w:r w:rsidR="00003658">
              <w:t xml:space="preserve"> Iznākuma rādītāja </w:t>
            </w:r>
            <w:r w:rsidR="006E4D2C">
              <w:t xml:space="preserve"> </w:t>
            </w:r>
            <w:r w:rsidR="00003658">
              <w:t xml:space="preserve">uzskaite tiks nodrošināta uzskaitot atbalstu saņēmušās ārstniecības personas. </w:t>
            </w:r>
            <w:r w:rsidR="006E4D2C">
              <w:t xml:space="preserve">Stacionāros </w:t>
            </w:r>
            <w:r w:rsidR="006E4D2C" w:rsidRPr="006E4D2C">
              <w:t>pacientu ārstēšan</w:t>
            </w:r>
            <w:r w:rsidR="006E4D2C">
              <w:t>ai</w:t>
            </w:r>
            <w:r w:rsidR="006E4D2C" w:rsidRPr="006E4D2C">
              <w:t xml:space="preserve"> sabiedrības veselības krīžu situāciju novēršanai</w:t>
            </w:r>
            <w:r w:rsidR="006E4D2C">
              <w:t xml:space="preserve"> tiks piesaistītas medicīnas māsas un māsu palīgi, NMPD brigāžu atbalsta </w:t>
            </w:r>
            <w:r w:rsidR="006E4D2C" w:rsidRPr="006E4D2C">
              <w:t xml:space="preserve">Rīgā neatliekamās medicīniskās palīdzības sniegšanai </w:t>
            </w:r>
            <w:proofErr w:type="spellStart"/>
            <w:r w:rsidR="006E4D2C" w:rsidRPr="006E4D2C">
              <w:t>pirmsslimnīcas</w:t>
            </w:r>
            <w:proofErr w:type="spellEnd"/>
            <w:r w:rsidR="006E4D2C" w:rsidRPr="006E4D2C">
              <w:t xml:space="preserve"> posmā – ārsta palīgi, savukārt primārās veselības aprūpei ģimenes ārstu praksēs Rīgā tiks veicināta ģimenes ārstu paaudžu nomaiņa</w:t>
            </w:r>
            <w:r w:rsidR="006E4D2C">
              <w:t>, lai sabiedrības veselības krīžu situācijās veicinātu primārās veselības aprūpes pakalpojumu pieejamību.</w:t>
            </w:r>
            <w:r w:rsidR="00C951FA">
              <w:t xml:space="preserve"> Lai  sabiedrības veselības krīžu situācijās pacientiem nodrošinātu veselības aprūpes pakalpojumu pieejamību, ārstniecības iestādes, kas nodrošina pacientu ārstēšanu sabiedrības veselības krīžu novēršanai jābūt optimālam cilvēkresursu nodrošinājumam. Esošo situāciju ir iespējams uzlabot mērķtiecīgi piesaistot ārstniecības personas valsts apmaksāto veselības aprūpes pakalpojumu sniegšanai</w:t>
            </w:r>
            <w:r w:rsidR="009710A0">
              <w:t xml:space="preserve"> stacionārās ārstniecības iestādēs Rīgā un NMPD brigāžu atbalsta centros Rīgā, ņemot ka stacionārajās ārstniecības iestādēs Rīgā stacionāra pakalpojumi tiek nodrošināti lie</w:t>
            </w:r>
            <w:r w:rsidR="001534BF">
              <w:t>l</w:t>
            </w:r>
            <w:r w:rsidR="009710A0">
              <w:t xml:space="preserve">ākajam pacientu skaitam, t.sk. specializētie veselības aprūpes pakalpojumi traumatoloģijas profilā, </w:t>
            </w:r>
            <w:proofErr w:type="spellStart"/>
            <w:r w:rsidR="009710A0">
              <w:t>psihoneiroloģijā</w:t>
            </w:r>
            <w:proofErr w:type="spellEnd"/>
            <w:r w:rsidR="009710A0">
              <w:t xml:space="preserve"> un arī grūtniecības un dzemdību aprūpes profilā. </w:t>
            </w:r>
          </w:p>
          <w:p w14:paraId="3A37E0B2" w14:textId="669741C0" w:rsidR="000C6F38" w:rsidRDefault="000C6F38" w:rsidP="004F0A1E">
            <w:pPr>
              <w:pStyle w:val="naiskr"/>
              <w:spacing w:before="40" w:beforeAutospacing="0" w:after="40" w:afterAutospacing="0"/>
              <w:ind w:left="57" w:right="57" w:firstLine="284"/>
              <w:jc w:val="both"/>
            </w:pPr>
            <w:r>
              <w:t>A</w:t>
            </w:r>
            <w:r w:rsidRPr="00821B22">
              <w:t>tbalsta pasākumi ģimenes ārstu</w:t>
            </w:r>
            <w:r w:rsidR="00DF2453">
              <w:t xml:space="preserve">, kas sniedz valsts apmaksātus veselības aprūpes pakalpojumus, </w:t>
            </w:r>
            <w:r w:rsidRPr="00821B22">
              <w:t xml:space="preserve"> paaudžu nomaiņai</w:t>
            </w:r>
            <w:r w:rsidRPr="00AF0B7C">
              <w:t xml:space="preserve"> </w:t>
            </w:r>
            <w:r w:rsidR="004C7A3F">
              <w:t>veicinās jauno speciālistu iesaisti primārās veselības aprūpes pakalpojumu sniegšanā, veicinās mērķtiecīgu un pēctecīgu ģimenes ārsta prakšu un to pamatdarbības teritorijā reģistrētu pacientu primārās veselības aprūpes nodošanu jaunu speciālistu rokās, kas uzlabos kvalitatīvu</w:t>
            </w:r>
            <w:r w:rsidR="00821B22">
              <w:t xml:space="preserve"> un</w:t>
            </w:r>
            <w:r w:rsidR="004C7A3F">
              <w:t xml:space="preserve"> inovatīvu primārās veselības aprūpes pakalpojumu pieejamību</w:t>
            </w:r>
            <w:r w:rsidR="00821B22">
              <w:t>, t.sk. sabiedrības veselības krīžu situācijās.</w:t>
            </w:r>
          </w:p>
          <w:p w14:paraId="1A078443" w14:textId="2111BCF5" w:rsidR="00D87F2D" w:rsidRPr="004A6791" w:rsidRDefault="00D87F2D" w:rsidP="00D87F2D">
            <w:pPr>
              <w:pStyle w:val="naiskr"/>
              <w:spacing w:before="40" w:beforeAutospacing="0" w:after="40" w:afterAutospacing="0"/>
              <w:ind w:left="57" w:right="57" w:firstLine="284"/>
              <w:jc w:val="both"/>
            </w:pPr>
            <w:r w:rsidRPr="004A6791">
              <w:t xml:space="preserve">Specifiskā atbalsta ietvaros </w:t>
            </w:r>
            <w:r>
              <w:t xml:space="preserve">tiks uzlabota stacionāro veselības aprūpes pakalpojumu pieejamība un pieejamība </w:t>
            </w:r>
            <w:r w:rsidRPr="006E4D2C">
              <w:t xml:space="preserve">neatliekamās medicīniskās palīdzības sniegšanai </w:t>
            </w:r>
            <w:proofErr w:type="spellStart"/>
            <w:r w:rsidRPr="006E4D2C">
              <w:t>pirmsslimnīcas</w:t>
            </w:r>
            <w:proofErr w:type="spellEnd"/>
            <w:r w:rsidRPr="006E4D2C">
              <w:t xml:space="preserve"> posmā</w:t>
            </w:r>
            <w:r>
              <w:t>. Tāpat tiks uzlabota pieejamība arī primārās veselības aprūpes pakalpojum</w:t>
            </w:r>
            <w:r w:rsidR="00102127">
              <w:t xml:space="preserve">iem </w:t>
            </w:r>
            <w:r>
              <w:t>un sekundāro ambulatoro veselības aprūpes pakalpojumu pieejamība.</w:t>
            </w:r>
          </w:p>
          <w:p w14:paraId="6F5312AB" w14:textId="64954DEC" w:rsidR="00F1655A" w:rsidRDefault="00102127" w:rsidP="0064199A">
            <w:pPr>
              <w:pStyle w:val="naiskr"/>
              <w:spacing w:before="40" w:beforeAutospacing="0" w:after="40" w:afterAutospacing="0"/>
              <w:ind w:left="57" w:right="57" w:firstLine="284"/>
              <w:jc w:val="both"/>
            </w:pPr>
            <w:r>
              <w:t>S</w:t>
            </w:r>
            <w:r w:rsidRPr="004A6791">
              <w:t>peciālistu piesaistē netik</w:t>
            </w:r>
            <w:r>
              <w:t>s</w:t>
            </w:r>
            <w:r w:rsidRPr="004A6791">
              <w:t xml:space="preserve"> izmantoti diskriminējoši nosacījumi atkarībā no</w:t>
            </w:r>
            <w:r>
              <w:t xml:space="preserve"> ārstniecības personu</w:t>
            </w:r>
            <w:r w:rsidRPr="004A6791">
              <w:t xml:space="preserve"> dzimuma</w:t>
            </w:r>
            <w:r w:rsidR="0064199A">
              <w:t>.</w:t>
            </w:r>
          </w:p>
          <w:p w14:paraId="1844C2EC" w14:textId="550046BB" w:rsidR="0062664C" w:rsidRDefault="00D3378E" w:rsidP="00094968">
            <w:pPr>
              <w:pStyle w:val="naiskr"/>
              <w:spacing w:before="40" w:beforeAutospacing="0" w:after="40" w:afterAutospacing="0"/>
              <w:ind w:left="57" w:right="57" w:firstLine="336"/>
              <w:jc w:val="both"/>
            </w:pPr>
            <w:r>
              <w:t>Kā a</w:t>
            </w:r>
            <w:r w:rsidR="0064199A">
              <w:t xml:space="preserve">tbalstāmās iestādes projektā </w:t>
            </w:r>
            <w:r>
              <w:t>atbilstoši veselības aprūpes nozares plānošanas dokumentiem izvēlētas stacionārās ārstniecības iestādes Rīgā, kas nodrošina pacientu ārstēšanu sabiedrības veselības krīžu novēršanai</w:t>
            </w:r>
            <w:r w:rsidR="00D04DB1">
              <w:t xml:space="preserve"> </w:t>
            </w:r>
            <w:r w:rsidR="0088615E">
              <w:t>– Paula Stradiņa Klīniskā universitātes slimnīca,</w:t>
            </w:r>
            <w:r>
              <w:t xml:space="preserve"> Rīgas Austrumu klīniskā universitātes slimnīca, Bērnu klīniskā universitātes slimnīca, Rīgas psihiatrijas un narkoloģijas centrs, Rīgas Dzemdību nams, Traumatoloģijas un ortopēdijas slimnīca, </w:t>
            </w:r>
            <w:r>
              <w:lastRenderedPageBreak/>
              <w:t>Rīgas 2.slimnīca</w:t>
            </w:r>
            <w:r w:rsidR="005C31D9">
              <w:t>, NMPD brigāžu atbalsta centri Rīgā un ģimenes ārsta prakses Rīgā.</w:t>
            </w:r>
            <w:r w:rsidR="0088615E">
              <w:t xml:space="preserve"> </w:t>
            </w:r>
          </w:p>
          <w:p w14:paraId="17C9C363" w14:textId="77777777" w:rsidR="00F1655A" w:rsidRDefault="00F1655A" w:rsidP="00D46E0B">
            <w:pPr>
              <w:pStyle w:val="naiskr"/>
              <w:spacing w:before="40" w:beforeAutospacing="0" w:after="40" w:afterAutospacing="0"/>
              <w:ind w:left="57" w:right="57" w:firstLine="284"/>
              <w:jc w:val="both"/>
            </w:pPr>
          </w:p>
          <w:p w14:paraId="6925F610" w14:textId="77777777" w:rsidR="006051AF" w:rsidRPr="004A6791" w:rsidRDefault="007F0B51" w:rsidP="00D46E0B">
            <w:pPr>
              <w:pStyle w:val="naiskr"/>
              <w:spacing w:before="40" w:beforeAutospacing="0" w:after="40" w:afterAutospacing="0"/>
              <w:ind w:left="57" w:right="57" w:firstLine="284"/>
              <w:jc w:val="both"/>
              <w:rPr>
                <w:rFonts w:eastAsiaTheme="minorHAnsi"/>
                <w:b/>
                <w:u w:val="single"/>
              </w:rPr>
            </w:pPr>
            <w:r w:rsidRPr="004A6791">
              <w:rPr>
                <w:rFonts w:eastAsiaTheme="minorHAnsi"/>
                <w:b/>
                <w:u w:val="single"/>
              </w:rPr>
              <w:t>Specifiskā atbalsta</w:t>
            </w:r>
            <w:r w:rsidR="006051AF" w:rsidRPr="004A6791">
              <w:rPr>
                <w:rFonts w:eastAsiaTheme="minorHAnsi"/>
                <w:b/>
                <w:u w:val="single"/>
              </w:rPr>
              <w:t xml:space="preserve"> ieviešanas nosacījumi:</w:t>
            </w:r>
          </w:p>
          <w:p w14:paraId="705DA1EC" w14:textId="4F7941E9" w:rsidR="006051AF" w:rsidRPr="004A6791" w:rsidRDefault="007F0B51" w:rsidP="00D46E0B">
            <w:pPr>
              <w:pStyle w:val="naiskr"/>
              <w:spacing w:before="40" w:beforeAutospacing="0" w:after="40" w:afterAutospacing="0"/>
              <w:ind w:left="57" w:right="57" w:firstLine="284"/>
              <w:jc w:val="both"/>
            </w:pPr>
            <w:r w:rsidRPr="004A6791">
              <w:t>Specifisko atbalstu</w:t>
            </w:r>
            <w:r w:rsidR="00D46E0B" w:rsidRPr="004A6791">
              <w:t xml:space="preserve"> </w:t>
            </w:r>
            <w:r w:rsidR="00343908" w:rsidRPr="004A6791">
              <w:t>plānots īstenot ierobežotas projektu iesniegumu atlases veidā</w:t>
            </w:r>
            <w:r w:rsidR="00244543" w:rsidRPr="004A6791">
              <w:t xml:space="preserve"> atbilstoši  Darbības programm</w:t>
            </w:r>
            <w:r w:rsidR="0006255B" w:rsidRPr="004A6791">
              <w:t>ā</w:t>
            </w:r>
            <w:r w:rsidR="00244543" w:rsidRPr="004A6791">
              <w:t xml:space="preserve"> “</w:t>
            </w:r>
            <w:r w:rsidR="00244543" w:rsidRPr="004A6791">
              <w:rPr>
                <w:i/>
              </w:rPr>
              <w:t>Izaugsme un nodarbinātība</w:t>
            </w:r>
            <w:r w:rsidR="00244543" w:rsidRPr="004A6791">
              <w:t>” noteiktajam</w:t>
            </w:r>
            <w:r w:rsidR="00343908" w:rsidRPr="004A6791">
              <w:t>, finansējuma saņēmējs ir Veselības ministrija, sadarbībā ar ārstniecības iestādēm (nepiesaistot kā sadarbības partnerus)</w:t>
            </w:r>
            <w:r w:rsidR="00D46E0B" w:rsidRPr="004A6791">
              <w:t xml:space="preserve">. </w:t>
            </w:r>
          </w:p>
          <w:p w14:paraId="5319D0F8" w14:textId="662FB680" w:rsidR="00343908" w:rsidRPr="004A6791" w:rsidRDefault="007F0B51" w:rsidP="00D46E0B">
            <w:pPr>
              <w:pStyle w:val="naiskr"/>
              <w:spacing w:before="40" w:beforeAutospacing="0" w:after="40" w:afterAutospacing="0"/>
              <w:ind w:left="57" w:right="57" w:firstLine="284"/>
              <w:jc w:val="both"/>
            </w:pPr>
            <w:r w:rsidRPr="004A6791">
              <w:t xml:space="preserve">Specifiskā atbalsta </w:t>
            </w:r>
            <w:r w:rsidRPr="004A6791">
              <w:rPr>
                <w:u w:val="single"/>
              </w:rPr>
              <w:t>m</w:t>
            </w:r>
            <w:r w:rsidR="00343908" w:rsidRPr="004A6791">
              <w:rPr>
                <w:u w:val="single"/>
              </w:rPr>
              <w:t>ērķa grupa</w:t>
            </w:r>
            <w:r w:rsidR="00343908" w:rsidRPr="004A6791">
              <w:t xml:space="preserve"> ir ārstniecības</w:t>
            </w:r>
            <w:r w:rsidR="00094968">
              <w:t xml:space="preserve"> personas.</w:t>
            </w:r>
          </w:p>
          <w:p w14:paraId="0A2F035D" w14:textId="77777777" w:rsidR="00094968" w:rsidRDefault="00B37D3E" w:rsidP="00094968">
            <w:pPr>
              <w:pStyle w:val="naiskr"/>
              <w:spacing w:before="40" w:beforeAutospacing="0" w:after="40" w:afterAutospacing="0"/>
              <w:ind w:left="57" w:right="57" w:firstLine="284"/>
              <w:jc w:val="both"/>
            </w:pPr>
            <w:r w:rsidRPr="004A6791">
              <w:t xml:space="preserve">Specifiskā atbalsta ietvaros </w:t>
            </w:r>
            <w:r w:rsidRPr="004A6791">
              <w:rPr>
                <w:bCs/>
                <w:u w:val="single"/>
              </w:rPr>
              <w:t>kopējais attiecināmais finansējums</w:t>
            </w:r>
            <w:r w:rsidRPr="004A6791">
              <w:t xml:space="preserve"> ir </w:t>
            </w:r>
            <w:r w:rsidR="00094968" w:rsidRPr="00094968">
              <w:t xml:space="preserve">3 000 000 </w:t>
            </w:r>
            <w:r w:rsidRPr="00094968">
              <w:t>EUR</w:t>
            </w:r>
            <w:r w:rsidRPr="004A6791">
              <w:t xml:space="preserve">, tai skaitā ESF </w:t>
            </w:r>
            <w:r w:rsidRPr="00094968">
              <w:t>finansējums</w:t>
            </w:r>
            <w:r w:rsidRPr="004A6791">
              <w:t xml:space="preserve"> –</w:t>
            </w:r>
            <w:r w:rsidR="00094968" w:rsidRPr="00094968">
              <w:t xml:space="preserve">2 550 000 </w:t>
            </w:r>
            <w:r w:rsidRPr="00094968">
              <w:t>EUR</w:t>
            </w:r>
            <w:r w:rsidRPr="004A6791">
              <w:t xml:space="preserve"> (85%) apmērā un valsts budžeta finansējums </w:t>
            </w:r>
            <w:r w:rsidR="00094968" w:rsidRPr="00094968">
              <w:t xml:space="preserve">450 000 </w:t>
            </w:r>
            <w:r w:rsidRPr="00094968">
              <w:t>EUR</w:t>
            </w:r>
            <w:r w:rsidRPr="004A6791">
              <w:t xml:space="preserve"> (15%) apmērā</w:t>
            </w:r>
            <w:bookmarkStart w:id="8" w:name="_Ref451522778"/>
            <w:r w:rsidR="00094968" w:rsidRPr="00094968">
              <w:t>.</w:t>
            </w:r>
            <w:bookmarkEnd w:id="8"/>
          </w:p>
          <w:p w14:paraId="6A455F98" w14:textId="3CC26F27" w:rsidR="00B37D3E" w:rsidRPr="004A6791" w:rsidRDefault="00B37D3E" w:rsidP="00094968">
            <w:pPr>
              <w:pStyle w:val="naiskr"/>
              <w:spacing w:before="40" w:beforeAutospacing="0" w:after="40" w:afterAutospacing="0"/>
              <w:ind w:left="57" w:right="57" w:firstLine="284"/>
              <w:jc w:val="both"/>
            </w:pPr>
            <w:r w:rsidRPr="004A6791">
              <w:t xml:space="preserve">Specifiskā atbalsta </w:t>
            </w:r>
            <w:r w:rsidRPr="004A6791">
              <w:rPr>
                <w:bCs/>
                <w:u w:val="single"/>
              </w:rPr>
              <w:t>finansējuma saņēmējs</w:t>
            </w:r>
            <w:r w:rsidRPr="004A6791">
              <w:rPr>
                <w:bCs/>
              </w:rPr>
              <w:t xml:space="preserve"> ir</w:t>
            </w:r>
            <w:r w:rsidRPr="004A6791">
              <w:rPr>
                <w:b/>
              </w:rPr>
              <w:t xml:space="preserve"> </w:t>
            </w:r>
            <w:r w:rsidRPr="004A6791">
              <w:rPr>
                <w:bCs/>
                <w:spacing w:val="-2"/>
                <w:lang w:eastAsia="en-US" w:bidi="ar-SA"/>
              </w:rPr>
              <w:t>vadošā valsts pārvaldes iestāde veselības nozarē – Veselības ministrija.</w:t>
            </w:r>
          </w:p>
          <w:p w14:paraId="02712B1B" w14:textId="77777777" w:rsidR="00B37D3E" w:rsidRPr="004A6791" w:rsidRDefault="00B37D3E" w:rsidP="00D46E0B">
            <w:pPr>
              <w:pStyle w:val="naiskr"/>
              <w:spacing w:before="40" w:beforeAutospacing="0" w:after="40" w:afterAutospacing="0"/>
              <w:ind w:left="57" w:right="57" w:firstLine="284"/>
              <w:jc w:val="both"/>
            </w:pPr>
          </w:p>
          <w:p w14:paraId="4A8F58F7" w14:textId="764D84AC" w:rsidR="00343908" w:rsidRDefault="007F0B51" w:rsidP="00D46E0B">
            <w:pPr>
              <w:pStyle w:val="naiskr"/>
              <w:spacing w:before="40" w:beforeAutospacing="0" w:after="40" w:afterAutospacing="0"/>
              <w:ind w:left="57" w:right="57" w:firstLine="284"/>
              <w:jc w:val="both"/>
            </w:pPr>
            <w:r w:rsidRPr="004A6791">
              <w:t>Specifiskā atbalsta g</w:t>
            </w:r>
            <w:r w:rsidR="00343908" w:rsidRPr="004A6791">
              <w:t xml:space="preserve">alvenās </w:t>
            </w:r>
            <w:r w:rsidR="00343908" w:rsidRPr="004A6791">
              <w:rPr>
                <w:iCs/>
              </w:rPr>
              <w:t>atbalstāmās</w:t>
            </w:r>
            <w:r w:rsidR="00343908" w:rsidRPr="004A6791">
              <w:t xml:space="preserve"> darbības ir: </w:t>
            </w:r>
          </w:p>
          <w:p w14:paraId="534256FE" w14:textId="77777777" w:rsidR="00791065" w:rsidRPr="00791065" w:rsidRDefault="00791065" w:rsidP="00791065">
            <w:pPr>
              <w:pStyle w:val="ListParagraph"/>
              <w:numPr>
                <w:ilvl w:val="0"/>
                <w:numId w:val="9"/>
              </w:numPr>
              <w:tabs>
                <w:tab w:val="left" w:pos="1134"/>
              </w:tabs>
              <w:jc w:val="both"/>
              <w:rPr>
                <w:b/>
                <w:bCs/>
                <w:lang w:eastAsia="lv-LV"/>
              </w:rPr>
            </w:pPr>
            <w:bookmarkStart w:id="9" w:name="_Ref451780762"/>
            <w:r w:rsidRPr="00791065">
              <w:rPr>
                <w:b/>
                <w:bCs/>
                <w:lang w:eastAsia="lv-LV"/>
              </w:rPr>
              <w:t>projekta vadības un īstenošanas nodrošināšana;</w:t>
            </w:r>
            <w:bookmarkEnd w:id="9"/>
          </w:p>
          <w:p w14:paraId="33101E4C" w14:textId="31A4BC8B" w:rsidR="00791065" w:rsidRPr="00791065" w:rsidRDefault="00791065" w:rsidP="00791065">
            <w:pPr>
              <w:pStyle w:val="ListParagraph"/>
              <w:numPr>
                <w:ilvl w:val="0"/>
                <w:numId w:val="9"/>
              </w:numPr>
              <w:tabs>
                <w:tab w:val="left" w:pos="1134"/>
              </w:tabs>
              <w:jc w:val="both"/>
              <w:rPr>
                <w:b/>
                <w:bCs/>
                <w:lang w:eastAsia="lv-LV"/>
              </w:rPr>
            </w:pPr>
            <w:r w:rsidRPr="00791065">
              <w:rPr>
                <w:b/>
                <w:bCs/>
                <w:lang w:eastAsia="lv-LV"/>
              </w:rPr>
              <w:t>finansējuma saņēmēja personāla darba braucienu nodrošināšana</w:t>
            </w:r>
            <w:r w:rsidR="00D9506E">
              <w:rPr>
                <w:b/>
                <w:bCs/>
                <w:lang w:eastAsia="lv-LV"/>
              </w:rPr>
              <w:t xml:space="preserve"> </w:t>
            </w:r>
            <w:r w:rsidR="00D9506E" w:rsidRPr="00D9506E">
              <w:rPr>
                <w:lang w:eastAsia="lv-LV"/>
              </w:rPr>
              <w:t>(projekta administrēšanā un īstenošanā iesaistītā personāla</w:t>
            </w:r>
            <w:r w:rsidR="00D9506E">
              <w:rPr>
                <w:lang w:eastAsia="lv-LV"/>
              </w:rPr>
              <w:t xml:space="preserve"> darba braucieni, kas saistīti ar projekta administrēšanu un īstenošanu</w:t>
            </w:r>
            <w:r w:rsidR="00D9506E" w:rsidRPr="00D9506E">
              <w:rPr>
                <w:lang w:eastAsia="lv-LV"/>
              </w:rPr>
              <w:t>)</w:t>
            </w:r>
            <w:r w:rsidRPr="00D9506E">
              <w:rPr>
                <w:lang w:eastAsia="lv-LV"/>
              </w:rPr>
              <w:t>;</w:t>
            </w:r>
          </w:p>
          <w:p w14:paraId="7854D15F" w14:textId="3CE3EA4D" w:rsidR="00343908" w:rsidRPr="004A6791" w:rsidRDefault="00343908" w:rsidP="003864D1">
            <w:pPr>
              <w:pStyle w:val="ListParagraph"/>
              <w:numPr>
                <w:ilvl w:val="0"/>
                <w:numId w:val="2"/>
              </w:numPr>
              <w:ind w:right="86"/>
              <w:jc w:val="both"/>
              <w:rPr>
                <w:lang w:eastAsia="lv-LV"/>
              </w:rPr>
            </w:pPr>
            <w:r w:rsidRPr="004A6791">
              <w:rPr>
                <w:b/>
                <w:bCs/>
                <w:lang w:eastAsia="lv-LV"/>
              </w:rPr>
              <w:t xml:space="preserve">vienreizēja </w:t>
            </w:r>
            <w:r w:rsidRPr="003864D1">
              <w:rPr>
                <w:b/>
                <w:bCs/>
                <w:lang w:eastAsia="lv-LV"/>
              </w:rPr>
              <w:t xml:space="preserve">kompensācija </w:t>
            </w:r>
            <w:r w:rsidR="003864D1" w:rsidRPr="003864D1">
              <w:rPr>
                <w:b/>
                <w:bCs/>
                <w:lang w:eastAsia="lv-LV"/>
              </w:rPr>
              <w:t>ārstniecības personām</w:t>
            </w:r>
            <w:r w:rsidRPr="003864D1">
              <w:rPr>
                <w:lang w:eastAsia="lv-LV"/>
              </w:rPr>
              <w:t>,</w:t>
            </w:r>
            <w:r w:rsidRPr="004A6791">
              <w:rPr>
                <w:lang w:eastAsia="lv-LV"/>
              </w:rPr>
              <w:t xml:space="preserve"> kas sniedz </w:t>
            </w:r>
            <w:r w:rsidR="00234612">
              <w:rPr>
                <w:lang w:eastAsia="lv-LV"/>
              </w:rPr>
              <w:t>valsts apmaksātus veselības aprūpe</w:t>
            </w:r>
            <w:r w:rsidR="00124412">
              <w:rPr>
                <w:lang w:eastAsia="lv-LV"/>
              </w:rPr>
              <w:t>s</w:t>
            </w:r>
            <w:r w:rsidR="002B30CD">
              <w:rPr>
                <w:lang w:eastAsia="lv-LV"/>
              </w:rPr>
              <w:t xml:space="preserve"> pakalpojumus</w:t>
            </w:r>
            <w:r w:rsidR="00124412">
              <w:rPr>
                <w:lang w:eastAsia="lv-LV"/>
              </w:rPr>
              <w:t xml:space="preserve">, </w:t>
            </w:r>
            <w:r w:rsidRPr="004A6791">
              <w:rPr>
                <w:lang w:eastAsia="lv-LV"/>
              </w:rPr>
              <w:t>paredz</w:t>
            </w:r>
            <w:r w:rsidR="003B199A">
              <w:rPr>
                <w:lang w:eastAsia="lv-LV"/>
              </w:rPr>
              <w:t>ot</w:t>
            </w:r>
            <w:r w:rsidR="00234612">
              <w:rPr>
                <w:lang w:eastAsia="lv-LV"/>
              </w:rPr>
              <w:t xml:space="preserve"> vienreizēj</w:t>
            </w:r>
            <w:r w:rsidR="003864D1">
              <w:rPr>
                <w:lang w:eastAsia="lv-LV"/>
              </w:rPr>
              <w:t>u</w:t>
            </w:r>
            <w:r w:rsidR="00234612">
              <w:rPr>
                <w:lang w:eastAsia="lv-LV"/>
              </w:rPr>
              <w:t xml:space="preserve"> kompensācij</w:t>
            </w:r>
            <w:r w:rsidR="003864D1">
              <w:rPr>
                <w:lang w:eastAsia="lv-LV"/>
              </w:rPr>
              <w:t>u</w:t>
            </w:r>
            <w:r w:rsidR="00234612">
              <w:rPr>
                <w:lang w:eastAsia="lv-LV"/>
              </w:rPr>
              <w:t xml:space="preserve"> </w:t>
            </w:r>
            <w:r w:rsidR="003864D1">
              <w:rPr>
                <w:lang w:eastAsia="lv-LV"/>
              </w:rPr>
              <w:t xml:space="preserve"> māsām un māsu palīgiem </w:t>
            </w:r>
            <w:r w:rsidR="00234612">
              <w:rPr>
                <w:lang w:eastAsia="lv-LV"/>
              </w:rPr>
              <w:t xml:space="preserve">par darbu </w:t>
            </w:r>
            <w:r w:rsidR="003864D1">
              <w:rPr>
                <w:lang w:eastAsia="lv-LV"/>
              </w:rPr>
              <w:t xml:space="preserve">stacionārā </w:t>
            </w:r>
            <w:r w:rsidR="00234612">
              <w:rPr>
                <w:lang w:eastAsia="lv-LV"/>
              </w:rPr>
              <w:t>ārstniecības iestādē</w:t>
            </w:r>
            <w:r w:rsidR="003864D1">
              <w:rPr>
                <w:lang w:eastAsia="lv-LV"/>
              </w:rPr>
              <w:t xml:space="preserve"> Rīgā</w:t>
            </w:r>
            <w:r w:rsidR="00124412">
              <w:rPr>
                <w:lang w:eastAsia="lv-LV"/>
              </w:rPr>
              <w:t xml:space="preserve"> un </w:t>
            </w:r>
            <w:r w:rsidR="00234612">
              <w:rPr>
                <w:lang w:eastAsia="lv-LV"/>
              </w:rPr>
              <w:t>ārstu palīgiem</w:t>
            </w:r>
            <w:r w:rsidR="00124412">
              <w:rPr>
                <w:lang w:eastAsia="lv-LV"/>
              </w:rPr>
              <w:t xml:space="preserve"> par darbu</w:t>
            </w:r>
            <w:r w:rsidR="00234612">
              <w:rPr>
                <w:lang w:eastAsia="lv-LV"/>
              </w:rPr>
              <w:t xml:space="preserve"> </w:t>
            </w:r>
            <w:r w:rsidR="003864D1">
              <w:rPr>
                <w:lang w:eastAsia="lv-LV"/>
              </w:rPr>
              <w:t>NMPD brigāžu atbalsta centros Rīgā</w:t>
            </w:r>
            <w:r w:rsidR="003B199A">
              <w:rPr>
                <w:lang w:eastAsia="lv-LV"/>
              </w:rPr>
              <w:t>:</w:t>
            </w:r>
          </w:p>
          <w:p w14:paraId="68F131F4" w14:textId="443BB36E" w:rsidR="00343908" w:rsidRPr="004A6791" w:rsidRDefault="00343908" w:rsidP="00EB1B90">
            <w:pPr>
              <w:pStyle w:val="ListParagraph"/>
              <w:numPr>
                <w:ilvl w:val="1"/>
                <w:numId w:val="2"/>
              </w:numPr>
              <w:ind w:right="86"/>
              <w:jc w:val="both"/>
              <w:rPr>
                <w:lang w:eastAsia="lv-LV"/>
              </w:rPr>
            </w:pPr>
            <w:r w:rsidRPr="004A6791">
              <w:t>kompensāciju piecu</w:t>
            </w:r>
            <w:r w:rsidR="003B199A">
              <w:t xml:space="preserve"> </w:t>
            </w:r>
            <w:r w:rsidRPr="004A6791">
              <w:t xml:space="preserve">mēnešalgu apmērā </w:t>
            </w:r>
            <w:r w:rsidR="00FA6991" w:rsidRPr="004A6791">
              <w:t xml:space="preserve">atbilstoši </w:t>
            </w:r>
            <w:r w:rsidR="003B199A">
              <w:t xml:space="preserve">ārstniecības personas </w:t>
            </w:r>
            <w:r w:rsidR="00FA6991" w:rsidRPr="004A6791">
              <w:t xml:space="preserve">amata kvalifikācijas kategorijai </w:t>
            </w:r>
            <w:r w:rsidR="003B199A">
              <w:t>noteiktajam</w:t>
            </w:r>
            <w:r w:rsidR="00FA6991" w:rsidRPr="004A6791">
              <w:t xml:space="preserve"> zemākās </w:t>
            </w:r>
            <w:r w:rsidR="003B199A">
              <w:t>mēneš</w:t>
            </w:r>
            <w:r w:rsidR="00FA6991" w:rsidRPr="004A6791">
              <w:t>algas apmēr</w:t>
            </w:r>
            <w:r w:rsidR="003B199A">
              <w:t>am</w:t>
            </w:r>
            <w:r w:rsidR="00FA6991" w:rsidRPr="004A6791">
              <w:t xml:space="preserve"> saskaņā ar Ministru kabineta 201</w:t>
            </w:r>
            <w:r w:rsidR="003B199A">
              <w:t>8</w:t>
            </w:r>
            <w:r w:rsidR="00D46E0B" w:rsidRPr="004A6791">
              <w:t xml:space="preserve">. </w:t>
            </w:r>
            <w:r w:rsidR="00FA6991" w:rsidRPr="004A6791">
              <w:t xml:space="preserve">gada </w:t>
            </w:r>
            <w:r w:rsidR="003B199A">
              <w:t>18</w:t>
            </w:r>
            <w:r w:rsidR="00D46E0B" w:rsidRPr="004A6791">
              <w:t xml:space="preserve">. </w:t>
            </w:r>
            <w:r w:rsidR="003B199A">
              <w:t>decembra</w:t>
            </w:r>
            <w:r w:rsidR="00FA6991" w:rsidRPr="004A6791">
              <w:t xml:space="preserve"> noteikumos Nr</w:t>
            </w:r>
            <w:r w:rsidR="00D46E0B" w:rsidRPr="004A6791">
              <w:t xml:space="preserve">. </w:t>
            </w:r>
            <w:r w:rsidR="003B199A">
              <w:t>851</w:t>
            </w:r>
            <w:r w:rsidR="00FA6991" w:rsidRPr="004A6791">
              <w:t> „</w:t>
            </w:r>
            <w:r w:rsidR="003B199A" w:rsidRPr="003B199A">
              <w:t>Noteikumi par zemāko mēnešalgu un speciālo piemaksu veselības aprūpes jomā nodarbinātajiem</w:t>
            </w:r>
            <w:r w:rsidR="00FA6991" w:rsidRPr="004A6791">
              <w:t xml:space="preserve">” </w:t>
            </w:r>
            <w:r w:rsidR="00FD15A5" w:rsidRPr="004A6791">
              <w:t>(turpmāk -  MK noteikumi Nr.</w:t>
            </w:r>
            <w:r w:rsidR="003B199A">
              <w:t>851</w:t>
            </w:r>
            <w:r w:rsidR="00FD15A5" w:rsidRPr="004A6791">
              <w:t>)</w:t>
            </w:r>
            <w:r w:rsidR="00FD15A5" w:rsidRPr="004A6791">
              <w:rPr>
                <w:rFonts w:eastAsia="Calibri"/>
              </w:rPr>
              <w:t xml:space="preserve"> </w:t>
            </w:r>
            <w:r w:rsidR="00FA6991" w:rsidRPr="004A6791">
              <w:t>noteikto</w:t>
            </w:r>
            <w:r w:rsidR="00D46E0B" w:rsidRPr="004A6791">
              <w:t xml:space="preserve">. </w:t>
            </w:r>
            <w:r w:rsidR="00FA6991" w:rsidRPr="004A6791">
              <w:t>Ārstniecības personas amata kvalifikācijas kategorijas nosaka atbilstoši Ministru kabineta 2016</w:t>
            </w:r>
            <w:r w:rsidR="00D46E0B" w:rsidRPr="004A6791">
              <w:t xml:space="preserve">. </w:t>
            </w:r>
            <w:r w:rsidR="00FA6991" w:rsidRPr="004A6791">
              <w:t>gada 24</w:t>
            </w:r>
            <w:r w:rsidR="00D46E0B" w:rsidRPr="004A6791">
              <w:t>.</w:t>
            </w:r>
            <w:r w:rsidR="00FD15A5" w:rsidRPr="004A6791">
              <w:t xml:space="preserve"> </w:t>
            </w:r>
            <w:r w:rsidR="00FA6991" w:rsidRPr="004A6791">
              <w:t>maija noteikumu Nr</w:t>
            </w:r>
            <w:r w:rsidR="00D46E0B" w:rsidRPr="004A6791">
              <w:t xml:space="preserve">. </w:t>
            </w:r>
            <w:r w:rsidR="00FA6991" w:rsidRPr="004A6791">
              <w:t xml:space="preserve">317 </w:t>
            </w:r>
            <w:r w:rsidR="00FA6991" w:rsidRPr="004A6791">
              <w:rPr>
                <w:b/>
              </w:rPr>
              <w:t>„</w:t>
            </w:r>
            <w:r w:rsidR="00FA6991" w:rsidRPr="004A6791">
              <w:rPr>
                <w:bCs/>
                <w:i/>
                <w:shd w:val="clear" w:color="auto" w:fill="FFFFFF"/>
              </w:rPr>
              <w:t>Ārstniecības personu un ārstniecības atbalsta personu reģistra izveides, papildināšanas un uzturēšanas kārtība</w:t>
            </w:r>
            <w:r w:rsidR="00FA6991" w:rsidRPr="004A6791">
              <w:t>” 1</w:t>
            </w:r>
            <w:r w:rsidR="00D46E0B" w:rsidRPr="004A6791">
              <w:t xml:space="preserve">. </w:t>
            </w:r>
            <w:r w:rsidR="00FA6991" w:rsidRPr="004A6791">
              <w:t xml:space="preserve">pielikumā noteiktajam ārstniecības personu un ārstniecības atbalsta personu klasifikatoram un </w:t>
            </w:r>
            <w:proofErr w:type="spellStart"/>
            <w:r w:rsidR="00FA6991" w:rsidRPr="004A6791">
              <w:t>pamatspecialitāšu</w:t>
            </w:r>
            <w:proofErr w:type="spellEnd"/>
            <w:r w:rsidR="00FA6991" w:rsidRPr="004A6791">
              <w:t xml:space="preserve">, </w:t>
            </w:r>
            <w:proofErr w:type="spellStart"/>
            <w:r w:rsidR="00FA6991" w:rsidRPr="004A6791">
              <w:t>apakšspecialitāšu</w:t>
            </w:r>
            <w:proofErr w:type="spellEnd"/>
            <w:r w:rsidR="00FA6991" w:rsidRPr="004A6791">
              <w:t xml:space="preserve"> un </w:t>
            </w:r>
            <w:proofErr w:type="spellStart"/>
            <w:r w:rsidR="00FA6991" w:rsidRPr="004A6791">
              <w:t>papildspecialitāšu</w:t>
            </w:r>
            <w:proofErr w:type="spellEnd"/>
            <w:r w:rsidR="00FA6991" w:rsidRPr="004A6791">
              <w:t xml:space="preserve"> klasifikatoram, </w:t>
            </w:r>
            <w:r w:rsidRPr="004A6791">
              <w:t>ārstniecības personai</w:t>
            </w:r>
            <w:r w:rsidR="001D5EC8">
              <w:t xml:space="preserve">. </w:t>
            </w:r>
            <w:r w:rsidRPr="004A6791">
              <w:t xml:space="preserve"> </w:t>
            </w:r>
            <w:r w:rsidR="001D5EC8">
              <w:t>K</w:t>
            </w:r>
            <w:r w:rsidR="00FF1299">
              <w:t>ompensācijas</w:t>
            </w:r>
            <w:r w:rsidRPr="004A6791">
              <w:t xml:space="preserve"> apmērs – piecas </w:t>
            </w:r>
            <w:r w:rsidR="00805C2D">
              <w:t>mēneš</w:t>
            </w:r>
            <w:r w:rsidRPr="004A6791">
              <w:t xml:space="preserve">algas noteikts ņemot vērā nozares vidējo atalgojuma līmeni, izglītību, kāda </w:t>
            </w:r>
            <w:r w:rsidRPr="004A6791">
              <w:lastRenderedPageBreak/>
              <w:t>nepieciešama, lai iegūtu ārstniecības personas statusu, kā arī sarunās ar</w:t>
            </w:r>
            <w:r w:rsidRPr="004A6791">
              <w:rPr>
                <w:lang w:eastAsia="lv-LV"/>
              </w:rPr>
              <w:t xml:space="preserve"> profesionālajām organizācijām pausto viedokli par kompensācijas apmēru, kāds būtu atbilstošs, lai tiktu sasniegti </w:t>
            </w:r>
            <w:r w:rsidR="00DA3C26" w:rsidRPr="004A6791">
              <w:rPr>
                <w:lang w:eastAsia="lv-LV"/>
              </w:rPr>
              <w:t>specifiskā atbalsta</w:t>
            </w:r>
            <w:r w:rsidR="00D46E0B" w:rsidRPr="004A6791">
              <w:rPr>
                <w:lang w:eastAsia="lv-LV"/>
              </w:rPr>
              <w:t xml:space="preserve"> </w:t>
            </w:r>
            <w:r w:rsidRPr="004A6791">
              <w:rPr>
                <w:lang w:eastAsia="lv-LV"/>
              </w:rPr>
              <w:t>mērķi</w:t>
            </w:r>
            <w:r w:rsidR="001D5EC8">
              <w:rPr>
                <w:lang w:eastAsia="lv-LV"/>
              </w:rPr>
              <w:t>;</w:t>
            </w:r>
          </w:p>
          <w:p w14:paraId="1BC74325" w14:textId="52121741" w:rsidR="004D773D" w:rsidRDefault="00343908" w:rsidP="00412DDC">
            <w:pPr>
              <w:pStyle w:val="ListParagraph"/>
              <w:numPr>
                <w:ilvl w:val="1"/>
                <w:numId w:val="2"/>
              </w:numPr>
              <w:ind w:right="86"/>
              <w:jc w:val="both"/>
              <w:rPr>
                <w:lang w:eastAsia="lv-LV"/>
              </w:rPr>
            </w:pPr>
            <w:r w:rsidRPr="004A6791">
              <w:rPr>
                <w:lang w:eastAsia="lv-LV"/>
              </w:rPr>
              <w:t>papildu kompensāciju vienas mēnešalgas apmērā par katru ģimenes locekli (laulātais, bērni u</w:t>
            </w:r>
            <w:r w:rsidR="00D46E0B" w:rsidRPr="004A6791">
              <w:rPr>
                <w:lang w:eastAsia="lv-LV"/>
              </w:rPr>
              <w:t xml:space="preserve">. </w:t>
            </w:r>
            <w:r w:rsidRPr="004A6791">
              <w:rPr>
                <w:lang w:eastAsia="lv-LV"/>
              </w:rPr>
              <w:t>c</w:t>
            </w:r>
            <w:r w:rsidR="00D46E0B" w:rsidRPr="004A6791">
              <w:rPr>
                <w:lang w:eastAsia="lv-LV"/>
              </w:rPr>
              <w:t xml:space="preserve">. </w:t>
            </w:r>
            <w:r w:rsidRPr="004A6791">
              <w:rPr>
                <w:lang w:eastAsia="lv-LV"/>
              </w:rPr>
              <w:t>apgādībā esošas personas)</w:t>
            </w:r>
            <w:r w:rsidR="00D46E0B" w:rsidRPr="004A6791">
              <w:rPr>
                <w:lang w:eastAsia="lv-LV"/>
              </w:rPr>
              <w:t xml:space="preserve">. </w:t>
            </w:r>
            <w:r w:rsidR="001D5EC8" w:rsidRPr="001D5EC8">
              <w:rPr>
                <w:lang w:eastAsia="lv-LV"/>
              </w:rPr>
              <w:t xml:space="preserve"> Ņemot vērā specifiskā atbalsta mērķi</w:t>
            </w:r>
            <w:r w:rsidR="00490153">
              <w:rPr>
                <w:lang w:eastAsia="lv-LV"/>
              </w:rPr>
              <w:t>,</w:t>
            </w:r>
            <w:r w:rsidR="001D5EC8" w:rsidRPr="001D5EC8">
              <w:rPr>
                <w:lang w:eastAsia="lv-LV"/>
              </w:rPr>
              <w:t xml:space="preserve"> </w:t>
            </w:r>
            <w:r w:rsidR="00490153">
              <w:rPr>
                <w:lang w:eastAsia="lv-LV"/>
              </w:rPr>
              <w:t xml:space="preserve">neērtības un riskus, ar kuriem saskaras  ārstniecības personas, kas </w:t>
            </w:r>
            <w:r w:rsidR="00490153" w:rsidRPr="00490153">
              <w:rPr>
                <w:lang w:eastAsia="lv-LV"/>
              </w:rPr>
              <w:t>nodrošina pacientu ārstēšanu sabiedrības veselības krīžu situāciju novēršanai, un to ģimenes locekļi, ir īpaši svarīgi sniegt papildu atbalstu, lai</w:t>
            </w:r>
            <w:r w:rsidR="00490153">
              <w:rPr>
                <w:lang w:eastAsia="lv-LV"/>
              </w:rPr>
              <w:t xml:space="preserve"> </w:t>
            </w:r>
            <w:r w:rsidR="00490153" w:rsidRPr="00490153">
              <w:rPr>
                <w:lang w:eastAsia="lv-LV"/>
              </w:rPr>
              <w:t>pacientu ārstēšanā sabiedrības veselības krīžu situāciju novēršanai iesaistītos arī ārstniecības personas ar ģimenēm.</w:t>
            </w:r>
            <w:r w:rsidR="00490153">
              <w:rPr>
                <w:lang w:eastAsia="lv-LV"/>
              </w:rPr>
              <w:t xml:space="preserve"> COVID-19 uzliesmojums ir pierādījis, ka viena no mazāk aizsargātajām sabiedrības grupām ir ārstniecības personas, kuras tālāk saslimšanu </w:t>
            </w:r>
            <w:r w:rsidR="008E6CAF">
              <w:rPr>
                <w:lang w:eastAsia="lv-LV"/>
              </w:rPr>
              <w:t xml:space="preserve">var nodot saviem ģimenes locekļiem. Lai nepakļautu savus ģimenes locekļus šādam riskam, ārstniecības personas nereti apmetas citā dzīvesvietā, kas sagādā papildu neērtības un izdevumus. Tāpat svarīgi ir atzīmēt darbu paaugstinātas spriedzes apstākļos un virsstundu darbu, kas var ietekmēt arī ģimenes locekļus. Arī </w:t>
            </w:r>
            <w:r w:rsidR="001D5EC8" w:rsidRPr="001D5EC8">
              <w:rPr>
                <w:lang w:eastAsia="lv-LV"/>
              </w:rPr>
              <w:t xml:space="preserve">dzīvesvietas, darbavietas un arī izglītības iestādes iespējamā maiņa bērniem sagādā papildu izdevumus un neērtības ne tikai ārstniecības personai, bet arī visiem ģimenes locekļiem. Lai no iesaistes </w:t>
            </w:r>
            <w:r w:rsidR="001D5EC8">
              <w:rPr>
                <w:lang w:eastAsia="lv-LV"/>
              </w:rPr>
              <w:t xml:space="preserve">projektā </w:t>
            </w:r>
            <w:r w:rsidR="001D5EC8" w:rsidRPr="001D5EC8">
              <w:rPr>
                <w:lang w:eastAsia="lv-LV"/>
              </w:rPr>
              <w:t xml:space="preserve">neatturētu ārstniecības personas ar ģimenes locekļiem, papildus vienreizējai kompensācijai ārstniecības personai būtu izmaksājama arī vienreizēja kompensācija katram ārstniecības personas ģimenes loceklim vienas mēnešalgas apmērā atbilstoši ārstniecības personas amata kvalifikācijas kategorijai noteiktajai zemākajai </w:t>
            </w:r>
            <w:r w:rsidR="00805C2D">
              <w:rPr>
                <w:lang w:eastAsia="lv-LV"/>
              </w:rPr>
              <w:t>mēneš</w:t>
            </w:r>
            <w:r w:rsidR="001D5EC8" w:rsidRPr="001D5EC8">
              <w:rPr>
                <w:lang w:eastAsia="lv-LV"/>
              </w:rPr>
              <w:t xml:space="preserve">algai saskaņā ar normatīvajiem aktiem par zemāko mēnešalgu un speciālo piemaksu ārstniecības personām, kas palielinātu kompensācijas apmēru ārstniecības personām ar ģimenēm, tādējādi mazinot </w:t>
            </w:r>
            <w:r w:rsidR="008E6CAF">
              <w:rPr>
                <w:lang w:eastAsia="lv-LV"/>
              </w:rPr>
              <w:t xml:space="preserve">neērtības un izdevumus, ar kuriem saskaras ārstniecības personas, kas </w:t>
            </w:r>
            <w:r w:rsidR="001D5EC8" w:rsidRPr="001D5EC8">
              <w:rPr>
                <w:lang w:eastAsia="lv-LV"/>
              </w:rPr>
              <w:t xml:space="preserve"> </w:t>
            </w:r>
            <w:r w:rsidR="008E6CAF" w:rsidRPr="00490153">
              <w:rPr>
                <w:lang w:eastAsia="lv-LV"/>
              </w:rPr>
              <w:t xml:space="preserve"> nodrošina pacientu ārstēšanu sabiedrības veselības krīžu situāciju novēršanai</w:t>
            </w:r>
            <w:r w:rsidR="008E6CAF" w:rsidRPr="001D5EC8">
              <w:rPr>
                <w:lang w:eastAsia="lv-LV"/>
              </w:rPr>
              <w:t xml:space="preserve"> </w:t>
            </w:r>
            <w:r w:rsidR="008E6CAF">
              <w:rPr>
                <w:lang w:eastAsia="lv-LV"/>
              </w:rPr>
              <w:t>.</w:t>
            </w:r>
          </w:p>
          <w:p w14:paraId="1B12F9DF" w14:textId="77777777" w:rsidR="008E6CAF" w:rsidRDefault="008E6CAF" w:rsidP="008E6CAF">
            <w:pPr>
              <w:pStyle w:val="ListParagraph"/>
              <w:ind w:left="1440" w:right="86"/>
              <w:jc w:val="both"/>
              <w:rPr>
                <w:lang w:eastAsia="lv-LV"/>
              </w:rPr>
            </w:pPr>
          </w:p>
          <w:p w14:paraId="3ECA2CD4" w14:textId="22F53013" w:rsidR="00E81C77" w:rsidRPr="004A6791" w:rsidRDefault="00791065" w:rsidP="00327C1C">
            <w:pPr>
              <w:pStyle w:val="ListParagraph"/>
              <w:numPr>
                <w:ilvl w:val="1"/>
                <w:numId w:val="7"/>
              </w:numPr>
              <w:ind w:left="679" w:right="86"/>
              <w:jc w:val="both"/>
              <w:rPr>
                <w:lang w:eastAsia="lv-LV"/>
              </w:rPr>
            </w:pPr>
            <w:r>
              <w:rPr>
                <w:b/>
                <w:bCs/>
              </w:rPr>
              <w:t>v</w:t>
            </w:r>
            <w:r w:rsidR="00005A88" w:rsidRPr="00327C1C">
              <w:rPr>
                <w:b/>
                <w:bCs/>
              </w:rPr>
              <w:t>ienreizēja</w:t>
            </w:r>
            <w:r w:rsidR="00343908" w:rsidRPr="00327C1C">
              <w:rPr>
                <w:b/>
                <w:bCs/>
                <w:lang w:eastAsia="lv-LV"/>
              </w:rPr>
              <w:t xml:space="preserve"> uzturēšanās izdevumu </w:t>
            </w:r>
            <w:r w:rsidR="00005A88" w:rsidRPr="00327C1C">
              <w:rPr>
                <w:b/>
                <w:bCs/>
                <w:lang w:eastAsia="lv-LV"/>
              </w:rPr>
              <w:t>kompensācija</w:t>
            </w:r>
            <w:r w:rsidR="00E81C77" w:rsidRPr="00327C1C">
              <w:rPr>
                <w:b/>
                <w:bCs/>
                <w:lang w:eastAsia="lv-LV"/>
              </w:rPr>
              <w:t>,</w:t>
            </w:r>
            <w:r w:rsidR="00343908" w:rsidRPr="004A6791">
              <w:rPr>
                <w:lang w:eastAsia="lv-LV"/>
              </w:rPr>
              <w:t xml:space="preserve"> </w:t>
            </w:r>
          </w:p>
          <w:p w14:paraId="2C096C20" w14:textId="6BD2E684" w:rsidR="00327C1C" w:rsidRDefault="007C2A74" w:rsidP="00327C1C">
            <w:pPr>
              <w:ind w:left="679" w:right="86"/>
              <w:jc w:val="both"/>
              <w:rPr>
                <w:lang w:eastAsia="lv-LV"/>
              </w:rPr>
            </w:pPr>
            <w:r w:rsidRPr="004A6791">
              <w:rPr>
                <w:lang w:eastAsia="lv-LV"/>
              </w:rPr>
              <w:t>ko piešķir</w:t>
            </w:r>
            <w:r w:rsidR="00E81C77" w:rsidRPr="004A6791">
              <w:rPr>
                <w:lang w:eastAsia="lv-LV"/>
              </w:rPr>
              <w:t xml:space="preserve"> </w:t>
            </w:r>
            <w:bookmarkStart w:id="10" w:name="_Ref473187584"/>
            <w:r w:rsidR="00005A88">
              <w:rPr>
                <w:lang w:eastAsia="lv-LV"/>
              </w:rPr>
              <w:t>ārstniecības personām</w:t>
            </w:r>
            <w:r w:rsidR="003B5A70">
              <w:rPr>
                <w:lang w:eastAsia="lv-LV"/>
              </w:rPr>
              <w:t xml:space="preserve"> </w:t>
            </w:r>
            <w:r w:rsidR="00005A88">
              <w:rPr>
                <w:lang w:eastAsia="lv-LV"/>
              </w:rPr>
              <w:t>uzturēšanās izmaksu segšanai. Kompensācijas apmērs – 3 600 EUR</w:t>
            </w:r>
            <w:r w:rsidR="00A606EE">
              <w:rPr>
                <w:lang w:eastAsia="lv-LV"/>
              </w:rPr>
              <w:t xml:space="preserve">. </w:t>
            </w:r>
            <w:r w:rsidR="00A606EE">
              <w:rPr>
                <w:lang w:eastAsia="lv-LV"/>
              </w:rPr>
              <w:lastRenderedPageBreak/>
              <w:t>Kompensācijas apmēru veido uzturēšanās izmaksu kompensācija 12 mēnešu periodam 300 EUR apmērā mēnesī,</w:t>
            </w:r>
            <w:r w:rsidR="00A606EE">
              <w:t xml:space="preserve"> ņemot vērā dzīvesvietas īres maksu</w:t>
            </w:r>
            <w:r w:rsidR="00327C1C">
              <w:t xml:space="preserve"> </w:t>
            </w:r>
            <w:r w:rsidR="00A606EE">
              <w:t xml:space="preserve">Rīgā. Uzturēšanās izmaksu kompensācija paredzēta, </w:t>
            </w:r>
            <w:r w:rsidR="00A606EE" w:rsidRPr="00A606EE">
              <w:rPr>
                <w:lang w:eastAsia="lv-LV"/>
              </w:rPr>
              <w:t>lai</w:t>
            </w:r>
            <w:r w:rsidR="00327C1C">
              <w:rPr>
                <w:lang w:eastAsia="lv-LV"/>
              </w:rPr>
              <w:t xml:space="preserve"> daļēji</w:t>
            </w:r>
            <w:r w:rsidR="00A606EE" w:rsidRPr="00A606EE">
              <w:rPr>
                <w:lang w:eastAsia="lv-LV"/>
              </w:rPr>
              <w:t xml:space="preserve"> </w:t>
            </w:r>
            <w:r w:rsidR="00A606EE">
              <w:rPr>
                <w:lang w:eastAsia="lv-LV"/>
              </w:rPr>
              <w:t xml:space="preserve">nodrošinātu </w:t>
            </w:r>
            <w:r w:rsidR="00A606EE" w:rsidRPr="00A606EE">
              <w:rPr>
                <w:lang w:eastAsia="lv-LV"/>
              </w:rPr>
              <w:t>izmaks</w:t>
            </w:r>
            <w:r w:rsidR="00327C1C">
              <w:rPr>
                <w:lang w:eastAsia="lv-LV"/>
              </w:rPr>
              <w:t>as</w:t>
            </w:r>
            <w:r w:rsidR="00A606EE" w:rsidRPr="00A606EE">
              <w:rPr>
                <w:lang w:eastAsia="lv-LV"/>
              </w:rPr>
              <w:t xml:space="preserve">, kas saistītas ar </w:t>
            </w:r>
            <w:r w:rsidR="00A606EE">
              <w:rPr>
                <w:lang w:eastAsia="lv-LV"/>
              </w:rPr>
              <w:t xml:space="preserve">izdevumu segšanu par </w:t>
            </w:r>
            <w:r w:rsidR="00A606EE" w:rsidRPr="00A606EE">
              <w:rPr>
                <w:lang w:eastAsia="lv-LV"/>
              </w:rPr>
              <w:t>dzīvesviet</w:t>
            </w:r>
            <w:r w:rsidR="00327C1C">
              <w:rPr>
                <w:lang w:eastAsia="lv-LV"/>
              </w:rPr>
              <w:t>u</w:t>
            </w:r>
            <w:r w:rsidR="00A606EE">
              <w:rPr>
                <w:lang w:eastAsia="lv-LV"/>
              </w:rPr>
              <w:t>, transporta izdevumiem</w:t>
            </w:r>
            <w:r w:rsidR="00327C1C">
              <w:rPr>
                <w:lang w:eastAsia="lv-LV"/>
              </w:rPr>
              <w:t>, kā arī citiem izdevumiem</w:t>
            </w:r>
            <w:r w:rsidR="003B5A70">
              <w:rPr>
                <w:lang w:eastAsia="lv-LV"/>
              </w:rPr>
              <w:t>, un</w:t>
            </w:r>
            <w:r w:rsidR="00327C1C">
              <w:rPr>
                <w:lang w:eastAsia="lv-LV"/>
              </w:rPr>
              <w:t xml:space="preserve"> lai</w:t>
            </w:r>
            <w:r w:rsidR="00A606EE" w:rsidRPr="00A606EE">
              <w:rPr>
                <w:lang w:eastAsia="lv-LV"/>
              </w:rPr>
              <w:t xml:space="preserve"> motivētu kompensācijas saņēmēju rast ilgtspējīgus risinājums turpmākās dzīves nodrošināšanai</w:t>
            </w:r>
            <w:r w:rsidR="00327C1C">
              <w:rPr>
                <w:lang w:eastAsia="lv-LV"/>
              </w:rPr>
              <w:t xml:space="preserve"> Rīgā un darbam</w:t>
            </w:r>
            <w:r w:rsidR="00A606EE" w:rsidRPr="00A606EE">
              <w:rPr>
                <w:lang w:eastAsia="lv-LV"/>
              </w:rPr>
              <w:t xml:space="preserve"> attiecīgajā </w:t>
            </w:r>
            <w:r w:rsidR="00327C1C">
              <w:rPr>
                <w:lang w:eastAsia="lv-LV"/>
              </w:rPr>
              <w:t>ārstniecības iestādē</w:t>
            </w:r>
            <w:r w:rsidR="00A606EE" w:rsidRPr="00A606EE">
              <w:rPr>
                <w:lang w:eastAsia="lv-LV"/>
              </w:rPr>
              <w:t>.</w:t>
            </w:r>
            <w:r w:rsidR="00B31D51">
              <w:rPr>
                <w:lang w:eastAsia="lv-LV"/>
              </w:rPr>
              <w:t xml:space="preserve"> Kopējais kompensācijas apmērs ir atbilstīgs</w:t>
            </w:r>
            <w:r w:rsidR="00B31D51">
              <w:t xml:space="preserve"> šobrīd īstenošanā esošā specifiskā atbalsta mērķa 9.2.5. </w:t>
            </w:r>
            <w:r w:rsidR="00B31D51" w:rsidRPr="00B21A91">
              <w:t>projekt</w:t>
            </w:r>
            <w:r w:rsidR="00B31D51">
              <w:t>ā</w:t>
            </w:r>
            <w:r w:rsidR="00B31D51" w:rsidRPr="00B21A91">
              <w:t xml:space="preserve"> Nr. 9.2.5.0/17/I/001</w:t>
            </w:r>
            <w:r w:rsidR="00B31D51" w:rsidRPr="004A6791">
              <w:t xml:space="preserve"> </w:t>
            </w:r>
            <w:r w:rsidR="00B31D51" w:rsidRPr="00B21A91">
              <w:t>“Ārstniecības un ārstniecības atbalsta personāla pieejamības uzlabošana ārpus Rīgas”</w:t>
            </w:r>
            <w:r w:rsidR="00B31D51">
              <w:t xml:space="preserve"> (turpmāk – 9.2.5. SAM)</w:t>
            </w:r>
            <w:r w:rsidR="00B31D51" w:rsidRPr="00B21A91">
              <w:t> </w:t>
            </w:r>
            <w:r w:rsidR="00B31D51">
              <w:rPr>
                <w:lang w:eastAsia="lv-LV"/>
              </w:rPr>
              <w:t xml:space="preserve"> piemērojamajai uzturēšanās izmaksu kompensācijai</w:t>
            </w:r>
            <w:r w:rsidR="003E1929">
              <w:rPr>
                <w:lang w:eastAsia="lv-LV"/>
              </w:rPr>
              <w:t xml:space="preserve">, </w:t>
            </w:r>
            <w:r w:rsidR="003E1929" w:rsidRPr="008F672B">
              <w:t xml:space="preserve"> ņemot vērā, ka  uzturēšanās izmaksas Rīgā varētu būt lielākas kā reģionos.</w:t>
            </w:r>
          </w:p>
          <w:p w14:paraId="7B5ECA7E" w14:textId="77777777" w:rsidR="00327C1C" w:rsidRPr="004A6791" w:rsidRDefault="00327C1C" w:rsidP="00327C1C">
            <w:pPr>
              <w:ind w:left="360" w:right="86"/>
              <w:jc w:val="both"/>
              <w:rPr>
                <w:lang w:eastAsia="lv-LV"/>
              </w:rPr>
            </w:pPr>
          </w:p>
          <w:bookmarkEnd w:id="10"/>
          <w:p w14:paraId="13358E81" w14:textId="4407B793" w:rsidR="00343908" w:rsidRPr="004D773D" w:rsidRDefault="00791065" w:rsidP="00EB1B90">
            <w:pPr>
              <w:pStyle w:val="ListParagraph"/>
              <w:numPr>
                <w:ilvl w:val="0"/>
                <w:numId w:val="2"/>
              </w:numPr>
              <w:ind w:right="86"/>
              <w:jc w:val="both"/>
              <w:rPr>
                <w:lang w:eastAsia="lv-LV"/>
              </w:rPr>
            </w:pPr>
            <w:r>
              <w:rPr>
                <w:b/>
                <w:bCs/>
              </w:rPr>
              <w:t>a</w:t>
            </w:r>
            <w:r w:rsidR="000C4392" w:rsidRPr="004A6791">
              <w:rPr>
                <w:b/>
                <w:bCs/>
              </w:rPr>
              <w:t xml:space="preserve">tbalsta </w:t>
            </w:r>
            <w:r w:rsidR="003B5A70" w:rsidRPr="003B5A70">
              <w:rPr>
                <w:b/>
                <w:bCs/>
                <w:lang w:eastAsia="lv-LV"/>
              </w:rPr>
              <w:t>pasākumi ģimenes ārstu</w:t>
            </w:r>
            <w:r w:rsidR="00DF2453">
              <w:rPr>
                <w:b/>
                <w:bCs/>
                <w:lang w:eastAsia="lv-LV"/>
              </w:rPr>
              <w:t>, kas sniedz valsts apmaksātus veselības aprūpes pakalpojumus,</w:t>
            </w:r>
            <w:r w:rsidR="003B5A70" w:rsidRPr="003B5A70">
              <w:rPr>
                <w:b/>
                <w:bCs/>
                <w:lang w:eastAsia="lv-LV"/>
              </w:rPr>
              <w:t xml:space="preserve"> paaudžu nomaiņai</w:t>
            </w:r>
            <w:r w:rsidR="003B5A70" w:rsidRPr="003B5A70">
              <w:rPr>
                <w:lang w:eastAsia="lv-LV"/>
              </w:rPr>
              <w:t xml:space="preserve"> paredz </w:t>
            </w:r>
            <w:r w:rsidR="0016372F" w:rsidRPr="003B5A70">
              <w:rPr>
                <w:lang w:eastAsia="lv-LV"/>
              </w:rPr>
              <w:t>kompensācij</w:t>
            </w:r>
            <w:r w:rsidR="004D773D">
              <w:rPr>
                <w:lang w:eastAsia="lv-LV"/>
              </w:rPr>
              <w:t>u</w:t>
            </w:r>
            <w:r w:rsidR="00C240DA" w:rsidRPr="003B5A70">
              <w:rPr>
                <w:lang w:eastAsia="lv-LV"/>
              </w:rPr>
              <w:t xml:space="preserve"> ģimenes ārstam, kas nodod praksi, un ģimenes ārstam, kas pārņem praksi, par </w:t>
            </w:r>
            <w:r w:rsidR="00C240DA" w:rsidRPr="004D773D">
              <w:rPr>
                <w:lang w:eastAsia="lv-LV"/>
              </w:rPr>
              <w:t xml:space="preserve">specifisko zināšanu, informācijas un pieredzes </w:t>
            </w:r>
            <w:r w:rsidR="003B5A70" w:rsidRPr="004D773D">
              <w:rPr>
                <w:lang w:eastAsia="lv-LV"/>
              </w:rPr>
              <w:t>nodošanu</w:t>
            </w:r>
            <w:r w:rsidR="004D773D" w:rsidRPr="004D773D">
              <w:rPr>
                <w:lang w:eastAsia="lv-LV"/>
              </w:rPr>
              <w:t>:</w:t>
            </w:r>
          </w:p>
          <w:p w14:paraId="3CC41568" w14:textId="3866BCE6" w:rsidR="0060011E" w:rsidRPr="0060011E" w:rsidRDefault="004D773D" w:rsidP="0060011E">
            <w:pPr>
              <w:pStyle w:val="ListParagraph"/>
              <w:numPr>
                <w:ilvl w:val="1"/>
                <w:numId w:val="2"/>
              </w:numPr>
              <w:ind w:right="86"/>
              <w:jc w:val="both"/>
              <w:rPr>
                <w:rFonts w:eastAsia="Calibri"/>
              </w:rPr>
            </w:pPr>
            <w:r w:rsidRPr="004D773D">
              <w:rPr>
                <w:color w:val="000000" w:themeColor="text1"/>
              </w:rPr>
              <w:t xml:space="preserve">ikmēneša kompensācija ģimenes ārstam, kurš nodod ģimenes ārsta praksi, trīs mēnešus ir 50 procenti no vidējās iepriekšējo 12 mēnešu periodā izmaksātās un Nacionālā veselības dienesta </w:t>
            </w:r>
            <w:r>
              <w:rPr>
                <w:color w:val="000000" w:themeColor="text1"/>
              </w:rPr>
              <w:t xml:space="preserve">(turpmāk - NVD) </w:t>
            </w:r>
            <w:r w:rsidRPr="004D773D">
              <w:rPr>
                <w:color w:val="000000" w:themeColor="text1"/>
              </w:rPr>
              <w:t>ģimenes ārsta praksei samaksātās ikmēneša summas atbilstoši normatīvajiem aktiem par veselības aprūpes organizēšanas un finansēšanas kārtību, kuru aprēķina par 12 mēnešu laika periodu līdz pieteikuma iesniegšanas brīdim un pēc kompensācijas līguma noslēgšanas</w:t>
            </w:r>
            <w:r w:rsidRPr="004D773D">
              <w:rPr>
                <w:rFonts w:eastAsia="Calibri"/>
              </w:rPr>
              <w:t xml:space="preserve">. Informāciju par </w:t>
            </w:r>
            <w:r w:rsidRPr="004D773D">
              <w:rPr>
                <w:color w:val="000000" w:themeColor="text1"/>
              </w:rPr>
              <w:t xml:space="preserve"> ģimenes ārsta praksei</w:t>
            </w:r>
            <w:r w:rsidRPr="004D773D">
              <w:rPr>
                <w:rFonts w:eastAsia="Calibri"/>
              </w:rPr>
              <w:t xml:space="preserve"> </w:t>
            </w:r>
            <w:r w:rsidRPr="004D773D">
              <w:rPr>
                <w:color w:val="000000" w:themeColor="text1"/>
              </w:rPr>
              <w:t xml:space="preserve"> iepriekšējo 12 mēnešu periodā izmaksāt</w:t>
            </w:r>
            <w:r>
              <w:rPr>
                <w:color w:val="000000" w:themeColor="text1"/>
              </w:rPr>
              <w:t>o</w:t>
            </w:r>
            <w:r w:rsidRPr="004D773D">
              <w:rPr>
                <w:color w:val="000000" w:themeColor="text1"/>
              </w:rPr>
              <w:t xml:space="preserve"> un </w:t>
            </w:r>
            <w:r>
              <w:rPr>
                <w:color w:val="000000" w:themeColor="text1"/>
              </w:rPr>
              <w:t xml:space="preserve">NVD </w:t>
            </w:r>
            <w:r w:rsidRPr="004D773D">
              <w:rPr>
                <w:color w:val="000000" w:themeColor="text1"/>
              </w:rPr>
              <w:t>samaksāt</w:t>
            </w:r>
            <w:r>
              <w:rPr>
                <w:color w:val="000000" w:themeColor="text1"/>
              </w:rPr>
              <w:t>o</w:t>
            </w:r>
            <w:r w:rsidRPr="004D773D">
              <w:rPr>
                <w:color w:val="000000" w:themeColor="text1"/>
              </w:rPr>
              <w:t xml:space="preserve"> ikmēneša summ</w:t>
            </w:r>
            <w:r>
              <w:rPr>
                <w:color w:val="000000" w:themeColor="text1"/>
              </w:rPr>
              <w:t>u</w:t>
            </w:r>
            <w:r w:rsidR="00343908" w:rsidRPr="004D773D">
              <w:rPr>
                <w:rFonts w:eastAsia="Calibri"/>
              </w:rPr>
              <w:t xml:space="preserve"> </w:t>
            </w:r>
            <w:r>
              <w:rPr>
                <w:rFonts w:eastAsia="Calibri"/>
              </w:rPr>
              <w:t>sniedz NVD</w:t>
            </w:r>
            <w:r w:rsidR="00E10908">
              <w:rPr>
                <w:rFonts w:eastAsia="Calibri"/>
              </w:rPr>
              <w:t>. S</w:t>
            </w:r>
            <w:r w:rsidR="00343908" w:rsidRPr="004D773D">
              <w:rPr>
                <w:rFonts w:eastAsia="Calibri"/>
              </w:rPr>
              <w:t xml:space="preserve">arunās ar nozares </w:t>
            </w:r>
            <w:r w:rsidR="00E10908">
              <w:rPr>
                <w:rFonts w:eastAsia="Calibri"/>
              </w:rPr>
              <w:t xml:space="preserve">speciālistiem iepriekš minētais </w:t>
            </w:r>
            <w:r w:rsidR="00E10908" w:rsidRPr="00E10908">
              <w:rPr>
                <w:rFonts w:eastAsia="Calibri"/>
              </w:rPr>
              <w:t>kompensācijas apmērs</w:t>
            </w:r>
            <w:r w:rsidR="00343908" w:rsidRPr="00E10908">
              <w:rPr>
                <w:rFonts w:eastAsia="Calibri"/>
              </w:rPr>
              <w:t xml:space="preserve"> </w:t>
            </w:r>
            <w:r w:rsidR="00E10908" w:rsidRPr="00E10908">
              <w:rPr>
                <w:rFonts w:eastAsia="Calibri"/>
              </w:rPr>
              <w:t>vērtēts kā optimāls,</w:t>
            </w:r>
            <w:r w:rsidR="00343908" w:rsidRPr="00E10908">
              <w:rPr>
                <w:rFonts w:eastAsia="Calibri"/>
              </w:rPr>
              <w:t xml:space="preserve"> lai motivētu </w:t>
            </w:r>
            <w:r w:rsidR="00E10908" w:rsidRPr="00E10908">
              <w:rPr>
                <w:rFonts w:eastAsia="Calibri"/>
              </w:rPr>
              <w:t xml:space="preserve">ģimenes ārstu pirms prakses nodošanas veikt </w:t>
            </w:r>
            <w:r w:rsidR="00E10908" w:rsidRPr="00E10908">
              <w:rPr>
                <w:lang w:eastAsia="lv-LV"/>
              </w:rPr>
              <w:t xml:space="preserve"> specifisko zināšanu, informācijas un pieredzes nodošanu jaunajam speciālistam, kas veicinātu pēctecīgu un mērķtiecīgu primārās veselības aprūpes pakalpojumu sniegšanu iedzīvotājiem.</w:t>
            </w:r>
            <w:r w:rsidR="00A35383">
              <w:rPr>
                <w:lang w:eastAsia="lv-LV"/>
              </w:rPr>
              <w:t xml:space="preserve"> </w:t>
            </w:r>
            <w:r w:rsidR="00A35383">
              <w:rPr>
                <w:rFonts w:eastAsia="Calibri"/>
              </w:rPr>
              <w:t xml:space="preserve"> </w:t>
            </w:r>
            <w:r w:rsidR="0060011E">
              <w:rPr>
                <w:i/>
              </w:rPr>
              <w:t xml:space="preserve"> </w:t>
            </w:r>
            <w:r w:rsidR="0060011E" w:rsidRPr="0060011E">
              <w:rPr>
                <w:iCs/>
              </w:rPr>
              <w:t xml:space="preserve">Piemēram, ja ģimenes ārstam, kurš nodod ģimenes ārsts praksi, NVD pēdējos 12 mēnešos ir izmaksājis un samaksājis 30 000 </w:t>
            </w:r>
            <w:proofErr w:type="spellStart"/>
            <w:r w:rsidR="0060011E" w:rsidRPr="0060011E">
              <w:rPr>
                <w:i/>
              </w:rPr>
              <w:t>euro</w:t>
            </w:r>
            <w:proofErr w:type="spellEnd"/>
            <w:r w:rsidR="0060011E" w:rsidRPr="0060011E">
              <w:rPr>
                <w:iCs/>
              </w:rPr>
              <w:t xml:space="preserve">, tad par trīs mēnešiem ģimenes ārsts, kurš nodod ģimenes ārsta praksi, pēc kompensācijas </w:t>
            </w:r>
            <w:r w:rsidR="0060011E" w:rsidRPr="0060011E">
              <w:rPr>
                <w:iCs/>
              </w:rPr>
              <w:lastRenderedPageBreak/>
              <w:t xml:space="preserve">līguma noslēgšanas saņems kompensāciju par specifisko zināšanu, informācijas un pieredzes nodošanu 3750 </w:t>
            </w:r>
            <w:proofErr w:type="spellStart"/>
            <w:r w:rsidR="0060011E" w:rsidRPr="0060011E">
              <w:rPr>
                <w:i/>
              </w:rPr>
              <w:t>euro</w:t>
            </w:r>
            <w:proofErr w:type="spellEnd"/>
            <w:r w:rsidR="0060011E" w:rsidRPr="0060011E">
              <w:rPr>
                <w:iCs/>
              </w:rPr>
              <w:t xml:space="preserve"> apmērā.</w:t>
            </w:r>
          </w:p>
          <w:p w14:paraId="443E58C4" w14:textId="2E3374B8" w:rsidR="004D773D" w:rsidRPr="006D066D" w:rsidRDefault="00E10908" w:rsidP="006D066D">
            <w:pPr>
              <w:pStyle w:val="ListParagraph"/>
              <w:numPr>
                <w:ilvl w:val="1"/>
                <w:numId w:val="2"/>
              </w:numPr>
              <w:ind w:right="86"/>
              <w:jc w:val="both"/>
              <w:rPr>
                <w:lang w:eastAsia="lv-LV"/>
              </w:rPr>
            </w:pPr>
            <w:r w:rsidRPr="00E10908">
              <w:rPr>
                <w:color w:val="000000" w:themeColor="text1"/>
              </w:rPr>
              <w:t xml:space="preserve">ikmēneša kompensācija ģimenes ārstam, kurš pārņem ģimenes ārsta praksi, trīs mēnešus ir </w:t>
            </w:r>
            <w:r w:rsidRPr="00E10908">
              <w:t xml:space="preserve"> </w:t>
            </w:r>
            <w:r w:rsidR="00805C2D">
              <w:t xml:space="preserve">vienas </w:t>
            </w:r>
            <w:r w:rsidRPr="00E10908">
              <w:t>ārstniecības personas amata kvalifikācijas kategorijai noteiktajā zemākās mēnešalgas apmērā</w:t>
            </w:r>
            <w:r w:rsidRPr="00E10908">
              <w:rPr>
                <w:color w:val="000000" w:themeColor="text1"/>
              </w:rPr>
              <w:t xml:space="preserve"> saskaņā ar </w:t>
            </w:r>
            <w:r w:rsidRPr="00E10908">
              <w:t xml:space="preserve"> MK noteikumiem Nr.851</w:t>
            </w:r>
            <w:r w:rsidRPr="00E10908">
              <w:rPr>
                <w:color w:val="000000" w:themeColor="text1"/>
              </w:rPr>
              <w:t>, kuru izmaksā pēc kompensācijas līguma noslēgšanas</w:t>
            </w:r>
            <w:r w:rsidRPr="00E10908">
              <w:rPr>
                <w:rFonts w:eastAsia="Calibri"/>
              </w:rPr>
              <w:t xml:space="preserve">. </w:t>
            </w:r>
            <w:r w:rsidR="004E0586">
              <w:rPr>
                <w:i/>
              </w:rPr>
              <w:t xml:space="preserve"> </w:t>
            </w:r>
            <w:r w:rsidR="004E0586" w:rsidRPr="004E0586">
              <w:rPr>
                <w:iCs/>
              </w:rPr>
              <w:t xml:space="preserve">Piemēram, ja sertificēta ārsta minimālā mēnešalga saskaņā ar MK noteikumiem Nr. 851 ir 1187 </w:t>
            </w:r>
            <w:proofErr w:type="spellStart"/>
            <w:r w:rsidR="004E0586" w:rsidRPr="004E0586">
              <w:rPr>
                <w:i/>
              </w:rPr>
              <w:t>euro</w:t>
            </w:r>
            <w:proofErr w:type="spellEnd"/>
            <w:r w:rsidR="004E0586" w:rsidRPr="004E0586">
              <w:rPr>
                <w:iCs/>
              </w:rPr>
              <w:t xml:space="preserve">, tad par trīs mēnešiem ģimenes ārsts, kurš pārņem ģimenes ārsta praksi, pēc kompensācijas līguma noslēgšanas saņems kompensāciju par specifisko zināšanu, informācijas un pieredzes pārņemšanu 3561 </w:t>
            </w:r>
            <w:proofErr w:type="spellStart"/>
            <w:r w:rsidR="004E0586" w:rsidRPr="004E0586">
              <w:rPr>
                <w:i/>
              </w:rPr>
              <w:t>euro</w:t>
            </w:r>
            <w:proofErr w:type="spellEnd"/>
            <w:r w:rsidR="004E0586" w:rsidRPr="004E0586">
              <w:rPr>
                <w:iCs/>
              </w:rPr>
              <w:t xml:space="preserve"> apmērā.</w:t>
            </w:r>
          </w:p>
          <w:p w14:paraId="31DC0B65" w14:textId="29CFC380" w:rsidR="00343908" w:rsidRPr="004A6791" w:rsidRDefault="00343908" w:rsidP="00D46E0B">
            <w:pPr>
              <w:pStyle w:val="naiskr"/>
              <w:spacing w:before="40" w:beforeAutospacing="0" w:after="40" w:afterAutospacing="0"/>
              <w:ind w:left="57" w:right="57" w:firstLine="284"/>
              <w:jc w:val="both"/>
            </w:pPr>
            <w:r w:rsidRPr="004A6791">
              <w:rPr>
                <w:iCs/>
              </w:rPr>
              <w:t>Ārstniecības</w:t>
            </w:r>
            <w:r w:rsidRPr="004A6791">
              <w:t xml:space="preserve"> persona katru </w:t>
            </w:r>
            <w:r w:rsidR="00AA2EE3">
              <w:t xml:space="preserve">kompensācijas </w:t>
            </w:r>
            <w:r w:rsidRPr="004A6791">
              <w:t xml:space="preserve">veidu var </w:t>
            </w:r>
            <w:r w:rsidR="004E0586">
              <w:t xml:space="preserve">saņemt </w:t>
            </w:r>
            <w:r w:rsidRPr="004A6791">
              <w:t>vienu reizi projekta īstenošanas periodā</w:t>
            </w:r>
            <w:r w:rsidR="00D46E0B" w:rsidRPr="004A6791">
              <w:t xml:space="preserve">. </w:t>
            </w:r>
            <w:r w:rsidR="00D44131">
              <w:t>Vienreizējā kompensācijas ārstniecības personām,</w:t>
            </w:r>
            <w:r w:rsidR="00D44131" w:rsidRPr="004A6791">
              <w:t xml:space="preserve"> kas sniedz </w:t>
            </w:r>
            <w:r w:rsidR="00D44131">
              <w:t>valsts apmaksātus veselības aprūpes</w:t>
            </w:r>
            <w:r w:rsidR="002B30CD">
              <w:t xml:space="preserve"> pakalpojumus</w:t>
            </w:r>
            <w:r w:rsidR="00D770AB">
              <w:t>,</w:t>
            </w:r>
            <w:r w:rsidR="00D44131">
              <w:t xml:space="preserve"> un papildu kompensācija ģimenes locekļiem ir uzskatāmas par vienu atbalsta veidu, līdz ar ko, ja ārstniecības persona ir saņēmusi vienreizējo kompensāciju ārstniecības personai, tad šī pati persona vairs nevar saņemt papildu kompensāciju kā citas ārstniecības personas laulātais un otrādi. Tāpat vairākas reizes nav iespējams saņemt papildu kompensāciju par vienu un to pašu bērnu vai citu Valsts ieņēmumu dienestā</w:t>
            </w:r>
            <w:r w:rsidR="00BB38A4">
              <w:t xml:space="preserve"> (turpmāk - VID)</w:t>
            </w:r>
            <w:r w:rsidR="00D44131">
              <w:t xml:space="preserve"> reģistrētu apgādībā esošu personu. </w:t>
            </w:r>
            <w:r w:rsidR="00BB38A4">
              <w:t>Par bērnu tiek uzskatīts Pilsonības un migrācijas lietu pārvaldes Iedzīvotāju reģistrā reģistrēts ārstniecības personas bērns vecumā līdz 18 gadiem. Papildu kompensāciju par bērnu var saņemt arī tad, ja bērns saskaņā ar VID datiem nav ārstniecības personas apgādībā. Ja bērns</w:t>
            </w:r>
            <w:r w:rsidR="006D066D">
              <w:t xml:space="preserve"> jau</w:t>
            </w:r>
            <w:r w:rsidR="00BB38A4">
              <w:t xml:space="preserve"> ir kļuvis pilngadīgs</w:t>
            </w:r>
            <w:r w:rsidR="006D066D">
              <w:t xml:space="preserve"> un saskaņā ar VID datiem ir ārstniecības personas apgādībā,</w:t>
            </w:r>
            <w:r w:rsidR="00BB38A4">
              <w:t xml:space="preserve"> tad ārstniecības persona var saņemt papildu kompensāciju par </w:t>
            </w:r>
            <w:r w:rsidR="006D066D">
              <w:t>apgādībā esošu personu.</w:t>
            </w:r>
            <w:r w:rsidR="00BB38A4">
              <w:t xml:space="preserve">  </w:t>
            </w:r>
          </w:p>
          <w:p w14:paraId="5196677D" w14:textId="452851BF" w:rsidR="00EF556F" w:rsidRPr="00EF556F" w:rsidRDefault="00343908" w:rsidP="00EF556F">
            <w:pPr>
              <w:pStyle w:val="tv213"/>
              <w:shd w:val="clear" w:color="auto" w:fill="FFFFFF"/>
              <w:spacing w:before="0" w:beforeAutospacing="0" w:after="0" w:afterAutospacing="0"/>
              <w:ind w:firstLine="301"/>
              <w:jc w:val="both"/>
              <w:rPr>
                <w:color w:val="000000" w:themeColor="text1"/>
              </w:rPr>
            </w:pPr>
            <w:r w:rsidRPr="004A6791">
              <w:rPr>
                <w:rFonts w:eastAsia="Calibri"/>
              </w:rPr>
              <w:t xml:space="preserve">Lai nodrošinātu ES fondu sniegtā atbalsta ilgtspēju, slēdzot līgumu ar ārstniecības personu par vienreizējās kompensācijas </w:t>
            </w:r>
            <w:r w:rsidR="006D066D">
              <w:rPr>
                <w:rFonts w:eastAsia="Calibri"/>
              </w:rPr>
              <w:t xml:space="preserve"> un vienreizējās uzturēšanās izmaksu kompensācijas </w:t>
            </w:r>
            <w:r w:rsidRPr="004A6791">
              <w:rPr>
                <w:rFonts w:eastAsia="Calibri"/>
              </w:rPr>
              <w:t>saņemšanu</w:t>
            </w:r>
            <w:r w:rsidR="006D066D">
              <w:rPr>
                <w:rFonts w:eastAsia="Calibri"/>
              </w:rPr>
              <w:t>,</w:t>
            </w:r>
            <w:r w:rsidRPr="004A6791">
              <w:rPr>
                <w:rFonts w:eastAsia="Calibri"/>
              </w:rPr>
              <w:t xml:space="preserve"> </w:t>
            </w:r>
            <w:r w:rsidRPr="004A6791">
              <w:rPr>
                <w:iCs/>
              </w:rPr>
              <w:t>tiks</w:t>
            </w:r>
            <w:r w:rsidRPr="004A6791">
              <w:rPr>
                <w:rFonts w:eastAsia="Calibri"/>
              </w:rPr>
              <w:t xml:space="preserve"> noteikts pienākums </w:t>
            </w:r>
            <w:r w:rsidR="006D066D" w:rsidRPr="004A6791">
              <w:rPr>
                <w:rFonts w:eastAsia="Calibri"/>
              </w:rPr>
              <w:t xml:space="preserve"> </w:t>
            </w:r>
            <w:r w:rsidRPr="004A6791">
              <w:rPr>
                <w:rFonts w:eastAsia="Calibri"/>
              </w:rPr>
              <w:t xml:space="preserve">ārstniecības personai </w:t>
            </w:r>
            <w:r w:rsidR="006D066D" w:rsidRPr="004A6791">
              <w:rPr>
                <w:rFonts w:eastAsia="Calibri"/>
              </w:rPr>
              <w:t xml:space="preserve"> pēc </w:t>
            </w:r>
            <w:r w:rsidR="006D066D">
              <w:rPr>
                <w:rFonts w:eastAsia="Calibri"/>
              </w:rPr>
              <w:t>kompensācijas</w:t>
            </w:r>
            <w:r w:rsidR="006D066D" w:rsidRPr="004A6791">
              <w:rPr>
                <w:rFonts w:eastAsia="Calibri"/>
              </w:rPr>
              <w:t xml:space="preserve"> saņemšanas</w:t>
            </w:r>
            <w:r w:rsidR="006D066D">
              <w:rPr>
                <w:rFonts w:eastAsia="Calibri"/>
              </w:rPr>
              <w:t xml:space="preserve"> </w:t>
            </w:r>
            <w:r w:rsidRPr="004A6791">
              <w:rPr>
                <w:rFonts w:eastAsia="Calibri"/>
              </w:rPr>
              <w:t>turpināt darbu attiecīgajā ārstniecības iestādē vismaz piecus gadu</w:t>
            </w:r>
            <w:r w:rsidR="006D066D">
              <w:rPr>
                <w:rFonts w:eastAsia="Calibri"/>
              </w:rPr>
              <w:t xml:space="preserve">s, sniedzot valsts apmaksātus </w:t>
            </w:r>
            <w:r w:rsidR="006D066D" w:rsidRPr="00EF556F">
              <w:rPr>
                <w:rFonts w:eastAsia="Calibri"/>
              </w:rPr>
              <w:t>veselības aprūpes pakalpojumus</w:t>
            </w:r>
            <w:r w:rsidR="00215774" w:rsidRPr="00EF556F">
              <w:rPr>
                <w:rFonts w:eastAsia="Calibri"/>
              </w:rPr>
              <w:t xml:space="preserve"> pilna laika slodzē</w:t>
            </w:r>
            <w:r w:rsidR="006D066D" w:rsidRPr="00EF556F">
              <w:rPr>
                <w:rFonts w:eastAsia="Calibri"/>
              </w:rPr>
              <w:t>.</w:t>
            </w:r>
            <w:r w:rsidR="00D46E0B" w:rsidRPr="00EF556F">
              <w:rPr>
                <w:rFonts w:eastAsia="Calibri"/>
              </w:rPr>
              <w:t xml:space="preserve"> </w:t>
            </w:r>
            <w:r w:rsidRPr="00EF556F">
              <w:rPr>
                <w:rFonts w:eastAsia="Calibri"/>
              </w:rPr>
              <w:t>Ja ārstniecības persona minēto nosacījumu neizpildīs, tad tai būs jāatmaksā saņemt</w:t>
            </w:r>
            <w:r w:rsidR="00AA2EE3" w:rsidRPr="00EF556F">
              <w:rPr>
                <w:rFonts w:eastAsia="Calibri"/>
              </w:rPr>
              <w:t>ā kompensācija</w:t>
            </w:r>
            <w:r w:rsidRPr="00EF556F">
              <w:rPr>
                <w:rFonts w:eastAsia="Calibri"/>
              </w:rPr>
              <w:t xml:space="preserve"> proporcionāli </w:t>
            </w:r>
            <w:r w:rsidR="006D066D" w:rsidRPr="00EF556F">
              <w:rPr>
                <w:rFonts w:eastAsia="Calibri"/>
              </w:rPr>
              <w:t>ne</w:t>
            </w:r>
            <w:r w:rsidRPr="00EF556F">
              <w:rPr>
                <w:rFonts w:eastAsia="Calibri"/>
              </w:rPr>
              <w:t>nostrādātajam laikam</w:t>
            </w:r>
            <w:r w:rsidR="00D46E0B" w:rsidRPr="00EF556F">
              <w:rPr>
                <w:rFonts w:eastAsia="Calibri"/>
              </w:rPr>
              <w:t xml:space="preserve">. </w:t>
            </w:r>
            <w:r w:rsidR="00960047" w:rsidRPr="00EF556F">
              <w:rPr>
                <w:color w:val="000000" w:themeColor="text1"/>
              </w:rPr>
              <w:t xml:space="preserve"> Finansējuma saņēmējs atgūst šo noteikumu 16.1. un 16.2. apakšpunktā minēto kompensāciju proporcionāli nenostrādātajam laikam, ja ārstniecības persona pirms termiņa lauž šo noteikumu 18.</w:t>
            </w:r>
            <w:r w:rsidR="006A2EDB">
              <w:rPr>
                <w:color w:val="000000" w:themeColor="text1"/>
              </w:rPr>
              <w:t>2</w:t>
            </w:r>
            <w:r w:rsidR="006A2EDB" w:rsidRPr="00EF556F">
              <w:rPr>
                <w:color w:val="000000" w:themeColor="text1"/>
              </w:rPr>
              <w:t xml:space="preserve"> </w:t>
            </w:r>
            <w:r w:rsidR="00960047" w:rsidRPr="00EF556F">
              <w:rPr>
                <w:color w:val="000000" w:themeColor="text1"/>
              </w:rPr>
              <w:t xml:space="preserve">apakšpunktā minētos darba līgumus un kompensācijas līgumu vai darba attiecību pārtraukums vai laiks, kad netiek pildīti kompensācijas līguma </w:t>
            </w:r>
            <w:r w:rsidR="00960047" w:rsidRPr="00EF556F">
              <w:rPr>
                <w:color w:val="000000" w:themeColor="text1"/>
              </w:rPr>
              <w:lastRenderedPageBreak/>
              <w:t>nosacījumi, pārsniedz trīs mēnešus piecu gadu periodā</w:t>
            </w:r>
            <w:r w:rsidR="006814A6">
              <w:rPr>
                <w:color w:val="000000" w:themeColor="text1"/>
              </w:rPr>
              <w:t xml:space="preserve">, </w:t>
            </w:r>
            <w:r w:rsidR="006814A6">
              <w:t xml:space="preserve"> uzskaitot nenostrādāto stundu skaitu līdz tas sasniedz 3 mēnešus</w:t>
            </w:r>
            <w:r w:rsidR="006814A6">
              <w:rPr>
                <w:color w:val="000000" w:themeColor="text1"/>
              </w:rPr>
              <w:t xml:space="preserve"> un pieņemot, ka vienam mēnesim pielīdzināmas  167 darba stundas. </w:t>
            </w:r>
            <w:r w:rsidR="007E0932">
              <w:rPr>
                <w:color w:val="000000" w:themeColor="text1"/>
              </w:rPr>
              <w:t>Šo noteikumu 16.1.apakšpunktā minētā kompensācija atgūstama proporcionāli nenostrādātajām dienām</w:t>
            </w:r>
            <w:r w:rsidR="00DD69D8">
              <w:rPr>
                <w:color w:val="000000" w:themeColor="text1"/>
              </w:rPr>
              <w:t xml:space="preserve"> no kompensācijas līguma 5 gadu darbības laika</w:t>
            </w:r>
            <w:r w:rsidR="007E0932">
              <w:rPr>
                <w:color w:val="000000" w:themeColor="text1"/>
              </w:rPr>
              <w:t xml:space="preserve">, savukārt šo noteikumu 16.2.apakšpunktā minētā kompensācija atgūstama proporcionāli nenostrādātajiem mēnešiem, par </w:t>
            </w:r>
            <w:r w:rsidR="007E0932">
              <w:t xml:space="preserve">kuriem kompensācijas saņēmējs nav bijis tiesīgs saņemt ikmēneša uzturēšanās </w:t>
            </w:r>
            <w:r w:rsidR="007E0932" w:rsidRPr="006814A6">
              <w:t>izmaksu kompensāciju</w:t>
            </w:r>
            <w:r w:rsidR="00DD69D8" w:rsidRPr="006814A6">
              <w:t xml:space="preserve"> (</w:t>
            </w:r>
            <w:r w:rsidR="006814A6" w:rsidRPr="006814A6">
              <w:t xml:space="preserve">piemēram, ja kompensācijas saņēmējs lauž kompensācijas līgumu pēc 7 nostrādātajiem mēnešiem pēc kompensācijas līguma noslēgšanas, tad kompensācijas saņēmējam ir pienākums atmaksāt uzturēšanās izmaksu kompensāciju par atlikušajiem 5 mēnešiem no 12 mēnešu perioda, kas kopā sastāda 1500 </w:t>
            </w:r>
            <w:proofErr w:type="spellStart"/>
            <w:r w:rsidR="006814A6" w:rsidRPr="006814A6">
              <w:rPr>
                <w:i/>
                <w:iCs/>
              </w:rPr>
              <w:t>euro</w:t>
            </w:r>
            <w:proofErr w:type="spellEnd"/>
            <w:r w:rsidR="00DD69D8" w:rsidRPr="006814A6">
              <w:t>)</w:t>
            </w:r>
            <w:r w:rsidR="007E0932" w:rsidRPr="006814A6">
              <w:t>.</w:t>
            </w:r>
            <w:r w:rsidR="007E0932">
              <w:t xml:space="preserve"> </w:t>
            </w:r>
            <w:r w:rsidR="00960047" w:rsidRPr="00EF556F">
              <w:rPr>
                <w:color w:val="000000" w:themeColor="text1"/>
              </w:rPr>
              <w:t xml:space="preserve"> </w:t>
            </w:r>
            <w:r w:rsidR="00EF556F" w:rsidRPr="00EF556F">
              <w:rPr>
                <w:color w:val="000000" w:themeColor="text1"/>
              </w:rPr>
              <w:t>Finansējuma saņēmējs atgūst šo noteikumu 17.punktā minētās izmaksātās kompensācijas ārstniecības personām, ja nav noslēgusies ģimenes ārsta prakses pārņemšana un notikusi specifisko zināšanu, informācijas un pieredzes nodošana kopīgā šo noteikumu 17.1. un 17.2. apakšpunktos minēto ģimenes ārstu sadarbībā 3 mēnešu garumā.</w:t>
            </w:r>
            <w:r w:rsidR="00C115D1">
              <w:rPr>
                <w:color w:val="000000" w:themeColor="text1"/>
              </w:rPr>
              <w:t xml:space="preserve"> Ģimenes ārsta prakses pārņemšanas process </w:t>
            </w:r>
            <w:r w:rsidR="00E42E20">
              <w:rPr>
                <w:color w:val="000000" w:themeColor="text1"/>
              </w:rPr>
              <w:t>uzskatāms</w:t>
            </w:r>
            <w:r w:rsidR="00C115D1">
              <w:rPr>
                <w:color w:val="000000" w:themeColor="text1"/>
              </w:rPr>
              <w:t xml:space="preserve"> </w:t>
            </w:r>
            <w:r w:rsidR="00E42E20">
              <w:rPr>
                <w:color w:val="000000" w:themeColor="text1"/>
              </w:rPr>
              <w:t xml:space="preserve">par </w:t>
            </w:r>
            <w:r w:rsidR="00C115D1">
              <w:rPr>
                <w:color w:val="000000" w:themeColor="text1"/>
              </w:rPr>
              <w:t>noslē</w:t>
            </w:r>
            <w:r w:rsidR="00E42E20">
              <w:rPr>
                <w:color w:val="000000" w:themeColor="text1"/>
              </w:rPr>
              <w:t>gušos</w:t>
            </w:r>
            <w:r w:rsidR="00C115D1">
              <w:rPr>
                <w:color w:val="000000" w:themeColor="text1"/>
              </w:rPr>
              <w:t xml:space="preserve"> pēc apliecinājuma par ģimenes ārsta prakses </w:t>
            </w:r>
            <w:r w:rsidR="00E42E20">
              <w:rPr>
                <w:color w:val="000000" w:themeColor="text1"/>
              </w:rPr>
              <w:t xml:space="preserve">pārņemšanu abpusējas aizpildīšanas, ko var aizpildīt tikai pēc kopīgas </w:t>
            </w:r>
            <w:r w:rsidR="00E42E20" w:rsidRPr="00EF556F">
              <w:rPr>
                <w:color w:val="000000" w:themeColor="text1"/>
              </w:rPr>
              <w:t xml:space="preserve"> ģimenes ārstu sadarbīb</w:t>
            </w:r>
            <w:r w:rsidR="00E42E20">
              <w:rPr>
                <w:color w:val="000000" w:themeColor="text1"/>
              </w:rPr>
              <w:t>as</w:t>
            </w:r>
            <w:r w:rsidR="00E42E20" w:rsidRPr="00EF556F">
              <w:rPr>
                <w:color w:val="000000" w:themeColor="text1"/>
              </w:rPr>
              <w:t xml:space="preserve"> 3 mēnešu garumā</w:t>
            </w:r>
            <w:r w:rsidR="00E42E20">
              <w:rPr>
                <w:color w:val="000000" w:themeColor="text1"/>
              </w:rPr>
              <w:t xml:space="preserve"> un pēc tam, kad jauna</w:t>
            </w:r>
            <w:r w:rsidR="00D770AB">
              <w:rPr>
                <w:color w:val="000000" w:themeColor="text1"/>
              </w:rPr>
              <w:t>i</w:t>
            </w:r>
            <w:r w:rsidR="00E42E20">
              <w:rPr>
                <w:color w:val="000000" w:themeColor="text1"/>
              </w:rPr>
              <w:t>s ģimenes ārsts noslēdzis līgumu ar Nacionālo veselības dienestu par primārās veselības aprūpes pakalpojum sniegšanu un apmaksu.</w:t>
            </w:r>
          </w:p>
          <w:p w14:paraId="7966ED13" w14:textId="120CFDDB" w:rsidR="00960047" w:rsidRPr="00EF556F" w:rsidRDefault="00960047" w:rsidP="00EF556F">
            <w:pPr>
              <w:pStyle w:val="tv213"/>
              <w:shd w:val="clear" w:color="auto" w:fill="FFFFFF"/>
              <w:spacing w:before="0" w:beforeAutospacing="0" w:after="0" w:afterAutospacing="0"/>
              <w:ind w:firstLine="301"/>
              <w:jc w:val="both"/>
              <w:rPr>
                <w:color w:val="000000" w:themeColor="text1"/>
              </w:rPr>
            </w:pPr>
            <w:r w:rsidRPr="00EF556F">
              <w:rPr>
                <w:color w:val="000000" w:themeColor="text1"/>
              </w:rPr>
              <w:t>Atgūto finansējumu var atkārtoti izmantot projekta īstenošanai.</w:t>
            </w:r>
          </w:p>
          <w:p w14:paraId="336BBCD2" w14:textId="7CA1FB9E" w:rsidR="00564E02" w:rsidRPr="00960047" w:rsidRDefault="006D066D" w:rsidP="00960047">
            <w:pPr>
              <w:pStyle w:val="naiskr"/>
              <w:spacing w:before="0" w:beforeAutospacing="0" w:after="0" w:afterAutospacing="0"/>
              <w:ind w:left="57" w:right="57" w:firstLine="284"/>
              <w:jc w:val="both"/>
              <w:rPr>
                <w:rFonts w:eastAsia="Calibri"/>
              </w:rPr>
            </w:pPr>
            <w:r w:rsidRPr="00EF556F">
              <w:rPr>
                <w:rFonts w:eastAsia="Calibri"/>
              </w:rPr>
              <w:t>Uzturēšanās izmaksu kompensācija pēc 12 mēnešu kompensācijas līguma nosacījumu</w:t>
            </w:r>
            <w:r w:rsidRPr="00960047">
              <w:rPr>
                <w:rFonts w:eastAsia="Calibri"/>
              </w:rPr>
              <w:t xml:space="preserve"> izpildes </w:t>
            </w:r>
            <w:r w:rsidR="00416377" w:rsidRPr="00960047">
              <w:rPr>
                <w:rFonts w:eastAsia="Calibri"/>
              </w:rPr>
              <w:t xml:space="preserve">nav atgūstama. </w:t>
            </w:r>
          </w:p>
          <w:p w14:paraId="78F344A3" w14:textId="7918BD6F" w:rsidR="00215774" w:rsidRPr="00EF556F" w:rsidRDefault="00215774" w:rsidP="00EF556F">
            <w:pPr>
              <w:pStyle w:val="tv213"/>
              <w:shd w:val="clear" w:color="auto" w:fill="FFFFFF"/>
              <w:spacing w:before="0" w:beforeAutospacing="0" w:after="0" w:afterAutospacing="0"/>
              <w:ind w:firstLine="300"/>
              <w:jc w:val="both"/>
              <w:rPr>
                <w:color w:val="000000" w:themeColor="text1"/>
              </w:rPr>
            </w:pPr>
            <w:r w:rsidRPr="00960047">
              <w:rPr>
                <w:color w:val="000000" w:themeColor="text1"/>
              </w:rPr>
              <w:t>Lai kontrolētu valsts apmaksāto veselības aprūpes pakalpojumu sniegšanu pilna laika slodzē atbalstāmajā iestādē piecus gadus pēc kompensācijas līguma noslēgšanas,  atbalstāmās iestādes</w:t>
            </w:r>
            <w:r w:rsidR="006A2EDB">
              <w:rPr>
                <w:color w:val="000000" w:themeColor="text1"/>
              </w:rPr>
              <w:t>,</w:t>
            </w:r>
            <w:r w:rsidRPr="00960047">
              <w:rPr>
                <w:color w:val="000000" w:themeColor="text1"/>
              </w:rPr>
              <w:t xml:space="preserve"> kuras saņēmušas valsts atbalstu šo noteikumu 13.3. apakšpunktā minētās atbalstāmās darbības ietvaros, un NMPD pēc Veselības ministrijas pieprasījuma sniedz informāciju par ārstniecības personas darba apjomu valsts apmaksāto veselības aprūpes pakalpojumu sniegšanā. Ja atbalstāmās stacionārās ārstniecības iestādes izbeidz ārstniecības personas (kompensācijas saņēmēja </w:t>
            </w:r>
            <w:r w:rsidR="00D770AB">
              <w:rPr>
                <w:color w:val="000000" w:themeColor="text1"/>
              </w:rPr>
              <w:t>–</w:t>
            </w:r>
            <w:r w:rsidRPr="00960047">
              <w:rPr>
                <w:color w:val="000000" w:themeColor="text1"/>
              </w:rPr>
              <w:t xml:space="preserve"> medicīnas māsas, māsas palīga) darba līgumu darbību vai samazina ārstniecības personas darba apjomu</w:t>
            </w:r>
            <w:r w:rsidR="00D770AB">
              <w:rPr>
                <w:color w:val="000000" w:themeColor="text1"/>
              </w:rPr>
              <w:t xml:space="preserve"> valsts apmaksāto veselības aprūpes pakalpojumu sniegšanā</w:t>
            </w:r>
            <w:r w:rsidRPr="00960047">
              <w:rPr>
                <w:color w:val="000000" w:themeColor="text1"/>
              </w:rPr>
              <w:t>, ārstniecības personai (kompensācijas saņēmējam – medicīnas māsai, māsas palīgam) ir tiesības turpināt darbu atbalstāmajā specialitātē citā atbalstāmajā iestādē, kas atbilst 18.</w:t>
            </w:r>
            <w:r w:rsidR="006A2EDB">
              <w:rPr>
                <w:color w:val="000000" w:themeColor="text1"/>
              </w:rPr>
              <w:t>2</w:t>
            </w:r>
            <w:r w:rsidRPr="00960047">
              <w:rPr>
                <w:color w:val="000000" w:themeColor="text1"/>
              </w:rPr>
              <w:t>.1. apakšpunkta nosacījumiem, vienlaikus ievērojot 18.</w:t>
            </w:r>
            <w:r w:rsidR="006A2EDB">
              <w:rPr>
                <w:color w:val="000000" w:themeColor="text1"/>
              </w:rPr>
              <w:t>3</w:t>
            </w:r>
            <w:r w:rsidRPr="00960047">
              <w:rPr>
                <w:color w:val="000000" w:themeColor="text1"/>
              </w:rPr>
              <w:t xml:space="preserve">. apakšpunktā minēto. Ņemot vērā, ka kompensācijas saņēmēji - ārsta palīgi,  saskaņā ar šo noteikumu </w:t>
            </w:r>
            <w:r w:rsidR="00960047" w:rsidRPr="00960047">
              <w:rPr>
                <w:color w:val="000000" w:themeColor="text1"/>
              </w:rPr>
              <w:t>18.</w:t>
            </w:r>
            <w:r w:rsidR="006A2EDB">
              <w:rPr>
                <w:color w:val="000000" w:themeColor="text1"/>
              </w:rPr>
              <w:t>2</w:t>
            </w:r>
            <w:r w:rsidR="00960047" w:rsidRPr="00960047">
              <w:rPr>
                <w:color w:val="000000" w:themeColor="text1"/>
              </w:rPr>
              <w:t xml:space="preserve">.2.apakšpunktu var tikt nodarbināti tikai NMPD, tad kompensācijas saņēmējam - ārsta palīgam, nav </w:t>
            </w:r>
            <w:r w:rsidR="00960047" w:rsidRPr="00960047">
              <w:rPr>
                <w:color w:val="000000" w:themeColor="text1"/>
              </w:rPr>
              <w:lastRenderedPageBreak/>
              <w:t>iespējams turpināt darbu citā atbalstāmajā iestādē, taču kompensācijas saņēmējam, saskaņojot to ar darba devēju (NMPD) ir tiesības projekta ietvaros turpināt darbu citā NMPD brigāžu atbalsta centrā Rīgā vai izpildīt darba līgumā noteikto darba slodzes apjomu, sniedzot neatliekamo medicīnisko palīdzību vairākos NMPD brigāžu atbalsta centros Rīgā.</w:t>
            </w:r>
          </w:p>
          <w:p w14:paraId="6FA39D50" w14:textId="1331CE14" w:rsidR="00416377" w:rsidRPr="004A6791" w:rsidRDefault="00416377" w:rsidP="00416377">
            <w:pPr>
              <w:pStyle w:val="naiskr"/>
              <w:spacing w:before="40" w:beforeAutospacing="0" w:after="40" w:afterAutospacing="0"/>
              <w:ind w:left="57" w:right="57" w:firstLine="284"/>
              <w:jc w:val="both"/>
            </w:pPr>
            <w:r w:rsidRPr="004A6791">
              <w:t xml:space="preserve">Lai nodrošinātu, ka sniegtais atbalsts tiek izmantots lietderīgi un </w:t>
            </w:r>
            <w:r w:rsidRPr="004A6791">
              <w:rPr>
                <w:iCs/>
              </w:rPr>
              <w:t>sniedz</w:t>
            </w:r>
            <w:r w:rsidRPr="004A6791">
              <w:t xml:space="preserve"> pozitīvu ietekmi veselības aprūpes pakalpojumu pieejamības uzlabošan</w:t>
            </w:r>
            <w:r w:rsidR="00B21A91">
              <w:t>ai</w:t>
            </w:r>
            <w:r w:rsidRPr="004A6791">
              <w:t xml:space="preserve"> </w:t>
            </w:r>
            <w:r w:rsidR="00B21A91">
              <w:t>sabiedrības veselības krīžu novēršanai</w:t>
            </w:r>
            <w:r w:rsidRPr="004A6791">
              <w:t xml:space="preserve">, tiks izveidota specifiskā atbalsta </w:t>
            </w:r>
            <w:r w:rsidRPr="004A6791">
              <w:rPr>
                <w:u w:val="single"/>
              </w:rPr>
              <w:t>konsultatīvā darba grupa</w:t>
            </w:r>
            <w:bookmarkStart w:id="11" w:name="x__Ref463427018"/>
            <w:r w:rsidR="00B21A91">
              <w:t xml:space="preserve">. </w:t>
            </w:r>
            <w:r w:rsidRPr="004A6791">
              <w:t>Konsultatīvā</w:t>
            </w:r>
            <w:r w:rsidR="00B21A91">
              <w:t xml:space="preserve"> </w:t>
            </w:r>
            <w:r w:rsidRPr="004A6791">
              <w:t>darba grupa</w:t>
            </w:r>
            <w:r w:rsidR="00B31D51">
              <w:t>s</w:t>
            </w:r>
            <w:r w:rsidR="00B21A91">
              <w:t xml:space="preserve"> </w:t>
            </w:r>
            <w:r w:rsidR="00B31D51">
              <w:t xml:space="preserve">funkcijas </w:t>
            </w:r>
            <w:r w:rsidR="00B21A91">
              <w:t xml:space="preserve">administratīvā sloga mazināšanai un lietderības motīvu vadīta </w:t>
            </w:r>
            <w:r w:rsidR="00B31D51">
              <w:t xml:space="preserve">veiks </w:t>
            </w:r>
            <w:r w:rsidR="009D21F1">
              <w:t>9.2.5. SA</w:t>
            </w:r>
            <w:r w:rsidR="00B31D51">
              <w:t>M</w:t>
            </w:r>
            <w:r w:rsidR="009D21F1" w:rsidRPr="00B21A91">
              <w:t> </w:t>
            </w:r>
            <w:r w:rsidR="009D21F1">
              <w:t xml:space="preserve"> </w:t>
            </w:r>
            <w:r w:rsidR="00B21A91">
              <w:t>konsultatīv</w:t>
            </w:r>
            <w:r w:rsidR="00B31D51">
              <w:t>ā</w:t>
            </w:r>
            <w:r w:rsidR="00B21A91">
              <w:t xml:space="preserve"> darba grup</w:t>
            </w:r>
            <w:r w:rsidR="00B31D51">
              <w:t>a</w:t>
            </w:r>
            <w:r w:rsidR="00B21A91">
              <w:t xml:space="preserve"> cilvēkresursu piesaistei reģioniem, mainot tās nosaukumu un nepieciešamības gadījumā darba grupas locekļu sastāvu. </w:t>
            </w:r>
            <w:bookmarkEnd w:id="11"/>
            <w:r w:rsidRPr="004A6791">
              <w:t>Ņemot vērā likuma “</w:t>
            </w:r>
            <w:r w:rsidRPr="004A6791">
              <w:rPr>
                <w:i/>
              </w:rPr>
              <w:t>Par interešu konflikta novēršanu valsts amatpersonu darbībā</w:t>
            </w:r>
            <w:r w:rsidRPr="004A6791">
              <w:t>” 4.panta 2</w:t>
            </w:r>
            <w:r w:rsidRPr="004A6791">
              <w:rPr>
                <w:vertAlign w:val="superscript"/>
              </w:rPr>
              <w:t>2</w:t>
            </w:r>
            <w:r w:rsidRPr="004A6791">
              <w:t xml:space="preserve"> daļā noteikto, ka par valsts amatpersonām uzskatāmas tās personas, kuras, pildot amata pienākumus ES vai ārvalstu finanšu atbalsta vadībā iesaistītajās institūcijās, veic vismaz vienu no šādām darbībām: 1) pilda uzraudzības, kontroles vai sodīšanas funkcijas attiecībā uz personām, kuras nav to tiešā vai netiešā pakļautībā; 2) pieņem lēmumu par iesniegto projektu vai projekta iesniegumu; 3)</w:t>
            </w:r>
            <w:r w:rsidRPr="004A6791">
              <w:rPr>
                <w:u w:val="single"/>
              </w:rPr>
              <w:t xml:space="preserve"> pieņem tādu lēmumu, kas skar piešķirtā finanšu atbalsta izlietojumu, k</w:t>
            </w:r>
            <w:r w:rsidRPr="004A6791">
              <w:t xml:space="preserve">onsultatīvās darba grupas pastāvīgo locekļu ar balsstiesībām plānotā pienākuma - </w:t>
            </w:r>
            <w:r w:rsidRPr="004A6791">
              <w:rPr>
                <w:lang w:eastAsia="en-US"/>
              </w:rPr>
              <w:t xml:space="preserve">apstiprināt </w:t>
            </w:r>
            <w:r w:rsidRPr="004A6791">
              <w:t xml:space="preserve">atlasīto atbalstāmo ārstniecības personu sarakstu izpildei tiks noteikts, ka pastāvīgajiem locekļiem ar balsstiesībām  jābūt noteiktam valsts amatpersonas statusam. </w:t>
            </w:r>
          </w:p>
          <w:p w14:paraId="5F41498A" w14:textId="77777777" w:rsidR="00416377" w:rsidRDefault="00416377" w:rsidP="00416377">
            <w:pPr>
              <w:pStyle w:val="tv213"/>
              <w:shd w:val="clear" w:color="auto" w:fill="FFFFFF"/>
              <w:spacing w:before="0" w:beforeAutospacing="0" w:after="0" w:afterAutospacing="0"/>
              <w:ind w:firstLine="301"/>
              <w:jc w:val="both"/>
              <w:rPr>
                <w:rFonts w:eastAsia="Calibri"/>
                <w:lang w:bidi="lo-LA"/>
              </w:rPr>
            </w:pPr>
            <w:r w:rsidRPr="00416377">
              <w:rPr>
                <w:rFonts w:eastAsia="Calibri"/>
                <w:lang w:bidi="lo-LA"/>
              </w:rPr>
              <w:t>Projekta ietvaros līdz pretendentu atlases uzsākšanai tiks izstrādāta un konsultatīvajā darba grupā saskaņota kārtība, kādā veicama ārstniecības personu piesaiste, paredzot atbalsta saņemšanas nosacījumus, tai skaitā:</w:t>
            </w:r>
            <w:r>
              <w:rPr>
                <w:rFonts w:eastAsia="Calibri"/>
                <w:lang w:bidi="lo-LA"/>
              </w:rPr>
              <w:t xml:space="preserve"> </w:t>
            </w:r>
          </w:p>
          <w:p w14:paraId="13CF51B1" w14:textId="32BB8746" w:rsidR="00416377" w:rsidRPr="00416377" w:rsidRDefault="00416377" w:rsidP="00416377">
            <w:pPr>
              <w:pStyle w:val="tv213"/>
              <w:numPr>
                <w:ilvl w:val="0"/>
                <w:numId w:val="8"/>
              </w:numPr>
              <w:shd w:val="clear" w:color="auto" w:fill="FFFFFF"/>
              <w:spacing w:before="0" w:beforeAutospacing="0" w:after="0" w:afterAutospacing="0"/>
              <w:jc w:val="both"/>
              <w:rPr>
                <w:rFonts w:eastAsia="Calibri"/>
                <w:lang w:bidi="lo-LA"/>
              </w:rPr>
            </w:pPr>
            <w:r w:rsidRPr="00416377">
              <w:rPr>
                <w:rFonts w:eastAsia="Calibri"/>
                <w:lang w:bidi="lo-LA"/>
              </w:rPr>
              <w:t>informācijas izplatīšanas nosacījumus par kompensācijas saņemšanas iespējām;</w:t>
            </w:r>
          </w:p>
          <w:p w14:paraId="137D9DDD" w14:textId="66AF2D6A" w:rsidR="00416377" w:rsidRPr="00416377" w:rsidRDefault="00416377" w:rsidP="00416377">
            <w:pPr>
              <w:pStyle w:val="tv213"/>
              <w:numPr>
                <w:ilvl w:val="0"/>
                <w:numId w:val="8"/>
              </w:numPr>
              <w:shd w:val="clear" w:color="auto" w:fill="FFFFFF"/>
              <w:spacing w:before="0" w:beforeAutospacing="0" w:after="0" w:afterAutospacing="0"/>
              <w:jc w:val="both"/>
              <w:rPr>
                <w:rFonts w:eastAsia="Calibri"/>
                <w:lang w:bidi="lo-LA"/>
              </w:rPr>
            </w:pPr>
            <w:r w:rsidRPr="00416377">
              <w:rPr>
                <w:rFonts w:eastAsia="Calibri"/>
                <w:lang w:bidi="lo-LA"/>
              </w:rPr>
              <w:t>vienotu pieteikšanās kārtību;</w:t>
            </w:r>
          </w:p>
          <w:p w14:paraId="551DE15B" w14:textId="696E2621" w:rsidR="00416377" w:rsidRPr="00416377" w:rsidRDefault="00416377" w:rsidP="00416377">
            <w:pPr>
              <w:pStyle w:val="tv213"/>
              <w:numPr>
                <w:ilvl w:val="0"/>
                <w:numId w:val="8"/>
              </w:numPr>
              <w:shd w:val="clear" w:color="auto" w:fill="FFFFFF"/>
              <w:spacing w:before="0" w:beforeAutospacing="0" w:after="0" w:afterAutospacing="0"/>
              <w:jc w:val="both"/>
              <w:rPr>
                <w:rFonts w:eastAsia="Calibri"/>
                <w:lang w:bidi="lo-LA"/>
              </w:rPr>
            </w:pPr>
            <w:r w:rsidRPr="00416377">
              <w:rPr>
                <w:rFonts w:eastAsia="Calibri"/>
                <w:lang w:bidi="lo-LA"/>
              </w:rPr>
              <w:t>vienotus atbalstāmo personu izvērtēšanas kritērijus;</w:t>
            </w:r>
          </w:p>
          <w:p w14:paraId="765B3121" w14:textId="41B9AC09" w:rsidR="00416377" w:rsidRPr="00416377" w:rsidRDefault="00416377" w:rsidP="00416377">
            <w:pPr>
              <w:pStyle w:val="tv213"/>
              <w:numPr>
                <w:ilvl w:val="0"/>
                <w:numId w:val="8"/>
              </w:numPr>
              <w:shd w:val="clear" w:color="auto" w:fill="FFFFFF"/>
              <w:spacing w:before="0" w:beforeAutospacing="0" w:after="0" w:afterAutospacing="0"/>
              <w:jc w:val="both"/>
              <w:rPr>
                <w:rFonts w:eastAsia="Calibri"/>
                <w:lang w:bidi="lo-LA"/>
              </w:rPr>
            </w:pPr>
            <w:r w:rsidRPr="00416377">
              <w:rPr>
                <w:rFonts w:eastAsia="Calibri"/>
                <w:lang w:bidi="lo-LA"/>
              </w:rPr>
              <w:t>vienotu atbalsta piešķiršanas kārtību;</w:t>
            </w:r>
          </w:p>
          <w:p w14:paraId="393B0807" w14:textId="77777777" w:rsidR="00791065" w:rsidRDefault="00416377" w:rsidP="00791065">
            <w:pPr>
              <w:pStyle w:val="tv213"/>
              <w:numPr>
                <w:ilvl w:val="0"/>
                <w:numId w:val="8"/>
              </w:numPr>
              <w:shd w:val="clear" w:color="auto" w:fill="FFFFFF"/>
              <w:spacing w:before="0" w:beforeAutospacing="0" w:after="0" w:afterAutospacing="0"/>
              <w:jc w:val="both"/>
              <w:rPr>
                <w:rFonts w:eastAsia="Calibri"/>
                <w:lang w:bidi="lo-LA"/>
              </w:rPr>
            </w:pPr>
            <w:r w:rsidRPr="00416377">
              <w:rPr>
                <w:rFonts w:eastAsia="Calibri"/>
                <w:lang w:bidi="lo-LA"/>
              </w:rPr>
              <w:t>vienotu atbalsta uzraudzības, kontroles un atgūšanas kārtību.</w:t>
            </w:r>
          </w:p>
          <w:p w14:paraId="5388E477" w14:textId="58844EDC" w:rsidR="00343908" w:rsidRPr="00791065" w:rsidRDefault="00343908" w:rsidP="00791065">
            <w:pPr>
              <w:pStyle w:val="tv213"/>
              <w:shd w:val="clear" w:color="auto" w:fill="FFFFFF"/>
              <w:spacing w:before="0" w:beforeAutospacing="0" w:after="0" w:afterAutospacing="0"/>
              <w:ind w:firstLine="396"/>
              <w:jc w:val="both"/>
              <w:rPr>
                <w:rFonts w:eastAsia="Calibri"/>
                <w:lang w:bidi="lo-LA"/>
              </w:rPr>
            </w:pPr>
            <w:r w:rsidRPr="004A6791">
              <w:t xml:space="preserve">Konsultatīvās darba grupas sanāksmes </w:t>
            </w:r>
            <w:r w:rsidR="00791065">
              <w:t xml:space="preserve">tiks </w:t>
            </w:r>
            <w:r w:rsidRPr="004A6791">
              <w:t>organizē</w:t>
            </w:r>
            <w:r w:rsidR="00791065">
              <w:t>tas</w:t>
            </w:r>
            <w:r w:rsidRPr="004A6791">
              <w:t xml:space="preserve"> pēc nepieciešamības un darba grupa</w:t>
            </w:r>
            <w:r w:rsidR="00791065">
              <w:t>s pienākumos ietilpts saskaņot kārtību, kādā veicama ārstniecības personu piesaiste un atlasīto atbalstāmo ārstniecības personu saraksta apstiprināšana.</w:t>
            </w:r>
          </w:p>
          <w:p w14:paraId="6BA7CDBC" w14:textId="232C8CC0" w:rsidR="00343908" w:rsidRPr="004A6791" w:rsidRDefault="00343908" w:rsidP="00D46E0B">
            <w:pPr>
              <w:pStyle w:val="naiskr"/>
              <w:spacing w:before="40" w:beforeAutospacing="0" w:after="40" w:afterAutospacing="0"/>
              <w:ind w:left="57" w:right="57" w:firstLine="284"/>
              <w:jc w:val="both"/>
              <w:rPr>
                <w:iCs/>
              </w:rPr>
            </w:pPr>
            <w:r w:rsidRPr="004A6791">
              <w:rPr>
                <w:b/>
                <w:bCs/>
                <w:iCs/>
              </w:rPr>
              <w:t>Indikatīvi kritēriji ārstniecības personām vienreizējās kompensācijas un uzturēšanās izmaksu kompensācijas saņemšanai</w:t>
            </w:r>
            <w:r w:rsidR="007848C8">
              <w:rPr>
                <w:iCs/>
              </w:rPr>
              <w:t>:</w:t>
            </w:r>
          </w:p>
          <w:p w14:paraId="1F8CA115" w14:textId="59DA2D5A" w:rsidR="00343908" w:rsidRPr="004A6791" w:rsidRDefault="00194696" w:rsidP="00EB1B90">
            <w:pPr>
              <w:pStyle w:val="ListParagraph"/>
              <w:numPr>
                <w:ilvl w:val="0"/>
                <w:numId w:val="2"/>
              </w:numPr>
              <w:ind w:right="86"/>
              <w:jc w:val="both"/>
              <w:rPr>
                <w:rFonts w:eastAsia="Calibri"/>
              </w:rPr>
            </w:pPr>
            <w:r>
              <w:t>kompensāciju</w:t>
            </w:r>
            <w:r w:rsidR="00343908" w:rsidRPr="004A6791">
              <w:rPr>
                <w:rFonts w:eastAsia="Calibri"/>
              </w:rPr>
              <w:t xml:space="preserve"> var saņemt </w:t>
            </w:r>
            <w:r w:rsidR="002B55D2" w:rsidRPr="004A6791">
              <w:rPr>
                <w:rFonts w:eastAsia="Calibri"/>
              </w:rPr>
              <w:t>medicīnas mās</w:t>
            </w:r>
            <w:r w:rsidR="007848C8">
              <w:rPr>
                <w:rFonts w:eastAsia="Calibri"/>
              </w:rPr>
              <w:t>a</w:t>
            </w:r>
            <w:r w:rsidR="00DB51B9">
              <w:rPr>
                <w:rFonts w:eastAsia="Calibri"/>
              </w:rPr>
              <w:t>,</w:t>
            </w:r>
            <w:r w:rsidR="007848C8">
              <w:rPr>
                <w:rFonts w:eastAsia="Calibri"/>
              </w:rPr>
              <w:t xml:space="preserve"> </w:t>
            </w:r>
            <w:r w:rsidR="002B55D2" w:rsidRPr="004A6791">
              <w:rPr>
                <w:rFonts w:eastAsia="Calibri"/>
              </w:rPr>
              <w:t>māsas palīgs</w:t>
            </w:r>
            <w:r w:rsidR="007848C8">
              <w:rPr>
                <w:rFonts w:eastAsia="Calibri"/>
              </w:rPr>
              <w:t xml:space="preserve"> par darbu stacionārā ārstniecības iestādē Rīgā un ārsta palīgs par darbu NMPD brigāžu atbalsta centrā Rīgā;</w:t>
            </w:r>
          </w:p>
          <w:p w14:paraId="44996C82" w14:textId="3B41A28C" w:rsidR="00FC59F9" w:rsidRPr="00F35298" w:rsidRDefault="00456B84" w:rsidP="00F35298">
            <w:pPr>
              <w:pStyle w:val="ListParagraph"/>
              <w:numPr>
                <w:ilvl w:val="0"/>
                <w:numId w:val="2"/>
              </w:numPr>
              <w:ind w:right="86"/>
              <w:jc w:val="both"/>
              <w:rPr>
                <w:rFonts w:eastAsia="Calibri"/>
              </w:rPr>
            </w:pPr>
            <w:r w:rsidRPr="004A6791">
              <w:rPr>
                <w:rFonts w:eastAsia="Calibri"/>
              </w:rPr>
              <w:lastRenderedPageBreak/>
              <w:t>noslēgts</w:t>
            </w:r>
            <w:r w:rsidR="00DB51B9">
              <w:rPr>
                <w:rFonts w:eastAsia="Calibri"/>
              </w:rPr>
              <w:t xml:space="preserve"> darba</w:t>
            </w:r>
            <w:r w:rsidRPr="004A6791">
              <w:rPr>
                <w:rFonts w:eastAsia="Calibri"/>
              </w:rPr>
              <w:t xml:space="preserve"> </w:t>
            </w:r>
            <w:r w:rsidR="00AF0B7C">
              <w:rPr>
                <w:rFonts w:eastAsia="Calibri"/>
              </w:rPr>
              <w:t>līgums</w:t>
            </w:r>
            <w:r w:rsidR="00C80A88" w:rsidRPr="004A6791">
              <w:rPr>
                <w:rFonts w:eastAsia="Calibri"/>
              </w:rPr>
              <w:t xml:space="preserve"> </w:t>
            </w:r>
            <w:r w:rsidR="00DB51B9">
              <w:rPr>
                <w:rFonts w:eastAsia="Calibri"/>
              </w:rPr>
              <w:t xml:space="preserve">vismaz uz 5 gadiem (t.sk. darba līgums uz nenoteiktu laiku) </w:t>
            </w:r>
            <w:r w:rsidR="00DA3C26" w:rsidRPr="004A6791">
              <w:rPr>
                <w:rFonts w:eastAsia="Calibri"/>
              </w:rPr>
              <w:t>p</w:t>
            </w:r>
            <w:r w:rsidR="00343908" w:rsidRPr="004A6791">
              <w:rPr>
                <w:rFonts w:eastAsia="Calibri"/>
              </w:rPr>
              <w:t xml:space="preserve">ar </w:t>
            </w:r>
            <w:r w:rsidR="00DB51B9">
              <w:rPr>
                <w:rFonts w:eastAsia="Calibri"/>
              </w:rPr>
              <w:t xml:space="preserve">darbu valsts apmaksāto veselības aprūpes pakalpojumu sniegšanā (darbs attiecīgajā profesijā) </w:t>
            </w:r>
            <w:r w:rsidR="00343908" w:rsidRPr="004A6791">
              <w:rPr>
                <w:rFonts w:eastAsia="Calibri"/>
              </w:rPr>
              <w:t xml:space="preserve">uz pilnu </w:t>
            </w:r>
            <w:r w:rsidR="00343908" w:rsidRPr="00DB51B9">
              <w:rPr>
                <w:rFonts w:eastAsia="Calibri"/>
              </w:rPr>
              <w:t xml:space="preserve">slodzi </w:t>
            </w:r>
            <w:r w:rsidR="00DB51B9" w:rsidRPr="00DB51B9">
              <w:rPr>
                <w:color w:val="000000" w:themeColor="text1"/>
              </w:rPr>
              <w:t xml:space="preserve"> par normālo (</w:t>
            </w:r>
            <w:r w:rsidR="00DB51B9">
              <w:rPr>
                <w:color w:val="000000" w:themeColor="text1"/>
              </w:rPr>
              <w:t>t.sk.</w:t>
            </w:r>
            <w:r w:rsidR="00DB51B9" w:rsidRPr="00DB51B9">
              <w:rPr>
                <w:color w:val="000000" w:themeColor="text1"/>
              </w:rPr>
              <w:t xml:space="preserve"> saīsināto) darba laiku neatkarīgi no darba laika organizācijas (piemēram, nakts darbs, maiņu darbs vai summētais darba laiks</w:t>
            </w:r>
            <w:bookmarkStart w:id="12" w:name="_Ref471474703"/>
            <w:r w:rsidR="00DB51B9">
              <w:rPr>
                <w:color w:val="000000" w:themeColor="text1"/>
              </w:rPr>
              <w:t xml:space="preserve">). </w:t>
            </w:r>
            <w:r w:rsidR="00DB51B9">
              <w:rPr>
                <w:rFonts w:eastAsia="Calibri"/>
              </w:rPr>
              <w:t>J</w:t>
            </w:r>
            <w:r w:rsidR="00FC59F9" w:rsidRPr="00DB51B9">
              <w:rPr>
                <w:rFonts w:eastAsia="Calibri"/>
              </w:rPr>
              <w:t xml:space="preserve">a </w:t>
            </w:r>
            <w:r w:rsidR="00DB51B9" w:rsidRPr="00DB51B9">
              <w:rPr>
                <w:rFonts w:eastAsia="Calibri"/>
              </w:rPr>
              <w:t xml:space="preserve">medicīnas māsa, māsas palīgs </w:t>
            </w:r>
            <w:r w:rsidR="00FC59F9" w:rsidRPr="00DB51B9">
              <w:rPr>
                <w:rFonts w:eastAsia="Calibri"/>
              </w:rPr>
              <w:t xml:space="preserve">pretendē </w:t>
            </w:r>
            <w:r w:rsidR="00DB51B9" w:rsidRPr="00DB51B9">
              <w:rPr>
                <w:rFonts w:eastAsia="Calibri"/>
              </w:rPr>
              <w:t xml:space="preserve">uz </w:t>
            </w:r>
            <w:r w:rsidR="00FC59F9" w:rsidRPr="00DB51B9">
              <w:rPr>
                <w:rFonts w:eastAsia="Calibri"/>
              </w:rPr>
              <w:t>darb</w:t>
            </w:r>
            <w:r w:rsidR="00DB51B9" w:rsidRPr="00DB51B9">
              <w:rPr>
                <w:rFonts w:eastAsia="Calibri"/>
              </w:rPr>
              <w:t>u</w:t>
            </w:r>
            <w:r w:rsidR="00FC59F9" w:rsidRPr="00DB51B9">
              <w:rPr>
                <w:rFonts w:eastAsia="Calibri"/>
              </w:rPr>
              <w:t xml:space="preserve"> stacionārā ārstniecības iestādē, tad līgums paredz </w:t>
            </w:r>
            <w:r w:rsidR="00DB51B9" w:rsidRPr="00DB51B9">
              <w:rPr>
                <w:rFonts w:eastAsia="Calibri"/>
              </w:rPr>
              <w:t xml:space="preserve">arī </w:t>
            </w:r>
            <w:r w:rsidR="00FC59F9" w:rsidRPr="00DB51B9">
              <w:rPr>
                <w:rFonts w:eastAsia="Calibri"/>
              </w:rPr>
              <w:t>stacionāro ārstniecības pakalpojumu sniegšanu</w:t>
            </w:r>
            <w:bookmarkEnd w:id="12"/>
            <w:r w:rsidR="00DB51B9">
              <w:rPr>
                <w:rFonts w:eastAsia="Calibri"/>
              </w:rPr>
              <w:t>. Situācijās, kad noslēgtais darba līgums nesatur augstāk minēto informāciju, ārstniecība persona var iesniegt stacionārās ārstniecības iestādes vai NMPD izziņu, rīkojumu vai citu dokumentāru apliecinājumu</w:t>
            </w:r>
            <w:r w:rsidR="00F35298">
              <w:rPr>
                <w:rFonts w:eastAsia="Calibri"/>
              </w:rPr>
              <w:t xml:space="preserve">, kas apliecina kompensācijas saņemšanas nosacījumu izpildi, piemēram, darba līgumā var nebūt informācija par valsts apmaksāto </w:t>
            </w:r>
            <w:r w:rsidR="00DF2453">
              <w:rPr>
                <w:rFonts w:eastAsia="Calibri"/>
              </w:rPr>
              <w:t xml:space="preserve">veselības aprūpes </w:t>
            </w:r>
            <w:r w:rsidR="00F35298">
              <w:rPr>
                <w:rFonts w:eastAsia="Calibri"/>
              </w:rPr>
              <w:t xml:space="preserve">pakalpojumu sniegšanu, ko darba devējs var apliecināt papildus izsniegtā izziņā. </w:t>
            </w:r>
            <w:r w:rsidR="00F35298" w:rsidRPr="00F35298">
              <w:rPr>
                <w:rFonts w:eastAsia="Calibri"/>
              </w:rPr>
              <w:t xml:space="preserve"> </w:t>
            </w:r>
          </w:p>
          <w:p w14:paraId="61B2092B" w14:textId="126B9B31" w:rsidR="00343908" w:rsidRPr="004A6791" w:rsidRDefault="00456B84" w:rsidP="00EB1B90">
            <w:pPr>
              <w:pStyle w:val="ListParagraph"/>
              <w:numPr>
                <w:ilvl w:val="0"/>
                <w:numId w:val="2"/>
              </w:numPr>
              <w:ind w:right="86"/>
              <w:jc w:val="both"/>
              <w:rPr>
                <w:rFonts w:eastAsia="Calibri"/>
              </w:rPr>
            </w:pPr>
            <w:r w:rsidRPr="004A6791">
              <w:t>atbalstāmā</w:t>
            </w:r>
            <w:r w:rsidRPr="004A6791">
              <w:rPr>
                <w:rFonts w:eastAsia="Calibri"/>
              </w:rPr>
              <w:t xml:space="preserve"> </w:t>
            </w:r>
            <w:r w:rsidR="00343908" w:rsidRPr="004A6791">
              <w:rPr>
                <w:rFonts w:eastAsia="Calibri"/>
              </w:rPr>
              <w:t>persona</w:t>
            </w:r>
            <w:r w:rsidR="00F35298">
              <w:rPr>
                <w:rFonts w:eastAsia="Calibri"/>
              </w:rPr>
              <w:t xml:space="preserve"> kompensācijas pieteikuma iesniegšanas brīdī</w:t>
            </w:r>
            <w:r w:rsidR="00343908" w:rsidRPr="004A6791">
              <w:rPr>
                <w:rFonts w:eastAsia="Calibri"/>
              </w:rPr>
              <w:t xml:space="preserve"> nav sasniegusi pensijas vecumu;</w:t>
            </w:r>
          </w:p>
          <w:p w14:paraId="1FFA0854" w14:textId="719BE9F1" w:rsidR="00F35298" w:rsidRDefault="00D03415" w:rsidP="00EB1B90">
            <w:pPr>
              <w:pStyle w:val="ListParagraph"/>
              <w:numPr>
                <w:ilvl w:val="0"/>
                <w:numId w:val="2"/>
              </w:numPr>
              <w:ind w:right="86"/>
              <w:jc w:val="both"/>
              <w:rPr>
                <w:rFonts w:eastAsia="Calibri"/>
              </w:rPr>
            </w:pPr>
            <w:r w:rsidRPr="004A6791">
              <w:rPr>
                <w:rFonts w:eastAsia="Calibri"/>
              </w:rPr>
              <w:t>atbalstām</w:t>
            </w:r>
            <w:r w:rsidR="00F35298">
              <w:rPr>
                <w:rFonts w:eastAsia="Calibri"/>
              </w:rPr>
              <w:t>as personas</w:t>
            </w:r>
            <w:r w:rsidR="0087587A" w:rsidRPr="004A6791">
              <w:rPr>
                <w:rFonts w:eastAsia="Calibri"/>
              </w:rPr>
              <w:t>, kur</w:t>
            </w:r>
            <w:r w:rsidR="00B8775C">
              <w:rPr>
                <w:rFonts w:eastAsia="Calibri"/>
              </w:rPr>
              <w:t xml:space="preserve">as </w:t>
            </w:r>
            <w:r w:rsidR="00B8775C" w:rsidRPr="00B8775C">
              <w:rPr>
                <w:rFonts w:eastAsia="Calibri"/>
              </w:rPr>
              <w:t>saskaņā ar normatīvajiem aktiem par ārstniecības personu un ārstniecības atbalsta personu reģistra izveidi Ārstniecības personu un ārstniecības atbalsta personu reģistrā reģistrētas ārstniecības personas</w:t>
            </w:r>
            <w:r w:rsidR="00B8775C">
              <w:rPr>
                <w:rFonts w:eastAsia="Calibri"/>
              </w:rPr>
              <w:t>;</w:t>
            </w:r>
          </w:p>
          <w:p w14:paraId="07A53D77" w14:textId="78FD80B5" w:rsidR="00B8775C" w:rsidRPr="0089031B" w:rsidRDefault="00B8775C" w:rsidP="0089031B">
            <w:pPr>
              <w:pStyle w:val="ListParagraph"/>
              <w:numPr>
                <w:ilvl w:val="0"/>
                <w:numId w:val="2"/>
              </w:numPr>
              <w:ind w:right="86"/>
              <w:jc w:val="both"/>
              <w:rPr>
                <w:rFonts w:eastAsia="Calibri"/>
              </w:rPr>
            </w:pPr>
            <w:r>
              <w:rPr>
                <w:rFonts w:eastAsia="Calibri"/>
              </w:rPr>
              <w:t xml:space="preserve">atbalstāmā persona </w:t>
            </w:r>
            <w:r w:rsidRPr="00B8775C">
              <w:rPr>
                <w:rFonts w:eastAsia="Calibri"/>
              </w:rPr>
              <w:t xml:space="preserve">2020.gada 12.martā </w:t>
            </w:r>
            <w:r>
              <w:rPr>
                <w:rFonts w:eastAsia="Calibri"/>
              </w:rPr>
              <w:t>nav</w:t>
            </w:r>
            <w:r w:rsidRPr="00B8775C">
              <w:rPr>
                <w:rFonts w:eastAsia="Calibri"/>
              </w:rPr>
              <w:t xml:space="preserve"> strādāj</w:t>
            </w:r>
            <w:r>
              <w:rPr>
                <w:rFonts w:eastAsia="Calibri"/>
              </w:rPr>
              <w:t>usi</w:t>
            </w:r>
            <w:r w:rsidRPr="00B8775C">
              <w:rPr>
                <w:rFonts w:eastAsia="Calibri"/>
              </w:rPr>
              <w:t xml:space="preserve"> kādā no atbalstāmajām profesijām ārstniecības iestādē Latvij</w:t>
            </w:r>
            <w:r>
              <w:rPr>
                <w:rFonts w:eastAsia="Calibri"/>
              </w:rPr>
              <w:t xml:space="preserve">ā, kas nozīmē, ka ārstniecības persona </w:t>
            </w:r>
            <w:r w:rsidR="00DF2453">
              <w:rPr>
                <w:rFonts w:eastAsia="Calibri"/>
              </w:rPr>
              <w:t xml:space="preserve">konkrētajā datumā, kad Latvijas Republikā tika izsludināta ārkārtas situācija saistībā ar Covid-19 uzliesmojumu, </w:t>
            </w:r>
            <w:r>
              <w:rPr>
                <w:rFonts w:eastAsia="Calibri"/>
              </w:rPr>
              <w:t>nevar būt strādājusi ārsta palīga, medicīnas māsas vai māsas palīga profesijā Latvijā</w:t>
            </w:r>
            <w:r w:rsidR="00DF2453">
              <w:rPr>
                <w:rFonts w:eastAsia="Calibri"/>
              </w:rPr>
              <w:t xml:space="preserve">. </w:t>
            </w:r>
            <w:r>
              <w:rPr>
                <w:rFonts w:eastAsia="Calibri"/>
              </w:rPr>
              <w:t xml:space="preserve">Šāds nosacījums ieviests, lai specifiskais atbalsts </w:t>
            </w:r>
            <w:r w:rsidR="0089031B">
              <w:rPr>
                <w:rFonts w:eastAsia="Calibri"/>
              </w:rPr>
              <w:t>neietekmētu ārstniecības iestāžu cilvēkresursu nodrošinājumu Latvijas reģionos, jo iespējamais specifiskais atbalsts varētu būt iemesls, lai ārstniecības personas reģionos pārtrauktu darba attiecības esošajās reģionālajās ārstniecības iestādēs. Lai tas nenotiktu, izvēlēts nosacījums, ka konkrētajā datumā</w:t>
            </w:r>
            <w:r w:rsidR="00152B20">
              <w:rPr>
                <w:rFonts w:eastAsia="Calibri"/>
              </w:rPr>
              <w:t xml:space="preserve">, kas pagātnē ir fiksēts ar Ministru kabineta 2020.gada 12.marta rīkojumu Nr.103 “Par ārkārtējās situācijas izsludināšanu”, </w:t>
            </w:r>
            <w:r w:rsidR="0089031B">
              <w:rPr>
                <w:rFonts w:eastAsia="Calibri"/>
              </w:rPr>
              <w:t xml:space="preserve">ārstniecības persona nevar būt strādājusi Latvijā kādā no atbalstāmajām profesijām. </w:t>
            </w:r>
            <w:r w:rsidR="00D9003D">
              <w:rPr>
                <w:rFonts w:eastAsia="Calibri"/>
              </w:rPr>
              <w:t xml:space="preserve">Konkrētais kritērijs attiecībā uz nodarbinātības neesamību 2020.gada 12.martā nozīmē, ka ārstniecības persona saskaņā ar VID rīcībā esošo informāciju (pretendenta pieteikuma izvērtēšanas procesā nepieciešamības gadījumā var tikt precizēta ar darba devēja sniegto informāciju)  tieši šajā datumā nav bijusi darba attiecībās atbalstāmajā profesijā </w:t>
            </w:r>
            <w:r w:rsidR="00D9003D">
              <w:rPr>
                <w:rFonts w:eastAsia="Calibri"/>
              </w:rPr>
              <w:lastRenderedPageBreak/>
              <w:t xml:space="preserve">ārstniecības iestādē Latvijā. Ja ārstniecības persona bijusi nodarbināta atbalstāmajā iestādē arī pirms 2020.gada 12.marta, šajā datumā ir bijusi pārtraukusi darba attiecības un pēc tā atkal nolemj atjaunot darba attiecības atbalstāmajā profesijā atbalstāmajā iestādē, tad kritērijs ir izpildīts un ārstniecības persona var pretendēt kompensāciju saņemšanai. </w:t>
            </w:r>
            <w:r w:rsidR="0089031B">
              <w:rPr>
                <w:rFonts w:eastAsia="Calibri"/>
              </w:rPr>
              <w:t>Projekta mērķis ir piesaistīt darbam stacionārās ārstniecības iestādēs Rīgā un NMPD brigāžu atbalsta centros Rīgā jaunos speciālistus pēc kvalifikācijas iegūšanas vai atgriezt profesijā tos speciālistus, kas šobrīd strādā citās jomās.</w:t>
            </w:r>
            <w:r w:rsidR="00152B20">
              <w:rPr>
                <w:rFonts w:eastAsia="Calibri"/>
              </w:rPr>
              <w:t xml:space="preserve"> </w:t>
            </w:r>
          </w:p>
          <w:p w14:paraId="65D6E81E" w14:textId="106235FD" w:rsidR="00343908" w:rsidRPr="004A6791" w:rsidRDefault="00343908" w:rsidP="00C547FF">
            <w:pPr>
              <w:pStyle w:val="ListParagraph"/>
              <w:ind w:right="86"/>
              <w:jc w:val="both"/>
              <w:rPr>
                <w:rFonts w:eastAsia="Calibri"/>
              </w:rPr>
            </w:pPr>
          </w:p>
          <w:p w14:paraId="094F55F1" w14:textId="1AB0DBF4" w:rsidR="008B7723" w:rsidRPr="00EF556F" w:rsidRDefault="00343908" w:rsidP="00EF556F">
            <w:pPr>
              <w:pStyle w:val="naiskr"/>
              <w:spacing w:before="40" w:beforeAutospacing="0" w:after="40" w:afterAutospacing="0"/>
              <w:ind w:left="57" w:right="57" w:firstLine="284"/>
              <w:jc w:val="both"/>
              <w:rPr>
                <w:rFonts w:eastAsia="Calibri"/>
                <w:b/>
                <w:bCs/>
              </w:rPr>
            </w:pPr>
            <w:r w:rsidRPr="004A6791">
              <w:rPr>
                <w:b/>
                <w:bCs/>
                <w:iCs/>
              </w:rPr>
              <w:t>Indikatīvi</w:t>
            </w:r>
            <w:r w:rsidRPr="004A6791">
              <w:rPr>
                <w:rFonts w:eastAsia="Calibri"/>
                <w:b/>
                <w:bCs/>
              </w:rPr>
              <w:t xml:space="preserve"> kritēriji atbalsta pasākumiem </w:t>
            </w:r>
            <w:r w:rsidR="0089031B" w:rsidRPr="0089031B">
              <w:rPr>
                <w:rFonts w:eastAsia="Calibri"/>
                <w:b/>
                <w:bCs/>
              </w:rPr>
              <w:t xml:space="preserve"> ģimenes ārstu</w:t>
            </w:r>
            <w:r w:rsidR="00DF2453">
              <w:rPr>
                <w:rFonts w:eastAsia="Calibri"/>
                <w:b/>
                <w:bCs/>
              </w:rPr>
              <w:t>, kas sniedz valsts apmaksātus veselības aprūpes pakalpojumus,</w:t>
            </w:r>
            <w:r w:rsidR="0089031B" w:rsidRPr="0089031B">
              <w:rPr>
                <w:rFonts w:eastAsia="Calibri"/>
                <w:b/>
                <w:bCs/>
              </w:rPr>
              <w:t xml:space="preserve"> paaudžu nomaiņai ģimenes ārsta praksē</w:t>
            </w:r>
            <w:r w:rsidRPr="0089031B">
              <w:rPr>
                <w:rFonts w:eastAsia="Calibri"/>
                <w:b/>
                <w:bCs/>
              </w:rPr>
              <w:t>:</w:t>
            </w:r>
          </w:p>
          <w:p w14:paraId="7C599CE6" w14:textId="0246C845" w:rsidR="0089031B" w:rsidRPr="00484BD9" w:rsidRDefault="008B7723" w:rsidP="00EB1B90">
            <w:pPr>
              <w:pStyle w:val="ListParagraph"/>
              <w:numPr>
                <w:ilvl w:val="0"/>
                <w:numId w:val="2"/>
              </w:numPr>
              <w:ind w:right="86"/>
              <w:jc w:val="both"/>
              <w:rPr>
                <w:rFonts w:eastAsia="Calibri"/>
              </w:rPr>
            </w:pPr>
            <w:r w:rsidRPr="008B7723">
              <w:rPr>
                <w:color w:val="000000" w:themeColor="text1"/>
              </w:rPr>
              <w:t>uz kompensāciju par ģimenes ārstu paaudžu nomaiņu ģimenes ārsta praksē var pretendēt ģimenes ārsta prakse Rīgā</w:t>
            </w:r>
            <w:r>
              <w:rPr>
                <w:color w:val="000000" w:themeColor="text1"/>
              </w:rPr>
              <w:t>. Pārņemot ģimenes ārsta praksi kā obligāta prasība nav noteikts, ka ģimenes ārstam, kas pārņem ģimenes ārsta praksi, jāturpina pacientu pieņemšana pārņemtās prakses telpās, līdz ar to jaunais speciālists var izvēlēties sev vēlamās telpas pacientu pieņemšanai</w:t>
            </w:r>
            <w:r w:rsidR="00DA45F7">
              <w:rPr>
                <w:color w:val="000000" w:themeColor="text1"/>
              </w:rPr>
              <w:t>, ja NVD saskaņo prakses atrašanās vietu attiecībā uz ģimenes ārsta pamatdarbības teritoriju</w:t>
            </w:r>
            <w:r w:rsidR="00484BD9">
              <w:rPr>
                <w:color w:val="000000" w:themeColor="text1"/>
              </w:rPr>
              <w:t>;</w:t>
            </w:r>
          </w:p>
          <w:p w14:paraId="1599EA07" w14:textId="303F98FD" w:rsidR="00040B69" w:rsidRDefault="00E35251" w:rsidP="00EB1B90">
            <w:pPr>
              <w:pStyle w:val="ListParagraph"/>
              <w:numPr>
                <w:ilvl w:val="0"/>
                <w:numId w:val="2"/>
              </w:numPr>
              <w:ind w:right="86"/>
              <w:jc w:val="both"/>
              <w:rPr>
                <w:rFonts w:eastAsia="Calibri"/>
              </w:rPr>
            </w:pPr>
            <w:r w:rsidRPr="00040B69">
              <w:rPr>
                <w:color w:val="000000" w:themeColor="text1"/>
              </w:rPr>
              <w:t>ģimenes ārsts, kas pārņem praksi, no 2020.gada 12.marta līdz kompensācijas pieteikuma iesniegšanas brīdim nav strādājis par ģimenes ārstu ģimenes ārsta praksē Latvijā, izņemot gadījumus, ja ģimenes ārsts, kas pārņem ģimenes ārsta praksi, aizvietojis prombūtnē esošu ģimenes ārstu</w:t>
            </w:r>
            <w:r w:rsidR="002607FA">
              <w:rPr>
                <w:color w:val="000000" w:themeColor="text1"/>
              </w:rPr>
              <w:t xml:space="preserve"> saskaņā ar Ministru kabineta 2018.gada 28.augusta noteikumu Nr. 555 “Veselības aprūpes pakalpojumu organizēšanas un samaksas kārtība” </w:t>
            </w:r>
            <w:r w:rsidR="00325BB4">
              <w:rPr>
                <w:color w:val="000000" w:themeColor="text1"/>
              </w:rPr>
              <w:t xml:space="preserve">(turpmāk – </w:t>
            </w:r>
            <w:r w:rsidR="00805C2D">
              <w:rPr>
                <w:color w:val="000000" w:themeColor="text1"/>
              </w:rPr>
              <w:t>MK n</w:t>
            </w:r>
            <w:r w:rsidR="00325BB4">
              <w:rPr>
                <w:color w:val="000000" w:themeColor="text1"/>
              </w:rPr>
              <w:t xml:space="preserve">oteikumi Nr.555 ) </w:t>
            </w:r>
            <w:r w:rsidR="006C0A23">
              <w:rPr>
                <w:color w:val="000000" w:themeColor="text1"/>
              </w:rPr>
              <w:t>41.</w:t>
            </w:r>
            <w:r w:rsidR="002607FA">
              <w:rPr>
                <w:color w:val="000000" w:themeColor="text1"/>
              </w:rPr>
              <w:t>punktu</w:t>
            </w:r>
            <w:r w:rsidRPr="00040B69">
              <w:rPr>
                <w:color w:val="000000" w:themeColor="text1"/>
              </w:rPr>
              <w:t xml:space="preserve">. Šāds nosacījums izvēlēts ņemot vērā primāras veselības aprūpes pakalpojumu pieejamību visā Latvijas reģionā, lai specifiskā atbalsta mērķa ietvaros pieejamais atbalsts neveicinātu reģionos strādājošo ģimenes ārstu došanos darbā uz Rīgu.  </w:t>
            </w:r>
            <w:r w:rsidRPr="00040B69">
              <w:rPr>
                <w:rFonts w:eastAsia="Calibri"/>
              </w:rPr>
              <w:t xml:space="preserve"> Projekta mērķis ir piesaistīt darbam primārās veselības aprūpes sniegšanā ģimenes ārstu praksēs Rīgā jaunos</w:t>
            </w:r>
            <w:r>
              <w:rPr>
                <w:rFonts w:eastAsia="Calibri"/>
              </w:rPr>
              <w:t xml:space="preserve"> speciālistus pēc specialitātes iegūšanas vai atgriezt profesijā tos speciālistus, kas šobrīd strādā citās jomās</w:t>
            </w:r>
            <w:r w:rsidR="00801CB4">
              <w:rPr>
                <w:rFonts w:eastAsia="Calibri"/>
              </w:rPr>
              <w:t>;</w:t>
            </w:r>
          </w:p>
          <w:p w14:paraId="350FA16F" w14:textId="1D313671" w:rsidR="0089031B" w:rsidRDefault="00040B69" w:rsidP="00040B69">
            <w:pPr>
              <w:pStyle w:val="ListParagraph"/>
              <w:numPr>
                <w:ilvl w:val="0"/>
                <w:numId w:val="2"/>
              </w:numPr>
              <w:ind w:right="86"/>
              <w:jc w:val="both"/>
              <w:rPr>
                <w:rFonts w:eastAsia="Calibri"/>
              </w:rPr>
            </w:pPr>
            <w:r w:rsidRPr="00040B69">
              <w:rPr>
                <w:rFonts w:eastAsia="Calibri"/>
              </w:rPr>
              <w:t>ģimenes ārsts, kas nodod ģimenes ārsta praksi, ir sasniedzis pensijas vecumu</w:t>
            </w:r>
            <w:r>
              <w:rPr>
                <w:rFonts w:eastAsia="Calibri"/>
              </w:rPr>
              <w:t xml:space="preserve">, savukārt </w:t>
            </w:r>
            <w:r w:rsidRPr="00040B69">
              <w:rPr>
                <w:rFonts w:eastAsia="Calibri"/>
              </w:rPr>
              <w:t>ģimenes ārsts, kas pārņem ģimenes ārsta praksi, nav sasniedzis pensijas vecumu</w:t>
            </w:r>
            <w:r>
              <w:rPr>
                <w:rFonts w:eastAsia="Calibri"/>
              </w:rPr>
              <w:t>. Nosacījums izvēlēts ņemot vērā konkrētās atbalstāmās darbības mērķī - veicināt paaudžu nomaiņu ģimenes ārsta praksēs Rīgā</w:t>
            </w:r>
            <w:r w:rsidR="00801CB4">
              <w:rPr>
                <w:rFonts w:eastAsia="Calibri"/>
              </w:rPr>
              <w:t>;</w:t>
            </w:r>
          </w:p>
          <w:p w14:paraId="7C0D7865" w14:textId="7151AC62" w:rsidR="00040B69" w:rsidRDefault="00040B69" w:rsidP="00040B69">
            <w:pPr>
              <w:pStyle w:val="ListParagraph"/>
              <w:numPr>
                <w:ilvl w:val="0"/>
                <w:numId w:val="2"/>
              </w:numPr>
              <w:ind w:right="86"/>
              <w:jc w:val="both"/>
              <w:rPr>
                <w:rFonts w:eastAsia="Calibri"/>
              </w:rPr>
            </w:pPr>
            <w:r w:rsidRPr="00040B69">
              <w:rPr>
                <w:rFonts w:eastAsia="Calibri"/>
              </w:rPr>
              <w:t xml:space="preserve">ģimenes ārsts, kas nodod ģimenes ārsta praksi, un ģimenes ārsts, kas pārņem ģimenes ārsta praksi, ir Ārstniecības personu un ārstniecības atbalsta personu </w:t>
            </w:r>
            <w:r w:rsidRPr="00040B69">
              <w:rPr>
                <w:rFonts w:eastAsia="Calibri"/>
              </w:rPr>
              <w:lastRenderedPageBreak/>
              <w:t>reģistrā reģistrētas ārstniecības personas, kurām ir derīgs sertifikāts ģimenes ārsta specialitātē</w:t>
            </w:r>
            <w:r w:rsidR="00801CB4">
              <w:rPr>
                <w:rFonts w:eastAsia="Calibri"/>
              </w:rPr>
              <w:t>. Ņemot vērā faktu, ka specifisko zināšanu, informācijas un pieredzes nodošanas 3 mēnešu periodā abi ģimenes ārsti kop</w:t>
            </w:r>
            <w:r w:rsidR="00AC24D9">
              <w:rPr>
                <w:rFonts w:eastAsia="Calibri"/>
              </w:rPr>
              <w:t>īgā</w:t>
            </w:r>
            <w:r w:rsidR="00801CB4">
              <w:rPr>
                <w:rFonts w:eastAsia="Calibri"/>
              </w:rPr>
              <w:t xml:space="preserve"> sadarbībā veiks pacientu veselības aprūpi, tad svarīgi, lai abi ģimenes ārsti atbilstu ārstniecības jomu reglamentējošo normatīvo aktu prasībām;</w:t>
            </w:r>
          </w:p>
          <w:p w14:paraId="6D3358F3" w14:textId="12DCF7DB" w:rsidR="00801CB4" w:rsidRPr="00325BB4" w:rsidRDefault="00AC24D9" w:rsidP="00325BB4">
            <w:pPr>
              <w:pStyle w:val="ListParagraph"/>
              <w:numPr>
                <w:ilvl w:val="0"/>
                <w:numId w:val="2"/>
              </w:numPr>
              <w:ind w:right="86"/>
              <w:jc w:val="both"/>
              <w:rPr>
                <w:rFonts w:eastAsia="Calibri"/>
              </w:rPr>
            </w:pPr>
            <w:r w:rsidRPr="00AC24D9">
              <w:rPr>
                <w:rFonts w:eastAsia="Calibri"/>
              </w:rPr>
              <w:t xml:space="preserve">ģimenes ārsts, kas pārņem ģimenes ārsta praksi, </w:t>
            </w:r>
            <w:r w:rsidR="002607FA" w:rsidRPr="002607FA">
              <w:rPr>
                <w:rFonts w:eastAsia="Calibri"/>
              </w:rPr>
              <w:t xml:space="preserve"> ir vienojies ar ģimenes ārstu, kas nodod ģimenes ārsta praksi, par prakses pārņemšanu, un informējis par to NVD</w:t>
            </w:r>
            <w:r w:rsidR="00325BB4">
              <w:rPr>
                <w:rFonts w:eastAsia="Calibri"/>
              </w:rPr>
              <w:t xml:space="preserve"> saskaņā ar </w:t>
            </w:r>
            <w:r w:rsidR="00805C2D">
              <w:rPr>
                <w:rFonts w:eastAsia="Calibri"/>
              </w:rPr>
              <w:t>MK n</w:t>
            </w:r>
            <w:r w:rsidR="00325BB4">
              <w:rPr>
                <w:rFonts w:eastAsia="Calibri"/>
              </w:rPr>
              <w:t>oteikumu Nr.555 6.2.apakšpunktu</w:t>
            </w:r>
            <w:r w:rsidR="00325BB4" w:rsidRPr="00325BB4">
              <w:rPr>
                <w:rFonts w:eastAsia="Calibri"/>
              </w:rPr>
              <w:t>.</w:t>
            </w:r>
            <w:r w:rsidR="002607FA" w:rsidRPr="00325BB4" w:rsidDel="002607FA">
              <w:rPr>
                <w:rFonts w:eastAsia="Calibri"/>
              </w:rPr>
              <w:t xml:space="preserve"> </w:t>
            </w:r>
            <w:r w:rsidRPr="00325BB4">
              <w:rPr>
                <w:rFonts w:eastAsia="Calibri"/>
              </w:rPr>
              <w:t>Lai veiksmīgi varētu uzsākt ģimenes ārsta prakses pārņemšanas un specifisko zināšanu, informācijas un pieredzes nodošanas procesu, ir svarīgi gūt pārliecību, ka NVD ir informēts un saskaņo konkrētās ģimenes ārsta prakses pārņemšanu</w:t>
            </w:r>
            <w:r w:rsidR="00F06165" w:rsidRPr="00325BB4">
              <w:rPr>
                <w:rFonts w:eastAsia="Calibri"/>
              </w:rPr>
              <w:t>;</w:t>
            </w:r>
          </w:p>
          <w:p w14:paraId="014AD8E5" w14:textId="72FED159" w:rsidR="00D9003D" w:rsidRDefault="00F06165" w:rsidP="00D9003D">
            <w:pPr>
              <w:pStyle w:val="tv213"/>
              <w:shd w:val="clear" w:color="auto" w:fill="FFFFFF"/>
              <w:spacing w:before="0" w:beforeAutospacing="0" w:after="0" w:afterAutospacing="0"/>
              <w:ind w:left="676"/>
              <w:jc w:val="both"/>
              <w:rPr>
                <w:color w:val="000000" w:themeColor="text1"/>
                <w:sz w:val="28"/>
                <w:szCs w:val="28"/>
              </w:rPr>
            </w:pPr>
            <w:r w:rsidRPr="006C7A90">
              <w:rPr>
                <w:rFonts w:eastAsia="Calibri"/>
              </w:rPr>
              <w:t xml:space="preserve">ģimenes ārsts, kas pārņem ģimenes ārsta praksi, noslēdzoties prakses pārņemšanai, ir noslēdzis līgumu ar </w:t>
            </w:r>
            <w:r w:rsidR="006C7A90">
              <w:rPr>
                <w:rFonts w:eastAsia="Calibri"/>
              </w:rPr>
              <w:t>NVD</w:t>
            </w:r>
            <w:r w:rsidRPr="006C7A90">
              <w:rPr>
                <w:rFonts w:eastAsia="Calibri"/>
              </w:rPr>
              <w:t xml:space="preserve"> par valsts apmaksāto primārās veselības aprūpes pakalpojumu sniegšanu</w:t>
            </w:r>
            <w:r w:rsidR="00D9003D">
              <w:rPr>
                <w:rFonts w:eastAsia="Calibri"/>
              </w:rPr>
              <w:t xml:space="preserve"> vai </w:t>
            </w:r>
            <w:r w:rsidR="00D9003D">
              <w:rPr>
                <w:color w:val="000000" w:themeColor="text1"/>
                <w:sz w:val="28"/>
                <w:szCs w:val="28"/>
              </w:rPr>
              <w:t xml:space="preserve"> </w:t>
            </w:r>
            <w:r w:rsidR="00D9003D" w:rsidRPr="00D9003D">
              <w:rPr>
                <w:rFonts w:eastAsia="Calibri"/>
              </w:rPr>
              <w:t xml:space="preserve">noslēdzis darba līgumu ar </w:t>
            </w:r>
            <w:r w:rsidR="006F5D9E">
              <w:rPr>
                <w:rFonts w:eastAsia="Calibri"/>
              </w:rPr>
              <w:t>ārstniecības iestādi</w:t>
            </w:r>
            <w:r w:rsidR="00D9003D" w:rsidRPr="00D9003D">
              <w:rPr>
                <w:rFonts w:eastAsia="Calibri"/>
              </w:rPr>
              <w:t xml:space="preserve">, kurā viņš sniedz valsts apmaksātos </w:t>
            </w:r>
            <w:r w:rsidR="006F5D9E">
              <w:rPr>
                <w:rFonts w:eastAsia="Calibri"/>
              </w:rPr>
              <w:t>ģimenes ārsta</w:t>
            </w:r>
            <w:r w:rsidR="00D9003D" w:rsidRPr="00D9003D">
              <w:rPr>
                <w:rFonts w:eastAsia="Calibri"/>
              </w:rPr>
              <w:t xml:space="preserve"> pakalpojumus.</w:t>
            </w:r>
          </w:p>
          <w:p w14:paraId="6DAC821B" w14:textId="1D32412B" w:rsidR="00123384" w:rsidRDefault="00F06165" w:rsidP="00123384">
            <w:pPr>
              <w:pStyle w:val="ListParagraph"/>
              <w:numPr>
                <w:ilvl w:val="0"/>
                <w:numId w:val="2"/>
              </w:numPr>
              <w:ind w:right="86"/>
              <w:jc w:val="both"/>
              <w:rPr>
                <w:rFonts w:eastAsia="Calibri"/>
              </w:rPr>
            </w:pPr>
            <w:r w:rsidRPr="006C7A90">
              <w:rPr>
                <w:rFonts w:eastAsia="Calibri"/>
              </w:rPr>
              <w:t>Ņemot vērā primārās veselības aprūpes organizēšanas kārtību, NVD neveic ģimenes ārsta pacientu sarakstā esošo pacientu reģistrāciju vienlaikus pie diviem ģimenes ārstiem,</w:t>
            </w:r>
            <w:r w:rsidR="009512DA" w:rsidRPr="006C7A90">
              <w:rPr>
                <w:rFonts w:eastAsia="Calibri"/>
              </w:rPr>
              <w:t xml:space="preserve"> līdz ar ko līgums par primārās veselības aprūpes pakalpojumu sniegšanu un apmaksu ar NVD jaunajam ģimenes ārstam stāsies spēkā tikai tad, kad </w:t>
            </w:r>
            <w:r w:rsidR="006C7A90" w:rsidRPr="006C7A90">
              <w:rPr>
                <w:rFonts w:eastAsia="Calibri"/>
              </w:rPr>
              <w:t>tas vairs nebūs spēkā ģimenes ārstam, kas nodod ģimenes ārsta prak</w:t>
            </w:r>
            <w:r w:rsidR="006C7A90">
              <w:rPr>
                <w:rFonts w:eastAsia="Calibri"/>
              </w:rPr>
              <w:t xml:space="preserve">si. Trīs mēnešu specifisko zināšanu, informācijas un pieredzes nodošana notiks laikā, kad līgumattiecībās ar NVD būs ģimenes ārsts, kas nodod ģimenes ārsta praksi, savukārt ģimenes ārstam, kas pārņem ģimenes ārsta praksi, vēl nebūs spēkā esošs līgums ar NVD par primārās veselības aprūpes pakalpojumu sniegšanu un apmaksu. </w:t>
            </w:r>
          </w:p>
          <w:p w14:paraId="50088374" w14:textId="6A0E83D9" w:rsidR="00123384" w:rsidRPr="00123384" w:rsidRDefault="00123384" w:rsidP="00123384">
            <w:pPr>
              <w:pStyle w:val="ListParagraph"/>
              <w:ind w:right="86"/>
              <w:jc w:val="both"/>
              <w:rPr>
                <w:rFonts w:eastAsia="Calibri"/>
              </w:rPr>
            </w:pPr>
            <w:r>
              <w:rPr>
                <w:rFonts w:eastAsia="Calibri"/>
              </w:rPr>
              <w:t>S</w:t>
            </w:r>
            <w:r w:rsidRPr="00123384">
              <w:rPr>
                <w:rFonts w:eastAsia="Calibri"/>
              </w:rPr>
              <w:t>pecifisko zināšanu, informācijas un pieredzes nodošan</w:t>
            </w:r>
            <w:r>
              <w:rPr>
                <w:rFonts w:eastAsia="Calibri"/>
              </w:rPr>
              <w:t>a</w:t>
            </w:r>
            <w:r w:rsidRPr="00123384">
              <w:rPr>
                <w:rFonts w:eastAsia="Calibri"/>
              </w:rPr>
              <w:t xml:space="preserve"> iekļauj vismaz šādus jautājumus</w:t>
            </w:r>
            <w:r>
              <w:rPr>
                <w:rFonts w:eastAsia="Calibri"/>
              </w:rPr>
              <w:t>:</w:t>
            </w:r>
          </w:p>
          <w:p w14:paraId="71A7CE68" w14:textId="539EA2B3" w:rsidR="00123384" w:rsidRPr="00123384" w:rsidRDefault="00123384" w:rsidP="00123384">
            <w:pPr>
              <w:pStyle w:val="ListParagraph"/>
              <w:numPr>
                <w:ilvl w:val="0"/>
                <w:numId w:val="10"/>
              </w:numPr>
              <w:ind w:right="86"/>
              <w:jc w:val="both"/>
              <w:rPr>
                <w:rFonts w:eastAsia="Calibri"/>
              </w:rPr>
            </w:pPr>
            <w:r w:rsidRPr="00123384">
              <w:rPr>
                <w:rFonts w:eastAsia="Calibri"/>
              </w:rPr>
              <w:t>prakses darba organizācija (finanses un grāmatvedības pamati, dokumentācija atbilstoši lietvedības kārtībai, pacientu pieraksts, darbs ar akūtajiem pacientiem, mājas vizītes, sadarbība ar citiem speciālistiem, sadarbība ar pašvaldību un sociālajiem dienestiem);</w:t>
            </w:r>
          </w:p>
          <w:p w14:paraId="4DA660BE" w14:textId="7EFC07AE" w:rsidR="00123384" w:rsidRPr="00123384" w:rsidRDefault="00123384" w:rsidP="00123384">
            <w:pPr>
              <w:pStyle w:val="ListParagraph"/>
              <w:numPr>
                <w:ilvl w:val="0"/>
                <w:numId w:val="10"/>
              </w:numPr>
              <w:ind w:right="86"/>
              <w:jc w:val="both"/>
              <w:rPr>
                <w:rFonts w:eastAsia="Calibri"/>
              </w:rPr>
            </w:pPr>
            <w:r w:rsidRPr="00123384">
              <w:rPr>
                <w:rFonts w:eastAsia="Calibri"/>
              </w:rPr>
              <w:t>darbs komandā (funkcionālie pienākumi);</w:t>
            </w:r>
          </w:p>
          <w:p w14:paraId="02DA47B2" w14:textId="41EB28BD" w:rsidR="00123384" w:rsidRPr="00123384" w:rsidRDefault="00123384" w:rsidP="00123384">
            <w:pPr>
              <w:pStyle w:val="ListParagraph"/>
              <w:numPr>
                <w:ilvl w:val="0"/>
                <w:numId w:val="10"/>
              </w:numPr>
              <w:ind w:right="86"/>
              <w:jc w:val="both"/>
              <w:rPr>
                <w:rFonts w:eastAsia="Calibri"/>
              </w:rPr>
            </w:pPr>
            <w:r w:rsidRPr="00123384">
              <w:rPr>
                <w:rFonts w:eastAsia="Calibri"/>
              </w:rPr>
              <w:t xml:space="preserve">konkrētās prakses specifisko pacientu un pacientu grupu veselības aprūpe (bērnu, grūtnieču, </w:t>
            </w:r>
            <w:proofErr w:type="spellStart"/>
            <w:r w:rsidRPr="00123384">
              <w:rPr>
                <w:rFonts w:eastAsia="Calibri"/>
              </w:rPr>
              <w:t>kardiovaskulāro</w:t>
            </w:r>
            <w:proofErr w:type="spellEnd"/>
            <w:r w:rsidRPr="00123384">
              <w:rPr>
                <w:rFonts w:eastAsia="Calibri"/>
              </w:rPr>
              <w:t xml:space="preserve"> slimību, onkoloģisko pacientu aprūpe, paliatīvā aprūpe);</w:t>
            </w:r>
          </w:p>
          <w:p w14:paraId="0AFD3602" w14:textId="4CEF76DA" w:rsidR="00123384" w:rsidRPr="00123384" w:rsidRDefault="00123384" w:rsidP="00123384">
            <w:pPr>
              <w:pStyle w:val="ListParagraph"/>
              <w:numPr>
                <w:ilvl w:val="0"/>
                <w:numId w:val="10"/>
              </w:numPr>
              <w:ind w:right="86"/>
              <w:jc w:val="both"/>
              <w:rPr>
                <w:rFonts w:eastAsia="Calibri"/>
              </w:rPr>
            </w:pPr>
            <w:r w:rsidRPr="00123384">
              <w:rPr>
                <w:rFonts w:eastAsia="Calibri"/>
              </w:rPr>
              <w:lastRenderedPageBreak/>
              <w:t>ģimenes ārsta praksē veicamās manipulācijas;</w:t>
            </w:r>
          </w:p>
          <w:p w14:paraId="2F0DA300" w14:textId="7809E6DA" w:rsidR="00123384" w:rsidRPr="00123384" w:rsidRDefault="00123384" w:rsidP="00123384">
            <w:pPr>
              <w:pStyle w:val="ListParagraph"/>
              <w:numPr>
                <w:ilvl w:val="0"/>
                <w:numId w:val="10"/>
              </w:numPr>
              <w:ind w:right="86"/>
              <w:jc w:val="both"/>
              <w:rPr>
                <w:rFonts w:eastAsia="Calibri"/>
              </w:rPr>
            </w:pPr>
            <w:r w:rsidRPr="00123384">
              <w:rPr>
                <w:rFonts w:eastAsia="Calibri"/>
              </w:rPr>
              <w:t>primārās veselības aprūpes kvalitātes kritēriji un kā tos izpildīt;</w:t>
            </w:r>
          </w:p>
          <w:p w14:paraId="39331148" w14:textId="6B104B25" w:rsidR="00123384" w:rsidRPr="00123384" w:rsidRDefault="00123384" w:rsidP="00123384">
            <w:pPr>
              <w:pStyle w:val="ListParagraph"/>
              <w:numPr>
                <w:ilvl w:val="0"/>
                <w:numId w:val="10"/>
              </w:numPr>
              <w:ind w:right="86"/>
              <w:jc w:val="both"/>
              <w:rPr>
                <w:rFonts w:eastAsia="Calibri"/>
              </w:rPr>
            </w:pPr>
            <w:r w:rsidRPr="00123384">
              <w:rPr>
                <w:rFonts w:eastAsia="Calibri"/>
              </w:rPr>
              <w:t>profilaktiskās apskates pieaugušajiem un bērniem;</w:t>
            </w:r>
          </w:p>
          <w:p w14:paraId="772ABD06" w14:textId="39ABBBEF" w:rsidR="00123384" w:rsidRPr="00123384" w:rsidRDefault="00123384" w:rsidP="00123384">
            <w:pPr>
              <w:pStyle w:val="ListParagraph"/>
              <w:numPr>
                <w:ilvl w:val="0"/>
                <w:numId w:val="10"/>
              </w:numPr>
              <w:ind w:right="86"/>
              <w:jc w:val="both"/>
              <w:rPr>
                <w:rFonts w:eastAsia="Calibri"/>
              </w:rPr>
            </w:pPr>
            <w:r w:rsidRPr="00123384">
              <w:rPr>
                <w:rFonts w:eastAsia="Calibri"/>
              </w:rPr>
              <w:t>valsts imunizācijas programma un kā to izpildīt;</w:t>
            </w:r>
          </w:p>
          <w:p w14:paraId="008B553F" w14:textId="2CCC48D9" w:rsidR="00123384" w:rsidRPr="00123384" w:rsidRDefault="00123384" w:rsidP="00123384">
            <w:pPr>
              <w:pStyle w:val="ListParagraph"/>
              <w:numPr>
                <w:ilvl w:val="0"/>
                <w:numId w:val="10"/>
              </w:numPr>
              <w:ind w:right="86"/>
              <w:jc w:val="both"/>
              <w:rPr>
                <w:rFonts w:eastAsia="Calibri"/>
              </w:rPr>
            </w:pPr>
            <w:r w:rsidRPr="00123384">
              <w:rPr>
                <w:rFonts w:eastAsia="Calibri"/>
              </w:rPr>
              <w:t xml:space="preserve">valsts organizētā </w:t>
            </w:r>
            <w:proofErr w:type="spellStart"/>
            <w:r w:rsidRPr="00123384">
              <w:rPr>
                <w:rFonts w:eastAsia="Calibri"/>
              </w:rPr>
              <w:t>skrīninga</w:t>
            </w:r>
            <w:proofErr w:type="spellEnd"/>
            <w:r w:rsidRPr="00123384">
              <w:rPr>
                <w:rFonts w:eastAsia="Calibri"/>
              </w:rPr>
              <w:t xml:space="preserve"> programma.</w:t>
            </w:r>
          </w:p>
          <w:p w14:paraId="5E48406E" w14:textId="4B463716" w:rsidR="00123384" w:rsidRPr="00C97A2B" w:rsidRDefault="006C7A90" w:rsidP="00C97A2B">
            <w:pPr>
              <w:pStyle w:val="ListParagraph"/>
              <w:ind w:left="113" w:right="86"/>
              <w:jc w:val="both"/>
              <w:rPr>
                <w:rFonts w:eastAsia="Calibri"/>
              </w:rPr>
            </w:pPr>
            <w:r>
              <w:rPr>
                <w:rFonts w:eastAsia="Calibri"/>
              </w:rPr>
              <w:t xml:space="preserve">Noslēdzoties kopīgas sadarbības trīs mēnešu periodam specifisko zināšanu, informācijas un pieredzes nodošanā, ģimenes ārstam, kas pārņem ģimenes ārsta praksi, jābūt noslēgtam </w:t>
            </w:r>
            <w:r w:rsidRPr="006C7A90">
              <w:rPr>
                <w:rFonts w:eastAsia="Calibri"/>
              </w:rPr>
              <w:t xml:space="preserve"> līgum</w:t>
            </w:r>
            <w:r>
              <w:rPr>
                <w:rFonts w:eastAsia="Calibri"/>
              </w:rPr>
              <w:t xml:space="preserve">am </w:t>
            </w:r>
            <w:r w:rsidRPr="006C7A90">
              <w:rPr>
                <w:rFonts w:eastAsia="Calibri"/>
              </w:rPr>
              <w:t xml:space="preserve">ar </w:t>
            </w:r>
            <w:r>
              <w:rPr>
                <w:rFonts w:eastAsia="Calibri"/>
              </w:rPr>
              <w:t>NVD</w:t>
            </w:r>
            <w:r w:rsidRPr="006C7A90">
              <w:rPr>
                <w:rFonts w:eastAsia="Calibri"/>
              </w:rPr>
              <w:t xml:space="preserve"> par valsts apmaksāto primārās veselības aprūpes pakalpojumu sniegšanu</w:t>
            </w:r>
            <w:r w:rsidR="00361451">
              <w:rPr>
                <w:rFonts w:eastAsia="Calibri"/>
              </w:rPr>
              <w:t>.</w:t>
            </w:r>
            <w:r w:rsidRPr="006C7A90">
              <w:rPr>
                <w:rFonts w:eastAsia="Calibri"/>
              </w:rPr>
              <w:t xml:space="preserve"> </w:t>
            </w:r>
            <w:r>
              <w:rPr>
                <w:rFonts w:eastAsia="Calibri"/>
              </w:rPr>
              <w:t>Tikai pēc līguma noslēgšanas un apliecinājuma par specifisko zināšanu, informācijas un pieredzes nodošanu aizpildīšanas tiks uzskatīts, kas ģimenes ārsta prakses pārņemšanas process ir noslēdzies.</w:t>
            </w:r>
            <w:r w:rsidR="00712790">
              <w:rPr>
                <w:rFonts w:eastAsia="Calibri"/>
              </w:rPr>
              <w:t xml:space="preserve"> </w:t>
            </w:r>
            <w:r w:rsidR="00361451">
              <w:rPr>
                <w:rFonts w:eastAsia="Calibri"/>
              </w:rPr>
              <w:t xml:space="preserve">Ņemot vērā, ka ģimenes ārsti, kas pārņem ģimenes ārsta praksi, nesaņem </w:t>
            </w:r>
            <w:r w:rsidR="00361451" w:rsidRPr="00361451">
              <w:rPr>
                <w:rFonts w:eastAsia="Calibri"/>
              </w:rPr>
              <w:t>vienreizēj</w:t>
            </w:r>
            <w:r w:rsidR="00C97A2B">
              <w:rPr>
                <w:rFonts w:eastAsia="Calibri"/>
              </w:rPr>
              <w:t>u</w:t>
            </w:r>
            <w:r w:rsidR="00361451" w:rsidRPr="00361451">
              <w:rPr>
                <w:rFonts w:eastAsia="Calibri"/>
              </w:rPr>
              <w:t xml:space="preserve"> kompensācij</w:t>
            </w:r>
            <w:r w:rsidR="00C97A2B">
              <w:rPr>
                <w:rFonts w:eastAsia="Calibri"/>
              </w:rPr>
              <w:t>u</w:t>
            </w:r>
            <w:r w:rsidR="00361451" w:rsidRPr="00361451">
              <w:rPr>
                <w:rFonts w:eastAsia="Calibri"/>
              </w:rPr>
              <w:t xml:space="preserve"> ārstniecības personām</w:t>
            </w:r>
            <w:r w:rsidR="00C97A2B">
              <w:rPr>
                <w:rFonts w:eastAsia="Calibri"/>
              </w:rPr>
              <w:t xml:space="preserve"> un </w:t>
            </w:r>
            <w:r w:rsidR="00361451" w:rsidRPr="00C97A2B">
              <w:rPr>
                <w:rFonts w:eastAsia="Calibri"/>
              </w:rPr>
              <w:t>vienreizēj</w:t>
            </w:r>
            <w:r w:rsidR="00C97A2B">
              <w:rPr>
                <w:rFonts w:eastAsia="Calibri"/>
              </w:rPr>
              <w:t>u</w:t>
            </w:r>
            <w:r w:rsidR="00361451" w:rsidRPr="00C97A2B">
              <w:rPr>
                <w:rFonts w:eastAsia="Calibri"/>
              </w:rPr>
              <w:t xml:space="preserve"> uzturēšanās izmaksu kompensācij</w:t>
            </w:r>
            <w:r w:rsidR="00C97A2B">
              <w:rPr>
                <w:rFonts w:eastAsia="Calibri"/>
              </w:rPr>
              <w:t>u</w:t>
            </w:r>
            <w:r w:rsidR="00361451" w:rsidRPr="00C97A2B">
              <w:rPr>
                <w:rFonts w:eastAsia="Calibri"/>
              </w:rPr>
              <w:t xml:space="preserve"> ārstniecības personā</w:t>
            </w:r>
            <w:r w:rsidR="00C97A2B">
              <w:rPr>
                <w:rFonts w:eastAsia="Calibri"/>
              </w:rPr>
              <w:t xml:space="preserve">m, tad nav attiecināma prasība par valsts apmaksāto veselības aprūpes pakalpojumu sniegšanu 5 gadu periodā un līgums ar NVD var tikt slēgts uz jebkādu termiņu. </w:t>
            </w:r>
            <w:r w:rsidR="00712790" w:rsidRPr="00C97A2B">
              <w:rPr>
                <w:rFonts w:eastAsia="Calibri"/>
              </w:rPr>
              <w:t>Lai NVD slēgtu līgumu par primārās veselības aprūpes pakalpojumu sniegšanu un apmaksu ar ģimenes ārsta praksi, tai ir jābūt reģistrētai Veselības inspekcijas Ārstniecības iestāžu reģistrā. Konsultācijās ar nozares speciālistiem secināts, ka viens no lielākajiem</w:t>
            </w:r>
            <w:r w:rsidR="008755BB">
              <w:rPr>
                <w:rFonts w:eastAsia="Calibri"/>
              </w:rPr>
              <w:t xml:space="preserve"> šķēršļiem ārstniecības iestādes reģistrācijai</w:t>
            </w:r>
            <w:r w:rsidR="00712790" w:rsidRPr="00C97A2B">
              <w:rPr>
                <w:rFonts w:eastAsia="Calibri"/>
              </w:rPr>
              <w:t xml:space="preserve"> Ārstniecības iestāžu reģistrā un tai sekojošai līgumattiecību veidošanai ar NVD ir ārstniecības iestādes telpu vides pieejamība personām ar funkcionāliem traucējumiem. Saskaņā ar Ministru kabineta 2009.gada 20.janvāra noteikumu Nr.60 “Noteikumi par obligātajām prasībām ārstniecības iestādēm un to struktūrvienībām” 3.2.apakšpunktu ārstniecības iestādei ir jānodrošina vides pieejamība personām ar funkcionāliem traucējumiem, ko nereti ir grūti nodrošināt, īpaši Rīgas centrā, ņemot vērā </w:t>
            </w:r>
            <w:r w:rsidR="00800EFD" w:rsidRPr="00C97A2B">
              <w:rPr>
                <w:rFonts w:eastAsia="Calibri"/>
              </w:rPr>
              <w:t xml:space="preserve">kultūrvēsturisko būvju esamību. Šajā sakarā </w:t>
            </w:r>
            <w:r w:rsidR="009D21F1" w:rsidRPr="00C97A2B">
              <w:rPr>
                <w:rFonts w:eastAsia="Calibri"/>
              </w:rPr>
              <w:t xml:space="preserve">jau 9.2.5. SAM </w:t>
            </w:r>
            <w:r w:rsidR="00800EFD" w:rsidRPr="00C97A2B">
              <w:rPr>
                <w:rFonts w:eastAsia="Calibri"/>
              </w:rPr>
              <w:t xml:space="preserve"> </w:t>
            </w:r>
            <w:r w:rsidR="009D21F1" w:rsidRPr="00C97A2B">
              <w:rPr>
                <w:rFonts w:eastAsia="Calibri"/>
              </w:rPr>
              <w:t xml:space="preserve">ietvaros </w:t>
            </w:r>
            <w:r w:rsidR="00800EFD" w:rsidRPr="00C97A2B">
              <w:rPr>
                <w:rFonts w:eastAsia="Calibri"/>
              </w:rPr>
              <w:t xml:space="preserve">panākta vienošanās ar </w:t>
            </w:r>
            <w:r w:rsidR="009D21F1" w:rsidRPr="00C97A2B">
              <w:rPr>
                <w:rFonts w:eastAsia="Calibri"/>
              </w:rPr>
              <w:t xml:space="preserve">Veselības inspekciju par ārstniecības iestāžu reģistrāciju Ārstniecības iestāžu reģistrā ar nosacījumu uz laiku līdz </w:t>
            </w:r>
            <w:r w:rsidR="00144417" w:rsidRPr="00C97A2B">
              <w:rPr>
                <w:rFonts w:eastAsia="Calibri"/>
              </w:rPr>
              <w:t>diviem</w:t>
            </w:r>
            <w:r w:rsidR="009D21F1" w:rsidRPr="00C97A2B">
              <w:rPr>
                <w:rFonts w:eastAsia="Calibri"/>
              </w:rPr>
              <w:t xml:space="preserve"> gadiem, kuru laikā jānodrošina vides pieejamības nodrošināšana ārstniecības iestādē</w:t>
            </w:r>
            <w:r w:rsidR="00144417" w:rsidRPr="00C97A2B">
              <w:rPr>
                <w:rFonts w:eastAsia="Calibri"/>
              </w:rPr>
              <w:t xml:space="preserve">. Lai motivētu jaunos speciālistus iesaistīties valsts apmaksātu primārās veselības aprūpes pakalpojumu sniegšanā un neierobežotu to ar sākotnēju vides pieejamības personām ar funkcionāliem traucējumiem neesamību, šādu vienošanos plānots panākt arī 9.2.7.SAM ietvaros. Uzsākot valsts apmaksāto pakalpojumu sniegšanu un saņemot atbalstu, ģimenes ārstam, kas pārņem praksi, laika gaitā būs iespējams nodrošināt esošajās telpās vides pieejamību personām ar funkcionāliem traucējumiem vai </w:t>
            </w:r>
            <w:r w:rsidR="00144417" w:rsidRPr="00C97A2B">
              <w:rPr>
                <w:rFonts w:eastAsia="Calibri"/>
              </w:rPr>
              <w:lastRenderedPageBreak/>
              <w:t xml:space="preserve">atrast jaunas telpas, kuras jau būtu pielāgotas personām ar funkcionāliem traucējumiem. </w:t>
            </w:r>
          </w:p>
          <w:p w14:paraId="7480D13C" w14:textId="6BEF2C12" w:rsidR="005C4C12" w:rsidRPr="004A6791" w:rsidRDefault="00D47963" w:rsidP="00144417">
            <w:pPr>
              <w:ind w:left="113" w:right="137" w:firstLine="284"/>
              <w:jc w:val="both"/>
              <w:rPr>
                <w:bCs/>
                <w:shd w:val="clear" w:color="auto" w:fill="FFFFFF"/>
              </w:rPr>
            </w:pPr>
            <w:r w:rsidRPr="004A6791">
              <w:t>Atbilstoši</w:t>
            </w:r>
            <w:r w:rsidRPr="004A6791">
              <w:rPr>
                <w:bCs/>
                <w:shd w:val="clear" w:color="auto" w:fill="FFFFFF"/>
              </w:rPr>
              <w:t xml:space="preserve"> likuma Par iedzīvotāju ienākuma nodokli 9. panta 1.daļas 16.punktam, kas nosaka, ka gada apliekamajā ienākumā netiek ietverti un ar nodokli netiek aplikt</w:t>
            </w:r>
            <w:r w:rsidR="00123384">
              <w:rPr>
                <w:bCs/>
                <w:shd w:val="clear" w:color="auto" w:fill="FFFFFF"/>
              </w:rPr>
              <w:t xml:space="preserve">as </w:t>
            </w:r>
            <w:r w:rsidRPr="004A6791">
              <w:rPr>
                <w:bCs/>
                <w:shd w:val="clear" w:color="auto" w:fill="FFFFFF"/>
              </w:rPr>
              <w:t>kompensācijas izmaksas likumos un Ministru kabineta noteikto normu ietvaros, izņemot</w:t>
            </w:r>
            <w:r w:rsidRPr="004A6791">
              <w:rPr>
                <w:rFonts w:ascii="Calibri" w:hAnsi="Calibri"/>
                <w:b/>
                <w:bCs/>
                <w:shd w:val="clear" w:color="auto" w:fill="FFFFFF"/>
              </w:rPr>
              <w:t xml:space="preserve"> </w:t>
            </w:r>
            <w:r w:rsidRPr="004A6791">
              <w:rPr>
                <w:bCs/>
                <w:shd w:val="clear" w:color="auto" w:fill="FFFFFF"/>
              </w:rPr>
              <w:t>kompensāciju par neizmantoto atvaļinājumu</w:t>
            </w:r>
            <w:r w:rsidRPr="004A6791">
              <w:t xml:space="preserve">. </w:t>
            </w:r>
            <w:r w:rsidR="005C4C12" w:rsidRPr="004A6791">
              <w:rPr>
                <w:bCs/>
                <w:shd w:val="clear" w:color="auto" w:fill="FFFFFF"/>
              </w:rPr>
              <w:t xml:space="preserve">Ņemot vērā, ka atbilstoši likuma Par valsts sociālo apdrošināšanu 14.pantam “Obligāto iemaksu objekts” noteikts, ka </w:t>
            </w:r>
            <w:r w:rsidR="005C4C12" w:rsidRPr="004A6791">
              <w:rPr>
                <w:shd w:val="clear" w:color="auto" w:fill="FFFFFF"/>
              </w:rPr>
              <w:t>obligāto iemaksu objekts i</w:t>
            </w:r>
            <w:r w:rsidR="005C4C12" w:rsidRPr="004A6791">
              <w:rPr>
                <w:bCs/>
                <w:shd w:val="clear" w:color="auto" w:fill="FFFFFF"/>
              </w:rPr>
              <w:t>r visi algotā darbā aprēķinātie ienākumi, no kuriem jāietur iedzīvotāju ienākuma nodoklis, attiecīgi no iepriekšminētajām kompensā</w:t>
            </w:r>
            <w:r w:rsidR="005C4C12" w:rsidRPr="004A6791">
              <w:t xml:space="preserve">cijām </w:t>
            </w:r>
            <w:r w:rsidR="005C4C12" w:rsidRPr="004A6791">
              <w:rPr>
                <w:bCs/>
                <w:shd w:val="clear" w:color="auto" w:fill="FFFFFF"/>
              </w:rPr>
              <w:t>netiek ieturē</w:t>
            </w:r>
            <w:r w:rsidR="005C4C12" w:rsidRPr="004A6791">
              <w:t>tas</w:t>
            </w:r>
            <w:r w:rsidR="005C4C12" w:rsidRPr="004A6791">
              <w:rPr>
                <w:bCs/>
                <w:shd w:val="clear" w:color="auto" w:fill="FFFFFF"/>
              </w:rPr>
              <w:t xml:space="preserve"> arī</w:t>
            </w:r>
            <w:r w:rsidR="005C4C12" w:rsidRPr="004A6791">
              <w:t xml:space="preserve"> valsts sociālās apdrošināšanas obligātās iemaksas.</w:t>
            </w:r>
          </w:p>
          <w:p w14:paraId="5BF530D5" w14:textId="77777777" w:rsidR="00D47963" w:rsidRPr="004A6791" w:rsidRDefault="00343908" w:rsidP="00BE1E8E">
            <w:pPr>
              <w:pStyle w:val="naiskr"/>
              <w:spacing w:before="0" w:beforeAutospacing="0" w:after="0" w:afterAutospacing="0"/>
              <w:ind w:left="57" w:right="57" w:firstLine="284"/>
              <w:jc w:val="both"/>
            </w:pPr>
            <w:r w:rsidRPr="004A6791">
              <w:t xml:space="preserve">Plānojot </w:t>
            </w:r>
            <w:r w:rsidR="00B37D3E" w:rsidRPr="004A6791">
              <w:t>specifiskā atbalsta</w:t>
            </w:r>
            <w:r w:rsidR="00D46E0B" w:rsidRPr="004A6791">
              <w:t xml:space="preserve"> </w:t>
            </w:r>
            <w:r w:rsidRPr="004A6791">
              <w:t>atbalstāmās darbības un reāli sasniedzamos iznākuma un rezultāta rādītājus, jāatzīmē, ka atbilstoši Veselības ministrijas provizoriskam aprēķinam, plānots pārsniegt darbības programmā noteiktos rādītājus</w:t>
            </w:r>
            <w:r w:rsidR="00D46E0B" w:rsidRPr="004A6791">
              <w:t xml:space="preserve">. </w:t>
            </w:r>
          </w:p>
          <w:p w14:paraId="1AB72C75" w14:textId="77777777" w:rsidR="00B37D3E" w:rsidRPr="004A6791" w:rsidRDefault="003E4D08" w:rsidP="00B37D3E">
            <w:pPr>
              <w:pStyle w:val="naiskr"/>
              <w:spacing w:before="40" w:beforeAutospacing="0" w:after="40" w:afterAutospacing="0"/>
              <w:ind w:left="57" w:right="57" w:firstLine="284"/>
              <w:jc w:val="both"/>
              <w:rPr>
                <w:bCs/>
                <w:spacing w:val="-2"/>
              </w:rPr>
            </w:pPr>
            <w:r w:rsidRPr="004A6791">
              <w:t xml:space="preserve">Specifiskā atbalsta </w:t>
            </w:r>
            <w:r w:rsidR="00B37D3E" w:rsidRPr="004A6791">
              <w:rPr>
                <w:rFonts w:eastAsiaTheme="minorHAnsi"/>
              </w:rPr>
              <w:t>ietvaros</w:t>
            </w:r>
            <w:r w:rsidR="00B37D3E" w:rsidRPr="004A6791">
              <w:rPr>
                <w:bCs/>
                <w:spacing w:val="-2"/>
              </w:rPr>
              <w:t xml:space="preserve"> </w:t>
            </w:r>
            <w:r w:rsidR="00B37D3E" w:rsidRPr="004A6791">
              <w:rPr>
                <w:rFonts w:eastAsiaTheme="minorEastAsia"/>
              </w:rPr>
              <w:t xml:space="preserve">saskaņā ar </w:t>
            </w:r>
            <w:r w:rsidR="00B37D3E" w:rsidRPr="004A6791">
              <w:t xml:space="preserve">Darbības </w:t>
            </w:r>
            <w:r w:rsidR="00B37D3E" w:rsidRPr="004A6791">
              <w:rPr>
                <w:bCs/>
              </w:rPr>
              <w:t>programmu</w:t>
            </w:r>
            <w:r w:rsidR="00B37D3E" w:rsidRPr="004A6791">
              <w:t xml:space="preserve"> “</w:t>
            </w:r>
            <w:r w:rsidR="00B37D3E" w:rsidRPr="004A6791">
              <w:rPr>
                <w:i/>
              </w:rPr>
              <w:t>Izaugsme un nodarbinātība</w:t>
            </w:r>
            <w:r w:rsidR="00B37D3E" w:rsidRPr="004A6791">
              <w:t xml:space="preserve">” </w:t>
            </w:r>
            <w:r w:rsidR="00B37D3E" w:rsidRPr="004A6791">
              <w:rPr>
                <w:bCs/>
                <w:spacing w:val="-2"/>
              </w:rPr>
              <w:t>ir noteikti šādi līdz 2023. gada 31. decembrim</w:t>
            </w:r>
            <w:r w:rsidR="00B37D3E" w:rsidRPr="004A6791">
              <w:rPr>
                <w:b/>
                <w:bCs/>
                <w:spacing w:val="-2"/>
              </w:rPr>
              <w:t xml:space="preserve"> </w:t>
            </w:r>
            <w:r w:rsidR="00B37D3E" w:rsidRPr="004A6791">
              <w:rPr>
                <w:spacing w:val="-2"/>
                <w:u w:val="single"/>
              </w:rPr>
              <w:t>sasniedzami uzraudzības rādītāji</w:t>
            </w:r>
            <w:r w:rsidR="00B37D3E" w:rsidRPr="004A6791">
              <w:rPr>
                <w:bCs/>
                <w:spacing w:val="-2"/>
              </w:rPr>
              <w:t xml:space="preserve">: </w:t>
            </w:r>
          </w:p>
          <w:p w14:paraId="0ACD11EB" w14:textId="77777777" w:rsidR="00BE1E8E" w:rsidRPr="00BE1E8E" w:rsidRDefault="00BE1E8E" w:rsidP="00BE1E8E">
            <w:pPr>
              <w:tabs>
                <w:tab w:val="left" w:pos="851"/>
                <w:tab w:val="left" w:pos="1701"/>
              </w:tabs>
              <w:ind w:left="1246"/>
              <w:jc w:val="both"/>
              <w:rPr>
                <w:color w:val="000000" w:themeColor="text1"/>
              </w:rPr>
            </w:pPr>
            <w:bookmarkStart w:id="13" w:name="_Hlk47967769"/>
            <w:r w:rsidRPr="00BE1E8E">
              <w:rPr>
                <w:color w:val="000000" w:themeColor="text1"/>
              </w:rPr>
              <w:t xml:space="preserve">rezultāta rādītājs – dalībnieku skaits, kas strādā sešus mēnešus pēc atbalsta saņemšanas – 270; </w:t>
            </w:r>
          </w:p>
          <w:bookmarkEnd w:id="13"/>
          <w:p w14:paraId="7835240F" w14:textId="77777777" w:rsidR="00BE1E8E" w:rsidRPr="00BE1E8E" w:rsidRDefault="00BE1E8E" w:rsidP="00BE1E8E">
            <w:pPr>
              <w:tabs>
                <w:tab w:val="left" w:pos="851"/>
                <w:tab w:val="left" w:pos="1701"/>
              </w:tabs>
              <w:ind w:left="1246"/>
              <w:jc w:val="both"/>
              <w:rPr>
                <w:color w:val="000000" w:themeColor="text1"/>
              </w:rPr>
            </w:pPr>
            <w:r w:rsidRPr="00BE1E8E">
              <w:rPr>
                <w:color w:val="000000" w:themeColor="text1"/>
              </w:rPr>
              <w:t xml:space="preserve">iznākuma rādītājs – ārstniecības personu skaits, kuras saņēmušas ESF atbalstu  – 270. </w:t>
            </w:r>
          </w:p>
          <w:p w14:paraId="2538C7D4" w14:textId="77777777" w:rsidR="00B37D3E" w:rsidRPr="004A6791" w:rsidRDefault="00B37D3E" w:rsidP="00B37D3E">
            <w:pPr>
              <w:pStyle w:val="naiskr"/>
              <w:spacing w:before="40" w:beforeAutospacing="0" w:after="40" w:afterAutospacing="0"/>
              <w:ind w:left="57" w:right="57" w:firstLine="284"/>
              <w:jc w:val="both"/>
            </w:pPr>
            <w:r w:rsidRPr="004A6791">
              <w:rPr>
                <w:bCs/>
                <w:spacing w:val="-2"/>
              </w:rPr>
              <w:t xml:space="preserve">Iznākuma un rezultātu rādītāju pamatojums, uzskaites apraksts noteikts Rādītāju </w:t>
            </w:r>
            <w:r w:rsidRPr="004A6791">
              <w:rPr>
                <w:iCs/>
              </w:rPr>
              <w:t>pasē</w:t>
            </w:r>
            <w:r w:rsidRPr="004A6791">
              <w:t xml:space="preserve">, kas tiek pievienota Darbības </w:t>
            </w:r>
            <w:r w:rsidRPr="004A6791">
              <w:rPr>
                <w:bCs/>
              </w:rPr>
              <w:t>programmai</w:t>
            </w:r>
            <w:r w:rsidRPr="004A6791">
              <w:t xml:space="preserve"> “</w:t>
            </w:r>
            <w:r w:rsidRPr="004A6791">
              <w:rPr>
                <w:i/>
              </w:rPr>
              <w:t>Izaugsme un nodarbinātība</w:t>
            </w:r>
            <w:r w:rsidRPr="004A6791">
              <w:t xml:space="preserve">”. </w:t>
            </w:r>
          </w:p>
          <w:p w14:paraId="341D4D59" w14:textId="3290C8DD" w:rsidR="0028669B" w:rsidRPr="004A6791" w:rsidRDefault="008F413E" w:rsidP="00BE1E8E">
            <w:pPr>
              <w:pStyle w:val="naiskr"/>
              <w:spacing w:before="0" w:beforeAutospacing="0" w:after="0" w:afterAutospacing="0"/>
              <w:ind w:left="57" w:right="57" w:firstLine="284"/>
              <w:jc w:val="both"/>
              <w:rPr>
                <w:rFonts w:eastAsiaTheme="minorHAnsi"/>
              </w:rPr>
            </w:pPr>
            <w:r w:rsidRPr="004A6791">
              <w:rPr>
                <w:rFonts w:eastAsiaTheme="minorHAnsi"/>
              </w:rPr>
              <w:t>Papildus ieviešanas nosacījumi paredz</w:t>
            </w:r>
            <w:r w:rsidR="0028669B" w:rsidRPr="004A6791">
              <w:rPr>
                <w:rFonts w:eastAsiaTheme="minorHAnsi"/>
              </w:rPr>
              <w:t xml:space="preserve">, ka </w:t>
            </w:r>
            <w:r w:rsidRPr="004A6791">
              <w:rPr>
                <w:iCs/>
              </w:rPr>
              <w:t>specifiskā atbalsta</w:t>
            </w:r>
            <w:r w:rsidR="0028669B" w:rsidRPr="004A6791">
              <w:t xml:space="preserve"> </w:t>
            </w:r>
            <w:r w:rsidR="0028669B" w:rsidRPr="004A6791">
              <w:rPr>
                <w:bCs/>
              </w:rPr>
              <w:t>projektu īsteno saskaņā ar vienošanos par projekta īstenošanu, bet ne ilgāk kā līdz 2023</w:t>
            </w:r>
            <w:r w:rsidR="00D46E0B" w:rsidRPr="004A6791">
              <w:rPr>
                <w:bCs/>
              </w:rPr>
              <w:t>.</w:t>
            </w:r>
            <w:r w:rsidR="0028669B" w:rsidRPr="004A6791">
              <w:rPr>
                <w:bCs/>
              </w:rPr>
              <w:t>gada 31</w:t>
            </w:r>
            <w:r w:rsidR="00D46E0B" w:rsidRPr="004A6791">
              <w:rPr>
                <w:bCs/>
              </w:rPr>
              <w:t>.</w:t>
            </w:r>
            <w:r w:rsidR="0028669B" w:rsidRPr="004A6791">
              <w:rPr>
                <w:bCs/>
              </w:rPr>
              <w:t>decembrim</w:t>
            </w:r>
            <w:r w:rsidR="00D46E0B" w:rsidRPr="004A6791">
              <w:rPr>
                <w:bCs/>
              </w:rPr>
              <w:t xml:space="preserve">. </w:t>
            </w:r>
          </w:p>
          <w:p w14:paraId="632D2233" w14:textId="0C7CD2B1" w:rsidR="00D55654" w:rsidRPr="004A6791" w:rsidRDefault="00D55654" w:rsidP="00BE1E8E">
            <w:pPr>
              <w:pStyle w:val="naiskr"/>
              <w:spacing w:before="0" w:beforeAutospacing="0" w:after="0" w:afterAutospacing="0"/>
              <w:ind w:left="57" w:right="57" w:firstLine="284"/>
              <w:jc w:val="both"/>
            </w:pPr>
            <w:r w:rsidRPr="004A6791">
              <w:t xml:space="preserve">Finansējuma </w:t>
            </w:r>
            <w:r w:rsidRPr="004A6791">
              <w:rPr>
                <w:iCs/>
              </w:rPr>
              <w:t>saņēmējam</w:t>
            </w:r>
            <w:r w:rsidRPr="004A6791">
              <w:t xml:space="preserve"> ir noteikts pienākums uzkrāt datus </w:t>
            </w:r>
            <w:r w:rsidR="00BE1E8E">
              <w:t xml:space="preserve"> par projekta ietvaros kompensāciju saņēmušajām personām </w:t>
            </w:r>
            <w:r w:rsidR="00F460BC" w:rsidRPr="00311622">
              <w:t xml:space="preserve"> atbilstoši pārskata veidlapai par projekta dalībniekiem</w:t>
            </w:r>
            <w:r w:rsidR="00BE1E8E">
              <w:t>, kas norādīta normatīvajos aktos par Eiropas Savienības struktūrfondu un Kohēzijas fonda projektu pārbaužu veikšanas kārtību 2014.–2020. gada plānošanas periodā, un Eiropas Parlamenta un Padomes 2013. gada 17. decembra Regulas (ES) Nr. 1304/2013 par Eiropas Sociālo fondu un ar ko atceļ Padomes Regulu (EK) Nr. 1081/2006 1. pielikumam par kopējo iznākuma un rezultāta rādītāju apkopošanu, kā arī datus par horizontālā principa "Vienlīdzīgas iespējas" horizontālo rādītāju – atbalstu saņēmušo sociālās atstumtības un nabadzības riskam pakļauto iedzīvotāju skaits.</w:t>
            </w:r>
          </w:p>
          <w:p w14:paraId="0C2E77E4" w14:textId="0DDAB2C7" w:rsidR="00C547FF" w:rsidRPr="004A6791" w:rsidRDefault="00B44433" w:rsidP="006F2806">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savlaicīgu </w:t>
            </w:r>
            <w:r w:rsidR="008F413E" w:rsidRPr="004A6791">
              <w:t>specifiskā atbalsta</w:t>
            </w:r>
            <w:r w:rsidRPr="004A6791">
              <w:t xml:space="preserve"> īstenošanas uzsākšanu</w:t>
            </w:r>
            <w:r w:rsidR="006F2806">
              <w:t>,</w:t>
            </w:r>
            <w:r w:rsidRPr="004A6791">
              <w:t xml:space="preserve"> noteikumi nosaka, ka </w:t>
            </w:r>
            <w:r w:rsidR="008F413E" w:rsidRPr="004A6791">
              <w:rPr>
                <w:bCs/>
              </w:rPr>
              <w:t>p</w:t>
            </w:r>
            <w:r w:rsidR="00285C1F" w:rsidRPr="004A6791">
              <w:rPr>
                <w:bCs/>
              </w:rPr>
              <w:t xml:space="preserve">rojekta izmaksas ir </w:t>
            </w:r>
            <w:r w:rsidR="00285C1F" w:rsidRPr="004A6791">
              <w:rPr>
                <w:bCs/>
                <w:iCs/>
              </w:rPr>
              <w:t>attiecināmas</w:t>
            </w:r>
            <w:r w:rsidR="00285C1F" w:rsidRPr="004A6791">
              <w:t xml:space="preserve"> no vienošanās noslēgšanas brīža</w:t>
            </w:r>
            <w:r w:rsidR="006F2806">
              <w:t xml:space="preserve">. </w:t>
            </w:r>
          </w:p>
          <w:p w14:paraId="3DFD09CF" w14:textId="6365F3A0" w:rsidR="005E500A" w:rsidRDefault="00DC142D" w:rsidP="005E500A">
            <w:pPr>
              <w:pStyle w:val="naiskr"/>
              <w:spacing w:before="40" w:beforeAutospacing="0" w:after="40" w:afterAutospacing="0"/>
              <w:ind w:left="57" w:right="57" w:firstLine="284"/>
              <w:jc w:val="both"/>
            </w:pPr>
            <w:r w:rsidRPr="004A6791">
              <w:rPr>
                <w:rFonts w:eastAsiaTheme="minorEastAsia"/>
                <w:bCs/>
                <w:spacing w:val="-2"/>
                <w:u w:val="single"/>
              </w:rPr>
              <w:t>Projekta vadības</w:t>
            </w:r>
            <w:r w:rsidR="00D46E0B" w:rsidRPr="004A6791">
              <w:rPr>
                <w:rFonts w:eastAsiaTheme="minorEastAsia"/>
                <w:bCs/>
                <w:spacing w:val="-2"/>
                <w:u w:val="single"/>
              </w:rPr>
              <w:t xml:space="preserve"> </w:t>
            </w:r>
            <w:r w:rsidRPr="004A6791">
              <w:rPr>
                <w:u w:val="single"/>
              </w:rPr>
              <w:t>un īstenošanas nodrošināšanai</w:t>
            </w:r>
            <w:r w:rsidR="005E500A">
              <w:t xml:space="preserve"> tiek </w:t>
            </w:r>
            <w:r w:rsidR="005E500A" w:rsidRPr="005E500A">
              <w:t>piemēro</w:t>
            </w:r>
            <w:r w:rsidR="005E500A">
              <w:t>ta</w:t>
            </w:r>
            <w:r w:rsidR="005E500A" w:rsidRPr="005E500A">
              <w:t xml:space="preserve"> izmaksu vienot</w:t>
            </w:r>
            <w:r w:rsidR="005E500A">
              <w:t>ā</w:t>
            </w:r>
            <w:r w:rsidR="005E500A" w:rsidRPr="005E500A">
              <w:t xml:space="preserve"> likm</w:t>
            </w:r>
            <w:r w:rsidR="005E500A">
              <w:t>e</w:t>
            </w:r>
            <w:r w:rsidR="005E500A" w:rsidRPr="005E500A">
              <w:t xml:space="preserve"> 7 procentu apmērā no šo noteikumu 32.2. apakšpunktā minētajām projekta pārējām </w:t>
            </w:r>
            <w:r w:rsidR="005E500A" w:rsidRPr="005E500A">
              <w:lastRenderedPageBreak/>
              <w:t>tiešajām attiecināmajām īstenošanas izmaksām, un minētās atbalstāmās darbības ietvaros ir attiecināmas finansējuma saņēmēja projekta vadības personāla un īstenošanas personāla atlīdzības izmaksas.</w:t>
            </w:r>
          </w:p>
          <w:p w14:paraId="49A7502B" w14:textId="5B1D219A" w:rsidR="000E3406" w:rsidRPr="004A6791" w:rsidRDefault="000E3406" w:rsidP="000E3406">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w:t>
            </w:r>
            <w:r w:rsidR="003E4D08" w:rsidRPr="004A6791">
              <w:t>specifiskā atbalsta</w:t>
            </w:r>
            <w:r w:rsidRPr="004A6791">
              <w:t xml:space="preserve"> projekta vadību un īstenošanu un realizētu atbalstāmas darbības, paredzēts uz projekta īstenošanas laiku </w:t>
            </w:r>
            <w:r w:rsidRPr="004A6791">
              <w:rPr>
                <w:b/>
              </w:rPr>
              <w:t xml:space="preserve">izveidot </w:t>
            </w:r>
            <w:r w:rsidR="005E500A">
              <w:rPr>
                <w:b/>
              </w:rPr>
              <w:t>trīs</w:t>
            </w:r>
            <w:r w:rsidRPr="004A6791">
              <w:rPr>
                <w:b/>
              </w:rPr>
              <w:t xml:space="preserve"> jaunas štata vietas</w:t>
            </w:r>
            <w:r w:rsidRPr="004A6791">
              <w:t>, to finansēšanu nodrošinot specifiskā atbalsta ietvaros – projekta vadībai piesaistot projekta vadītāj</w:t>
            </w:r>
            <w:r w:rsidR="005E500A">
              <w:t>u un</w:t>
            </w:r>
            <w:r w:rsidRPr="004A6791">
              <w:t xml:space="preserve"> projekta </w:t>
            </w:r>
            <w:r w:rsidR="005E500A">
              <w:t>koordinatoru</w:t>
            </w:r>
            <w:r w:rsidRPr="004A6791">
              <w:t xml:space="preserve"> administratīvos jautājumos, </w:t>
            </w:r>
            <w:r w:rsidRPr="004A6791">
              <w:rPr>
                <w:lang w:eastAsia="en-US" w:bidi="ar-SA"/>
              </w:rPr>
              <w:t>savukārt kā p</w:t>
            </w:r>
            <w:r w:rsidRPr="004A6791">
              <w:t xml:space="preserve">rojekta īstenošanas personālu – piesaistīt ekspertu īstenošanas jautājumos, kas veiks pienākumus, kas saistīti ar saturisko projekta aktivitāšu īstenošanu. </w:t>
            </w:r>
          </w:p>
          <w:p w14:paraId="10B69C51" w14:textId="4A211961" w:rsidR="00013A86" w:rsidRDefault="00013A86" w:rsidP="00013A86">
            <w:pPr>
              <w:pStyle w:val="naiskr"/>
              <w:spacing w:before="40" w:beforeAutospacing="0" w:after="40" w:afterAutospacing="0"/>
              <w:ind w:left="57" w:right="57" w:firstLine="284"/>
              <w:jc w:val="both"/>
            </w:pPr>
            <w:r w:rsidRPr="004A6791">
              <w:t xml:space="preserve">Atbilstoši Eiropas Savienības struktūrfondu un Kohēzijas fonda 2014.—2020.gada plānošanas perioda vadības likuma 11.panta piektajā daļā noteiktajam, ka iestāde nodrošina, lai funkcijas, kuras tā saskaņā ar šo likumu pilda kā atbildīgā iestāde, tiktu nodalītas no citām tās funkcijām, tai skaitā funkcijām, kuras tā pilda kā finansējuma saņēmējs. Specifiskā atbalsta ietvaros Veselības ministrija ir gan </w:t>
            </w:r>
            <w:r w:rsidR="00557E45" w:rsidRPr="004A6791">
              <w:t>atbildīgā</w:t>
            </w:r>
            <w:r w:rsidRPr="004A6791">
              <w:t xml:space="preserve"> iestāde, gan finansējuma saņēmējs, gan nozares ministrija</w:t>
            </w:r>
            <w:r w:rsidR="005E500A">
              <w:t xml:space="preserve">, kas </w:t>
            </w:r>
            <w:r w:rsidRPr="004A6791">
              <w:t>Veselības ministrijas struktūrā ir nodalīta ar struktūrvienībām, proti</w:t>
            </w:r>
            <w:r w:rsidR="005E500A">
              <w:t>,</w:t>
            </w:r>
            <w:r w:rsidRPr="004A6791">
              <w:t xml:space="preserve"> Investīciju un Eiropas Savienības fondu departaments kā atbildīgā iestāde ar savu reglamentu nodrošina atbildīgās iestādes funkciju veikšanu, tostarp  specifiskā atbalsta īstenošanas noteikumu izstrādi, projekta īstenošanas </w:t>
            </w:r>
            <w:r w:rsidR="00A47AC1" w:rsidRPr="004A6791">
              <w:t>uzraudzību. Savukārt fina</w:t>
            </w:r>
            <w:r w:rsidR="00E065F3" w:rsidRPr="004A6791">
              <w:t xml:space="preserve">nsējuma saņēmēja funkcijas veic </w:t>
            </w:r>
            <w:r w:rsidR="005E500A">
              <w:t>Projektu</w:t>
            </w:r>
            <w:r w:rsidR="00E065F3" w:rsidRPr="004A6791">
              <w:t xml:space="preserve"> vadības departament</w:t>
            </w:r>
            <w:r w:rsidR="005E500A">
              <w:t>s</w:t>
            </w:r>
            <w:r w:rsidR="00E065F3" w:rsidRPr="004A6791">
              <w:br/>
              <w:t>atbilstoši reglamentā noteiktajām funkcijām.</w:t>
            </w:r>
          </w:p>
          <w:p w14:paraId="48978034" w14:textId="707D1BE4" w:rsidR="00322138" w:rsidRDefault="00BE690B" w:rsidP="001B237B">
            <w:pPr>
              <w:pStyle w:val="naiskr"/>
              <w:spacing w:before="40" w:beforeAutospacing="0" w:after="40" w:afterAutospacing="0"/>
              <w:ind w:left="57" w:right="57" w:firstLine="284"/>
              <w:jc w:val="both"/>
            </w:pPr>
            <w:r>
              <w:t xml:space="preserve">Lai mazinātu administratīvo slogu, </w:t>
            </w:r>
            <w:r w:rsidR="00422E57" w:rsidRPr="00C939E3">
              <w:t>noteikumu projekts paredz piemērot Finanšu ministrijas</w:t>
            </w:r>
            <w:r w:rsidR="009A7EAB">
              <w:t xml:space="preserve"> </w:t>
            </w:r>
            <w:r w:rsidR="00422E57" w:rsidRPr="00C939E3">
              <w:t xml:space="preserve">metodikā </w:t>
            </w:r>
            <w:r w:rsidR="00422E57" w:rsidRPr="00C939E3">
              <w:rPr>
                <w:i/>
                <w:iCs/>
              </w:rPr>
              <w:t>“Vienas vienības izmaksu standarta likmes aprēķina un piemērošanas metodika 1 km izmaksām darbības programmas “Izaugsme un nodarbinātība” īstenošanai”</w:t>
            </w:r>
            <w:r w:rsidR="00422E57" w:rsidRPr="00C939E3">
              <w:t xml:space="preserve"> </w:t>
            </w:r>
            <w:r w:rsidR="00422E57" w:rsidRPr="006B6593">
              <w:t>ietvertos nosacījumus. Projektā paredzami izdevumi par vieglā transportlīdzekļa degvielas izdevumiem, reģionālās starppilsētu nozīmes un Rīgas vietējās nozīmes sabiedriskā transporta izdevumiem, veicot darba braucienus</w:t>
            </w:r>
            <w:r w:rsidR="006B6593" w:rsidRPr="006B6593">
              <w:t xml:space="preserve"> uz ārstniecības iestādēm Rīgā un izglītības iestādēm Rīgā un reģionos.</w:t>
            </w:r>
            <w:r w:rsidR="00422E57" w:rsidRPr="006B6593">
              <w:t xml:space="preserve"> </w:t>
            </w:r>
          </w:p>
          <w:p w14:paraId="0C1891DF" w14:textId="77777777" w:rsidR="001B237B" w:rsidRPr="004A6791" w:rsidRDefault="001B237B" w:rsidP="001B237B">
            <w:pPr>
              <w:pStyle w:val="naiskr"/>
              <w:spacing w:before="40" w:beforeAutospacing="0" w:after="40" w:afterAutospacing="0"/>
              <w:ind w:left="57" w:right="57" w:firstLine="284"/>
              <w:jc w:val="both"/>
            </w:pPr>
          </w:p>
          <w:p w14:paraId="771E2E3E" w14:textId="340DB9FD" w:rsidR="006051AF" w:rsidRPr="004A6791" w:rsidRDefault="006051AF" w:rsidP="00D46E0B">
            <w:pPr>
              <w:pStyle w:val="naiskr"/>
              <w:spacing w:before="40" w:beforeAutospacing="0" w:after="40" w:afterAutospacing="0"/>
              <w:ind w:left="57" w:right="57" w:firstLine="284"/>
              <w:jc w:val="both"/>
              <w:rPr>
                <w:rFonts w:eastAsia="Calibri"/>
                <w:b/>
                <w:bCs/>
                <w:i/>
                <w:iCs/>
              </w:rPr>
            </w:pPr>
            <w:bookmarkStart w:id="14" w:name="_Toc413764320"/>
            <w:bookmarkStart w:id="15" w:name="_Toc435009067"/>
            <w:bookmarkStart w:id="16" w:name="_Toc462933306"/>
            <w:r w:rsidRPr="004A6791">
              <w:rPr>
                <w:rFonts w:eastAsia="Calibri"/>
                <w:b/>
                <w:bCs/>
              </w:rPr>
              <w:t>Ietekme uz valsts budžetu un pašvaldību budžetiem</w:t>
            </w:r>
            <w:bookmarkEnd w:id="14"/>
            <w:bookmarkEnd w:id="15"/>
            <w:bookmarkEnd w:id="16"/>
          </w:p>
          <w:p w14:paraId="1249D1BD" w14:textId="77777777" w:rsidR="00BD4522" w:rsidRDefault="00BD4522" w:rsidP="00BD4522">
            <w:pPr>
              <w:pStyle w:val="naiskr"/>
              <w:spacing w:before="0" w:beforeAutospacing="0" w:after="0" w:afterAutospacing="0"/>
              <w:ind w:left="57" w:right="57" w:firstLine="284"/>
              <w:jc w:val="both"/>
            </w:pPr>
            <w:r>
              <w:t xml:space="preserve">9.2.7.SAM darbības paredz ietekmi uz valsts budžetu, jo nacionālo līdzfinansējumu paredzēts nodrošināt no valsts budžeta līdzekļiem, kā rezultātā būs nepieciešams valsts budžeta līdzfinansējums 15% jeb 450 000  EUR apmērā. </w:t>
            </w:r>
          </w:p>
          <w:p w14:paraId="3DAE2F43" w14:textId="24C35426" w:rsidR="00527601" w:rsidRDefault="00527601" w:rsidP="00527601">
            <w:pPr>
              <w:pStyle w:val="naiskr"/>
              <w:spacing w:before="0" w:beforeAutospacing="0" w:after="0" w:afterAutospacing="0"/>
              <w:ind w:left="57" w:right="57" w:firstLine="284"/>
              <w:jc w:val="both"/>
            </w:pPr>
            <w:r>
              <w:t xml:space="preserve">Ņemot vērā šobrīd 9.2.5. SAM ietvaros izstrādāto iekšējās kontroles sistēmu, kas būtu izmantojama arī 9.2.7.SAM īstenošanā, lai nodrošinātu projekta </w:t>
            </w:r>
            <w:proofErr w:type="spellStart"/>
            <w:r>
              <w:t>pēcuzraudzību</w:t>
            </w:r>
            <w:proofErr w:type="spellEnd"/>
            <w:r>
              <w:t xml:space="preserve"> atbilstoši noslēgtajiem līgumiem ar ārstniecības personām, kas paredz, ka atbalstāmā persona vismaz piecus gadus pēc atbalsta </w:t>
            </w:r>
            <w:r>
              <w:lastRenderedPageBreak/>
              <w:t xml:space="preserve">saņemšanas turpina strādāt atbalstāmajā specialitātē atbalstāmajā ārstniecības iestādē, nepieciešami papildu </w:t>
            </w:r>
            <w:r w:rsidR="00412DDC">
              <w:t>82 218.60</w:t>
            </w:r>
            <w:r w:rsidRPr="00F540A0">
              <w:t xml:space="preserve"> EUR </w:t>
            </w:r>
            <w:r>
              <w:t xml:space="preserve"> projekta </w:t>
            </w:r>
            <w:proofErr w:type="spellStart"/>
            <w:r>
              <w:t>pēcuzraudzībai</w:t>
            </w:r>
            <w:proofErr w:type="spellEnd"/>
            <w:r>
              <w:t xml:space="preserve">. Minētais finansējums paredzēts, lai nodrošinātu vienu štata vietu </w:t>
            </w:r>
            <w:r w:rsidR="00412DDC">
              <w:t xml:space="preserve">- </w:t>
            </w:r>
            <w:r>
              <w:t xml:space="preserve">darba devēja izmaksas </w:t>
            </w:r>
            <w:r w:rsidRPr="00F540A0">
              <w:t>1 370.31 EUR</w:t>
            </w:r>
            <w:r w:rsidR="00412DDC">
              <w:t xml:space="preserve"> mēnesī</w:t>
            </w:r>
            <w:r>
              <w:t xml:space="preserve">, kas piecu gadu periodā sastāda </w:t>
            </w:r>
            <w:r w:rsidRPr="00F540A0">
              <w:t>8</w:t>
            </w:r>
            <w:r w:rsidR="00412DDC">
              <w:t>2</w:t>
            </w:r>
            <w:r w:rsidRPr="00F540A0">
              <w:t xml:space="preserve"> </w:t>
            </w:r>
            <w:r w:rsidR="00412DDC">
              <w:t>218</w:t>
            </w:r>
            <w:r w:rsidRPr="00F540A0">
              <w:t>.</w:t>
            </w:r>
            <w:r w:rsidR="00412DDC">
              <w:t>6</w:t>
            </w:r>
            <w:r w:rsidRPr="00F540A0">
              <w:t>0 EUR</w:t>
            </w:r>
            <w:r>
              <w:t>. Izmaksas tiks segtas no ES fondu 2021-2027.gada plānošanas perioda finansējuma (tehniskās palīdzības projekta vai veselības nozares projekta ar līdzīgu saturu 9.2.7.SAM)</w:t>
            </w:r>
            <w:r w:rsidR="00A63A15">
              <w:t>.</w:t>
            </w:r>
          </w:p>
          <w:p w14:paraId="5971D4D8" w14:textId="77777777" w:rsidR="00144417" w:rsidRPr="004A6791" w:rsidRDefault="00144417" w:rsidP="00BD4522">
            <w:pPr>
              <w:pStyle w:val="naiskr"/>
              <w:spacing w:before="0" w:beforeAutospacing="0" w:after="0" w:afterAutospacing="0"/>
              <w:ind w:left="57" w:right="57" w:firstLine="284"/>
              <w:jc w:val="both"/>
              <w:rPr>
                <w:rFonts w:eastAsia="Calibri"/>
                <w:b/>
                <w:bCs/>
              </w:rPr>
            </w:pPr>
            <w:bookmarkStart w:id="17" w:name="_Toc413764312"/>
            <w:bookmarkStart w:id="18" w:name="_Toc435009068"/>
            <w:bookmarkStart w:id="19" w:name="_Toc462933307"/>
          </w:p>
          <w:p w14:paraId="6375B4DF" w14:textId="72628B48"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Sociālā ietekme</w:t>
            </w:r>
            <w:bookmarkEnd w:id="17"/>
            <w:bookmarkEnd w:id="18"/>
            <w:bookmarkEnd w:id="19"/>
          </w:p>
          <w:p w14:paraId="1CA09671" w14:textId="77777777" w:rsidR="00BD4522" w:rsidRDefault="00BD4522" w:rsidP="00BD4522">
            <w:pPr>
              <w:pStyle w:val="ListParagraph"/>
              <w:ind w:left="0" w:firstLine="396"/>
              <w:jc w:val="both"/>
              <w:rPr>
                <w:b/>
              </w:rPr>
            </w:pPr>
            <w:r>
              <w:t>Nevienlīdzība veselības jomā ir</w:t>
            </w:r>
            <w:r>
              <w:rPr>
                <w:rFonts w:eastAsia="Calibri"/>
              </w:rPr>
              <w:t xml:space="preserve"> viena no mūsdienu lielākajām sociālajām, </w:t>
            </w:r>
            <w:r>
              <w:t>ekonomiskajām</w:t>
            </w:r>
            <w:r>
              <w:rPr>
                <w:rFonts w:eastAsia="Calibri"/>
              </w:rPr>
              <w:t xml:space="preserve"> un politiskajām problēmām</w:t>
            </w:r>
            <w:r>
              <w:t xml:space="preserve"> ES, PVO Eiropas reģionā, kā arī visā pasaulē, un nevienlīdzības mazināšana veselības jomā ir viens no prioritārajiem mērķiem līdz 2020.gadam.</w:t>
            </w:r>
            <w:r>
              <w:rPr>
                <w:vertAlign w:val="superscript"/>
              </w:rPr>
              <w:footnoteReference w:id="6"/>
            </w:r>
            <w:r>
              <w:t xml:space="preserve"> Līdz ar to ņemot vērā ārstniecības personu pieejamības tiešo ietekmi uz iedzīvotāju veselību, 9.2.7. SAM ir tieša ietekme arī uz sociālo jomu.</w:t>
            </w:r>
          </w:p>
          <w:p w14:paraId="57B81BBB" w14:textId="77777777" w:rsidR="00BD4522" w:rsidRDefault="00BD4522" w:rsidP="00BD4522">
            <w:pPr>
              <w:pStyle w:val="ListParagraph"/>
              <w:tabs>
                <w:tab w:val="center" w:pos="1134"/>
                <w:tab w:val="right" w:pos="8306"/>
              </w:tabs>
              <w:ind w:left="0" w:firstLine="396"/>
              <w:jc w:val="both"/>
            </w:pPr>
            <w:r>
              <w:t xml:space="preserve">9.2.7. SAM pozitīvi ietekmēs teritoriālās un sociālās atstumtības un nabadzības riskam pakļauto iedzīvotāju grupas (trūcīgās personas, bērni, personas ar invaliditāti, iedzīvotāji, kuri dzīvo apdzīvotās vietās ar zemu iedzīvotāju blīvumu, vecāka gadagājuma cilvēki virs 54 gadiem, bezdarbnieki), uzlabojot veselības aprūpes pakalpojumu pieejamību dažādu sociālo grupu iedzīvotājiem, jo īpaši </w:t>
            </w:r>
            <w:proofErr w:type="spellStart"/>
            <w:r>
              <w:t>mazaizsargātajām</w:t>
            </w:r>
            <w:proofErr w:type="spellEnd"/>
            <w:r>
              <w:t xml:space="preserve"> grupām, kam īpaši svarīgi savlaicīgi saņemt nepieciešamo veselības aprūpi.</w:t>
            </w:r>
          </w:p>
          <w:p w14:paraId="7AAFB97D" w14:textId="77777777" w:rsidR="000E3406" w:rsidRPr="004A6791" w:rsidRDefault="000E3406" w:rsidP="00D46E0B">
            <w:pPr>
              <w:pStyle w:val="naiskr"/>
              <w:spacing w:before="40" w:beforeAutospacing="0" w:after="40" w:afterAutospacing="0"/>
              <w:ind w:left="57" w:right="57" w:firstLine="284"/>
              <w:jc w:val="both"/>
              <w:rPr>
                <w:rFonts w:eastAsia="Calibri"/>
                <w:b/>
                <w:bCs/>
              </w:rPr>
            </w:pPr>
            <w:bookmarkStart w:id="20" w:name="_Toc413764318"/>
            <w:bookmarkStart w:id="21" w:name="_Toc435009070"/>
            <w:bookmarkStart w:id="22" w:name="_Toc462933308"/>
          </w:p>
          <w:p w14:paraId="426BF1E3" w14:textId="2D69588D"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Iet</w:t>
            </w:r>
            <w:r w:rsidR="00DF0C37" w:rsidRPr="004A6791">
              <w:rPr>
                <w:rFonts w:eastAsia="Calibri"/>
                <w:b/>
                <w:bCs/>
              </w:rPr>
              <w:t>e</w:t>
            </w:r>
            <w:r w:rsidRPr="004A6791">
              <w:rPr>
                <w:rFonts w:eastAsia="Calibri"/>
                <w:b/>
                <w:bCs/>
              </w:rPr>
              <w:t>kme uz veselību</w:t>
            </w:r>
            <w:bookmarkEnd w:id="20"/>
            <w:bookmarkEnd w:id="21"/>
            <w:bookmarkEnd w:id="22"/>
          </w:p>
          <w:p w14:paraId="1608694A" w14:textId="5332F1BA" w:rsidR="000E3406" w:rsidRDefault="00BD4522" w:rsidP="00D46E0B">
            <w:pPr>
              <w:pStyle w:val="naiskr"/>
              <w:spacing w:before="40" w:beforeAutospacing="0" w:after="40" w:afterAutospacing="0"/>
              <w:ind w:left="57" w:right="57" w:firstLine="284"/>
              <w:jc w:val="both"/>
            </w:pPr>
            <w:r w:rsidRPr="00BD4522">
              <w:t xml:space="preserve">Ievērojot ierobežoto investīciju apjomu, izstrādājot NAP un atbilstoši Sabiedrības veselības pamatnostādnēm 2014.-2020.gadam, kas ir galvenais veselības nozares plānošanas dokuments Latvijā, tika nolemts veikt ieguldījumus pasākumos, kas ar lielāko atdevi var nodrošināt potenciāli zaudēto mūža gadu samazināšanu un veselīgo mūža gadu skaita palielināšanu. Cilvēkresursi ir nozīmīga un neaizstājama veselības aprūpes nozares sastāvdaļa, līdz ar to ārstniecības personu pieejamībai ir tieša ietekme uz iedzīvotāju veselību. </w:t>
            </w:r>
          </w:p>
          <w:p w14:paraId="6470540B" w14:textId="77777777" w:rsidR="00BD4522" w:rsidRPr="004A6791" w:rsidRDefault="00BD4522" w:rsidP="00D46E0B">
            <w:pPr>
              <w:pStyle w:val="naiskr"/>
              <w:spacing w:before="40" w:beforeAutospacing="0" w:after="40" w:afterAutospacing="0"/>
              <w:ind w:left="57" w:right="57" w:firstLine="284"/>
              <w:jc w:val="both"/>
              <w:rPr>
                <w:rFonts w:eastAsia="Calibri"/>
                <w:b/>
                <w:bCs/>
              </w:rPr>
            </w:pPr>
          </w:p>
          <w:p w14:paraId="5BBBEA1D" w14:textId="77777777"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Ietekme uz horizontālo principu “Vienlīdzīgas iespējas”</w:t>
            </w:r>
          </w:p>
          <w:p w14:paraId="567D73C3" w14:textId="599FCB79" w:rsidR="000E3406" w:rsidRDefault="00BD4522" w:rsidP="00D46E0B">
            <w:pPr>
              <w:pStyle w:val="naiskr"/>
              <w:spacing w:before="40" w:beforeAutospacing="0" w:after="40" w:afterAutospacing="0"/>
              <w:ind w:left="57" w:right="57" w:firstLine="284"/>
              <w:jc w:val="both"/>
            </w:pPr>
            <w:r w:rsidRPr="00BD4522">
              <w:t xml:space="preserve">9.2.7.SAM ir netieša pozitīva ietekme uz horizontālo principu “Vienlīdzīgas iespējas”. 9.2.7.SAM ietvaros  paredzētas specifiskās darbības, piemēram, tiks veicināta darba un ģimenes saskaņošana, nodrošinot papildu kompensāciju ārstniecības personas ģimenes locekļiem, kas var būt laulātais, bērni u.c. apgādībā esošas personas, kā arī bērnu vai apgādībā esošo personu skaits nebūs ierobežojošs </w:t>
            </w:r>
            <w:r w:rsidRPr="00BD4522">
              <w:lastRenderedPageBreak/>
              <w:t xml:space="preserve">faktors atbalsta saņemšanai, kas nodrošinās </w:t>
            </w:r>
            <w:proofErr w:type="spellStart"/>
            <w:r w:rsidRPr="00BD4522">
              <w:t>nediskrimināciju</w:t>
            </w:r>
            <w:proofErr w:type="spellEnd"/>
            <w:r w:rsidRPr="00BD4522">
              <w:t xml:space="preserve"> un veicinās horizontālā principa mērķu sasniegšanu. Horizontālā principa “Vienlīdzīgas iespējas”  uzraudzībai MK noteikumos ir noteikts pienākums projekta īstenotājam uzkrāt datus par horizontālo rādītāju “atbalstu saņēmušo sociālās atstumtības un nabadzības riskam pakļauto iedzīvotāju skaits”.</w:t>
            </w:r>
            <w:bookmarkStart w:id="23" w:name="_Toc413764322"/>
            <w:bookmarkStart w:id="24" w:name="_Toc435009071"/>
            <w:bookmarkStart w:id="25" w:name="_Toc462933309"/>
          </w:p>
          <w:p w14:paraId="624DBACB" w14:textId="77777777" w:rsidR="00BD4522" w:rsidRPr="004A6791" w:rsidRDefault="00BD4522" w:rsidP="00D46E0B">
            <w:pPr>
              <w:pStyle w:val="naiskr"/>
              <w:spacing w:before="40" w:beforeAutospacing="0" w:after="40" w:afterAutospacing="0"/>
              <w:ind w:left="57" w:right="57" w:firstLine="284"/>
              <w:jc w:val="both"/>
              <w:rPr>
                <w:rFonts w:eastAsia="Calibri"/>
                <w:b/>
                <w:bCs/>
              </w:rPr>
            </w:pPr>
          </w:p>
          <w:p w14:paraId="25CEDA35" w14:textId="5A199B27" w:rsidR="006051AF" w:rsidRPr="004A6791" w:rsidRDefault="006051AF" w:rsidP="00D46E0B">
            <w:pPr>
              <w:pStyle w:val="naiskr"/>
              <w:spacing w:before="40" w:beforeAutospacing="0" w:after="40" w:afterAutospacing="0"/>
              <w:ind w:left="57" w:right="57" w:firstLine="284"/>
              <w:jc w:val="both"/>
              <w:rPr>
                <w:rFonts w:eastAsia="Calibri"/>
                <w:b/>
                <w:bCs/>
              </w:rPr>
            </w:pPr>
            <w:r w:rsidRPr="004A6791">
              <w:rPr>
                <w:rFonts w:eastAsia="Calibri"/>
                <w:b/>
                <w:bCs/>
              </w:rPr>
              <w:t>Valsts atbalsta ietekme uz konkurenci un tirdzniecību</w:t>
            </w:r>
            <w:bookmarkEnd w:id="23"/>
            <w:bookmarkEnd w:id="24"/>
            <w:bookmarkEnd w:id="25"/>
          </w:p>
          <w:p w14:paraId="2021E529" w14:textId="1AA582EC" w:rsidR="0057614B" w:rsidRPr="00BD4522" w:rsidRDefault="00BD4522" w:rsidP="0057614B">
            <w:pPr>
              <w:pStyle w:val="naiskr"/>
              <w:spacing w:before="0" w:beforeAutospacing="0" w:after="0" w:afterAutospacing="0"/>
              <w:ind w:left="57" w:right="57" w:firstLine="284"/>
              <w:jc w:val="both"/>
              <w:rPr>
                <w:iCs/>
              </w:rPr>
            </w:pPr>
            <w:r w:rsidRPr="00BD4522">
              <w:rPr>
                <w:iCs/>
              </w:rPr>
              <w:t xml:space="preserve">Kompensācija 9.2.7. SAM ietvaros tiks sniegta ārstniecības personu piesaistei darbam noteiktajā ārstniecības iestādē, tādējādi pastarpināti atbalstot attiecīgo ārstniecības iestādi. Ņemot vērā, ka paredzēts, ka ārstniecības personu piesaista valsts apmaksāto veselības aprūpes pakalpojumu sniegšanai, tad atbalsts piešķirams saskaņā ar nosacījumiem par atlīdzības maksājuma par sabiedrisko pakalpojumu sniegšanu, kas nepieciešama, lai nodrošinātu valsts apmaksātos veselības aprūpes pakalpojumus, ievērojot 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w:t>
            </w:r>
            <w:r w:rsidR="0057614B">
              <w:rPr>
                <w:iCs/>
              </w:rPr>
              <w:t>VTNP</w:t>
            </w:r>
            <w:r w:rsidRPr="00BD4522">
              <w:rPr>
                <w:iCs/>
              </w:rPr>
              <w:t>) noteiktās prasības. Atbalsta piešķiršana neierobežo ārstniecības personas tiesības iesaistīties maksas veselības aprūpes pakalpojumu sniegšanā, kā arī citās saimnieciskās darbības veikšanā.</w:t>
            </w:r>
            <w:r w:rsidR="0057614B">
              <w:rPr>
                <w:iCs/>
              </w:rPr>
              <w:t xml:space="preserve"> </w:t>
            </w:r>
            <w:r w:rsidR="0057614B" w:rsidRPr="0057614B">
              <w:rPr>
                <w:iCs/>
              </w:rPr>
              <w:t xml:space="preserve">Ņemot vērā, ka ārstniecības iestādēm </w:t>
            </w:r>
            <w:r w:rsidR="0057614B">
              <w:rPr>
                <w:iCs/>
              </w:rPr>
              <w:t>VTNP</w:t>
            </w:r>
            <w:r w:rsidR="0057614B" w:rsidRPr="0057614B">
              <w:rPr>
                <w:iCs/>
              </w:rPr>
              <w:t xml:space="preserve"> pilnvarojuma uzlicējs ir </w:t>
            </w:r>
            <w:r w:rsidR="0057614B">
              <w:rPr>
                <w:iCs/>
              </w:rPr>
              <w:t xml:space="preserve">NVD, </w:t>
            </w:r>
            <w:r w:rsidR="0057614B" w:rsidRPr="0057614B">
              <w:rPr>
                <w:iCs/>
              </w:rPr>
              <w:t xml:space="preserve">kurš nodrošina VTNP lēmuma nosacījumu izpildes uzraudzību, noteikumu projekts </w:t>
            </w:r>
            <w:r w:rsidR="0057614B">
              <w:rPr>
                <w:iCs/>
              </w:rPr>
              <w:t>paredz</w:t>
            </w:r>
            <w:r w:rsidR="0057614B" w:rsidRPr="0057614B">
              <w:rPr>
                <w:iCs/>
              </w:rPr>
              <w:t xml:space="preserve"> pienākumu finansējuma saņēmējam iesniegt sadarbības iestādei vispārējas tautsaimnieciskas nozīmes pakalpojuma pilnvarojuma uzlicēja – NVD, apliecinājumu, ka tas kontrolēs un pārskatīs deleģēšanas līgumā paredzētos atlīdzības (kompensācijas) maksājumus, kā arī novērsīs un atgūs deleģēšanas līgumā paredzēto atlīdzības (kompensācijas) maksājumu pārmaksu.</w:t>
            </w:r>
            <w:r w:rsidR="0057614B">
              <w:rPr>
                <w:iCs/>
              </w:rPr>
              <w:t xml:space="preserve"> P</w:t>
            </w:r>
            <w:r w:rsidR="0057614B" w:rsidRPr="0057614B">
              <w:rPr>
                <w:iCs/>
              </w:rPr>
              <w:t>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p>
          <w:p w14:paraId="71318348" w14:textId="44B788E9" w:rsidR="0057614B" w:rsidRDefault="00D60C37" w:rsidP="00D60C37">
            <w:pPr>
              <w:pStyle w:val="tv213"/>
              <w:shd w:val="clear" w:color="auto" w:fill="FFFFFF"/>
              <w:spacing w:before="0" w:beforeAutospacing="0" w:after="0" w:afterAutospacing="0"/>
              <w:ind w:firstLine="301"/>
              <w:jc w:val="both"/>
              <w:rPr>
                <w:iCs/>
              </w:rPr>
            </w:pPr>
            <w:r w:rsidRPr="00D60C37">
              <w:rPr>
                <w:color w:val="000000" w:themeColor="text1"/>
              </w:rPr>
              <w:t>K</w:t>
            </w:r>
            <w:r w:rsidR="0057614B" w:rsidRPr="00D60C37">
              <w:rPr>
                <w:color w:val="000000" w:themeColor="text1"/>
              </w:rPr>
              <w:t>ompensācija prakses pārņemšanai par specifisko zināšanu, informācijas un pieredzes nodošanu ģimenes ārstam, kurš pārņem ģimenes ārsta praksi</w:t>
            </w:r>
            <w:r w:rsidRPr="00D60C37">
              <w:rPr>
                <w:color w:val="000000" w:themeColor="text1"/>
              </w:rPr>
              <w:t xml:space="preserve">, </w:t>
            </w:r>
            <w:r w:rsidRPr="00D60C37">
              <w:rPr>
                <w:iCs/>
              </w:rPr>
              <w:t xml:space="preserve">piešķirama saskaņā ar Komisijas 2013. gada 18. decembra Regulu (ES) Nr. 1407/2013 par Līguma par Eiropas Savienības darbību 107. un 108. panta piemērošanu </w:t>
            </w:r>
            <w:proofErr w:type="spellStart"/>
            <w:r w:rsidRPr="00E626A4">
              <w:rPr>
                <w:i/>
              </w:rPr>
              <w:t>de</w:t>
            </w:r>
            <w:proofErr w:type="spellEnd"/>
            <w:r w:rsidRPr="00E626A4">
              <w:rPr>
                <w:i/>
              </w:rPr>
              <w:t xml:space="preserve"> </w:t>
            </w:r>
            <w:proofErr w:type="spellStart"/>
            <w:r w:rsidRPr="00E626A4">
              <w:rPr>
                <w:i/>
              </w:rPr>
              <w:t>minimis</w:t>
            </w:r>
            <w:proofErr w:type="spellEnd"/>
            <w:r w:rsidRPr="00E626A4">
              <w:rPr>
                <w:iCs/>
              </w:rPr>
              <w:t xml:space="preserve"> </w:t>
            </w:r>
            <w:r w:rsidRPr="00D60C37">
              <w:rPr>
                <w:iCs/>
              </w:rPr>
              <w:t>atbalstam</w:t>
            </w:r>
            <w:r w:rsidR="00E626A4">
              <w:rPr>
                <w:iCs/>
              </w:rPr>
              <w:t xml:space="preserve"> vai </w:t>
            </w:r>
            <w:r w:rsidR="00E626A4" w:rsidRPr="00E626A4">
              <w:rPr>
                <w:iCs/>
              </w:rPr>
              <w:t xml:space="preserve"> saskaņā ar Komisijas lēmumu Nr.  </w:t>
            </w:r>
            <w:hyperlink r:id="rId9" w:tgtFrame="_blank" w:history="1">
              <w:r w:rsidR="00E626A4" w:rsidRPr="00E626A4">
                <w:rPr>
                  <w:iCs/>
                </w:rPr>
                <w:t>2012/21/ES</w:t>
              </w:r>
            </w:hyperlink>
            <w:r>
              <w:rPr>
                <w:iCs/>
              </w:rPr>
              <w:t xml:space="preserve">. </w:t>
            </w:r>
          </w:p>
          <w:p w14:paraId="18077573" w14:textId="4B8D7880" w:rsidR="0057614B" w:rsidRPr="00EF0033" w:rsidRDefault="00D60C37" w:rsidP="001D4AB1">
            <w:pPr>
              <w:pStyle w:val="tv213"/>
              <w:shd w:val="clear" w:color="auto" w:fill="FFFFFF"/>
              <w:spacing w:before="0" w:beforeAutospacing="0" w:after="0" w:afterAutospacing="0"/>
              <w:ind w:firstLine="301"/>
              <w:jc w:val="both"/>
              <w:rPr>
                <w:color w:val="000000" w:themeColor="text1"/>
              </w:rPr>
            </w:pPr>
            <w:r w:rsidRPr="00BD4522">
              <w:rPr>
                <w:iCs/>
              </w:rPr>
              <w:t xml:space="preserve">Atbalsts pasākumiem </w:t>
            </w:r>
            <w:r>
              <w:rPr>
                <w:iCs/>
              </w:rPr>
              <w:t>ģimenes ārstu</w:t>
            </w:r>
            <w:r w:rsidR="00DF2453">
              <w:rPr>
                <w:iCs/>
              </w:rPr>
              <w:t xml:space="preserve">, kas sniedz valsts apmaksātus veselības aprūpes pakalpojumus, </w:t>
            </w:r>
            <w:r>
              <w:rPr>
                <w:iCs/>
              </w:rPr>
              <w:t xml:space="preserve">paaudžu </w:t>
            </w:r>
            <w:r>
              <w:rPr>
                <w:iCs/>
              </w:rPr>
              <w:lastRenderedPageBreak/>
              <w:t>nomaiņai</w:t>
            </w:r>
            <w:r w:rsidRPr="00BD4522">
              <w:rPr>
                <w:iCs/>
              </w:rPr>
              <w:t xml:space="preserve">, kas tiek piešķirts ģimenes ārstam, kas nodod praksi un nodrošina </w:t>
            </w:r>
            <w:r>
              <w:rPr>
                <w:iCs/>
              </w:rPr>
              <w:t>specifisko zināšanu, informācijas un pieredzes nodošanu</w:t>
            </w:r>
            <w:r w:rsidRPr="00BD4522">
              <w:rPr>
                <w:iCs/>
              </w:rPr>
              <w:t xml:space="preserve"> ģimenes ārsta prakses efektīvai pārņemšanai nav uzskatāms par valsts atbalstu</w:t>
            </w:r>
            <w:r w:rsidR="00F55B37">
              <w:rPr>
                <w:iCs/>
              </w:rPr>
              <w:t>,</w:t>
            </w:r>
            <w:r w:rsidR="00F55B37" w:rsidRPr="004A6791">
              <w:t xml:space="preserve"> jo paredz specifisku apmācību sniegšanu, nodrošinot individuālās pieredzes nodošanu, līdz ar to neietekmē konkurenci starp uzņēmumiem un dalībvalstīm.</w:t>
            </w:r>
          </w:p>
          <w:p w14:paraId="49178059" w14:textId="3BCB6DDE" w:rsidR="001D4AB1" w:rsidRDefault="00BD4522" w:rsidP="001D4AB1">
            <w:pPr>
              <w:pStyle w:val="naiskr"/>
              <w:spacing w:before="0" w:beforeAutospacing="0" w:after="0" w:afterAutospacing="0"/>
              <w:ind w:left="57" w:right="57" w:firstLine="284"/>
              <w:jc w:val="both"/>
            </w:pPr>
            <w:r w:rsidRPr="00BD4522">
              <w:rPr>
                <w:iCs/>
              </w:rPr>
              <w:t>Atbalsts ārstniecības personu (ārstu palīgu) piesaistei darbam NMPD nav k</w:t>
            </w:r>
            <w:r w:rsidR="00853981">
              <w:rPr>
                <w:iCs/>
              </w:rPr>
              <w:t>val</w:t>
            </w:r>
            <w:r>
              <w:rPr>
                <w:iCs/>
              </w:rPr>
              <w:t>ificējam</w:t>
            </w:r>
            <w:r w:rsidRPr="00BD4522">
              <w:rPr>
                <w:iCs/>
              </w:rPr>
              <w:t>s kā valsts atbalsts.</w:t>
            </w:r>
            <w:r w:rsidR="00853981">
              <w:t xml:space="preserve"> </w:t>
            </w:r>
            <w:r w:rsidR="001D4AB1">
              <w:t xml:space="preserve"> NMPD īsteno vienotu valsts politiku neatliekamās medicīniskās palīdzības un katastrofu medicīnas jomā. NMPD ir Veselības ministra pakļautībā esoša iestāde. NMPD darbību nosaka Ministru kabineta 15.12.2009. noteikumi Nr. 1480 </w:t>
            </w:r>
            <w:r w:rsidR="001D4AB1" w:rsidRPr="001D4AB1">
              <w:rPr>
                <w:i/>
                <w:iCs/>
              </w:rPr>
              <w:t>„Neatliekamās medicīniskās palīdzības dienesta nolikums”</w:t>
            </w:r>
            <w:r w:rsidR="001D4AB1">
              <w:rPr>
                <w:i/>
                <w:iCs/>
              </w:rPr>
              <w:t>.</w:t>
            </w:r>
            <w:r w:rsidR="001D4AB1">
              <w:t xml:space="preserve"> NMPD veic valsts deleģētās funkcijas un vienlīdz ar valsts deleģētajām funkcijām NMPD sniedz arī citus pakalpojumus, par kuriem tiek iekasēta maksa saskaņā ar Ministru Kabineta noteikumiem Nr.712 </w:t>
            </w:r>
            <w:r w:rsidR="001D4AB1" w:rsidRPr="001D4AB1">
              <w:rPr>
                <w:i/>
                <w:iCs/>
              </w:rPr>
              <w:t>„Neatliekamās medicīniskās palīdzības dienesta maksas pakalpojumu cenrādis”</w:t>
            </w:r>
            <w:r w:rsidR="001D4AB1">
              <w:t xml:space="preserve"> (turpmāk – cenrādis). </w:t>
            </w:r>
          </w:p>
          <w:p w14:paraId="75A9020D" w14:textId="61EF9C47" w:rsidR="008E591C" w:rsidRPr="00F55B37" w:rsidRDefault="001D4AB1" w:rsidP="00F55B37">
            <w:pPr>
              <w:pStyle w:val="naiskr"/>
              <w:spacing w:before="120" w:beforeAutospacing="0" w:after="0" w:afterAutospacing="0"/>
              <w:ind w:left="112" w:right="142"/>
              <w:jc w:val="both"/>
              <w:rPr>
                <w:shd w:val="clear" w:color="auto" w:fill="FFFFFF"/>
              </w:rPr>
            </w:pPr>
            <w:r>
              <w:t xml:space="preserve">Maksas cenrādī iekļauti pakalpojumi, kuru izmaksas ir noteiktas saskaņā ar 2011.gada 3.maija Ministru kabineta noteikumiem Nr.333 </w:t>
            </w:r>
            <w:r w:rsidRPr="001D4AB1">
              <w:rPr>
                <w:i/>
                <w:iCs/>
              </w:rPr>
              <w:t>“Kārtība, kādā plānojami un uzskaitāmi ieņēmumi no maksas pakalpojumiem un ar šo pakalpojumu sniegšanu saistītie izdevumi, kā arī maksas pakalpojumu izcenojumu noteikšanas metodika un izcenojumu apstiprināšanas kārtība”</w:t>
            </w:r>
            <w:r>
              <w:t xml:space="preserve">, kuru </w:t>
            </w:r>
            <w:proofErr w:type="spellStart"/>
            <w:r>
              <w:t>III.sadaļa</w:t>
            </w:r>
            <w:proofErr w:type="spellEnd"/>
            <w:r>
              <w:t xml:space="preserve"> “Sniegto maksas pakalpojumu izcenojumu noteikšanas metodika” norāda, ka pakalpojumu cenā nav iekļauts peļņas elements. </w:t>
            </w:r>
            <w:r w:rsidRPr="00482D70">
              <w:rPr>
                <w:shd w:val="clear" w:color="auto" w:fill="FFFFFF"/>
              </w:rPr>
              <w:t xml:space="preserve"> </w:t>
            </w:r>
          </w:p>
          <w:p w14:paraId="4E496B53" w14:textId="47609335" w:rsidR="008E591C" w:rsidRDefault="008E591C" w:rsidP="008E591C">
            <w:pPr>
              <w:pStyle w:val="naiskr"/>
              <w:spacing w:before="0" w:beforeAutospacing="0" w:after="0" w:afterAutospacing="0"/>
              <w:ind w:left="57" w:right="57" w:firstLine="284"/>
              <w:jc w:val="both"/>
            </w:pPr>
            <w:r>
              <w:t xml:space="preserve">Lai nodrošinātu </w:t>
            </w:r>
            <w:r w:rsidRPr="008E591C">
              <w:t>šo noteikumu 13.3. un 13.4.</w:t>
            </w:r>
            <w:r>
              <w:t xml:space="preserve"> </w:t>
            </w:r>
            <w:r w:rsidRPr="008E591C">
              <w:t xml:space="preserve">apakšpunktos minēto atbalstāmo darbību sekmīgu norisi, piešķirot finansējumu 37.punktā noteiktajā kārtībā, VM ar </w:t>
            </w:r>
            <w:r>
              <w:t xml:space="preserve">stacionārajām ārstniecības iestādēm un ārstniecības iestādēm, kurās ģimenes ārsts, kas pārņem ģimenes ārsta praksi būs nodarbināts kā darbinieks (piemēram, darbinieks veselības centrā, kuram ir līgums ar NVD), tiks slēgt sadarbības līgumi par pastarpinātā valsts atbalsta piešķiršanu, ņemot vērā, ka šīs ārstniecības iestādes ir VTNP sniedzējas. </w:t>
            </w:r>
          </w:p>
          <w:p w14:paraId="18B11D73" w14:textId="67B98506" w:rsidR="00366170" w:rsidRDefault="00366170" w:rsidP="008E591C">
            <w:pPr>
              <w:pStyle w:val="naiskr"/>
              <w:spacing w:before="0" w:beforeAutospacing="0" w:after="0" w:afterAutospacing="0"/>
              <w:ind w:left="57" w:right="57" w:firstLine="284"/>
              <w:jc w:val="both"/>
            </w:pPr>
            <w:r>
              <w:t xml:space="preserve"> </w:t>
            </w:r>
          </w:p>
          <w:p w14:paraId="56C79D6B" w14:textId="23F491AE" w:rsidR="006051AF" w:rsidRPr="00EF0033" w:rsidRDefault="006051AF" w:rsidP="008E591C">
            <w:pPr>
              <w:pStyle w:val="naiskr"/>
              <w:spacing w:before="0" w:beforeAutospacing="0" w:after="0" w:afterAutospacing="0"/>
              <w:ind w:left="57" w:right="57" w:firstLine="284"/>
              <w:jc w:val="both"/>
              <w:rPr>
                <w:iCs/>
              </w:rPr>
            </w:pPr>
          </w:p>
        </w:tc>
      </w:tr>
      <w:tr w:rsidR="003735C6" w:rsidRPr="004A6791" w14:paraId="26D4C371" w14:textId="77777777" w:rsidTr="00C1591C">
        <w:trPr>
          <w:trHeight w:val="476"/>
        </w:trPr>
        <w:tc>
          <w:tcPr>
            <w:tcW w:w="251" w:type="pct"/>
          </w:tcPr>
          <w:p w14:paraId="62C7176F" w14:textId="77777777" w:rsidR="003735C6" w:rsidRPr="004A6791" w:rsidRDefault="003735C6" w:rsidP="00C1591C">
            <w:pPr>
              <w:pStyle w:val="naiskr"/>
              <w:spacing w:before="0" w:beforeAutospacing="0" w:after="0" w:afterAutospacing="0"/>
              <w:ind w:left="57" w:right="57"/>
              <w:jc w:val="center"/>
            </w:pPr>
            <w:r w:rsidRPr="004A6791">
              <w:lastRenderedPageBreak/>
              <w:t>3</w:t>
            </w:r>
            <w:r w:rsidR="00D46E0B" w:rsidRPr="004A6791">
              <w:t xml:space="preserve">. </w:t>
            </w:r>
          </w:p>
        </w:tc>
        <w:tc>
          <w:tcPr>
            <w:tcW w:w="1354" w:type="pct"/>
          </w:tcPr>
          <w:p w14:paraId="0ADAEB53" w14:textId="77777777" w:rsidR="003735C6" w:rsidRPr="004A6791" w:rsidRDefault="003735C6" w:rsidP="00C1591C">
            <w:pPr>
              <w:pStyle w:val="naiskr"/>
              <w:spacing w:before="0" w:beforeAutospacing="0" w:after="0" w:afterAutospacing="0"/>
              <w:ind w:left="57" w:right="57"/>
            </w:pPr>
            <w:r w:rsidRPr="004A6791">
              <w:t>Projekta izstrādē iesaistītās institūcijas</w:t>
            </w:r>
          </w:p>
        </w:tc>
        <w:tc>
          <w:tcPr>
            <w:tcW w:w="3395" w:type="pct"/>
          </w:tcPr>
          <w:p w14:paraId="0B827525" w14:textId="52D26268" w:rsidR="00C44299" w:rsidRPr="004A6791" w:rsidRDefault="007454B7" w:rsidP="005976C1">
            <w:pPr>
              <w:pStyle w:val="naiskr"/>
              <w:spacing w:before="40" w:beforeAutospacing="0" w:after="40" w:afterAutospacing="0"/>
              <w:ind w:left="57" w:right="57" w:firstLine="284"/>
              <w:jc w:val="both"/>
              <w:rPr>
                <w:szCs w:val="28"/>
              </w:rPr>
            </w:pPr>
            <w:r w:rsidRPr="004A6791">
              <w:t xml:space="preserve">MK noteikumu </w:t>
            </w:r>
            <w:r w:rsidR="00452AA8" w:rsidRPr="004A6791">
              <w:t>projekta izstrādē</w:t>
            </w:r>
            <w:r w:rsidR="00BE38A1" w:rsidRPr="004A6791">
              <w:t xml:space="preserve"> tika </w:t>
            </w:r>
            <w:r w:rsidR="00BE38A1" w:rsidRPr="004A6791">
              <w:rPr>
                <w:szCs w:val="28"/>
              </w:rPr>
              <w:t>iesaistīta</w:t>
            </w:r>
            <w:r w:rsidR="00BE38A1" w:rsidRPr="004A6791">
              <w:t xml:space="preserve"> </w:t>
            </w:r>
            <w:r w:rsidR="00CE7C07" w:rsidRPr="004A6791">
              <w:t>Veselības ministrija</w:t>
            </w:r>
            <w:r w:rsidR="00452AA8" w:rsidRPr="004A6791">
              <w:t xml:space="preserve"> un </w:t>
            </w:r>
            <w:r w:rsidR="005976C1" w:rsidRPr="004A6791">
              <w:t>tās padotības iestādes</w:t>
            </w:r>
            <w:r w:rsidR="00D46E0B" w:rsidRPr="004A6791">
              <w:t xml:space="preserve">. </w:t>
            </w:r>
          </w:p>
        </w:tc>
      </w:tr>
      <w:tr w:rsidR="003735C6" w:rsidRPr="004A6791" w14:paraId="1FA414F9" w14:textId="77777777" w:rsidTr="00C1591C">
        <w:tc>
          <w:tcPr>
            <w:tcW w:w="251" w:type="pct"/>
          </w:tcPr>
          <w:p w14:paraId="4B5A85F7" w14:textId="77777777" w:rsidR="003735C6" w:rsidRPr="004A6791" w:rsidRDefault="003735C6" w:rsidP="00C1591C">
            <w:pPr>
              <w:pStyle w:val="naiskr"/>
              <w:spacing w:before="0" w:beforeAutospacing="0" w:after="0" w:afterAutospacing="0"/>
              <w:ind w:left="57" w:right="57"/>
              <w:jc w:val="center"/>
            </w:pPr>
            <w:r w:rsidRPr="004A6791">
              <w:t>4</w:t>
            </w:r>
            <w:r w:rsidR="00D46E0B" w:rsidRPr="004A6791">
              <w:t xml:space="preserve">. </w:t>
            </w:r>
          </w:p>
        </w:tc>
        <w:tc>
          <w:tcPr>
            <w:tcW w:w="1354" w:type="pct"/>
          </w:tcPr>
          <w:p w14:paraId="6AD22C3F" w14:textId="77777777" w:rsidR="003735C6" w:rsidRPr="004A6791" w:rsidRDefault="003735C6" w:rsidP="00C1591C">
            <w:pPr>
              <w:pStyle w:val="naiskr"/>
              <w:spacing w:before="0" w:beforeAutospacing="0" w:after="0" w:afterAutospacing="0"/>
              <w:ind w:left="57" w:right="57"/>
            </w:pPr>
            <w:r w:rsidRPr="004A6791">
              <w:t>Cita informācija</w:t>
            </w:r>
          </w:p>
        </w:tc>
        <w:tc>
          <w:tcPr>
            <w:tcW w:w="3395" w:type="pct"/>
          </w:tcPr>
          <w:p w14:paraId="1BF84CB9" w14:textId="77777777" w:rsidR="00A9277C" w:rsidRPr="004A6791" w:rsidRDefault="007454B7" w:rsidP="00C1591C">
            <w:pPr>
              <w:pStyle w:val="naiskr"/>
              <w:spacing w:before="40" w:beforeAutospacing="0" w:after="40" w:afterAutospacing="0"/>
              <w:ind w:left="57" w:right="57" w:firstLine="284"/>
              <w:jc w:val="both"/>
            </w:pPr>
            <w:r w:rsidRPr="004A6791">
              <w:t>Nav</w:t>
            </w:r>
            <w:r w:rsidR="00D46E0B" w:rsidRPr="004A6791">
              <w:t xml:space="preserve">. </w:t>
            </w:r>
          </w:p>
        </w:tc>
      </w:tr>
    </w:tbl>
    <w:p w14:paraId="74C55E09" w14:textId="77777777" w:rsidR="00C1591C" w:rsidRPr="004A6791" w:rsidRDefault="00C1591C" w:rsidP="00E224D1">
      <w:pPr>
        <w:autoSpaceDE w:val="0"/>
        <w:autoSpaceDN w:val="0"/>
        <w:adjustRightInd w:val="0"/>
        <w:jc w:val="both"/>
        <w:outlineLvl w:val="0"/>
      </w:pPr>
    </w:p>
    <w:p w14:paraId="52B56758" w14:textId="77777777" w:rsidR="00513043" w:rsidRPr="004A6791" w:rsidRDefault="00513043" w:rsidP="00E224D1">
      <w:pPr>
        <w:autoSpaceDE w:val="0"/>
        <w:autoSpaceDN w:val="0"/>
        <w:adjustRightInd w:val="0"/>
        <w:jc w:val="both"/>
        <w:outlineLvl w:val="0"/>
      </w:pPr>
    </w:p>
    <w:tbl>
      <w:tblPr>
        <w:tblpPr w:leftFromText="180" w:rightFromText="180" w:vertAnchor="text" w:horzAnchor="margin" w:tblpX="13" w:tblpY="1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7220"/>
      </w:tblGrid>
      <w:tr w:rsidR="003735C6" w:rsidRPr="00EF556F" w14:paraId="4453C990" w14:textId="77777777" w:rsidTr="00A14CDE">
        <w:trPr>
          <w:trHeight w:val="556"/>
        </w:trPr>
        <w:tc>
          <w:tcPr>
            <w:tcW w:w="9493" w:type="dxa"/>
            <w:gridSpan w:val="3"/>
            <w:vAlign w:val="center"/>
          </w:tcPr>
          <w:p w14:paraId="144A805A" w14:textId="77777777" w:rsidR="003735C6" w:rsidRPr="00501C34" w:rsidRDefault="003735C6" w:rsidP="00C1591C">
            <w:pPr>
              <w:pStyle w:val="naisnod"/>
              <w:spacing w:before="0" w:beforeAutospacing="0" w:after="0" w:afterAutospacing="0"/>
              <w:ind w:left="57" w:right="57"/>
              <w:jc w:val="center"/>
              <w:rPr>
                <w:b/>
              </w:rPr>
            </w:pPr>
            <w:r w:rsidRPr="00501C34">
              <w:rPr>
                <w:b/>
              </w:rPr>
              <w:t>II</w:t>
            </w:r>
            <w:r w:rsidR="00D46E0B" w:rsidRPr="00501C34">
              <w:rPr>
                <w:b/>
              </w:rPr>
              <w:t xml:space="preserve">. </w:t>
            </w:r>
            <w:r w:rsidRPr="00501C34">
              <w:rPr>
                <w:b/>
              </w:rPr>
              <w:t>Tiesību akta projekta ietekme uz sabiedrību, tautsaimniecības attīstību</w:t>
            </w:r>
          </w:p>
          <w:p w14:paraId="092AA6F5" w14:textId="77777777" w:rsidR="003735C6" w:rsidRPr="00501C34" w:rsidRDefault="003735C6" w:rsidP="00C1591C">
            <w:pPr>
              <w:pStyle w:val="naisnod"/>
              <w:spacing w:before="0" w:beforeAutospacing="0" w:after="0" w:afterAutospacing="0"/>
              <w:ind w:left="57" w:right="57"/>
              <w:jc w:val="center"/>
              <w:rPr>
                <w:b/>
              </w:rPr>
            </w:pPr>
            <w:r w:rsidRPr="00501C34">
              <w:rPr>
                <w:b/>
              </w:rPr>
              <w:t>un administratīvo slogu</w:t>
            </w:r>
          </w:p>
        </w:tc>
      </w:tr>
      <w:tr w:rsidR="003735C6" w:rsidRPr="00EF556F" w14:paraId="5407383F" w14:textId="77777777" w:rsidTr="00A14CDE">
        <w:trPr>
          <w:trHeight w:val="467"/>
        </w:trPr>
        <w:tc>
          <w:tcPr>
            <w:tcW w:w="431" w:type="dxa"/>
          </w:tcPr>
          <w:p w14:paraId="5D687ADE" w14:textId="77777777" w:rsidR="003735C6" w:rsidRPr="00501C34" w:rsidRDefault="003735C6" w:rsidP="00C1591C">
            <w:pPr>
              <w:pStyle w:val="naiskr"/>
              <w:spacing w:before="0" w:beforeAutospacing="0" w:after="0" w:afterAutospacing="0"/>
              <w:ind w:left="57" w:right="57"/>
              <w:jc w:val="both"/>
            </w:pPr>
            <w:r w:rsidRPr="00501C34">
              <w:t>1</w:t>
            </w:r>
            <w:r w:rsidR="00D46E0B" w:rsidRPr="00501C34">
              <w:t xml:space="preserve">. </w:t>
            </w:r>
          </w:p>
        </w:tc>
        <w:tc>
          <w:tcPr>
            <w:tcW w:w="1842" w:type="dxa"/>
          </w:tcPr>
          <w:p w14:paraId="0C3E8386" w14:textId="77777777" w:rsidR="003735C6" w:rsidRPr="00501C34" w:rsidRDefault="003735C6" w:rsidP="00C1591C">
            <w:pPr>
              <w:pStyle w:val="naiskr"/>
              <w:spacing w:before="0" w:beforeAutospacing="0" w:after="0" w:afterAutospacing="0"/>
              <w:ind w:left="57" w:right="57"/>
            </w:pPr>
            <w:r w:rsidRPr="00501C34">
              <w:t xml:space="preserve">Sabiedrības </w:t>
            </w:r>
            <w:proofErr w:type="spellStart"/>
            <w:r w:rsidRPr="00501C34">
              <w:t>mērķgrupas</w:t>
            </w:r>
            <w:proofErr w:type="spellEnd"/>
            <w:r w:rsidRPr="00501C34">
              <w:t xml:space="preserve">, kuras tiesiskais regulējums </w:t>
            </w:r>
            <w:r w:rsidRPr="00501C34">
              <w:lastRenderedPageBreak/>
              <w:t>ietekmē vai varētu ietekmēt</w:t>
            </w:r>
          </w:p>
        </w:tc>
        <w:tc>
          <w:tcPr>
            <w:tcW w:w="7220" w:type="dxa"/>
          </w:tcPr>
          <w:p w14:paraId="55485C3B" w14:textId="31DE926A" w:rsidR="003735C6" w:rsidRPr="008E4432" w:rsidRDefault="008E77DD" w:rsidP="008E4432">
            <w:pPr>
              <w:tabs>
                <w:tab w:val="left" w:pos="426"/>
                <w:tab w:val="left" w:pos="993"/>
              </w:tabs>
              <w:spacing w:before="120" w:after="240"/>
              <w:jc w:val="both"/>
              <w:rPr>
                <w:bCs/>
                <w:color w:val="000000" w:themeColor="text1"/>
                <w:spacing w:val="-2"/>
                <w:sz w:val="28"/>
                <w:szCs w:val="28"/>
              </w:rPr>
            </w:pPr>
            <w:bookmarkStart w:id="26" w:name="p21"/>
            <w:bookmarkEnd w:id="26"/>
            <w:r w:rsidRPr="00501C34">
              <w:lastRenderedPageBreak/>
              <w:t>Tiesiskais regulējums tieši ietekmē Veselības ministriju kā finansējuma saņēmēju</w:t>
            </w:r>
            <w:r w:rsidR="00D46E0B" w:rsidRPr="00501C34">
              <w:t xml:space="preserve">. </w:t>
            </w:r>
            <w:r w:rsidRPr="00501C34">
              <w:t xml:space="preserve">Tiesiskā regulējuma ietvaros tiks īstenoti pasākumi ar mērķi </w:t>
            </w:r>
            <w:r w:rsidR="00501C34" w:rsidRPr="008E4432">
              <w:t xml:space="preserve"> sniegt atbalstu ārstniecības personām, kas nodrošina pacientu ārstēšanu </w:t>
            </w:r>
            <w:r w:rsidR="00501C34" w:rsidRPr="008E4432">
              <w:lastRenderedPageBreak/>
              <w:t xml:space="preserve">sabiedrības veselības krīžu situāciju novēršanai, </w:t>
            </w:r>
            <w:r w:rsidRPr="00501C34">
              <w:t>tādejādi tiešais labuma guvējs būs ārstniecības personas</w:t>
            </w:r>
            <w:r w:rsidR="00501C34" w:rsidRPr="00501C34">
              <w:t xml:space="preserve"> - </w:t>
            </w:r>
            <w:r w:rsidRPr="008E4432">
              <w:t>ārsta palīgs,</w:t>
            </w:r>
            <w:r w:rsidR="00D46E0B" w:rsidRPr="008E4432">
              <w:t xml:space="preserve"> </w:t>
            </w:r>
            <w:r w:rsidRPr="008E4432">
              <w:t>medicīnas māsa, māsas palīgs</w:t>
            </w:r>
            <w:r w:rsidR="00501C34" w:rsidRPr="008E4432">
              <w:t xml:space="preserve"> ģimenes ārsti. </w:t>
            </w:r>
            <w:r w:rsidR="0064550E" w:rsidRPr="00501C34">
              <w:t>L</w:t>
            </w:r>
            <w:r w:rsidRPr="00501C34">
              <w:t>īdz</w:t>
            </w:r>
            <w:r w:rsidRPr="008E4432">
              <w:t xml:space="preserve"> 2023</w:t>
            </w:r>
            <w:r w:rsidR="00D46E0B" w:rsidRPr="008E4432">
              <w:t xml:space="preserve">. </w:t>
            </w:r>
            <w:r w:rsidRPr="008E4432">
              <w:t>gada 31</w:t>
            </w:r>
            <w:r w:rsidR="00D46E0B" w:rsidRPr="008E4432">
              <w:t xml:space="preserve">. </w:t>
            </w:r>
            <w:r w:rsidRPr="008E4432">
              <w:t>decembrim</w:t>
            </w:r>
            <w:r w:rsidR="00D46E0B" w:rsidRPr="008E4432">
              <w:t xml:space="preserve"> </w:t>
            </w:r>
            <w:r w:rsidR="0064550E" w:rsidRPr="00501C34">
              <w:t xml:space="preserve">plānots </w:t>
            </w:r>
            <w:r w:rsidR="00501C34" w:rsidRPr="00501C34">
              <w:t>sniegt atbalstu 270 ārstniecības personām.</w:t>
            </w:r>
          </w:p>
        </w:tc>
      </w:tr>
      <w:tr w:rsidR="003735C6" w:rsidRPr="00EF556F" w14:paraId="5CD38D20" w14:textId="77777777" w:rsidTr="00A14CDE">
        <w:trPr>
          <w:trHeight w:val="523"/>
        </w:trPr>
        <w:tc>
          <w:tcPr>
            <w:tcW w:w="431" w:type="dxa"/>
          </w:tcPr>
          <w:p w14:paraId="3405A98C" w14:textId="77777777" w:rsidR="003735C6" w:rsidRPr="00751017" w:rsidRDefault="003735C6" w:rsidP="00C1591C">
            <w:pPr>
              <w:pStyle w:val="naiskr"/>
              <w:spacing w:before="0" w:beforeAutospacing="0" w:after="0" w:afterAutospacing="0"/>
              <w:ind w:left="57" w:right="57"/>
              <w:jc w:val="both"/>
            </w:pPr>
            <w:r w:rsidRPr="00751017">
              <w:lastRenderedPageBreak/>
              <w:t>2</w:t>
            </w:r>
            <w:r w:rsidR="00D46E0B" w:rsidRPr="00751017">
              <w:t xml:space="preserve">. </w:t>
            </w:r>
          </w:p>
        </w:tc>
        <w:tc>
          <w:tcPr>
            <w:tcW w:w="1842" w:type="dxa"/>
          </w:tcPr>
          <w:p w14:paraId="58461F79" w14:textId="77777777" w:rsidR="003735C6" w:rsidRPr="00751017" w:rsidRDefault="003735C6" w:rsidP="00C1591C">
            <w:pPr>
              <w:pStyle w:val="naiskr"/>
              <w:spacing w:before="0" w:beforeAutospacing="0" w:after="0" w:afterAutospacing="0"/>
              <w:ind w:left="57" w:right="57"/>
            </w:pPr>
            <w:r w:rsidRPr="00751017">
              <w:t>Tiesiskā regulējuma ietekme uz tautsaimniecību un administratīvo slogu</w:t>
            </w:r>
          </w:p>
        </w:tc>
        <w:tc>
          <w:tcPr>
            <w:tcW w:w="7220" w:type="dxa"/>
          </w:tcPr>
          <w:p w14:paraId="44D93BAF" w14:textId="3803B178" w:rsidR="00E407C9" w:rsidRPr="00EF556F" w:rsidRDefault="001271A7" w:rsidP="008E4432">
            <w:pPr>
              <w:pStyle w:val="naiskr"/>
              <w:spacing w:before="40" w:beforeAutospacing="0" w:after="40" w:afterAutospacing="0"/>
              <w:ind w:left="57" w:right="57" w:firstLine="284"/>
              <w:jc w:val="both"/>
              <w:rPr>
                <w:highlight w:val="yellow"/>
              </w:rPr>
            </w:pPr>
            <w:r w:rsidRPr="008E4432">
              <w:t>Sabiedrības grupām un institūcijām projekta tiesiskais regulējums tieši nemaina tiesības un pienākumus, kā arī veicamās darbības pēc būtības</w:t>
            </w:r>
            <w:r w:rsidR="00D46E0B" w:rsidRPr="008E4432">
              <w:t xml:space="preserve">. </w:t>
            </w:r>
            <w:r w:rsidR="00501C34" w:rsidRPr="008E4432">
              <w:t>Ā</w:t>
            </w:r>
            <w:r w:rsidRPr="008E4432">
              <w:t>rstniecības</w:t>
            </w:r>
            <w:r w:rsidR="00501C34" w:rsidRPr="008E4432">
              <w:t xml:space="preserve"> </w:t>
            </w:r>
            <w:r w:rsidRPr="008E4432">
              <w:t xml:space="preserve">personām </w:t>
            </w:r>
            <w:r w:rsidR="000E3406" w:rsidRPr="008E4432">
              <w:t>–</w:t>
            </w:r>
            <w:r w:rsidR="00501C34" w:rsidRPr="008E4432">
              <w:rPr>
                <w:rFonts w:eastAsia="Calibri"/>
              </w:rPr>
              <w:t xml:space="preserve"> </w:t>
            </w:r>
            <w:r w:rsidRPr="008E4432">
              <w:rPr>
                <w:rFonts w:eastAsia="Calibri"/>
              </w:rPr>
              <w:t xml:space="preserve">ārsta palīgiem, medicīnas māsām, māsas palīgiem un </w:t>
            </w:r>
            <w:r w:rsidR="00501C34" w:rsidRPr="008E4432">
              <w:rPr>
                <w:rFonts w:eastAsia="Calibri"/>
              </w:rPr>
              <w:t xml:space="preserve">ģimenes ārstiem, </w:t>
            </w:r>
            <w:r w:rsidRPr="008E4432">
              <w:rPr>
                <w:rFonts w:eastAsia="Calibri"/>
              </w:rPr>
              <w:t>tiks sniegts atbalsts kā papildu motivācija darbam ārstniecības iestādēs</w:t>
            </w:r>
            <w:r w:rsidR="00501C34" w:rsidRPr="008E4432">
              <w:rPr>
                <w:rFonts w:eastAsia="Calibri"/>
              </w:rPr>
              <w:t xml:space="preserve"> Rīgā valsts apmaksāto veselības aprūpes pakalpojumu sniegšanā.</w:t>
            </w:r>
            <w:r w:rsidR="00D46E0B" w:rsidRPr="008E4432">
              <w:rPr>
                <w:rFonts w:eastAsia="Calibri"/>
              </w:rPr>
              <w:t xml:space="preserve"> </w:t>
            </w:r>
            <w:r w:rsidRPr="008E4432">
              <w:rPr>
                <w:rFonts w:eastAsia="Calibri"/>
              </w:rPr>
              <w:t>Labuma guvējs būs iedzīvotājs, kur</w:t>
            </w:r>
            <w:r w:rsidR="00501C34" w:rsidRPr="008E4432">
              <w:rPr>
                <w:rFonts w:eastAsia="Calibri"/>
              </w:rPr>
              <w:t>am</w:t>
            </w:r>
            <w:r w:rsidRPr="008E4432">
              <w:rPr>
                <w:rFonts w:eastAsia="Calibri"/>
              </w:rPr>
              <w:t xml:space="preserve"> </w:t>
            </w:r>
            <w:r w:rsidR="00501C34" w:rsidRPr="008E4432">
              <w:rPr>
                <w:rFonts w:eastAsia="Calibri"/>
              </w:rPr>
              <w:t xml:space="preserve">ikdienā un sabiedrības veselības krīžu situācijās, būs uzlabota pieejamība neatliekamās medicīniskās palīdzības pakalpojumiem, pakalpojumiem stacionārās ārstniecības iestādēs un primārās veselības aprūpes pakalpojumiem ģimenes ārstu praksēs.  </w:t>
            </w:r>
            <w:r w:rsidR="00D46E0B" w:rsidRPr="008E4432">
              <w:rPr>
                <w:rFonts w:eastAsia="Calibri"/>
              </w:rPr>
              <w:t xml:space="preserve"> </w:t>
            </w:r>
            <w:r w:rsidRPr="008E4432">
              <w:t xml:space="preserve">Tiesiskā regulējuma radītais administratīvais slogs ir paredzēts atbilstoši ES fondu normatīvajam regulējumam un </w:t>
            </w:r>
            <w:r w:rsidR="00501C34" w:rsidRPr="008E4432">
              <w:t xml:space="preserve">tiks </w:t>
            </w:r>
            <w:r w:rsidRPr="008E4432">
              <w:t>segts ES fondu atbalsta ietvaros</w:t>
            </w:r>
            <w:r w:rsidR="00D46E0B" w:rsidRPr="008E4432">
              <w:t xml:space="preserve">. </w:t>
            </w:r>
            <w:r w:rsidRPr="008E4432">
              <w:t>Tiesiskais regulējums paredz</w:t>
            </w:r>
            <w:r w:rsidR="00D46E0B" w:rsidRPr="008E4432">
              <w:t xml:space="preserve"> </w:t>
            </w:r>
            <w:r w:rsidRPr="008E4432">
              <w:t>palielināt Veselības ministrijas esošo nodarbināto skaitu</w:t>
            </w:r>
            <w:r w:rsidR="00501C34" w:rsidRPr="008E4432">
              <w:t xml:space="preserve"> par 3 amata vietām uz projekta īstenošanas laiku (</w:t>
            </w:r>
            <w:r w:rsidR="008E4432" w:rsidRPr="008E4432">
              <w:t xml:space="preserve">uz laiku </w:t>
            </w:r>
            <w:r w:rsidR="00501C34" w:rsidRPr="008E4432">
              <w:t xml:space="preserve">līdz </w:t>
            </w:r>
            <w:r w:rsidR="008E4432" w:rsidRPr="008E4432">
              <w:t>2023.gada 31.decembrim).</w:t>
            </w:r>
            <w:r w:rsidRPr="008E4432">
              <w:t xml:space="preserve"> </w:t>
            </w:r>
            <w:r w:rsidR="008E4432" w:rsidRPr="008E4432">
              <w:t>I</w:t>
            </w:r>
            <w:r w:rsidRPr="008E4432">
              <w:t xml:space="preserve">zmaksas </w:t>
            </w:r>
            <w:r w:rsidR="00337329">
              <w:t xml:space="preserve">tiks </w:t>
            </w:r>
            <w:r w:rsidRPr="008E4432">
              <w:t xml:space="preserve">segtas no </w:t>
            </w:r>
            <w:r w:rsidR="000E3406" w:rsidRPr="008E4432">
              <w:t>specifiskā</w:t>
            </w:r>
            <w:r w:rsidRPr="008E4432">
              <w:t xml:space="preserve"> atbalsta finansējuma</w:t>
            </w:r>
            <w:r w:rsidR="00D46E0B" w:rsidRPr="008E4432">
              <w:t xml:space="preserve">. </w:t>
            </w:r>
          </w:p>
        </w:tc>
      </w:tr>
      <w:tr w:rsidR="003735C6" w:rsidRPr="00EF556F" w14:paraId="48890497" w14:textId="77777777" w:rsidTr="00A14CDE">
        <w:trPr>
          <w:trHeight w:val="523"/>
        </w:trPr>
        <w:tc>
          <w:tcPr>
            <w:tcW w:w="431" w:type="dxa"/>
          </w:tcPr>
          <w:p w14:paraId="3AD9FBB0" w14:textId="77777777" w:rsidR="003735C6" w:rsidRPr="00751017" w:rsidRDefault="003735C6" w:rsidP="00C1591C">
            <w:pPr>
              <w:pStyle w:val="naiskr"/>
              <w:spacing w:before="0" w:beforeAutospacing="0" w:after="0" w:afterAutospacing="0"/>
              <w:ind w:left="57" w:right="57"/>
              <w:jc w:val="both"/>
            </w:pPr>
            <w:r w:rsidRPr="00751017">
              <w:t>3</w:t>
            </w:r>
            <w:r w:rsidR="00D46E0B" w:rsidRPr="00751017">
              <w:t xml:space="preserve">. </w:t>
            </w:r>
          </w:p>
        </w:tc>
        <w:tc>
          <w:tcPr>
            <w:tcW w:w="1842" w:type="dxa"/>
          </w:tcPr>
          <w:p w14:paraId="57995A77" w14:textId="77777777" w:rsidR="003735C6" w:rsidRPr="00751017" w:rsidRDefault="003735C6" w:rsidP="00C1591C">
            <w:pPr>
              <w:pStyle w:val="naiskr"/>
              <w:spacing w:before="0" w:beforeAutospacing="0" w:after="0" w:afterAutospacing="0"/>
              <w:ind w:left="57" w:right="57"/>
            </w:pPr>
            <w:r w:rsidRPr="00751017">
              <w:t>Administratīvo izmaksu monetārs novērtējums</w:t>
            </w:r>
          </w:p>
        </w:tc>
        <w:tc>
          <w:tcPr>
            <w:tcW w:w="7220" w:type="dxa"/>
          </w:tcPr>
          <w:p w14:paraId="313064AB" w14:textId="77777777" w:rsidR="00E407C9" w:rsidRPr="00751017" w:rsidRDefault="00E407C9" w:rsidP="00D46E0B">
            <w:pPr>
              <w:pStyle w:val="naiskr"/>
              <w:spacing w:before="40" w:beforeAutospacing="0" w:after="40" w:afterAutospacing="0"/>
              <w:ind w:left="57" w:right="57" w:firstLine="284"/>
              <w:jc w:val="both"/>
            </w:pPr>
            <w:r w:rsidRPr="00751017">
              <w:t>Administratīvās izmaksas (C)</w:t>
            </w:r>
          </w:p>
          <w:p w14:paraId="68B4D42E" w14:textId="53DC2C2E" w:rsidR="00E407C9" w:rsidRPr="00EF556F" w:rsidRDefault="008E4432" w:rsidP="00A51CC4">
            <w:pPr>
              <w:pStyle w:val="naiskr"/>
              <w:spacing w:before="0" w:beforeAutospacing="0" w:after="0" w:afterAutospacing="0"/>
              <w:ind w:left="57" w:right="57" w:firstLine="284"/>
              <w:jc w:val="both"/>
              <w:rPr>
                <w:highlight w:val="yellow"/>
              </w:rPr>
            </w:pPr>
            <w:r>
              <w:t xml:space="preserve">Ņemot vērā šobrīd 9.2.5.SAM ietvaros izstrādāto iekšējās kontroles sistēmu, kas būtu izmantojama arī 9.2.7.SAM īstenošanā, lai nodrošinātu projekta </w:t>
            </w:r>
            <w:proofErr w:type="spellStart"/>
            <w:r>
              <w:t>pēcuzraudzību</w:t>
            </w:r>
            <w:proofErr w:type="spellEnd"/>
            <w:r>
              <w:t xml:space="preserve"> atbilstoši noslēgtajiem līgumiem ar ārstniecības personām, kas paredz, ka atbalstāmā persona vismaz piecus gadus pēc atbalsta saņemšanas turpina strādāt atbalstāmajā specialitātē atbalstāmajā ārstniecības iestādē, nepieciešami papildu </w:t>
            </w:r>
            <w:r w:rsidR="00D821D6">
              <w:t>8</w:t>
            </w:r>
            <w:r w:rsidR="00A51CC4">
              <w:t>2</w:t>
            </w:r>
            <w:r w:rsidR="00D821D6">
              <w:t> </w:t>
            </w:r>
            <w:r w:rsidR="00A51CC4">
              <w:t>218</w:t>
            </w:r>
            <w:r w:rsidR="00D821D6">
              <w:t>.</w:t>
            </w:r>
            <w:r w:rsidR="00A51CC4">
              <w:t>6</w:t>
            </w:r>
            <w:r w:rsidR="00D821D6">
              <w:t>0</w:t>
            </w:r>
            <w:r>
              <w:t xml:space="preserve"> EUR projekta </w:t>
            </w:r>
            <w:proofErr w:type="spellStart"/>
            <w:r>
              <w:t>pēcuzraudzībai</w:t>
            </w:r>
            <w:proofErr w:type="spellEnd"/>
            <w:r>
              <w:t xml:space="preserve">. </w:t>
            </w:r>
            <w:r w:rsidR="00EB26B9">
              <w:t>Aprēķinam izmantots pieņēmums, ka šo pienākumu veic darbinieks ar vidējo mēneša samaksu sabiedriskajā sektorā, kas 2020.gada 1.ceturksnī Latvijā bija 1 104.00 EUR mēnesī (</w:t>
            </w:r>
            <w:hyperlink r:id="rId10" w:history="1">
              <w:r w:rsidR="00EB26B9" w:rsidRPr="00EB26B9">
                <w:rPr>
                  <w:rStyle w:val="Hyperlink"/>
                </w:rPr>
                <w:t>https://www.csb.gov.lv/lv/statistika/statistikas-temas/socialie-procesi/darba-samaksa/meklet-tema/2693-darba-samaksas-parmainas-2020-gada-1</w:t>
              </w:r>
            </w:hyperlink>
            <w:r w:rsidR="00EB26B9" w:rsidRPr="00EB26B9">
              <w:t xml:space="preserve">), kas darba devējam sastāda </w:t>
            </w:r>
            <w:r w:rsidR="009C40AC">
              <w:t xml:space="preserve">ikmēneša </w:t>
            </w:r>
            <w:r w:rsidR="00EB26B9" w:rsidRPr="00EB26B9">
              <w:t>kopējos izdevumus 1 370.31 EUR apmērā (darbaspēka atlīdzības vidējā stundas likme 8.56 EUR/stundā).</w:t>
            </w:r>
            <w:r w:rsidR="009C40AC">
              <w:t xml:space="preserve"> Minētais finansējums paredzēts, lai nodrošinātu vienu štata vietu uz vienu gadu – 1</w:t>
            </w:r>
            <w:r w:rsidR="00605AF5">
              <w:t>6</w:t>
            </w:r>
            <w:r w:rsidR="009C40AC">
              <w:t> </w:t>
            </w:r>
            <w:r w:rsidR="00605AF5">
              <w:t>443</w:t>
            </w:r>
            <w:r w:rsidR="009C40AC">
              <w:t>.</w:t>
            </w:r>
            <w:r w:rsidR="00605AF5">
              <w:t>72</w:t>
            </w:r>
            <w:r w:rsidR="009C40AC">
              <w:t xml:space="preserve"> EUR, kas piecu gadu periodā sastāda 8</w:t>
            </w:r>
            <w:r w:rsidR="00605AF5">
              <w:t>2</w:t>
            </w:r>
            <w:r w:rsidR="009C40AC">
              <w:t> </w:t>
            </w:r>
            <w:r w:rsidR="00605AF5">
              <w:t>218</w:t>
            </w:r>
            <w:r w:rsidR="009C40AC">
              <w:t>.</w:t>
            </w:r>
            <w:r w:rsidR="00605AF5">
              <w:t>6</w:t>
            </w:r>
            <w:r w:rsidR="009C40AC">
              <w:t>0 EUR</w:t>
            </w:r>
            <w:r w:rsidR="00A51CC4">
              <w:t>.</w:t>
            </w:r>
            <w:r w:rsidR="009C40AC">
              <w:t xml:space="preserve"> </w:t>
            </w:r>
          </w:p>
          <w:p w14:paraId="09C80274" w14:textId="77777777" w:rsidR="0012600A" w:rsidRDefault="0012600A" w:rsidP="00D46E0B">
            <w:pPr>
              <w:pStyle w:val="naiskr"/>
              <w:spacing w:before="40" w:beforeAutospacing="0" w:after="40" w:afterAutospacing="0"/>
              <w:ind w:left="57" w:right="57" w:firstLine="284"/>
              <w:jc w:val="both"/>
              <w:rPr>
                <w:highlight w:val="yellow"/>
              </w:rPr>
            </w:pPr>
          </w:p>
          <w:p w14:paraId="12AA024D" w14:textId="6A1FB0A3" w:rsidR="0011433A" w:rsidRPr="00B24C31" w:rsidRDefault="0012600A" w:rsidP="00B24C31">
            <w:pPr>
              <w:pStyle w:val="naiskr"/>
              <w:spacing w:before="40" w:beforeAutospacing="0" w:after="40" w:afterAutospacing="0"/>
              <w:ind w:left="57" w:right="57" w:firstLine="284"/>
              <w:jc w:val="both"/>
            </w:pPr>
            <w:r>
              <w:t xml:space="preserve">Finansējuma saņēmēja – Veselības ministrijas administratīvās izmaksas par noteikumu </w:t>
            </w:r>
            <w:r w:rsidRPr="00751017">
              <w:t>projekta 12. punktā noteikto pienākumu - projekta iesnieguma iesniegšanu, kas veicams pirms vienošanās par projekta īstenošanu noslēgšanas un tiks finansēts no pamatbudžeta. Aprēķinam izmantots pieņēmums, ka projekta iesniegums tiek iesniegts elektroniski, šo pienākumu veic darbinieki ar vidējo mēneša darba samaksu sabiedriskajā sektorā, kas 20</w:t>
            </w:r>
            <w:r w:rsidR="0011433A" w:rsidRPr="00751017">
              <w:t>20</w:t>
            </w:r>
            <w:r w:rsidRPr="00751017">
              <w:t>. gad</w:t>
            </w:r>
            <w:r w:rsidR="0011433A" w:rsidRPr="00751017">
              <w:t xml:space="preserve">a 1.ceturksnī </w:t>
            </w:r>
            <w:r w:rsidRPr="00751017">
              <w:t xml:space="preserve">Latvijā bija </w:t>
            </w:r>
            <w:r w:rsidR="0011433A" w:rsidRPr="00751017">
              <w:t>1 104.00 EUR</w:t>
            </w:r>
            <w:r w:rsidRPr="00751017">
              <w:t xml:space="preserve"> mēnesī </w:t>
            </w:r>
            <w:r w:rsidR="0011433A" w:rsidRPr="00751017">
              <w:t>(</w:t>
            </w:r>
            <w:hyperlink r:id="rId11" w:history="1">
              <w:r w:rsidR="0011433A" w:rsidRPr="00751017">
                <w:rPr>
                  <w:rStyle w:val="Hyperlink"/>
                </w:rPr>
                <w:t>https://www.csb.gov.lv/lv/statistika/statistikas-temas/socialie-procesi/darba-samaksa/meklet-tema/2693-darba-samaksas-parmainas-2020-gada-1</w:t>
              </w:r>
            </w:hyperlink>
            <w:r w:rsidR="0011433A" w:rsidRPr="00751017">
              <w:t>)</w:t>
            </w:r>
            <w:r w:rsidRPr="00751017">
              <w:t xml:space="preserve">, </w:t>
            </w:r>
            <w:r w:rsidR="0011433A" w:rsidRPr="00751017">
              <w:t xml:space="preserve">kas darba devējam sastāda ikmēneša kopējos izdevumus 1 370.31 EUR apmērā (darbaspēka atlīdzības vidējā </w:t>
            </w:r>
            <w:r w:rsidR="0011433A" w:rsidRPr="00751017">
              <w:lastRenderedPageBreak/>
              <w:t>stundas likme 8.56 EUR/stundā)</w:t>
            </w:r>
            <w:r w:rsidRPr="00751017">
              <w:t>. Aprēķinam tiek izmantots pieņēmums, ka finansējuma saņēmējs</w:t>
            </w:r>
            <w:r w:rsidRPr="0011433A">
              <w:t xml:space="preserve"> datu ievadei un iesniegšanai sadarbības iestādē izmanto Kohēzijas politikas vadības informācijas sistēmu, projektu ievada, apstiprina un paraksta 3 darbinieki (divi darbinieki un atbildīgā persona), projekta summa sastāda </w:t>
            </w:r>
            <w:r w:rsidR="0011433A" w:rsidRPr="0011433A">
              <w:t>3</w:t>
            </w:r>
            <w:r w:rsidRPr="0011433A">
              <w:t xml:space="preserve"> miljonus </w:t>
            </w:r>
            <w:r w:rsidR="0011433A" w:rsidRPr="0011433A">
              <w:t>EUR</w:t>
            </w:r>
            <w:r w:rsidRPr="0011433A">
              <w:t xml:space="preserve">, un paredzēts, ka projektu iesniegs vienu reizi pirmreizēji un otru reizi </w:t>
            </w:r>
            <w:r w:rsidR="0011433A" w:rsidRPr="0011433A">
              <w:t xml:space="preserve">- </w:t>
            </w:r>
            <w:r w:rsidRPr="0011433A">
              <w:t>izpild</w:t>
            </w:r>
            <w:r w:rsidR="0011433A" w:rsidRPr="0011433A">
              <w:t>ot</w:t>
            </w:r>
            <w:r w:rsidRPr="0011433A">
              <w:t xml:space="preserve"> apstiprinājumu ar nosacījumu, ja par tādu lems sadarbības iestāde. (sk. Tabul</w:t>
            </w:r>
            <w:r w:rsidR="00DA3194">
              <w:t>u</w:t>
            </w:r>
            <w:r w:rsidRPr="0011433A">
              <w:t xml:space="preserve"> Nr.</w:t>
            </w:r>
            <w:r w:rsidR="00A51CC4">
              <w:t>1</w:t>
            </w:r>
            <w:r w:rsidRPr="0011433A">
              <w:t>):</w:t>
            </w:r>
          </w:p>
          <w:p w14:paraId="3845B877" w14:textId="77777777" w:rsidR="00A869F5" w:rsidRDefault="00A869F5" w:rsidP="0011433A">
            <w:pPr>
              <w:pStyle w:val="naiskr"/>
              <w:spacing w:before="40" w:beforeAutospacing="0" w:after="40" w:afterAutospacing="0"/>
              <w:ind w:left="57" w:right="57" w:firstLine="284"/>
              <w:jc w:val="right"/>
            </w:pPr>
          </w:p>
          <w:p w14:paraId="711B2259" w14:textId="77777777" w:rsidR="00A869F5" w:rsidRDefault="00A869F5" w:rsidP="0011433A">
            <w:pPr>
              <w:pStyle w:val="naiskr"/>
              <w:spacing w:before="40" w:beforeAutospacing="0" w:after="40" w:afterAutospacing="0"/>
              <w:ind w:left="57" w:right="57" w:firstLine="284"/>
              <w:jc w:val="right"/>
            </w:pPr>
          </w:p>
          <w:p w14:paraId="24EC8CE8" w14:textId="4C1E432C" w:rsidR="0012600A" w:rsidRPr="00751017" w:rsidRDefault="0011433A" w:rsidP="0011433A">
            <w:pPr>
              <w:pStyle w:val="naiskr"/>
              <w:spacing w:before="40" w:beforeAutospacing="0" w:after="40" w:afterAutospacing="0"/>
              <w:ind w:left="57" w:right="57" w:firstLine="284"/>
              <w:jc w:val="right"/>
            </w:pPr>
            <w:r w:rsidRPr="00751017">
              <w:t xml:space="preserve">Tabula Nr. </w:t>
            </w:r>
            <w:r w:rsidR="00A51CC4">
              <w:t>1</w:t>
            </w:r>
          </w:p>
          <w:p w14:paraId="79D65F8D" w14:textId="77777777" w:rsidR="00751017" w:rsidRPr="00751017" w:rsidRDefault="00751017" w:rsidP="00751017">
            <w:pPr>
              <w:pStyle w:val="naiskr"/>
              <w:spacing w:before="40" w:beforeAutospacing="0" w:after="40" w:afterAutospacing="0"/>
              <w:ind w:left="57" w:right="57" w:firstLine="284"/>
              <w:jc w:val="both"/>
            </w:pPr>
          </w:p>
          <w:p w14:paraId="6C8E063E" w14:textId="537BE07B" w:rsidR="00751017" w:rsidRPr="00DA3194" w:rsidRDefault="00751017" w:rsidP="00DA3194">
            <w:pPr>
              <w:pStyle w:val="naiskr"/>
              <w:spacing w:before="40" w:beforeAutospacing="0" w:after="40" w:afterAutospacing="0"/>
              <w:ind w:left="57" w:right="57" w:firstLine="284"/>
              <w:jc w:val="both"/>
            </w:pPr>
            <w:r w:rsidRPr="00751017">
              <w:t>C</w:t>
            </w:r>
            <w:r w:rsidRPr="00751017">
              <w:rPr>
                <w:vertAlign w:val="subscript"/>
              </w:rPr>
              <w:t>2</w:t>
            </w:r>
            <w:r w:rsidRPr="00751017">
              <w:t xml:space="preserve">= (f * l) x (n * b) = (8,56 * 8) * (3 * 2) = 68.48 * 6 = </w:t>
            </w:r>
            <w:r w:rsidRPr="00751017">
              <w:rPr>
                <w:b/>
                <w:bCs/>
              </w:rPr>
              <w:t>410,88 EUR</w:t>
            </w:r>
          </w:p>
          <w:tbl>
            <w:tblPr>
              <w:tblW w:w="5000" w:type="pct"/>
              <w:tblLayout w:type="fixed"/>
              <w:tblLook w:val="04A0" w:firstRow="1" w:lastRow="0" w:firstColumn="1" w:lastColumn="0" w:noHBand="0" w:noVBand="1"/>
            </w:tblPr>
            <w:tblGrid>
              <w:gridCol w:w="639"/>
              <w:gridCol w:w="6561"/>
            </w:tblGrid>
            <w:tr w:rsidR="0011433A" w:rsidRPr="0011433A" w14:paraId="7DC19BC6" w14:textId="77777777" w:rsidTr="00B31D51">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294CB303" w14:textId="77777777" w:rsidR="0011433A" w:rsidRPr="0011433A" w:rsidRDefault="0011433A" w:rsidP="003A3A2B">
                  <w:pPr>
                    <w:framePr w:hSpace="180" w:wrap="around" w:vAnchor="text" w:hAnchor="margin" w:x="13" w:y="119"/>
                    <w:jc w:val="center"/>
                    <w:rPr>
                      <w:lang w:eastAsia="lv-LV" w:bidi="lo-LA"/>
                    </w:rPr>
                  </w:pPr>
                  <w:r w:rsidRPr="0011433A">
                    <w:rPr>
                      <w:lang w:eastAsia="lv-LV" w:bidi="lo-LA"/>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14:paraId="7E7C331B" w14:textId="77777777" w:rsidR="0011433A" w:rsidRPr="0011433A" w:rsidRDefault="0011433A" w:rsidP="003A3A2B">
                  <w:pPr>
                    <w:framePr w:hSpace="180" w:wrap="around" w:vAnchor="text" w:hAnchor="margin" w:x="13" w:y="119"/>
                    <w:rPr>
                      <w:lang w:eastAsia="lv-LV" w:bidi="lo-LA"/>
                    </w:rPr>
                  </w:pPr>
                  <w:r w:rsidRPr="0011433A">
                    <w:rPr>
                      <w:lang w:eastAsia="lv-LV" w:bidi="lo-LA"/>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11433A" w:rsidRPr="0011433A" w14:paraId="572BFA41" w14:textId="77777777" w:rsidTr="00B31D5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0781FCA2" w14:textId="77777777" w:rsidR="0011433A" w:rsidRPr="0011433A" w:rsidRDefault="0011433A" w:rsidP="003A3A2B">
                  <w:pPr>
                    <w:framePr w:hSpace="180" w:wrap="around" w:vAnchor="text" w:hAnchor="margin" w:x="13" w:y="119"/>
                    <w:jc w:val="center"/>
                    <w:rPr>
                      <w:lang w:eastAsia="lv-LV" w:bidi="lo-LA"/>
                    </w:rPr>
                  </w:pPr>
                  <w:r w:rsidRPr="0011433A">
                    <w:rPr>
                      <w:lang w:eastAsia="lv-LV" w:bidi="lo-LA"/>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20C59684" w14:textId="77777777" w:rsidR="0011433A" w:rsidRPr="0011433A" w:rsidRDefault="0011433A" w:rsidP="003A3A2B">
                  <w:pPr>
                    <w:framePr w:hSpace="180" w:wrap="around" w:vAnchor="text" w:hAnchor="margin" w:x="13" w:y="119"/>
                    <w:rPr>
                      <w:lang w:eastAsia="lv-LV" w:bidi="lo-LA"/>
                    </w:rPr>
                  </w:pPr>
                  <w:r w:rsidRPr="0011433A">
                    <w:rPr>
                      <w:lang w:eastAsia="lv-LV" w:bidi="lo-LA"/>
                    </w:rPr>
                    <w:t>laika patēriņš, kas nepieciešams, lai sagatavotu informāciju, kuras sniegšanu paredz projekts (stundas)</w:t>
                  </w:r>
                </w:p>
              </w:tc>
            </w:tr>
            <w:tr w:rsidR="0011433A" w:rsidRPr="0011433A" w14:paraId="46D87CFB" w14:textId="77777777" w:rsidTr="00B31D5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4D2C6136" w14:textId="77777777" w:rsidR="0011433A" w:rsidRPr="0011433A" w:rsidRDefault="0011433A" w:rsidP="003A3A2B">
                  <w:pPr>
                    <w:framePr w:hSpace="180" w:wrap="around" w:vAnchor="text" w:hAnchor="margin" w:x="13" w:y="119"/>
                    <w:jc w:val="center"/>
                    <w:rPr>
                      <w:lang w:eastAsia="lv-LV" w:bidi="lo-LA"/>
                    </w:rPr>
                  </w:pPr>
                  <w:r w:rsidRPr="0011433A">
                    <w:rPr>
                      <w:lang w:eastAsia="lv-LV" w:bidi="lo-LA"/>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3A9A270A" w14:textId="77777777" w:rsidR="0011433A" w:rsidRPr="0011433A" w:rsidRDefault="0011433A" w:rsidP="003A3A2B">
                  <w:pPr>
                    <w:framePr w:hSpace="180" w:wrap="around" w:vAnchor="text" w:hAnchor="margin" w:x="13" w:y="119"/>
                    <w:rPr>
                      <w:lang w:eastAsia="lv-LV" w:bidi="lo-LA"/>
                    </w:rPr>
                  </w:pPr>
                  <w:r w:rsidRPr="0011433A">
                    <w:rPr>
                      <w:lang w:eastAsia="lv-LV" w:bidi="lo-LA"/>
                    </w:rPr>
                    <w:t xml:space="preserve"> subjektu skaits, uz ko attiecas projektā paredzētās informācijas sniegšanas prasības;</w:t>
                  </w:r>
                </w:p>
              </w:tc>
            </w:tr>
            <w:tr w:rsidR="0011433A" w:rsidRPr="00EF556F" w14:paraId="71D205C2" w14:textId="77777777" w:rsidTr="00B31D5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7A3F748F" w14:textId="77777777" w:rsidR="0011433A" w:rsidRPr="0011433A" w:rsidRDefault="0011433A" w:rsidP="003A3A2B">
                  <w:pPr>
                    <w:framePr w:hSpace="180" w:wrap="around" w:vAnchor="text" w:hAnchor="margin" w:x="13" w:y="119"/>
                    <w:jc w:val="center"/>
                    <w:rPr>
                      <w:lang w:eastAsia="lv-LV" w:bidi="lo-LA"/>
                    </w:rPr>
                  </w:pPr>
                  <w:r w:rsidRPr="0011433A">
                    <w:rPr>
                      <w:lang w:eastAsia="lv-LV" w:bidi="lo-LA"/>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6F6787CF" w14:textId="77777777" w:rsidR="0011433A" w:rsidRPr="0011433A" w:rsidRDefault="0011433A" w:rsidP="003A3A2B">
                  <w:pPr>
                    <w:framePr w:hSpace="180" w:wrap="around" w:vAnchor="text" w:hAnchor="margin" w:x="13" w:y="119"/>
                    <w:rPr>
                      <w:lang w:eastAsia="lv-LV" w:bidi="lo-LA"/>
                    </w:rPr>
                  </w:pPr>
                  <w:r w:rsidRPr="0011433A">
                    <w:rPr>
                      <w:lang w:eastAsia="lv-LV" w:bidi="lo-LA"/>
                    </w:rPr>
                    <w:t xml:space="preserve">cik bieži gada laikā projekts paredz informācijas sniegšanu. </w:t>
                  </w:r>
                </w:p>
              </w:tc>
            </w:tr>
          </w:tbl>
          <w:p w14:paraId="383C7485" w14:textId="77777777" w:rsidR="0012600A" w:rsidRPr="00D6163C" w:rsidRDefault="0012600A" w:rsidP="0011433A">
            <w:pPr>
              <w:pStyle w:val="naiskr"/>
              <w:spacing w:before="40" w:beforeAutospacing="0" w:after="40" w:afterAutospacing="0"/>
              <w:ind w:right="57"/>
              <w:jc w:val="both"/>
            </w:pPr>
          </w:p>
          <w:p w14:paraId="45CEE10E" w14:textId="3D3A9279" w:rsidR="00D6163C" w:rsidRPr="00EF556F" w:rsidRDefault="00751017" w:rsidP="00D6163C">
            <w:pPr>
              <w:pStyle w:val="naiskr"/>
              <w:spacing w:before="40" w:beforeAutospacing="0" w:after="40" w:afterAutospacing="0"/>
              <w:ind w:left="57" w:right="57" w:firstLine="284"/>
              <w:jc w:val="both"/>
            </w:pPr>
            <w:r w:rsidRPr="00D6163C">
              <w:t>Pārējie noteikumu projektā minētie Finansējuma saņēmēja pienākum</w:t>
            </w:r>
            <w:r w:rsidR="00D6163C" w:rsidRPr="00D6163C">
              <w:t xml:space="preserve">i tiks segti no projekta administrēšanas personāla izmaksām atbilstoši noteikumu projekta 15. punktā noteiktajam. Paredzēts, ka projekta vadībai un īstenošanai tiks piesaistīti 3 pilnas slodzes darbinieki. </w:t>
            </w:r>
          </w:p>
          <w:p w14:paraId="549DE5E2" w14:textId="2FDD8250" w:rsidR="003735C6" w:rsidRPr="00EF556F" w:rsidRDefault="003735C6" w:rsidP="00D6163C">
            <w:pPr>
              <w:pStyle w:val="naiskr"/>
              <w:spacing w:before="40" w:beforeAutospacing="0" w:after="40" w:afterAutospacing="0"/>
              <w:ind w:right="57"/>
              <w:jc w:val="both"/>
              <w:rPr>
                <w:highlight w:val="yellow"/>
              </w:rPr>
            </w:pPr>
          </w:p>
        </w:tc>
      </w:tr>
      <w:tr w:rsidR="003735C6" w:rsidRPr="00EF556F" w14:paraId="2A49E19D" w14:textId="77777777" w:rsidTr="00A14CDE">
        <w:trPr>
          <w:trHeight w:val="357"/>
        </w:trPr>
        <w:tc>
          <w:tcPr>
            <w:tcW w:w="431" w:type="dxa"/>
          </w:tcPr>
          <w:p w14:paraId="4B81E780" w14:textId="77777777" w:rsidR="003735C6" w:rsidRPr="00D6163C" w:rsidRDefault="003735C6" w:rsidP="00C1591C">
            <w:pPr>
              <w:pStyle w:val="naiskr"/>
              <w:spacing w:before="0" w:beforeAutospacing="0" w:after="0" w:afterAutospacing="0"/>
              <w:ind w:left="57" w:right="57"/>
              <w:jc w:val="both"/>
            </w:pPr>
            <w:r w:rsidRPr="00D6163C">
              <w:lastRenderedPageBreak/>
              <w:t>4</w:t>
            </w:r>
            <w:r w:rsidR="00D46E0B" w:rsidRPr="00D6163C">
              <w:t xml:space="preserve">. </w:t>
            </w:r>
          </w:p>
        </w:tc>
        <w:tc>
          <w:tcPr>
            <w:tcW w:w="1842" w:type="dxa"/>
          </w:tcPr>
          <w:p w14:paraId="519B00C0" w14:textId="77777777" w:rsidR="003735C6" w:rsidRPr="00D6163C" w:rsidRDefault="003735C6" w:rsidP="00C1591C">
            <w:pPr>
              <w:pStyle w:val="naiskr"/>
              <w:spacing w:before="0" w:beforeAutospacing="0" w:after="0" w:afterAutospacing="0"/>
              <w:ind w:left="57" w:right="57"/>
            </w:pPr>
            <w:r w:rsidRPr="00D6163C">
              <w:t>Cita informācija</w:t>
            </w:r>
          </w:p>
        </w:tc>
        <w:tc>
          <w:tcPr>
            <w:tcW w:w="7220" w:type="dxa"/>
          </w:tcPr>
          <w:p w14:paraId="4278AB21" w14:textId="77777777" w:rsidR="003735C6" w:rsidRPr="00EF556F" w:rsidRDefault="003735C6" w:rsidP="00C1591C">
            <w:pPr>
              <w:pStyle w:val="naiskr"/>
              <w:spacing w:before="40" w:beforeAutospacing="0" w:after="40" w:afterAutospacing="0"/>
              <w:ind w:left="57" w:right="57" w:firstLine="284"/>
              <w:jc w:val="both"/>
              <w:rPr>
                <w:highlight w:val="yellow"/>
              </w:rPr>
            </w:pPr>
            <w:r w:rsidRPr="00D6163C">
              <w:rPr>
                <w:szCs w:val="28"/>
              </w:rPr>
              <w:t>Nav</w:t>
            </w:r>
            <w:r w:rsidR="00D46E0B" w:rsidRPr="00D6163C">
              <w:t xml:space="preserve">. </w:t>
            </w:r>
          </w:p>
        </w:tc>
      </w:tr>
    </w:tbl>
    <w:p w14:paraId="789390C6" w14:textId="77777777" w:rsidR="00513043" w:rsidRPr="00EF556F" w:rsidRDefault="00513043" w:rsidP="00E224D1">
      <w:pPr>
        <w:autoSpaceDE w:val="0"/>
        <w:autoSpaceDN w:val="0"/>
        <w:adjustRightInd w:val="0"/>
        <w:jc w:val="both"/>
        <w:outlineLvl w:val="0"/>
        <w:rPr>
          <w:highlight w:val="yellow"/>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134"/>
        <w:gridCol w:w="1278"/>
        <w:gridCol w:w="994"/>
        <w:gridCol w:w="1276"/>
        <w:gridCol w:w="994"/>
        <w:gridCol w:w="1278"/>
        <w:gridCol w:w="1270"/>
      </w:tblGrid>
      <w:tr w:rsidR="00DA78C4" w:rsidRPr="00EF556F" w14:paraId="59669734" w14:textId="77777777" w:rsidTr="00362D8D">
        <w:trPr>
          <w:trHeight w:val="361"/>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025E8F3" w14:textId="77777777" w:rsidR="00DA78C4" w:rsidRPr="00DA3194" w:rsidRDefault="00DA78C4" w:rsidP="00E224D1">
            <w:pPr>
              <w:pStyle w:val="naisnod"/>
              <w:spacing w:before="0" w:beforeAutospacing="0" w:after="0" w:afterAutospacing="0"/>
              <w:ind w:left="57" w:right="57"/>
              <w:jc w:val="center"/>
              <w:rPr>
                <w:b/>
              </w:rPr>
            </w:pPr>
            <w:bookmarkStart w:id="27" w:name="_Hlk54254379"/>
            <w:r w:rsidRPr="00DA3194">
              <w:rPr>
                <w:b/>
              </w:rPr>
              <w:br w:type="page"/>
              <w:t>III</w:t>
            </w:r>
            <w:r w:rsidR="00D46E0B" w:rsidRPr="00DA3194">
              <w:rPr>
                <w:b/>
              </w:rPr>
              <w:t xml:space="preserve">. </w:t>
            </w:r>
            <w:r w:rsidRPr="00DA3194">
              <w:rPr>
                <w:b/>
              </w:rPr>
              <w:t>Tiesību akta projekta ietekme uz valsts budžetu un pašvaldību budžetiem</w:t>
            </w:r>
          </w:p>
        </w:tc>
      </w:tr>
      <w:tr w:rsidR="00A14CDE" w:rsidRPr="00EF556F" w14:paraId="04ED5061" w14:textId="77777777" w:rsidTr="00362D8D">
        <w:tc>
          <w:tcPr>
            <w:tcW w:w="797" w:type="pct"/>
            <w:vMerge w:val="restart"/>
            <w:tcBorders>
              <w:top w:val="single" w:sz="4" w:space="0" w:color="auto"/>
              <w:left w:val="single" w:sz="4" w:space="0" w:color="auto"/>
              <w:bottom w:val="single" w:sz="4" w:space="0" w:color="auto"/>
              <w:right w:val="single" w:sz="4" w:space="0" w:color="auto"/>
            </w:tcBorders>
            <w:vAlign w:val="center"/>
          </w:tcPr>
          <w:p w14:paraId="4FC3996E" w14:textId="77777777" w:rsidR="00DA78C4" w:rsidRPr="00DA3194" w:rsidRDefault="00DA78C4" w:rsidP="00AA46F7">
            <w:pPr>
              <w:pStyle w:val="naisf"/>
              <w:spacing w:before="0" w:beforeAutospacing="0" w:after="0" w:afterAutospacing="0"/>
              <w:jc w:val="center"/>
              <w:rPr>
                <w:b/>
                <w:lang w:val="lv-LV"/>
              </w:rPr>
            </w:pPr>
            <w:r w:rsidRPr="00DA3194">
              <w:rPr>
                <w:b/>
                <w:lang w:val="lv-LV"/>
              </w:rPr>
              <w:t>Rādītāji</w:t>
            </w:r>
          </w:p>
          <w:p w14:paraId="1DE1EE40" w14:textId="77777777" w:rsidR="00DA78C4" w:rsidRPr="00DA3194" w:rsidRDefault="00DA78C4" w:rsidP="00AA46F7">
            <w:pPr>
              <w:rPr>
                <w:lang w:eastAsia="lv-LV"/>
              </w:rPr>
            </w:pPr>
          </w:p>
          <w:p w14:paraId="7F7DC631" w14:textId="77777777" w:rsidR="00DA78C4" w:rsidRPr="00DA3194" w:rsidRDefault="00DA78C4" w:rsidP="00AA46F7">
            <w:pPr>
              <w:rPr>
                <w:lang w:eastAsia="lv-LV"/>
              </w:rPr>
            </w:pPr>
          </w:p>
          <w:p w14:paraId="172947CE" w14:textId="77777777" w:rsidR="00DA78C4" w:rsidRPr="00DA3194" w:rsidRDefault="00DA78C4" w:rsidP="00C1591C">
            <w:pPr>
              <w:ind w:left="-142" w:firstLine="142"/>
              <w:rPr>
                <w:lang w:eastAsia="lv-LV"/>
              </w:rPr>
            </w:pPr>
          </w:p>
        </w:tc>
        <w:tc>
          <w:tcPr>
            <w:tcW w:w="123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5B46302" w14:textId="3703DCDC" w:rsidR="00DA78C4" w:rsidRPr="00DA3194" w:rsidRDefault="00DA78C4" w:rsidP="00E0066E">
            <w:pPr>
              <w:pStyle w:val="naisf"/>
              <w:spacing w:before="0" w:beforeAutospacing="0" w:after="0" w:afterAutospacing="0"/>
              <w:jc w:val="center"/>
              <w:rPr>
                <w:b/>
                <w:lang w:val="lv-LV"/>
              </w:rPr>
            </w:pPr>
            <w:r w:rsidRPr="00DA3194">
              <w:rPr>
                <w:b/>
                <w:lang w:val="lv-LV"/>
              </w:rPr>
              <w:t>20</w:t>
            </w:r>
            <w:r w:rsidR="00DA3194" w:rsidRPr="00DA3194">
              <w:rPr>
                <w:b/>
                <w:lang w:val="lv-LV"/>
              </w:rPr>
              <w:t>20</w:t>
            </w:r>
            <w:r w:rsidR="00D46E0B" w:rsidRPr="00DA3194">
              <w:rPr>
                <w:b/>
                <w:lang w:val="lv-LV"/>
              </w:rPr>
              <w:t xml:space="preserve">. </w:t>
            </w:r>
            <w:r w:rsidRPr="00DA3194">
              <w:rPr>
                <w:b/>
                <w:lang w:val="lv-LV"/>
              </w:rPr>
              <w:t>gads</w:t>
            </w:r>
          </w:p>
        </w:tc>
        <w:tc>
          <w:tcPr>
            <w:tcW w:w="2970" w:type="pct"/>
            <w:gridSpan w:val="5"/>
            <w:tcBorders>
              <w:top w:val="single" w:sz="4" w:space="0" w:color="auto"/>
              <w:left w:val="single" w:sz="4" w:space="0" w:color="auto"/>
              <w:bottom w:val="single" w:sz="4" w:space="0" w:color="auto"/>
              <w:right w:val="single" w:sz="4" w:space="0" w:color="auto"/>
            </w:tcBorders>
            <w:vAlign w:val="center"/>
            <w:hideMark/>
          </w:tcPr>
          <w:p w14:paraId="14470DE9" w14:textId="77777777" w:rsidR="00DA78C4" w:rsidRPr="00DA3194" w:rsidRDefault="00DA78C4" w:rsidP="00AA46F7">
            <w:pPr>
              <w:pStyle w:val="naisf"/>
              <w:spacing w:before="0" w:beforeAutospacing="0" w:after="0" w:afterAutospacing="0"/>
              <w:jc w:val="center"/>
              <w:rPr>
                <w:b/>
                <w:i/>
                <w:lang w:val="lv-LV"/>
              </w:rPr>
            </w:pPr>
            <w:r w:rsidRPr="00DA3194">
              <w:rPr>
                <w:lang w:val="lv-LV"/>
              </w:rPr>
              <w:t>Turpmākie trīs gadi (</w:t>
            </w:r>
            <w:proofErr w:type="spellStart"/>
            <w:r w:rsidRPr="00DA3194">
              <w:rPr>
                <w:i/>
                <w:lang w:val="lv-LV"/>
              </w:rPr>
              <w:t>euro</w:t>
            </w:r>
            <w:proofErr w:type="spellEnd"/>
            <w:r w:rsidRPr="00DA3194">
              <w:rPr>
                <w:lang w:val="lv-LV"/>
              </w:rPr>
              <w:t>)</w:t>
            </w:r>
          </w:p>
        </w:tc>
      </w:tr>
      <w:tr w:rsidR="00A14CDE" w:rsidRPr="00EF556F" w14:paraId="2F9C0C3E" w14:textId="77777777" w:rsidTr="00362D8D">
        <w:tc>
          <w:tcPr>
            <w:tcW w:w="797" w:type="pct"/>
            <w:vMerge/>
            <w:tcBorders>
              <w:top w:val="single" w:sz="4" w:space="0" w:color="auto"/>
              <w:left w:val="single" w:sz="4" w:space="0" w:color="auto"/>
              <w:bottom w:val="single" w:sz="4" w:space="0" w:color="auto"/>
              <w:right w:val="single" w:sz="4" w:space="0" w:color="auto"/>
            </w:tcBorders>
            <w:vAlign w:val="center"/>
            <w:hideMark/>
          </w:tcPr>
          <w:p w14:paraId="1F315D93" w14:textId="77777777" w:rsidR="00DA78C4" w:rsidRPr="00DA3194" w:rsidRDefault="00DA78C4" w:rsidP="00AA46F7">
            <w:pPr>
              <w:rPr>
                <w:lang w:eastAsia="lv-LV"/>
              </w:rPr>
            </w:pPr>
          </w:p>
        </w:tc>
        <w:tc>
          <w:tcPr>
            <w:tcW w:w="1233" w:type="pct"/>
            <w:gridSpan w:val="2"/>
            <w:vMerge/>
            <w:tcBorders>
              <w:top w:val="single" w:sz="4" w:space="0" w:color="auto"/>
              <w:left w:val="single" w:sz="4" w:space="0" w:color="auto"/>
              <w:bottom w:val="single" w:sz="4" w:space="0" w:color="auto"/>
              <w:right w:val="single" w:sz="4" w:space="0" w:color="auto"/>
            </w:tcBorders>
            <w:vAlign w:val="center"/>
            <w:hideMark/>
          </w:tcPr>
          <w:p w14:paraId="43DF9D0E" w14:textId="77777777" w:rsidR="00DA78C4" w:rsidRPr="00DA3194" w:rsidRDefault="00DA78C4" w:rsidP="00AA46F7">
            <w:pPr>
              <w:rPr>
                <w:rFonts w:eastAsia="Arial Unicode MS"/>
                <w:b/>
              </w:rPr>
            </w:pPr>
          </w:p>
        </w:tc>
        <w:tc>
          <w:tcPr>
            <w:tcW w:w="1159" w:type="pct"/>
            <w:gridSpan w:val="2"/>
            <w:tcBorders>
              <w:top w:val="single" w:sz="4" w:space="0" w:color="auto"/>
              <w:left w:val="single" w:sz="4" w:space="0" w:color="auto"/>
              <w:bottom w:val="single" w:sz="4" w:space="0" w:color="auto"/>
              <w:right w:val="single" w:sz="4" w:space="0" w:color="auto"/>
            </w:tcBorders>
            <w:vAlign w:val="center"/>
            <w:hideMark/>
          </w:tcPr>
          <w:p w14:paraId="7498F4F4" w14:textId="58C31B23" w:rsidR="00DA78C4" w:rsidRPr="00DA3194" w:rsidRDefault="00DA78C4" w:rsidP="00E0066E">
            <w:pPr>
              <w:pStyle w:val="naisf"/>
              <w:spacing w:before="0" w:beforeAutospacing="0" w:after="0" w:afterAutospacing="0"/>
              <w:jc w:val="center"/>
              <w:rPr>
                <w:b/>
                <w:i/>
                <w:lang w:val="lv-LV"/>
              </w:rPr>
            </w:pPr>
            <w:r w:rsidRPr="00DA3194">
              <w:rPr>
                <w:b/>
                <w:bCs/>
                <w:lang w:val="lv-LV"/>
              </w:rPr>
              <w:t>20</w:t>
            </w:r>
            <w:r w:rsidR="00DA3194" w:rsidRPr="00DA3194">
              <w:rPr>
                <w:b/>
                <w:bCs/>
                <w:lang w:val="lv-LV"/>
              </w:rPr>
              <w:t>21</w:t>
            </w:r>
            <w:r w:rsidR="00D46E0B" w:rsidRPr="00DA3194">
              <w:rPr>
                <w:b/>
                <w:bCs/>
                <w:lang w:val="lv-LV"/>
              </w:rPr>
              <w:t xml:space="preserve">. </w:t>
            </w:r>
          </w:p>
        </w:tc>
        <w:tc>
          <w:tcPr>
            <w:tcW w:w="1160" w:type="pct"/>
            <w:gridSpan w:val="2"/>
            <w:tcBorders>
              <w:top w:val="single" w:sz="4" w:space="0" w:color="auto"/>
              <w:left w:val="single" w:sz="4" w:space="0" w:color="auto"/>
              <w:bottom w:val="single" w:sz="4" w:space="0" w:color="auto"/>
              <w:right w:val="single" w:sz="4" w:space="0" w:color="auto"/>
            </w:tcBorders>
            <w:vAlign w:val="center"/>
            <w:hideMark/>
          </w:tcPr>
          <w:p w14:paraId="2AFA30CC" w14:textId="2C3DE7B3" w:rsidR="00DA78C4" w:rsidRPr="00DA3194" w:rsidRDefault="00DA78C4" w:rsidP="00E0066E">
            <w:pPr>
              <w:pStyle w:val="naisf"/>
              <w:spacing w:before="0" w:beforeAutospacing="0" w:after="0" w:afterAutospacing="0"/>
              <w:jc w:val="center"/>
              <w:rPr>
                <w:b/>
                <w:i/>
                <w:lang w:val="lv-LV"/>
              </w:rPr>
            </w:pPr>
            <w:r w:rsidRPr="00DA3194">
              <w:rPr>
                <w:b/>
                <w:bCs/>
                <w:lang w:val="lv-LV"/>
              </w:rPr>
              <w:t>20</w:t>
            </w:r>
            <w:r w:rsidR="00DA3194" w:rsidRPr="00DA3194">
              <w:rPr>
                <w:b/>
                <w:bCs/>
                <w:lang w:val="lv-LV"/>
              </w:rPr>
              <w:t>22</w:t>
            </w:r>
            <w:r w:rsidR="00D46E0B" w:rsidRPr="00DA3194">
              <w:rPr>
                <w:b/>
                <w:bCs/>
                <w:lang w:val="lv-LV"/>
              </w:rPr>
              <w:t xml:space="preserve">. </w:t>
            </w:r>
          </w:p>
        </w:tc>
        <w:tc>
          <w:tcPr>
            <w:tcW w:w="651" w:type="pct"/>
            <w:tcBorders>
              <w:top w:val="single" w:sz="4" w:space="0" w:color="auto"/>
              <w:left w:val="single" w:sz="4" w:space="0" w:color="auto"/>
              <w:bottom w:val="single" w:sz="4" w:space="0" w:color="auto"/>
              <w:right w:val="single" w:sz="4" w:space="0" w:color="auto"/>
            </w:tcBorders>
            <w:vAlign w:val="center"/>
            <w:hideMark/>
          </w:tcPr>
          <w:p w14:paraId="5B2EDB33" w14:textId="212600C9" w:rsidR="00DA78C4" w:rsidRPr="00DA3194" w:rsidRDefault="00DA78C4" w:rsidP="00E0066E">
            <w:pPr>
              <w:pStyle w:val="naisf"/>
              <w:spacing w:before="0" w:beforeAutospacing="0" w:after="0" w:afterAutospacing="0"/>
              <w:jc w:val="center"/>
              <w:rPr>
                <w:b/>
                <w:i/>
                <w:lang w:val="lv-LV"/>
              </w:rPr>
            </w:pPr>
            <w:r w:rsidRPr="00DA3194">
              <w:rPr>
                <w:b/>
                <w:bCs/>
                <w:lang w:val="lv-LV"/>
              </w:rPr>
              <w:t>20</w:t>
            </w:r>
            <w:r w:rsidR="00E0066E" w:rsidRPr="00DA3194">
              <w:rPr>
                <w:b/>
                <w:bCs/>
                <w:lang w:val="lv-LV"/>
              </w:rPr>
              <w:t>2</w:t>
            </w:r>
            <w:r w:rsidR="00DA3194" w:rsidRPr="00DA3194">
              <w:rPr>
                <w:b/>
                <w:bCs/>
                <w:lang w:val="lv-LV"/>
              </w:rPr>
              <w:t>3</w:t>
            </w:r>
            <w:r w:rsidR="00D46E0B" w:rsidRPr="00DA3194">
              <w:rPr>
                <w:b/>
                <w:bCs/>
                <w:lang w:val="lv-LV"/>
              </w:rPr>
              <w:t xml:space="preserve">. </w:t>
            </w:r>
          </w:p>
        </w:tc>
      </w:tr>
      <w:tr w:rsidR="00A14CDE" w:rsidRPr="00EF556F" w14:paraId="40F22645" w14:textId="3149FC3C" w:rsidTr="00362D8D">
        <w:tc>
          <w:tcPr>
            <w:tcW w:w="797" w:type="pct"/>
            <w:vMerge/>
            <w:tcBorders>
              <w:top w:val="single" w:sz="4" w:space="0" w:color="auto"/>
              <w:left w:val="single" w:sz="4" w:space="0" w:color="auto"/>
              <w:bottom w:val="single" w:sz="4" w:space="0" w:color="auto"/>
              <w:right w:val="single" w:sz="4" w:space="0" w:color="auto"/>
            </w:tcBorders>
            <w:vAlign w:val="center"/>
            <w:hideMark/>
          </w:tcPr>
          <w:p w14:paraId="108E82C3" w14:textId="77777777" w:rsidR="00B24C31" w:rsidRPr="00EF556F" w:rsidRDefault="00B24C31" w:rsidP="00B24C31">
            <w:pPr>
              <w:rPr>
                <w:highlight w:val="yellow"/>
                <w:lang w:eastAsia="lv-LV"/>
              </w:rPr>
            </w:pPr>
          </w:p>
        </w:tc>
        <w:tc>
          <w:tcPr>
            <w:tcW w:w="580" w:type="pct"/>
            <w:tcBorders>
              <w:top w:val="single" w:sz="4" w:space="0" w:color="auto"/>
              <w:left w:val="single" w:sz="4" w:space="0" w:color="auto"/>
              <w:bottom w:val="single" w:sz="4" w:space="0" w:color="auto"/>
              <w:right w:val="single" w:sz="4" w:space="0" w:color="auto"/>
            </w:tcBorders>
            <w:vAlign w:val="center"/>
            <w:hideMark/>
          </w:tcPr>
          <w:p w14:paraId="463B3D52" w14:textId="77777777" w:rsidR="00B24C31" w:rsidRPr="00DA3194" w:rsidRDefault="00B24C31" w:rsidP="00B24C31">
            <w:pPr>
              <w:pStyle w:val="naisf"/>
              <w:spacing w:before="0" w:beforeAutospacing="0" w:after="0" w:afterAutospacing="0"/>
              <w:jc w:val="center"/>
              <w:rPr>
                <w:b/>
                <w:i/>
                <w:lang w:val="lv-LV"/>
              </w:rPr>
            </w:pPr>
            <w:r w:rsidRPr="00DA3194">
              <w:rPr>
                <w:lang w:val="lv-LV"/>
              </w:rPr>
              <w:t>saskaņā ar valsts budžetu kārtējam gadam</w:t>
            </w:r>
          </w:p>
        </w:tc>
        <w:tc>
          <w:tcPr>
            <w:tcW w:w="653" w:type="pct"/>
            <w:tcBorders>
              <w:top w:val="single" w:sz="4" w:space="0" w:color="auto"/>
              <w:left w:val="single" w:sz="4" w:space="0" w:color="auto"/>
              <w:bottom w:val="single" w:sz="4" w:space="0" w:color="auto"/>
              <w:right w:val="single" w:sz="4" w:space="0" w:color="auto"/>
            </w:tcBorders>
            <w:vAlign w:val="center"/>
            <w:hideMark/>
          </w:tcPr>
          <w:p w14:paraId="69AC3B64" w14:textId="77777777" w:rsidR="00B24C31" w:rsidRPr="00DA3194" w:rsidRDefault="00B24C31" w:rsidP="00B24C31">
            <w:pPr>
              <w:pStyle w:val="naisf"/>
              <w:spacing w:before="0" w:beforeAutospacing="0" w:after="0" w:afterAutospacing="0"/>
              <w:jc w:val="center"/>
              <w:rPr>
                <w:b/>
                <w:i/>
                <w:lang w:val="lv-LV"/>
              </w:rPr>
            </w:pPr>
            <w:r w:rsidRPr="00DA3194">
              <w:rPr>
                <w:lang w:val="lv-LV"/>
              </w:rPr>
              <w:t>izmaiņas kārtējā gadā, salīdzinot ar valsts budžetu kārtējam gadam</w:t>
            </w:r>
          </w:p>
        </w:tc>
        <w:tc>
          <w:tcPr>
            <w:tcW w:w="508" w:type="pct"/>
            <w:tcBorders>
              <w:top w:val="single" w:sz="4" w:space="0" w:color="auto"/>
              <w:left w:val="single" w:sz="4" w:space="0" w:color="auto"/>
              <w:bottom w:val="single" w:sz="4" w:space="0" w:color="auto"/>
              <w:right w:val="single" w:sz="4" w:space="0" w:color="auto"/>
            </w:tcBorders>
            <w:vAlign w:val="center"/>
            <w:hideMark/>
          </w:tcPr>
          <w:p w14:paraId="0F6F6BE9" w14:textId="2406A7D1" w:rsidR="00B24C31" w:rsidRPr="00DA3194" w:rsidRDefault="00B24C31" w:rsidP="00B24C31">
            <w:pPr>
              <w:pStyle w:val="naisf"/>
              <w:spacing w:before="0" w:beforeAutospacing="0" w:after="0" w:afterAutospacing="0"/>
              <w:jc w:val="center"/>
              <w:rPr>
                <w:b/>
                <w:i/>
                <w:lang w:val="lv-LV"/>
              </w:rPr>
            </w:pPr>
            <w:proofErr w:type="spellStart"/>
            <w:r w:rsidRPr="00B22C79">
              <w:rPr>
                <w:rFonts w:eastAsia="Times New Roman"/>
                <w:iCs/>
                <w:lang w:eastAsia="lv-LV"/>
              </w:rPr>
              <w:t>saskaņā</w:t>
            </w:r>
            <w:proofErr w:type="spellEnd"/>
            <w:r w:rsidRPr="00B22C79">
              <w:rPr>
                <w:rFonts w:eastAsia="Times New Roman"/>
                <w:iCs/>
                <w:lang w:eastAsia="lv-LV"/>
              </w:rPr>
              <w:t xml:space="preserve"> </w:t>
            </w:r>
            <w:proofErr w:type="spellStart"/>
            <w:r w:rsidRPr="00B22C79">
              <w:rPr>
                <w:rFonts w:eastAsia="Times New Roman"/>
                <w:iCs/>
                <w:lang w:eastAsia="lv-LV"/>
              </w:rPr>
              <w:t>ar</w:t>
            </w:r>
            <w:proofErr w:type="spellEnd"/>
            <w:r w:rsidRPr="00B22C79">
              <w:rPr>
                <w:rFonts w:eastAsia="Times New Roman"/>
                <w:iCs/>
                <w:lang w:eastAsia="lv-LV"/>
              </w:rPr>
              <w:t xml:space="preserve"> </w:t>
            </w:r>
            <w:proofErr w:type="spellStart"/>
            <w:r w:rsidRPr="00B22C79">
              <w:rPr>
                <w:rFonts w:eastAsia="Times New Roman"/>
                <w:iCs/>
                <w:lang w:eastAsia="lv-LV"/>
              </w:rPr>
              <w:t>vidēja</w:t>
            </w:r>
            <w:proofErr w:type="spellEnd"/>
            <w:r w:rsidRPr="00B22C79">
              <w:rPr>
                <w:rFonts w:eastAsia="Times New Roman"/>
                <w:iCs/>
                <w:lang w:eastAsia="lv-LV"/>
              </w:rPr>
              <w:t xml:space="preserve"> </w:t>
            </w:r>
            <w:proofErr w:type="spellStart"/>
            <w:r w:rsidRPr="00B22C79">
              <w:rPr>
                <w:rFonts w:eastAsia="Times New Roman"/>
                <w:iCs/>
                <w:lang w:eastAsia="lv-LV"/>
              </w:rPr>
              <w:t>termiņa</w:t>
            </w:r>
            <w:proofErr w:type="spellEnd"/>
            <w:r w:rsidRPr="00B22C79">
              <w:rPr>
                <w:rFonts w:eastAsia="Times New Roman"/>
                <w:iCs/>
                <w:lang w:eastAsia="lv-LV"/>
              </w:rPr>
              <w:t xml:space="preserve"> </w:t>
            </w:r>
            <w:proofErr w:type="spellStart"/>
            <w:r w:rsidRPr="00B22C79">
              <w:rPr>
                <w:rFonts w:eastAsia="Times New Roman"/>
                <w:iCs/>
                <w:lang w:eastAsia="lv-LV"/>
              </w:rPr>
              <w:t>budžeta</w:t>
            </w:r>
            <w:proofErr w:type="spellEnd"/>
            <w:r w:rsidRPr="00B22C79">
              <w:rPr>
                <w:rFonts w:eastAsia="Times New Roman"/>
                <w:iCs/>
                <w:lang w:eastAsia="lv-LV"/>
              </w:rPr>
              <w:t xml:space="preserve"> </w:t>
            </w:r>
            <w:proofErr w:type="spellStart"/>
            <w:r w:rsidRPr="00B22C79">
              <w:rPr>
                <w:rFonts w:eastAsia="Times New Roman"/>
                <w:iCs/>
                <w:lang w:eastAsia="lv-LV"/>
              </w:rPr>
              <w:t>ietvaru</w:t>
            </w:r>
            <w:proofErr w:type="spellEnd"/>
          </w:p>
        </w:tc>
        <w:tc>
          <w:tcPr>
            <w:tcW w:w="652" w:type="pct"/>
            <w:tcBorders>
              <w:top w:val="single" w:sz="4" w:space="0" w:color="auto"/>
              <w:left w:val="single" w:sz="4" w:space="0" w:color="auto"/>
              <w:bottom w:val="single" w:sz="4" w:space="0" w:color="auto"/>
              <w:right w:val="single" w:sz="4" w:space="0" w:color="auto"/>
            </w:tcBorders>
            <w:vAlign w:val="center"/>
          </w:tcPr>
          <w:p w14:paraId="5257EC6E" w14:textId="600EB0C5" w:rsidR="00B24C31" w:rsidRPr="00DA3194" w:rsidRDefault="00B24C31" w:rsidP="00B24C31">
            <w:pPr>
              <w:pStyle w:val="naisf"/>
              <w:spacing w:before="0" w:beforeAutospacing="0" w:after="0" w:afterAutospacing="0"/>
              <w:jc w:val="center"/>
              <w:rPr>
                <w:b/>
                <w:i/>
                <w:lang w:val="lv-LV"/>
              </w:rPr>
            </w:pPr>
            <w:proofErr w:type="spellStart"/>
            <w:r w:rsidRPr="00B22C79">
              <w:rPr>
                <w:rFonts w:eastAsia="Times New Roman"/>
                <w:iCs/>
                <w:lang w:eastAsia="lv-LV"/>
              </w:rPr>
              <w:t>izmaiņas</w:t>
            </w:r>
            <w:proofErr w:type="spellEnd"/>
            <w:r w:rsidRPr="00B22C79">
              <w:rPr>
                <w:rFonts w:eastAsia="Times New Roman"/>
                <w:iCs/>
                <w:lang w:eastAsia="lv-LV"/>
              </w:rPr>
              <w:t xml:space="preserve">, </w:t>
            </w:r>
            <w:proofErr w:type="spellStart"/>
            <w:r w:rsidRPr="00B22C79">
              <w:rPr>
                <w:rFonts w:eastAsia="Times New Roman"/>
                <w:iCs/>
                <w:lang w:eastAsia="lv-LV"/>
              </w:rPr>
              <w:t>salīdzinot</w:t>
            </w:r>
            <w:proofErr w:type="spellEnd"/>
            <w:r w:rsidRPr="00B22C79">
              <w:rPr>
                <w:rFonts w:eastAsia="Times New Roman"/>
                <w:iCs/>
                <w:lang w:eastAsia="lv-LV"/>
              </w:rPr>
              <w:t xml:space="preserve"> </w:t>
            </w:r>
            <w:proofErr w:type="spellStart"/>
            <w:r w:rsidRPr="00B22C79">
              <w:rPr>
                <w:rFonts w:eastAsia="Times New Roman"/>
                <w:iCs/>
                <w:lang w:eastAsia="lv-LV"/>
              </w:rPr>
              <w:t>ar</w:t>
            </w:r>
            <w:proofErr w:type="spellEnd"/>
            <w:r w:rsidRPr="00B22C79">
              <w:rPr>
                <w:rFonts w:eastAsia="Times New Roman"/>
                <w:iCs/>
                <w:lang w:eastAsia="lv-LV"/>
              </w:rPr>
              <w:t xml:space="preserve"> </w:t>
            </w:r>
            <w:proofErr w:type="spellStart"/>
            <w:r w:rsidRPr="00B22C79">
              <w:rPr>
                <w:rFonts w:eastAsia="Times New Roman"/>
                <w:iCs/>
                <w:lang w:eastAsia="lv-LV"/>
              </w:rPr>
              <w:t>vidēja</w:t>
            </w:r>
            <w:proofErr w:type="spellEnd"/>
            <w:r w:rsidRPr="00B22C79">
              <w:rPr>
                <w:rFonts w:eastAsia="Times New Roman"/>
                <w:iCs/>
                <w:lang w:eastAsia="lv-LV"/>
              </w:rPr>
              <w:t xml:space="preserve"> </w:t>
            </w:r>
            <w:proofErr w:type="spellStart"/>
            <w:r w:rsidRPr="00B22C79">
              <w:rPr>
                <w:rFonts w:eastAsia="Times New Roman"/>
                <w:iCs/>
                <w:lang w:eastAsia="lv-LV"/>
              </w:rPr>
              <w:t>termiņa</w:t>
            </w:r>
            <w:proofErr w:type="spellEnd"/>
            <w:r w:rsidRPr="00B22C79">
              <w:rPr>
                <w:rFonts w:eastAsia="Times New Roman"/>
                <w:iCs/>
                <w:lang w:eastAsia="lv-LV"/>
              </w:rPr>
              <w:t xml:space="preserve"> </w:t>
            </w:r>
            <w:proofErr w:type="spellStart"/>
            <w:r w:rsidRPr="00B22C79">
              <w:rPr>
                <w:rFonts w:eastAsia="Times New Roman"/>
                <w:iCs/>
                <w:lang w:eastAsia="lv-LV"/>
              </w:rPr>
              <w:t>budžeta</w:t>
            </w:r>
            <w:proofErr w:type="spellEnd"/>
            <w:r w:rsidRPr="00B22C79">
              <w:rPr>
                <w:rFonts w:eastAsia="Times New Roman"/>
                <w:iCs/>
                <w:lang w:eastAsia="lv-LV"/>
              </w:rPr>
              <w:t xml:space="preserve"> </w:t>
            </w:r>
            <w:proofErr w:type="spellStart"/>
            <w:r w:rsidRPr="00B22C79">
              <w:rPr>
                <w:rFonts w:eastAsia="Times New Roman"/>
                <w:iCs/>
                <w:lang w:eastAsia="lv-LV"/>
              </w:rPr>
              <w:t>ietvaru</w:t>
            </w:r>
            <w:proofErr w:type="spellEnd"/>
            <w:r w:rsidRPr="00B22C79">
              <w:rPr>
                <w:rFonts w:eastAsia="Times New Roman"/>
                <w:iCs/>
                <w:lang w:eastAsia="lv-LV"/>
              </w:rPr>
              <w:t xml:space="preserve"> 202</w:t>
            </w:r>
            <w:r>
              <w:rPr>
                <w:rFonts w:eastAsia="Times New Roman"/>
                <w:iCs/>
                <w:lang w:eastAsia="lv-LV"/>
              </w:rPr>
              <w:t>1</w:t>
            </w:r>
            <w:r w:rsidRPr="00B22C79">
              <w:rPr>
                <w:rFonts w:eastAsia="Times New Roman"/>
                <w:iCs/>
                <w:lang w:eastAsia="lv-LV"/>
              </w:rPr>
              <w:t xml:space="preserve">. </w:t>
            </w:r>
            <w:proofErr w:type="spellStart"/>
            <w:r w:rsidRPr="00B22C79">
              <w:rPr>
                <w:rFonts w:eastAsia="Times New Roman"/>
                <w:iCs/>
                <w:lang w:eastAsia="lv-LV"/>
              </w:rPr>
              <w:t>gadam</w:t>
            </w:r>
            <w:proofErr w:type="spellEnd"/>
          </w:p>
        </w:tc>
        <w:tc>
          <w:tcPr>
            <w:tcW w:w="508" w:type="pct"/>
            <w:tcBorders>
              <w:top w:val="single" w:sz="4" w:space="0" w:color="auto"/>
              <w:left w:val="single" w:sz="4" w:space="0" w:color="auto"/>
              <w:bottom w:val="single" w:sz="4" w:space="0" w:color="auto"/>
              <w:right w:val="single" w:sz="4" w:space="0" w:color="auto"/>
            </w:tcBorders>
            <w:vAlign w:val="center"/>
            <w:hideMark/>
          </w:tcPr>
          <w:p w14:paraId="408B716F" w14:textId="464BE199" w:rsidR="00B24C31" w:rsidRPr="00DA3194" w:rsidRDefault="00B24C31" w:rsidP="00B24C31">
            <w:pPr>
              <w:pStyle w:val="naisf"/>
              <w:spacing w:before="0" w:beforeAutospacing="0" w:after="0" w:afterAutospacing="0"/>
              <w:jc w:val="center"/>
              <w:rPr>
                <w:b/>
                <w:i/>
                <w:lang w:val="lv-LV"/>
              </w:rPr>
            </w:pPr>
            <w:proofErr w:type="spellStart"/>
            <w:r w:rsidRPr="00B22C79">
              <w:rPr>
                <w:rFonts w:eastAsia="Times New Roman"/>
                <w:iCs/>
                <w:lang w:eastAsia="lv-LV"/>
              </w:rPr>
              <w:t>saskaņā</w:t>
            </w:r>
            <w:proofErr w:type="spellEnd"/>
            <w:r w:rsidRPr="00B22C79">
              <w:rPr>
                <w:rFonts w:eastAsia="Times New Roman"/>
                <w:iCs/>
                <w:lang w:eastAsia="lv-LV"/>
              </w:rPr>
              <w:t xml:space="preserve"> </w:t>
            </w:r>
            <w:proofErr w:type="spellStart"/>
            <w:r w:rsidRPr="00B22C79">
              <w:rPr>
                <w:rFonts w:eastAsia="Times New Roman"/>
                <w:iCs/>
                <w:lang w:eastAsia="lv-LV"/>
              </w:rPr>
              <w:t>ar</w:t>
            </w:r>
            <w:proofErr w:type="spellEnd"/>
            <w:r w:rsidRPr="00B22C79">
              <w:rPr>
                <w:rFonts w:eastAsia="Times New Roman"/>
                <w:iCs/>
                <w:lang w:eastAsia="lv-LV"/>
              </w:rPr>
              <w:t xml:space="preserve"> </w:t>
            </w:r>
            <w:proofErr w:type="spellStart"/>
            <w:r w:rsidRPr="00B22C79">
              <w:rPr>
                <w:rFonts w:eastAsia="Times New Roman"/>
                <w:iCs/>
                <w:lang w:eastAsia="lv-LV"/>
              </w:rPr>
              <w:t>vidēja</w:t>
            </w:r>
            <w:proofErr w:type="spellEnd"/>
            <w:r w:rsidRPr="00B22C79">
              <w:rPr>
                <w:rFonts w:eastAsia="Times New Roman"/>
                <w:iCs/>
                <w:lang w:eastAsia="lv-LV"/>
              </w:rPr>
              <w:t xml:space="preserve"> </w:t>
            </w:r>
            <w:proofErr w:type="spellStart"/>
            <w:r w:rsidRPr="00B22C79">
              <w:rPr>
                <w:rFonts w:eastAsia="Times New Roman"/>
                <w:iCs/>
                <w:lang w:eastAsia="lv-LV"/>
              </w:rPr>
              <w:t>termiņa</w:t>
            </w:r>
            <w:proofErr w:type="spellEnd"/>
            <w:r w:rsidRPr="00B22C79">
              <w:rPr>
                <w:rFonts w:eastAsia="Times New Roman"/>
                <w:iCs/>
                <w:lang w:eastAsia="lv-LV"/>
              </w:rPr>
              <w:t xml:space="preserve"> </w:t>
            </w:r>
            <w:proofErr w:type="spellStart"/>
            <w:r w:rsidRPr="00B22C79">
              <w:rPr>
                <w:rFonts w:eastAsia="Times New Roman"/>
                <w:iCs/>
                <w:lang w:eastAsia="lv-LV"/>
              </w:rPr>
              <w:t>budžeta</w:t>
            </w:r>
            <w:proofErr w:type="spellEnd"/>
            <w:r w:rsidRPr="00B22C79">
              <w:rPr>
                <w:rFonts w:eastAsia="Times New Roman"/>
                <w:iCs/>
                <w:lang w:eastAsia="lv-LV"/>
              </w:rPr>
              <w:t xml:space="preserve"> </w:t>
            </w:r>
            <w:proofErr w:type="spellStart"/>
            <w:r w:rsidRPr="00B22C79">
              <w:rPr>
                <w:rFonts w:eastAsia="Times New Roman"/>
                <w:iCs/>
                <w:lang w:eastAsia="lv-LV"/>
              </w:rPr>
              <w:t>ietvaru</w:t>
            </w:r>
            <w:proofErr w:type="spellEnd"/>
          </w:p>
        </w:tc>
        <w:tc>
          <w:tcPr>
            <w:tcW w:w="653" w:type="pct"/>
            <w:tcBorders>
              <w:top w:val="single" w:sz="4" w:space="0" w:color="auto"/>
              <w:left w:val="single" w:sz="4" w:space="0" w:color="auto"/>
              <w:bottom w:val="single" w:sz="4" w:space="0" w:color="auto"/>
              <w:right w:val="single" w:sz="4" w:space="0" w:color="auto"/>
            </w:tcBorders>
            <w:vAlign w:val="center"/>
          </w:tcPr>
          <w:p w14:paraId="533BDBAB" w14:textId="5A7CAA3E" w:rsidR="00B24C31" w:rsidRPr="00DA3194" w:rsidRDefault="00B24C31" w:rsidP="00B24C31">
            <w:pPr>
              <w:pStyle w:val="naisf"/>
              <w:spacing w:before="0" w:beforeAutospacing="0" w:after="0" w:afterAutospacing="0"/>
              <w:jc w:val="center"/>
              <w:rPr>
                <w:b/>
                <w:i/>
                <w:lang w:val="lv-LV"/>
              </w:rPr>
            </w:pPr>
            <w:proofErr w:type="spellStart"/>
            <w:r w:rsidRPr="00B22C79">
              <w:rPr>
                <w:rFonts w:eastAsia="Times New Roman"/>
                <w:iCs/>
                <w:lang w:eastAsia="lv-LV"/>
              </w:rPr>
              <w:t>izmaiņas</w:t>
            </w:r>
            <w:proofErr w:type="spellEnd"/>
            <w:r w:rsidRPr="00B22C79">
              <w:rPr>
                <w:rFonts w:eastAsia="Times New Roman"/>
                <w:iCs/>
                <w:lang w:eastAsia="lv-LV"/>
              </w:rPr>
              <w:t xml:space="preserve">, </w:t>
            </w:r>
            <w:proofErr w:type="spellStart"/>
            <w:r w:rsidRPr="00B22C79">
              <w:rPr>
                <w:rFonts w:eastAsia="Times New Roman"/>
                <w:iCs/>
                <w:lang w:eastAsia="lv-LV"/>
              </w:rPr>
              <w:t>salīdzinot</w:t>
            </w:r>
            <w:proofErr w:type="spellEnd"/>
            <w:r w:rsidRPr="00B22C79">
              <w:rPr>
                <w:rFonts w:eastAsia="Times New Roman"/>
                <w:iCs/>
                <w:lang w:eastAsia="lv-LV"/>
              </w:rPr>
              <w:t xml:space="preserve"> </w:t>
            </w:r>
            <w:proofErr w:type="spellStart"/>
            <w:r w:rsidRPr="00B22C79">
              <w:rPr>
                <w:rFonts w:eastAsia="Times New Roman"/>
                <w:iCs/>
                <w:lang w:eastAsia="lv-LV"/>
              </w:rPr>
              <w:t>ar</w:t>
            </w:r>
            <w:proofErr w:type="spellEnd"/>
            <w:r w:rsidRPr="00B22C79">
              <w:rPr>
                <w:rFonts w:eastAsia="Times New Roman"/>
                <w:iCs/>
                <w:lang w:eastAsia="lv-LV"/>
              </w:rPr>
              <w:t xml:space="preserve"> </w:t>
            </w:r>
            <w:proofErr w:type="spellStart"/>
            <w:r w:rsidRPr="00B22C79">
              <w:rPr>
                <w:rFonts w:eastAsia="Times New Roman"/>
                <w:iCs/>
                <w:lang w:eastAsia="lv-LV"/>
              </w:rPr>
              <w:t>vidēja</w:t>
            </w:r>
            <w:proofErr w:type="spellEnd"/>
            <w:r w:rsidRPr="00B22C79">
              <w:rPr>
                <w:rFonts w:eastAsia="Times New Roman"/>
                <w:iCs/>
                <w:lang w:eastAsia="lv-LV"/>
              </w:rPr>
              <w:t xml:space="preserve"> </w:t>
            </w:r>
            <w:proofErr w:type="spellStart"/>
            <w:r w:rsidRPr="00B22C79">
              <w:rPr>
                <w:rFonts w:eastAsia="Times New Roman"/>
                <w:iCs/>
                <w:lang w:eastAsia="lv-LV"/>
              </w:rPr>
              <w:t>termiņa</w:t>
            </w:r>
            <w:proofErr w:type="spellEnd"/>
            <w:r w:rsidRPr="00B22C79">
              <w:rPr>
                <w:rFonts w:eastAsia="Times New Roman"/>
                <w:iCs/>
                <w:lang w:eastAsia="lv-LV"/>
              </w:rPr>
              <w:t xml:space="preserve"> </w:t>
            </w:r>
            <w:proofErr w:type="spellStart"/>
            <w:r w:rsidRPr="00B22C79">
              <w:rPr>
                <w:rFonts w:eastAsia="Times New Roman"/>
                <w:iCs/>
                <w:lang w:eastAsia="lv-LV"/>
              </w:rPr>
              <w:t>budžeta</w:t>
            </w:r>
            <w:proofErr w:type="spellEnd"/>
            <w:r w:rsidRPr="00B22C79">
              <w:rPr>
                <w:rFonts w:eastAsia="Times New Roman"/>
                <w:iCs/>
                <w:lang w:eastAsia="lv-LV"/>
              </w:rPr>
              <w:t xml:space="preserve"> </w:t>
            </w:r>
            <w:proofErr w:type="spellStart"/>
            <w:r w:rsidRPr="00B22C79">
              <w:rPr>
                <w:rFonts w:eastAsia="Times New Roman"/>
                <w:iCs/>
                <w:lang w:eastAsia="lv-LV"/>
              </w:rPr>
              <w:t>ietvaru</w:t>
            </w:r>
            <w:proofErr w:type="spellEnd"/>
            <w:r w:rsidRPr="00B22C79">
              <w:rPr>
                <w:rFonts w:eastAsia="Times New Roman"/>
                <w:iCs/>
                <w:lang w:eastAsia="lv-LV"/>
              </w:rPr>
              <w:t xml:space="preserve"> 202</w:t>
            </w:r>
            <w:r>
              <w:rPr>
                <w:rFonts w:eastAsia="Times New Roman"/>
                <w:iCs/>
                <w:lang w:eastAsia="lv-LV"/>
              </w:rPr>
              <w:t>2</w:t>
            </w:r>
            <w:r w:rsidRPr="00B22C79">
              <w:rPr>
                <w:rFonts w:eastAsia="Times New Roman"/>
                <w:iCs/>
                <w:lang w:eastAsia="lv-LV"/>
              </w:rPr>
              <w:t xml:space="preserve">. </w:t>
            </w:r>
            <w:proofErr w:type="spellStart"/>
            <w:r w:rsidRPr="00B22C79">
              <w:rPr>
                <w:rFonts w:eastAsia="Times New Roman"/>
                <w:iCs/>
                <w:lang w:eastAsia="lv-LV"/>
              </w:rPr>
              <w:t>gadam</w:t>
            </w:r>
            <w:proofErr w:type="spellEnd"/>
          </w:p>
        </w:tc>
        <w:tc>
          <w:tcPr>
            <w:tcW w:w="651" w:type="pct"/>
            <w:tcBorders>
              <w:top w:val="single" w:sz="4" w:space="0" w:color="auto"/>
              <w:left w:val="single" w:sz="4" w:space="0" w:color="auto"/>
              <w:bottom w:val="single" w:sz="4" w:space="0" w:color="auto"/>
              <w:right w:val="single" w:sz="4" w:space="0" w:color="auto"/>
            </w:tcBorders>
            <w:vAlign w:val="center"/>
            <w:hideMark/>
          </w:tcPr>
          <w:p w14:paraId="7E5E50AD" w14:textId="500BEE4D" w:rsidR="00B24C31" w:rsidRPr="00AE4CB4" w:rsidRDefault="00B24C31" w:rsidP="00B24C31">
            <w:pPr>
              <w:pStyle w:val="naisf"/>
              <w:spacing w:before="0" w:beforeAutospacing="0" w:after="0" w:afterAutospacing="0"/>
              <w:jc w:val="center"/>
              <w:rPr>
                <w:b/>
                <w:i/>
                <w:lang w:val="lv-LV"/>
              </w:rPr>
            </w:pPr>
            <w:proofErr w:type="spellStart"/>
            <w:r w:rsidRPr="00B22C79">
              <w:rPr>
                <w:rFonts w:eastAsia="Times New Roman"/>
                <w:iCs/>
                <w:lang w:eastAsia="lv-LV"/>
              </w:rPr>
              <w:t>izmaiņas</w:t>
            </w:r>
            <w:proofErr w:type="spellEnd"/>
            <w:r w:rsidRPr="00B22C79">
              <w:rPr>
                <w:rFonts w:eastAsia="Times New Roman"/>
                <w:iCs/>
                <w:lang w:eastAsia="lv-LV"/>
              </w:rPr>
              <w:t xml:space="preserve">, </w:t>
            </w:r>
            <w:proofErr w:type="spellStart"/>
            <w:r w:rsidRPr="00B22C79">
              <w:rPr>
                <w:rFonts w:eastAsia="Times New Roman"/>
                <w:iCs/>
                <w:lang w:eastAsia="lv-LV"/>
              </w:rPr>
              <w:t>salīdzinot</w:t>
            </w:r>
            <w:proofErr w:type="spellEnd"/>
            <w:r w:rsidRPr="00B22C79">
              <w:rPr>
                <w:rFonts w:eastAsia="Times New Roman"/>
                <w:iCs/>
                <w:lang w:eastAsia="lv-LV"/>
              </w:rPr>
              <w:t xml:space="preserve"> </w:t>
            </w:r>
            <w:proofErr w:type="spellStart"/>
            <w:r w:rsidRPr="00B22C79">
              <w:rPr>
                <w:rFonts w:eastAsia="Times New Roman"/>
                <w:iCs/>
                <w:lang w:eastAsia="lv-LV"/>
              </w:rPr>
              <w:t>ar</w:t>
            </w:r>
            <w:proofErr w:type="spellEnd"/>
            <w:r w:rsidRPr="00B22C79">
              <w:rPr>
                <w:rFonts w:eastAsia="Times New Roman"/>
                <w:iCs/>
                <w:lang w:eastAsia="lv-LV"/>
              </w:rPr>
              <w:t xml:space="preserve"> </w:t>
            </w:r>
            <w:proofErr w:type="spellStart"/>
            <w:r w:rsidRPr="00B22C79">
              <w:rPr>
                <w:rFonts w:eastAsia="Times New Roman"/>
                <w:iCs/>
                <w:lang w:eastAsia="lv-LV"/>
              </w:rPr>
              <w:t>vidēja</w:t>
            </w:r>
            <w:proofErr w:type="spellEnd"/>
            <w:r w:rsidRPr="00B22C79">
              <w:rPr>
                <w:rFonts w:eastAsia="Times New Roman"/>
                <w:iCs/>
                <w:lang w:eastAsia="lv-LV"/>
              </w:rPr>
              <w:t xml:space="preserve"> </w:t>
            </w:r>
            <w:proofErr w:type="spellStart"/>
            <w:r w:rsidRPr="00B22C79">
              <w:rPr>
                <w:rFonts w:eastAsia="Times New Roman"/>
                <w:iCs/>
                <w:lang w:eastAsia="lv-LV"/>
              </w:rPr>
              <w:t>termiņa</w:t>
            </w:r>
            <w:proofErr w:type="spellEnd"/>
            <w:r w:rsidRPr="00B22C79">
              <w:rPr>
                <w:rFonts w:eastAsia="Times New Roman"/>
                <w:iCs/>
                <w:lang w:eastAsia="lv-LV"/>
              </w:rPr>
              <w:t xml:space="preserve"> </w:t>
            </w:r>
            <w:proofErr w:type="spellStart"/>
            <w:r w:rsidRPr="00B22C79">
              <w:rPr>
                <w:rFonts w:eastAsia="Times New Roman"/>
                <w:iCs/>
                <w:lang w:eastAsia="lv-LV"/>
              </w:rPr>
              <w:t>budžeta</w:t>
            </w:r>
            <w:proofErr w:type="spellEnd"/>
            <w:r w:rsidRPr="00B22C79">
              <w:rPr>
                <w:rFonts w:eastAsia="Times New Roman"/>
                <w:iCs/>
                <w:lang w:eastAsia="lv-LV"/>
              </w:rPr>
              <w:t xml:space="preserve"> </w:t>
            </w:r>
            <w:proofErr w:type="spellStart"/>
            <w:r w:rsidRPr="00B22C79">
              <w:rPr>
                <w:rFonts w:eastAsia="Times New Roman"/>
                <w:iCs/>
                <w:lang w:eastAsia="lv-LV"/>
              </w:rPr>
              <w:t>ietvaru</w:t>
            </w:r>
            <w:proofErr w:type="spellEnd"/>
            <w:r w:rsidRPr="00B22C79">
              <w:rPr>
                <w:rFonts w:eastAsia="Times New Roman"/>
                <w:iCs/>
                <w:lang w:eastAsia="lv-LV"/>
              </w:rPr>
              <w:t xml:space="preserve"> 202</w:t>
            </w:r>
            <w:r w:rsidR="00630AEA">
              <w:rPr>
                <w:rFonts w:eastAsia="Times New Roman"/>
                <w:iCs/>
                <w:lang w:eastAsia="lv-LV"/>
              </w:rPr>
              <w:t>2</w:t>
            </w:r>
            <w:r w:rsidRPr="00B22C79">
              <w:rPr>
                <w:rFonts w:eastAsia="Times New Roman"/>
                <w:iCs/>
                <w:lang w:eastAsia="lv-LV"/>
              </w:rPr>
              <w:t>.gadam</w:t>
            </w:r>
          </w:p>
        </w:tc>
      </w:tr>
      <w:tr w:rsidR="00A14CDE" w:rsidRPr="00EF556F" w14:paraId="079A373C" w14:textId="77777777" w:rsidTr="00362D8D">
        <w:trPr>
          <w:trHeight w:val="393"/>
        </w:trPr>
        <w:tc>
          <w:tcPr>
            <w:tcW w:w="797" w:type="pct"/>
            <w:tcBorders>
              <w:top w:val="single" w:sz="4" w:space="0" w:color="auto"/>
              <w:left w:val="single" w:sz="4" w:space="0" w:color="auto"/>
              <w:bottom w:val="single" w:sz="4" w:space="0" w:color="auto"/>
              <w:right w:val="single" w:sz="4" w:space="0" w:color="auto"/>
            </w:tcBorders>
            <w:vAlign w:val="center"/>
            <w:hideMark/>
          </w:tcPr>
          <w:p w14:paraId="24B30593" w14:textId="77777777" w:rsidR="00B24C31" w:rsidRPr="00AE4CB4" w:rsidRDefault="00B24C31" w:rsidP="00B24C31">
            <w:pPr>
              <w:pStyle w:val="naisf"/>
              <w:spacing w:before="0" w:beforeAutospacing="0" w:after="0" w:afterAutospacing="0"/>
              <w:jc w:val="center"/>
              <w:rPr>
                <w:bCs/>
                <w:lang w:val="lv-LV"/>
              </w:rPr>
            </w:pPr>
            <w:r w:rsidRPr="00AE4CB4">
              <w:rPr>
                <w:bCs/>
                <w:lang w:val="lv-LV"/>
              </w:rPr>
              <w:t>1</w:t>
            </w:r>
          </w:p>
        </w:tc>
        <w:tc>
          <w:tcPr>
            <w:tcW w:w="580" w:type="pct"/>
            <w:tcBorders>
              <w:top w:val="single" w:sz="4" w:space="0" w:color="auto"/>
              <w:left w:val="single" w:sz="4" w:space="0" w:color="auto"/>
              <w:bottom w:val="single" w:sz="4" w:space="0" w:color="auto"/>
              <w:right w:val="single" w:sz="4" w:space="0" w:color="auto"/>
            </w:tcBorders>
            <w:vAlign w:val="center"/>
            <w:hideMark/>
          </w:tcPr>
          <w:p w14:paraId="02E9B072" w14:textId="77777777" w:rsidR="00B24C31" w:rsidRPr="00AE4CB4" w:rsidRDefault="00B24C31" w:rsidP="00B24C31">
            <w:pPr>
              <w:pStyle w:val="naisf"/>
              <w:spacing w:before="0" w:beforeAutospacing="0" w:after="0" w:afterAutospacing="0"/>
              <w:jc w:val="center"/>
              <w:rPr>
                <w:bCs/>
                <w:lang w:val="lv-LV"/>
              </w:rPr>
            </w:pPr>
            <w:r w:rsidRPr="00AE4CB4">
              <w:rPr>
                <w:bCs/>
                <w:lang w:val="lv-LV"/>
              </w:rPr>
              <w:t>2</w:t>
            </w:r>
          </w:p>
        </w:tc>
        <w:tc>
          <w:tcPr>
            <w:tcW w:w="653" w:type="pct"/>
            <w:tcBorders>
              <w:top w:val="single" w:sz="4" w:space="0" w:color="auto"/>
              <w:left w:val="single" w:sz="4" w:space="0" w:color="auto"/>
              <w:bottom w:val="single" w:sz="4" w:space="0" w:color="auto"/>
              <w:right w:val="single" w:sz="4" w:space="0" w:color="auto"/>
            </w:tcBorders>
            <w:vAlign w:val="center"/>
            <w:hideMark/>
          </w:tcPr>
          <w:p w14:paraId="5A22C94C" w14:textId="77777777" w:rsidR="00B24C31" w:rsidRPr="00AE4CB4" w:rsidRDefault="00B24C31" w:rsidP="00B24C31">
            <w:pPr>
              <w:pStyle w:val="naisf"/>
              <w:spacing w:before="0" w:beforeAutospacing="0" w:after="0" w:afterAutospacing="0"/>
              <w:jc w:val="center"/>
              <w:rPr>
                <w:bCs/>
                <w:lang w:val="lv-LV"/>
              </w:rPr>
            </w:pPr>
            <w:r w:rsidRPr="00AE4CB4">
              <w:rPr>
                <w:bCs/>
                <w:lang w:val="lv-LV"/>
              </w:rPr>
              <w:t>3</w:t>
            </w:r>
          </w:p>
        </w:tc>
        <w:tc>
          <w:tcPr>
            <w:tcW w:w="508" w:type="pct"/>
            <w:tcBorders>
              <w:top w:val="single" w:sz="4" w:space="0" w:color="auto"/>
              <w:left w:val="single" w:sz="4" w:space="0" w:color="auto"/>
              <w:bottom w:val="single" w:sz="4" w:space="0" w:color="auto"/>
              <w:right w:val="single" w:sz="4" w:space="0" w:color="auto"/>
            </w:tcBorders>
            <w:vAlign w:val="center"/>
            <w:hideMark/>
          </w:tcPr>
          <w:p w14:paraId="0391582F" w14:textId="77777777" w:rsidR="00B24C31" w:rsidRPr="00AE4CB4" w:rsidRDefault="00B24C31" w:rsidP="00B24C31">
            <w:pPr>
              <w:pStyle w:val="naisf"/>
              <w:spacing w:before="0" w:beforeAutospacing="0" w:after="0" w:afterAutospacing="0"/>
              <w:jc w:val="center"/>
              <w:rPr>
                <w:bCs/>
                <w:lang w:val="lv-LV"/>
              </w:rPr>
            </w:pPr>
            <w:r w:rsidRPr="00AE4CB4">
              <w:rPr>
                <w:bCs/>
                <w:lang w:val="lv-LV"/>
              </w:rPr>
              <w:t>4</w:t>
            </w:r>
          </w:p>
        </w:tc>
        <w:tc>
          <w:tcPr>
            <w:tcW w:w="652" w:type="pct"/>
            <w:tcBorders>
              <w:top w:val="single" w:sz="4" w:space="0" w:color="auto"/>
              <w:left w:val="single" w:sz="4" w:space="0" w:color="auto"/>
              <w:bottom w:val="single" w:sz="4" w:space="0" w:color="auto"/>
              <w:right w:val="single" w:sz="4" w:space="0" w:color="auto"/>
            </w:tcBorders>
            <w:vAlign w:val="center"/>
          </w:tcPr>
          <w:p w14:paraId="5B0F63DA" w14:textId="62424894" w:rsidR="00B24C31" w:rsidRPr="00AE4CB4" w:rsidRDefault="007569E2" w:rsidP="00B24C31">
            <w:pPr>
              <w:pStyle w:val="naisf"/>
              <w:spacing w:before="0" w:beforeAutospacing="0" w:after="0" w:afterAutospacing="0"/>
              <w:jc w:val="center"/>
              <w:rPr>
                <w:bCs/>
                <w:lang w:val="lv-LV"/>
              </w:rPr>
            </w:pPr>
            <w:r>
              <w:rPr>
                <w:bCs/>
                <w:lang w:val="lv-LV"/>
              </w:rPr>
              <w:t>5</w:t>
            </w:r>
          </w:p>
        </w:tc>
        <w:tc>
          <w:tcPr>
            <w:tcW w:w="508" w:type="pct"/>
            <w:tcBorders>
              <w:top w:val="single" w:sz="4" w:space="0" w:color="auto"/>
              <w:left w:val="single" w:sz="4" w:space="0" w:color="auto"/>
              <w:bottom w:val="single" w:sz="4" w:space="0" w:color="auto"/>
              <w:right w:val="single" w:sz="4" w:space="0" w:color="auto"/>
            </w:tcBorders>
            <w:vAlign w:val="center"/>
            <w:hideMark/>
          </w:tcPr>
          <w:p w14:paraId="79F0B8F2" w14:textId="23E74530" w:rsidR="00B24C31" w:rsidRPr="00AE4CB4" w:rsidRDefault="007569E2" w:rsidP="00B24C31">
            <w:pPr>
              <w:pStyle w:val="naisf"/>
              <w:spacing w:before="0" w:beforeAutospacing="0" w:after="0" w:afterAutospacing="0"/>
              <w:jc w:val="center"/>
              <w:rPr>
                <w:bCs/>
                <w:lang w:val="lv-LV"/>
              </w:rPr>
            </w:pPr>
            <w:r>
              <w:rPr>
                <w:bCs/>
                <w:lang w:val="lv-LV"/>
              </w:rPr>
              <w:t>6</w:t>
            </w:r>
          </w:p>
        </w:tc>
        <w:tc>
          <w:tcPr>
            <w:tcW w:w="653" w:type="pct"/>
            <w:tcBorders>
              <w:top w:val="single" w:sz="4" w:space="0" w:color="auto"/>
              <w:left w:val="single" w:sz="4" w:space="0" w:color="auto"/>
              <w:bottom w:val="single" w:sz="4" w:space="0" w:color="auto"/>
              <w:right w:val="single" w:sz="4" w:space="0" w:color="auto"/>
            </w:tcBorders>
            <w:vAlign w:val="center"/>
          </w:tcPr>
          <w:p w14:paraId="2009AE06" w14:textId="4F5A7D15" w:rsidR="00B24C31" w:rsidRPr="00AE4CB4" w:rsidRDefault="007569E2" w:rsidP="00B24C31">
            <w:pPr>
              <w:pStyle w:val="naisf"/>
              <w:spacing w:before="0" w:after="0"/>
              <w:jc w:val="center"/>
              <w:rPr>
                <w:bCs/>
                <w:lang w:val="lv-LV"/>
              </w:rPr>
            </w:pPr>
            <w:r>
              <w:rPr>
                <w:bCs/>
                <w:lang w:val="lv-LV"/>
              </w:rPr>
              <w:t>7</w:t>
            </w:r>
          </w:p>
        </w:tc>
        <w:tc>
          <w:tcPr>
            <w:tcW w:w="651" w:type="pct"/>
            <w:tcBorders>
              <w:top w:val="single" w:sz="4" w:space="0" w:color="auto"/>
              <w:left w:val="single" w:sz="4" w:space="0" w:color="auto"/>
              <w:bottom w:val="single" w:sz="4" w:space="0" w:color="auto"/>
              <w:right w:val="single" w:sz="4" w:space="0" w:color="auto"/>
            </w:tcBorders>
            <w:vAlign w:val="center"/>
            <w:hideMark/>
          </w:tcPr>
          <w:p w14:paraId="22F40CC2" w14:textId="320EB362" w:rsidR="00B24C31" w:rsidRPr="00AE4CB4" w:rsidRDefault="007569E2" w:rsidP="00B24C31">
            <w:pPr>
              <w:pStyle w:val="naisf"/>
              <w:spacing w:before="0" w:beforeAutospacing="0" w:after="0" w:afterAutospacing="0"/>
              <w:jc w:val="center"/>
              <w:rPr>
                <w:bCs/>
                <w:lang w:val="lv-LV"/>
              </w:rPr>
            </w:pPr>
            <w:r>
              <w:rPr>
                <w:bCs/>
                <w:lang w:val="lv-LV"/>
              </w:rPr>
              <w:t>8</w:t>
            </w:r>
          </w:p>
        </w:tc>
      </w:tr>
      <w:tr w:rsidR="00A14CDE" w:rsidRPr="00EF556F" w14:paraId="4BB9829F"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4245BA96" w14:textId="77777777" w:rsidR="007569E2" w:rsidRPr="00AE4CB4" w:rsidRDefault="007569E2" w:rsidP="00B24C31">
            <w:pPr>
              <w:pStyle w:val="naisf"/>
              <w:spacing w:before="0" w:beforeAutospacing="0" w:after="0" w:afterAutospacing="0"/>
              <w:rPr>
                <w:i/>
                <w:lang w:val="lv-LV"/>
              </w:rPr>
            </w:pPr>
            <w:r w:rsidRPr="00AE4CB4">
              <w:rPr>
                <w:lang w:val="lv-LV"/>
              </w:rPr>
              <w:t>1. Budžeta ieņēmumi:</w:t>
            </w:r>
          </w:p>
        </w:tc>
        <w:tc>
          <w:tcPr>
            <w:tcW w:w="580" w:type="pct"/>
            <w:tcBorders>
              <w:top w:val="single" w:sz="4" w:space="0" w:color="auto"/>
              <w:left w:val="single" w:sz="4" w:space="0" w:color="auto"/>
              <w:bottom w:val="single" w:sz="4" w:space="0" w:color="auto"/>
              <w:right w:val="single" w:sz="4" w:space="0" w:color="auto"/>
            </w:tcBorders>
            <w:vAlign w:val="center"/>
            <w:hideMark/>
          </w:tcPr>
          <w:p w14:paraId="0813D267" w14:textId="77777777" w:rsidR="007569E2" w:rsidRPr="00AE4CB4" w:rsidRDefault="007569E2" w:rsidP="007569E2">
            <w:pPr>
              <w:jc w:val="center"/>
            </w:pPr>
            <w:r w:rsidRPr="00AE4CB4">
              <w:t>0</w:t>
            </w:r>
          </w:p>
        </w:tc>
        <w:tc>
          <w:tcPr>
            <w:tcW w:w="653" w:type="pct"/>
            <w:tcBorders>
              <w:top w:val="single" w:sz="4" w:space="0" w:color="auto"/>
              <w:left w:val="single" w:sz="4" w:space="0" w:color="auto"/>
              <w:bottom w:val="single" w:sz="4" w:space="0" w:color="auto"/>
              <w:right w:val="single" w:sz="4" w:space="0" w:color="auto"/>
            </w:tcBorders>
            <w:vAlign w:val="center"/>
            <w:hideMark/>
          </w:tcPr>
          <w:p w14:paraId="7B7B7EF3" w14:textId="0ACBE483" w:rsidR="007569E2" w:rsidRPr="00AE4CB4" w:rsidRDefault="00A14019" w:rsidP="007569E2">
            <w:pPr>
              <w:jc w:val="center"/>
            </w:pPr>
            <w:r>
              <w:rPr>
                <w:color w:val="000000"/>
              </w:rPr>
              <w:t>8 820</w:t>
            </w:r>
          </w:p>
        </w:tc>
        <w:tc>
          <w:tcPr>
            <w:tcW w:w="508" w:type="pct"/>
            <w:tcBorders>
              <w:top w:val="single" w:sz="4" w:space="0" w:color="auto"/>
              <w:left w:val="single" w:sz="4" w:space="0" w:color="auto"/>
              <w:bottom w:val="single" w:sz="4" w:space="0" w:color="auto"/>
              <w:right w:val="single" w:sz="4" w:space="0" w:color="auto"/>
            </w:tcBorders>
            <w:vAlign w:val="center"/>
            <w:hideMark/>
          </w:tcPr>
          <w:p w14:paraId="4BC21FB2" w14:textId="18B5EEBA" w:rsidR="007569E2" w:rsidRPr="00AE4CB4" w:rsidRDefault="007569E2" w:rsidP="007569E2">
            <w:pPr>
              <w:autoSpaceDE w:val="0"/>
              <w:autoSpaceDN w:val="0"/>
              <w:adjustRightInd w:val="0"/>
              <w:jc w:val="center"/>
              <w:rPr>
                <w:lang w:eastAsia="lv-LV"/>
              </w:rPr>
            </w:pPr>
            <w:r>
              <w:rPr>
                <w:lang w:eastAsia="lv-LV"/>
              </w:rPr>
              <w:t>0</w:t>
            </w:r>
          </w:p>
        </w:tc>
        <w:tc>
          <w:tcPr>
            <w:tcW w:w="652" w:type="pct"/>
            <w:tcBorders>
              <w:top w:val="single" w:sz="4" w:space="0" w:color="auto"/>
              <w:left w:val="single" w:sz="4" w:space="0" w:color="auto"/>
              <w:bottom w:val="single" w:sz="4" w:space="0" w:color="auto"/>
              <w:right w:val="single" w:sz="4" w:space="0" w:color="auto"/>
            </w:tcBorders>
            <w:vAlign w:val="center"/>
          </w:tcPr>
          <w:p w14:paraId="12BBACCC" w14:textId="1680710D" w:rsidR="007569E2" w:rsidRPr="00AE4CB4" w:rsidRDefault="00A14019" w:rsidP="007569E2">
            <w:pPr>
              <w:autoSpaceDE w:val="0"/>
              <w:autoSpaceDN w:val="0"/>
              <w:adjustRightInd w:val="0"/>
              <w:jc w:val="center"/>
              <w:rPr>
                <w:lang w:eastAsia="lv-LV"/>
              </w:rPr>
            </w:pPr>
            <w:r>
              <w:rPr>
                <w:color w:val="000000"/>
              </w:rPr>
              <w:t>1 278 642</w:t>
            </w:r>
          </w:p>
        </w:tc>
        <w:tc>
          <w:tcPr>
            <w:tcW w:w="508" w:type="pct"/>
            <w:tcBorders>
              <w:top w:val="single" w:sz="4" w:space="0" w:color="auto"/>
              <w:left w:val="single" w:sz="4" w:space="0" w:color="auto"/>
              <w:bottom w:val="single" w:sz="4" w:space="0" w:color="auto"/>
              <w:right w:val="single" w:sz="4" w:space="0" w:color="auto"/>
            </w:tcBorders>
            <w:vAlign w:val="center"/>
            <w:hideMark/>
          </w:tcPr>
          <w:p w14:paraId="7146CD66" w14:textId="0A21BC8F" w:rsidR="007569E2" w:rsidRPr="00AE4CB4" w:rsidRDefault="007569E2" w:rsidP="007569E2">
            <w:pPr>
              <w:autoSpaceDE w:val="0"/>
              <w:autoSpaceDN w:val="0"/>
              <w:adjustRightInd w:val="0"/>
              <w:jc w:val="center"/>
              <w:rPr>
                <w:lang w:eastAsia="lv-LV"/>
              </w:rPr>
            </w:pPr>
            <w:r>
              <w:rPr>
                <w:lang w:eastAsia="lv-LV"/>
              </w:rPr>
              <w:t>0</w:t>
            </w:r>
          </w:p>
        </w:tc>
        <w:tc>
          <w:tcPr>
            <w:tcW w:w="653" w:type="pct"/>
            <w:tcBorders>
              <w:top w:val="single" w:sz="4" w:space="0" w:color="auto"/>
              <w:left w:val="single" w:sz="4" w:space="0" w:color="auto"/>
              <w:bottom w:val="single" w:sz="4" w:space="0" w:color="auto"/>
              <w:right w:val="single" w:sz="4" w:space="0" w:color="auto"/>
            </w:tcBorders>
            <w:vAlign w:val="center"/>
          </w:tcPr>
          <w:p w14:paraId="00F20053" w14:textId="6C55CADF" w:rsidR="007569E2" w:rsidRPr="00AE4CB4" w:rsidRDefault="007569E2" w:rsidP="007569E2">
            <w:pPr>
              <w:autoSpaceDE w:val="0"/>
              <w:autoSpaceDN w:val="0"/>
              <w:adjustRightInd w:val="0"/>
              <w:jc w:val="center"/>
              <w:rPr>
                <w:lang w:eastAsia="lv-LV"/>
              </w:rPr>
            </w:pPr>
            <w:r>
              <w:rPr>
                <w:color w:val="000000"/>
              </w:rPr>
              <w:t>764 420</w:t>
            </w:r>
          </w:p>
        </w:tc>
        <w:tc>
          <w:tcPr>
            <w:tcW w:w="651" w:type="pct"/>
            <w:tcBorders>
              <w:top w:val="single" w:sz="4" w:space="0" w:color="auto"/>
              <w:left w:val="single" w:sz="4" w:space="0" w:color="auto"/>
              <w:bottom w:val="single" w:sz="4" w:space="0" w:color="auto"/>
              <w:right w:val="single" w:sz="4" w:space="0" w:color="auto"/>
            </w:tcBorders>
            <w:vAlign w:val="center"/>
            <w:hideMark/>
          </w:tcPr>
          <w:p w14:paraId="4442A4CF" w14:textId="47757ABA" w:rsidR="007569E2" w:rsidRPr="00AE4CB4" w:rsidRDefault="007569E2" w:rsidP="007569E2">
            <w:pPr>
              <w:autoSpaceDE w:val="0"/>
              <w:autoSpaceDN w:val="0"/>
              <w:adjustRightInd w:val="0"/>
              <w:jc w:val="center"/>
              <w:rPr>
                <w:lang w:eastAsia="lv-LV"/>
              </w:rPr>
            </w:pPr>
            <w:r>
              <w:rPr>
                <w:color w:val="000000"/>
              </w:rPr>
              <w:t>498 118</w:t>
            </w:r>
          </w:p>
        </w:tc>
      </w:tr>
      <w:tr w:rsidR="00A14CDE" w:rsidRPr="00EF556F" w14:paraId="3A6679A4" w14:textId="77777777" w:rsidTr="00362D8D">
        <w:tc>
          <w:tcPr>
            <w:tcW w:w="797" w:type="pct"/>
            <w:tcBorders>
              <w:top w:val="single" w:sz="4" w:space="0" w:color="auto"/>
              <w:left w:val="single" w:sz="4" w:space="0" w:color="auto"/>
              <w:bottom w:val="single" w:sz="4" w:space="0" w:color="auto"/>
              <w:right w:val="single" w:sz="4" w:space="0" w:color="auto"/>
            </w:tcBorders>
          </w:tcPr>
          <w:p w14:paraId="0F72853D" w14:textId="546E21BC" w:rsidR="007569E2" w:rsidRPr="00AE4CB4" w:rsidRDefault="007569E2" w:rsidP="00B24C31">
            <w:pPr>
              <w:pStyle w:val="naisf"/>
              <w:spacing w:before="0" w:beforeAutospacing="0" w:after="0" w:afterAutospacing="0"/>
              <w:rPr>
                <w:lang w:val="lv-LV"/>
              </w:rPr>
            </w:pPr>
            <w:r w:rsidRPr="00AE4CB4">
              <w:rPr>
                <w:rFonts w:eastAsia="Times New Roman"/>
                <w:iCs/>
                <w:lang w:eastAsia="lv-LV"/>
              </w:rPr>
              <w:t xml:space="preserve">1.1. </w:t>
            </w:r>
            <w:proofErr w:type="spellStart"/>
            <w:r w:rsidRPr="00AE4CB4">
              <w:rPr>
                <w:rFonts w:eastAsia="Times New Roman"/>
                <w:iCs/>
                <w:lang w:eastAsia="lv-LV"/>
              </w:rPr>
              <w:t>valsts</w:t>
            </w:r>
            <w:proofErr w:type="spellEnd"/>
            <w:r w:rsidRPr="00AE4CB4">
              <w:rPr>
                <w:rFonts w:eastAsia="Times New Roman"/>
                <w:iCs/>
                <w:lang w:eastAsia="lv-LV"/>
              </w:rPr>
              <w:t xml:space="preserve"> </w:t>
            </w:r>
            <w:proofErr w:type="spellStart"/>
            <w:r w:rsidRPr="00AE4CB4">
              <w:rPr>
                <w:rFonts w:eastAsia="Times New Roman"/>
                <w:iCs/>
                <w:lang w:eastAsia="lv-LV"/>
              </w:rPr>
              <w:t>pamatbudžets</w:t>
            </w:r>
            <w:proofErr w:type="spellEnd"/>
            <w:r w:rsidRPr="00AE4CB4">
              <w:rPr>
                <w:rFonts w:eastAsia="Times New Roman"/>
                <w:iCs/>
                <w:lang w:eastAsia="lv-LV"/>
              </w:rPr>
              <w:t>,</w:t>
            </w:r>
            <w:r w:rsidR="00A14CDE">
              <w:rPr>
                <w:rFonts w:eastAsia="Times New Roman"/>
                <w:iCs/>
                <w:lang w:eastAsia="lv-LV"/>
              </w:rPr>
              <w:t xml:space="preserve"> t.sk.</w:t>
            </w:r>
            <w:r w:rsidRPr="00AE4CB4">
              <w:rPr>
                <w:rFonts w:eastAsia="Times New Roman"/>
                <w:iCs/>
                <w:lang w:eastAsia="lv-LV"/>
              </w:rPr>
              <w:t xml:space="preserve"> </w:t>
            </w:r>
            <w:proofErr w:type="spellStart"/>
            <w:r w:rsidRPr="00AE4CB4">
              <w:rPr>
                <w:rFonts w:eastAsia="Times New Roman"/>
                <w:iCs/>
                <w:lang w:eastAsia="lv-LV"/>
              </w:rPr>
              <w:t>ieņēmumi</w:t>
            </w:r>
            <w:proofErr w:type="spellEnd"/>
            <w:r w:rsidRPr="00AE4CB4">
              <w:rPr>
                <w:rFonts w:eastAsia="Times New Roman"/>
                <w:iCs/>
                <w:lang w:eastAsia="lv-LV"/>
              </w:rPr>
              <w:t xml:space="preserve"> no </w:t>
            </w:r>
            <w:proofErr w:type="spellStart"/>
            <w:r w:rsidRPr="00AE4CB4">
              <w:rPr>
                <w:rFonts w:eastAsia="Times New Roman"/>
                <w:iCs/>
                <w:lang w:eastAsia="lv-LV"/>
              </w:rPr>
              <w:lastRenderedPageBreak/>
              <w:t>maksas</w:t>
            </w:r>
            <w:proofErr w:type="spellEnd"/>
            <w:r w:rsidRPr="00AE4CB4">
              <w:rPr>
                <w:rFonts w:eastAsia="Times New Roman"/>
                <w:iCs/>
                <w:lang w:eastAsia="lv-LV"/>
              </w:rPr>
              <w:t xml:space="preserve"> </w:t>
            </w:r>
            <w:proofErr w:type="spellStart"/>
            <w:r w:rsidRPr="00AE4CB4">
              <w:rPr>
                <w:rFonts w:eastAsia="Times New Roman"/>
                <w:iCs/>
                <w:lang w:eastAsia="lv-LV"/>
              </w:rPr>
              <w:t>pakalpojumiem</w:t>
            </w:r>
            <w:proofErr w:type="spellEnd"/>
            <w:r w:rsidRPr="00AE4CB4">
              <w:rPr>
                <w:rFonts w:eastAsia="Times New Roman"/>
                <w:iCs/>
                <w:lang w:eastAsia="lv-LV"/>
              </w:rPr>
              <w:t xml:space="preserve"> un </w:t>
            </w:r>
            <w:proofErr w:type="spellStart"/>
            <w:r w:rsidRPr="00AE4CB4">
              <w:rPr>
                <w:rFonts w:eastAsia="Times New Roman"/>
                <w:iCs/>
                <w:lang w:eastAsia="lv-LV"/>
              </w:rPr>
              <w:t>citi</w:t>
            </w:r>
            <w:proofErr w:type="spellEnd"/>
            <w:r w:rsidRPr="00AE4CB4">
              <w:rPr>
                <w:rFonts w:eastAsia="Times New Roman"/>
                <w:iCs/>
                <w:lang w:eastAsia="lv-LV"/>
              </w:rPr>
              <w:t xml:space="preserve"> </w:t>
            </w:r>
            <w:proofErr w:type="spellStart"/>
            <w:r w:rsidRPr="00AE4CB4">
              <w:rPr>
                <w:rFonts w:eastAsia="Times New Roman"/>
                <w:iCs/>
                <w:lang w:eastAsia="lv-LV"/>
              </w:rPr>
              <w:t>pašu</w:t>
            </w:r>
            <w:proofErr w:type="spellEnd"/>
            <w:r w:rsidRPr="00AE4CB4">
              <w:rPr>
                <w:rFonts w:eastAsia="Times New Roman"/>
                <w:iCs/>
                <w:lang w:eastAsia="lv-LV"/>
              </w:rPr>
              <w:t xml:space="preserve"> </w:t>
            </w:r>
            <w:proofErr w:type="spellStart"/>
            <w:r w:rsidRPr="00AE4CB4">
              <w:rPr>
                <w:rFonts w:eastAsia="Times New Roman"/>
                <w:iCs/>
                <w:lang w:eastAsia="lv-LV"/>
              </w:rPr>
              <w:t>ieņēmumi</w:t>
            </w:r>
            <w:proofErr w:type="spellEnd"/>
          </w:p>
        </w:tc>
        <w:tc>
          <w:tcPr>
            <w:tcW w:w="580" w:type="pct"/>
            <w:tcBorders>
              <w:top w:val="single" w:sz="4" w:space="0" w:color="auto"/>
              <w:left w:val="single" w:sz="4" w:space="0" w:color="auto"/>
              <w:bottom w:val="single" w:sz="4" w:space="0" w:color="auto"/>
              <w:right w:val="single" w:sz="4" w:space="0" w:color="auto"/>
            </w:tcBorders>
            <w:vAlign w:val="center"/>
          </w:tcPr>
          <w:p w14:paraId="376E24F7" w14:textId="72AD8CB3" w:rsidR="007569E2" w:rsidRPr="00AE4CB4" w:rsidRDefault="007569E2" w:rsidP="007569E2">
            <w:pPr>
              <w:jc w:val="center"/>
            </w:pPr>
            <w:r>
              <w:lastRenderedPageBreak/>
              <w:t>0</w:t>
            </w:r>
          </w:p>
        </w:tc>
        <w:tc>
          <w:tcPr>
            <w:tcW w:w="653" w:type="pct"/>
            <w:tcBorders>
              <w:top w:val="single" w:sz="4" w:space="0" w:color="auto"/>
              <w:left w:val="single" w:sz="4" w:space="0" w:color="auto"/>
              <w:bottom w:val="single" w:sz="4" w:space="0" w:color="auto"/>
              <w:right w:val="single" w:sz="4" w:space="0" w:color="auto"/>
            </w:tcBorders>
            <w:vAlign w:val="center"/>
          </w:tcPr>
          <w:p w14:paraId="178CED3A" w14:textId="06FB9F93"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14758737" w14:textId="16941F74"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1E846AFA" w14:textId="3EC37A64"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7BD104D8" w14:textId="4B4B6854"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12B2AFCE" w14:textId="1BBB43E0"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1CB3D7B2" w14:textId="31488C40" w:rsidR="007569E2" w:rsidRPr="00AE4CB4" w:rsidRDefault="007569E2" w:rsidP="007569E2">
            <w:pPr>
              <w:autoSpaceDE w:val="0"/>
              <w:autoSpaceDN w:val="0"/>
              <w:adjustRightInd w:val="0"/>
              <w:jc w:val="center"/>
              <w:rPr>
                <w:color w:val="000000"/>
              </w:rPr>
            </w:pPr>
            <w:r>
              <w:rPr>
                <w:color w:val="000000"/>
              </w:rPr>
              <w:t>0</w:t>
            </w:r>
          </w:p>
        </w:tc>
      </w:tr>
      <w:tr w:rsidR="00A14CDE" w:rsidRPr="00EF556F" w14:paraId="1922F661" w14:textId="77777777" w:rsidTr="00362D8D">
        <w:tc>
          <w:tcPr>
            <w:tcW w:w="797" w:type="pct"/>
            <w:tcBorders>
              <w:top w:val="single" w:sz="4" w:space="0" w:color="auto"/>
              <w:left w:val="single" w:sz="4" w:space="0" w:color="auto"/>
              <w:bottom w:val="single" w:sz="4" w:space="0" w:color="auto"/>
              <w:right w:val="single" w:sz="4" w:space="0" w:color="auto"/>
            </w:tcBorders>
          </w:tcPr>
          <w:p w14:paraId="3D2513C6" w14:textId="2B71A841" w:rsidR="007569E2" w:rsidRPr="00AE4CB4" w:rsidRDefault="007569E2" w:rsidP="00B24C31">
            <w:pPr>
              <w:pStyle w:val="naisf"/>
              <w:spacing w:before="0" w:beforeAutospacing="0" w:after="0" w:afterAutospacing="0"/>
              <w:rPr>
                <w:lang w:val="lv-LV"/>
              </w:rPr>
            </w:pPr>
            <w:r w:rsidRPr="00AE4CB4">
              <w:rPr>
                <w:rFonts w:eastAsia="Times New Roman"/>
                <w:iCs/>
                <w:lang w:eastAsia="lv-LV"/>
              </w:rPr>
              <w:t xml:space="preserve">1.2. </w:t>
            </w:r>
            <w:proofErr w:type="spellStart"/>
            <w:r w:rsidRPr="00AE4CB4">
              <w:rPr>
                <w:rFonts w:eastAsia="Times New Roman"/>
                <w:iCs/>
                <w:lang w:eastAsia="lv-LV"/>
              </w:rPr>
              <w:t>valsts</w:t>
            </w:r>
            <w:proofErr w:type="spellEnd"/>
            <w:r w:rsidRPr="00AE4CB4">
              <w:rPr>
                <w:rFonts w:eastAsia="Times New Roman"/>
                <w:iCs/>
                <w:lang w:eastAsia="lv-LV"/>
              </w:rPr>
              <w:t xml:space="preserve"> </w:t>
            </w:r>
            <w:proofErr w:type="spellStart"/>
            <w:r w:rsidRPr="00AE4CB4">
              <w:rPr>
                <w:rFonts w:eastAsia="Times New Roman"/>
                <w:iCs/>
                <w:lang w:eastAsia="lv-LV"/>
              </w:rPr>
              <w:t>speciālais</w:t>
            </w:r>
            <w:proofErr w:type="spellEnd"/>
            <w:r w:rsidRPr="00AE4CB4">
              <w:rPr>
                <w:rFonts w:eastAsia="Times New Roman"/>
                <w:iCs/>
                <w:lang w:eastAsia="lv-LV"/>
              </w:rPr>
              <w:t xml:space="preserve"> </w:t>
            </w:r>
            <w:proofErr w:type="spellStart"/>
            <w:r w:rsidRPr="00AE4CB4">
              <w:rPr>
                <w:rFonts w:eastAsia="Times New Roman"/>
                <w:iCs/>
                <w:lang w:eastAsia="lv-LV"/>
              </w:rPr>
              <w:t>budžets</w:t>
            </w:r>
            <w:proofErr w:type="spellEnd"/>
          </w:p>
        </w:tc>
        <w:tc>
          <w:tcPr>
            <w:tcW w:w="580" w:type="pct"/>
            <w:tcBorders>
              <w:top w:val="single" w:sz="4" w:space="0" w:color="auto"/>
              <w:left w:val="single" w:sz="4" w:space="0" w:color="auto"/>
              <w:bottom w:val="single" w:sz="4" w:space="0" w:color="auto"/>
              <w:right w:val="single" w:sz="4" w:space="0" w:color="auto"/>
            </w:tcBorders>
            <w:vAlign w:val="center"/>
          </w:tcPr>
          <w:p w14:paraId="52746A5F" w14:textId="76DE194D"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57219760" w14:textId="417DA6F8"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3EB9280C" w14:textId="4B875C5D"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6D4A38D6" w14:textId="0CD9C47E"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60423CF5" w14:textId="26EE4911"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018D5D30" w14:textId="5EDFF08F"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682972B8" w14:textId="473937E2" w:rsidR="007569E2" w:rsidRPr="00AE4CB4" w:rsidRDefault="007569E2" w:rsidP="007569E2">
            <w:pPr>
              <w:autoSpaceDE w:val="0"/>
              <w:autoSpaceDN w:val="0"/>
              <w:adjustRightInd w:val="0"/>
              <w:jc w:val="center"/>
              <w:rPr>
                <w:color w:val="000000"/>
              </w:rPr>
            </w:pPr>
            <w:r>
              <w:rPr>
                <w:color w:val="000000"/>
              </w:rPr>
              <w:t>0</w:t>
            </w:r>
          </w:p>
        </w:tc>
      </w:tr>
      <w:tr w:rsidR="00A14CDE" w:rsidRPr="00EF556F" w14:paraId="1D43B104" w14:textId="77777777" w:rsidTr="00362D8D">
        <w:tc>
          <w:tcPr>
            <w:tcW w:w="797" w:type="pct"/>
            <w:tcBorders>
              <w:top w:val="single" w:sz="4" w:space="0" w:color="auto"/>
              <w:left w:val="single" w:sz="4" w:space="0" w:color="auto"/>
              <w:bottom w:val="single" w:sz="4" w:space="0" w:color="auto"/>
              <w:right w:val="single" w:sz="4" w:space="0" w:color="auto"/>
            </w:tcBorders>
          </w:tcPr>
          <w:p w14:paraId="3FCD315C" w14:textId="2EF4DAE5" w:rsidR="007569E2" w:rsidRPr="00AE4CB4" w:rsidRDefault="007569E2" w:rsidP="00B24C31">
            <w:pPr>
              <w:pStyle w:val="naisf"/>
              <w:spacing w:before="0" w:beforeAutospacing="0" w:after="0" w:afterAutospacing="0"/>
              <w:rPr>
                <w:lang w:val="lv-LV"/>
              </w:rPr>
            </w:pPr>
            <w:r w:rsidRPr="00AE4CB4">
              <w:rPr>
                <w:rFonts w:eastAsia="Times New Roman"/>
                <w:iCs/>
                <w:lang w:eastAsia="lv-LV"/>
              </w:rPr>
              <w:t xml:space="preserve">1.3. </w:t>
            </w:r>
            <w:proofErr w:type="spellStart"/>
            <w:r w:rsidRPr="00AE4CB4">
              <w:rPr>
                <w:rFonts w:eastAsia="Times New Roman"/>
                <w:iCs/>
                <w:lang w:eastAsia="lv-LV"/>
              </w:rPr>
              <w:t>pašvaldību</w:t>
            </w:r>
            <w:proofErr w:type="spellEnd"/>
            <w:r w:rsidRPr="00AE4CB4">
              <w:rPr>
                <w:rFonts w:eastAsia="Times New Roman"/>
                <w:iCs/>
                <w:lang w:eastAsia="lv-LV"/>
              </w:rPr>
              <w:t xml:space="preserve"> </w:t>
            </w:r>
            <w:proofErr w:type="spellStart"/>
            <w:r w:rsidRPr="00AE4CB4">
              <w:rPr>
                <w:rFonts w:eastAsia="Times New Roman"/>
                <w:iCs/>
                <w:lang w:eastAsia="lv-LV"/>
              </w:rPr>
              <w:t>budžets</w:t>
            </w:r>
            <w:proofErr w:type="spellEnd"/>
          </w:p>
        </w:tc>
        <w:tc>
          <w:tcPr>
            <w:tcW w:w="580" w:type="pct"/>
            <w:tcBorders>
              <w:top w:val="single" w:sz="4" w:space="0" w:color="auto"/>
              <w:left w:val="single" w:sz="4" w:space="0" w:color="auto"/>
              <w:bottom w:val="single" w:sz="4" w:space="0" w:color="auto"/>
              <w:right w:val="single" w:sz="4" w:space="0" w:color="auto"/>
            </w:tcBorders>
            <w:vAlign w:val="center"/>
          </w:tcPr>
          <w:p w14:paraId="3DEB75E2" w14:textId="555A7E75"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0D162251" w14:textId="0BB22C18"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252F2E48" w14:textId="22EF309B"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4C62F182" w14:textId="151A0E18"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1E0F441E" w14:textId="1E75CFE5"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727847F5" w14:textId="03FAD37D"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4AB50312" w14:textId="3DF17091" w:rsidR="007569E2" w:rsidRPr="00AE4CB4" w:rsidRDefault="007569E2" w:rsidP="007569E2">
            <w:pPr>
              <w:autoSpaceDE w:val="0"/>
              <w:autoSpaceDN w:val="0"/>
              <w:adjustRightInd w:val="0"/>
              <w:jc w:val="center"/>
              <w:rPr>
                <w:color w:val="000000"/>
              </w:rPr>
            </w:pPr>
            <w:r>
              <w:rPr>
                <w:color w:val="000000"/>
              </w:rPr>
              <w:t>0</w:t>
            </w:r>
          </w:p>
        </w:tc>
      </w:tr>
      <w:tr w:rsidR="00A14CDE" w:rsidRPr="00EF556F" w14:paraId="6663333B"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26D4FD68" w14:textId="77777777" w:rsidR="007569E2" w:rsidRPr="00AE4CB4" w:rsidRDefault="007569E2" w:rsidP="00B24C31">
            <w:r w:rsidRPr="00AE4CB4">
              <w:t>2. Budžeta izdevumi:</w:t>
            </w:r>
          </w:p>
        </w:tc>
        <w:tc>
          <w:tcPr>
            <w:tcW w:w="580" w:type="pct"/>
            <w:tcBorders>
              <w:top w:val="single" w:sz="4" w:space="0" w:color="auto"/>
              <w:left w:val="single" w:sz="4" w:space="0" w:color="auto"/>
              <w:bottom w:val="single" w:sz="4" w:space="0" w:color="auto"/>
              <w:right w:val="single" w:sz="4" w:space="0" w:color="auto"/>
            </w:tcBorders>
            <w:vAlign w:val="center"/>
            <w:hideMark/>
          </w:tcPr>
          <w:p w14:paraId="540A4AFC" w14:textId="77777777" w:rsidR="007569E2" w:rsidRPr="00337329" w:rsidRDefault="007569E2" w:rsidP="007569E2">
            <w:pPr>
              <w:jc w:val="center"/>
            </w:pPr>
            <w:r w:rsidRPr="00337329">
              <w:t>0</w:t>
            </w:r>
          </w:p>
        </w:tc>
        <w:tc>
          <w:tcPr>
            <w:tcW w:w="653" w:type="pct"/>
            <w:tcBorders>
              <w:top w:val="single" w:sz="4" w:space="0" w:color="auto"/>
              <w:left w:val="single" w:sz="4" w:space="0" w:color="auto"/>
              <w:bottom w:val="single" w:sz="4" w:space="0" w:color="auto"/>
              <w:right w:val="single" w:sz="4" w:space="0" w:color="auto"/>
            </w:tcBorders>
            <w:vAlign w:val="center"/>
            <w:hideMark/>
          </w:tcPr>
          <w:p w14:paraId="29EB74F9" w14:textId="1BBC4636" w:rsidR="007569E2" w:rsidRPr="00337329" w:rsidRDefault="00A14019" w:rsidP="007569E2">
            <w:pPr>
              <w:jc w:val="center"/>
            </w:pPr>
            <w:r>
              <w:rPr>
                <w:color w:val="000000"/>
              </w:rPr>
              <w:t>10</w:t>
            </w:r>
            <w:r w:rsidRPr="00337329">
              <w:rPr>
                <w:color w:val="000000"/>
              </w:rPr>
              <w:t xml:space="preserve"> 612</w:t>
            </w:r>
          </w:p>
        </w:tc>
        <w:tc>
          <w:tcPr>
            <w:tcW w:w="508" w:type="pct"/>
            <w:tcBorders>
              <w:top w:val="single" w:sz="4" w:space="0" w:color="auto"/>
              <w:left w:val="single" w:sz="4" w:space="0" w:color="auto"/>
              <w:bottom w:val="single" w:sz="4" w:space="0" w:color="auto"/>
              <w:right w:val="single" w:sz="4" w:space="0" w:color="auto"/>
            </w:tcBorders>
            <w:vAlign w:val="center"/>
            <w:hideMark/>
          </w:tcPr>
          <w:p w14:paraId="48F33C9D" w14:textId="4D287576" w:rsidR="007569E2" w:rsidRPr="00337329" w:rsidRDefault="007569E2" w:rsidP="007569E2">
            <w:pPr>
              <w:autoSpaceDE w:val="0"/>
              <w:autoSpaceDN w:val="0"/>
              <w:adjustRightInd w:val="0"/>
              <w:jc w:val="center"/>
              <w:rPr>
                <w:lang w:eastAsia="lv-LV"/>
              </w:rPr>
            </w:pPr>
            <w:r>
              <w:rPr>
                <w:lang w:eastAsia="lv-LV"/>
              </w:rPr>
              <w:t>0</w:t>
            </w:r>
          </w:p>
        </w:tc>
        <w:tc>
          <w:tcPr>
            <w:tcW w:w="652" w:type="pct"/>
            <w:tcBorders>
              <w:top w:val="single" w:sz="4" w:space="0" w:color="auto"/>
              <w:left w:val="single" w:sz="4" w:space="0" w:color="auto"/>
              <w:bottom w:val="single" w:sz="4" w:space="0" w:color="auto"/>
              <w:right w:val="single" w:sz="4" w:space="0" w:color="auto"/>
            </w:tcBorders>
            <w:vAlign w:val="center"/>
          </w:tcPr>
          <w:p w14:paraId="1C8F6D35" w14:textId="473752A7" w:rsidR="007569E2" w:rsidRPr="00337329" w:rsidRDefault="00A14019" w:rsidP="007569E2">
            <w:pPr>
              <w:autoSpaceDE w:val="0"/>
              <w:autoSpaceDN w:val="0"/>
              <w:adjustRightInd w:val="0"/>
              <w:jc w:val="center"/>
              <w:rPr>
                <w:lang w:eastAsia="lv-LV"/>
              </w:rPr>
            </w:pPr>
            <w:r>
              <w:rPr>
                <w:color w:val="000000"/>
              </w:rPr>
              <w:t>1 504</w:t>
            </w:r>
            <w:r w:rsidRPr="00337329">
              <w:rPr>
                <w:color w:val="000000"/>
              </w:rPr>
              <w:t xml:space="preserve"> 049</w:t>
            </w:r>
          </w:p>
        </w:tc>
        <w:tc>
          <w:tcPr>
            <w:tcW w:w="508" w:type="pct"/>
            <w:tcBorders>
              <w:top w:val="single" w:sz="4" w:space="0" w:color="auto"/>
              <w:left w:val="single" w:sz="4" w:space="0" w:color="auto"/>
              <w:bottom w:val="single" w:sz="4" w:space="0" w:color="auto"/>
              <w:right w:val="single" w:sz="4" w:space="0" w:color="auto"/>
            </w:tcBorders>
            <w:vAlign w:val="center"/>
            <w:hideMark/>
          </w:tcPr>
          <w:p w14:paraId="366929CE" w14:textId="28B538F1" w:rsidR="007569E2" w:rsidRPr="00337329" w:rsidRDefault="007569E2" w:rsidP="007569E2">
            <w:pPr>
              <w:autoSpaceDE w:val="0"/>
              <w:autoSpaceDN w:val="0"/>
              <w:adjustRightInd w:val="0"/>
              <w:jc w:val="center"/>
              <w:rPr>
                <w:lang w:eastAsia="lv-LV"/>
              </w:rPr>
            </w:pPr>
            <w:r>
              <w:rPr>
                <w:lang w:eastAsia="lv-LV"/>
              </w:rPr>
              <w:t>0</w:t>
            </w:r>
          </w:p>
        </w:tc>
        <w:tc>
          <w:tcPr>
            <w:tcW w:w="653" w:type="pct"/>
            <w:tcBorders>
              <w:top w:val="single" w:sz="4" w:space="0" w:color="auto"/>
              <w:left w:val="single" w:sz="4" w:space="0" w:color="auto"/>
              <w:bottom w:val="single" w:sz="4" w:space="0" w:color="auto"/>
              <w:right w:val="single" w:sz="4" w:space="0" w:color="auto"/>
            </w:tcBorders>
            <w:vAlign w:val="center"/>
          </w:tcPr>
          <w:p w14:paraId="6B27830A" w14:textId="1E1F62E9" w:rsidR="007569E2" w:rsidRPr="00337329" w:rsidRDefault="007569E2" w:rsidP="007569E2">
            <w:pPr>
              <w:autoSpaceDE w:val="0"/>
              <w:autoSpaceDN w:val="0"/>
              <w:adjustRightInd w:val="0"/>
              <w:jc w:val="center"/>
              <w:rPr>
                <w:lang w:eastAsia="lv-LV"/>
              </w:rPr>
            </w:pPr>
            <w:r w:rsidRPr="00337329">
              <w:rPr>
                <w:color w:val="000000"/>
              </w:rPr>
              <w:t>899 318</w:t>
            </w:r>
          </w:p>
        </w:tc>
        <w:tc>
          <w:tcPr>
            <w:tcW w:w="651" w:type="pct"/>
            <w:tcBorders>
              <w:top w:val="single" w:sz="4" w:space="0" w:color="auto"/>
              <w:left w:val="single" w:sz="4" w:space="0" w:color="auto"/>
              <w:bottom w:val="single" w:sz="4" w:space="0" w:color="auto"/>
              <w:right w:val="single" w:sz="4" w:space="0" w:color="auto"/>
            </w:tcBorders>
            <w:vAlign w:val="center"/>
            <w:hideMark/>
          </w:tcPr>
          <w:p w14:paraId="7B758459" w14:textId="25B6A6BE" w:rsidR="007569E2" w:rsidRPr="00337329" w:rsidRDefault="007569E2" w:rsidP="007569E2">
            <w:pPr>
              <w:autoSpaceDE w:val="0"/>
              <w:autoSpaceDN w:val="0"/>
              <w:adjustRightInd w:val="0"/>
              <w:jc w:val="center"/>
              <w:rPr>
                <w:lang w:eastAsia="lv-LV"/>
              </w:rPr>
            </w:pPr>
            <w:r w:rsidRPr="00337329">
              <w:rPr>
                <w:color w:val="000000"/>
              </w:rPr>
              <w:t>586 021</w:t>
            </w:r>
          </w:p>
        </w:tc>
      </w:tr>
      <w:tr w:rsidR="00A14CDE" w:rsidRPr="00EF556F" w14:paraId="6AC9C02B" w14:textId="77777777" w:rsidTr="00362D8D">
        <w:tc>
          <w:tcPr>
            <w:tcW w:w="797" w:type="pct"/>
            <w:tcBorders>
              <w:top w:val="single" w:sz="4" w:space="0" w:color="auto"/>
              <w:left w:val="single" w:sz="4" w:space="0" w:color="auto"/>
              <w:bottom w:val="single" w:sz="4" w:space="0" w:color="auto"/>
              <w:right w:val="single" w:sz="4" w:space="0" w:color="auto"/>
            </w:tcBorders>
          </w:tcPr>
          <w:p w14:paraId="275AE25F" w14:textId="252F9EB4" w:rsidR="007569E2" w:rsidRPr="00AE4CB4" w:rsidRDefault="007569E2" w:rsidP="00B24C31">
            <w:r w:rsidRPr="00AE4CB4">
              <w:rPr>
                <w:iCs/>
                <w:lang w:eastAsia="lv-LV"/>
              </w:rPr>
              <w:t>2.1. valsts pamatbudžets, tai skaitā ieņēmumi no maksas pakalpojumiem un citi pašu ieņēmumi</w:t>
            </w:r>
          </w:p>
        </w:tc>
        <w:tc>
          <w:tcPr>
            <w:tcW w:w="580" w:type="pct"/>
            <w:tcBorders>
              <w:top w:val="single" w:sz="4" w:space="0" w:color="auto"/>
              <w:left w:val="single" w:sz="4" w:space="0" w:color="auto"/>
              <w:bottom w:val="single" w:sz="4" w:space="0" w:color="auto"/>
              <w:right w:val="single" w:sz="4" w:space="0" w:color="auto"/>
            </w:tcBorders>
            <w:vAlign w:val="center"/>
          </w:tcPr>
          <w:p w14:paraId="64AB0BA2" w14:textId="1D6CB6FE"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10EA3DBD" w14:textId="6EB4FFCB"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054F471E" w14:textId="242F10D4"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7A2277D6" w14:textId="4BE6A750"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4D67FA00" w14:textId="4B564A98"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344012F8" w14:textId="284F338D"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28EEC35E" w14:textId="7921C1A0" w:rsidR="007569E2" w:rsidRPr="00AE4CB4" w:rsidRDefault="007569E2" w:rsidP="007569E2">
            <w:pPr>
              <w:autoSpaceDE w:val="0"/>
              <w:autoSpaceDN w:val="0"/>
              <w:adjustRightInd w:val="0"/>
              <w:jc w:val="center"/>
              <w:rPr>
                <w:color w:val="000000"/>
              </w:rPr>
            </w:pPr>
            <w:r>
              <w:rPr>
                <w:color w:val="000000"/>
              </w:rPr>
              <w:t>0</w:t>
            </w:r>
          </w:p>
        </w:tc>
      </w:tr>
      <w:tr w:rsidR="00A14CDE" w:rsidRPr="00EF556F" w14:paraId="7EC1006F" w14:textId="77777777" w:rsidTr="00362D8D">
        <w:tc>
          <w:tcPr>
            <w:tcW w:w="797" w:type="pct"/>
            <w:tcBorders>
              <w:top w:val="single" w:sz="4" w:space="0" w:color="auto"/>
              <w:left w:val="single" w:sz="4" w:space="0" w:color="auto"/>
              <w:bottom w:val="single" w:sz="4" w:space="0" w:color="auto"/>
              <w:right w:val="single" w:sz="4" w:space="0" w:color="auto"/>
            </w:tcBorders>
          </w:tcPr>
          <w:p w14:paraId="770C904F" w14:textId="52C7651F" w:rsidR="007569E2" w:rsidRPr="00AE4CB4" w:rsidRDefault="007569E2" w:rsidP="00B24C31">
            <w:r w:rsidRPr="00AE4CB4">
              <w:rPr>
                <w:iCs/>
                <w:lang w:eastAsia="lv-LV"/>
              </w:rPr>
              <w:t>2.2. valsts speciālais budžets</w:t>
            </w:r>
          </w:p>
        </w:tc>
        <w:tc>
          <w:tcPr>
            <w:tcW w:w="580" w:type="pct"/>
            <w:tcBorders>
              <w:top w:val="single" w:sz="4" w:space="0" w:color="auto"/>
              <w:left w:val="single" w:sz="4" w:space="0" w:color="auto"/>
              <w:bottom w:val="single" w:sz="4" w:space="0" w:color="auto"/>
              <w:right w:val="single" w:sz="4" w:space="0" w:color="auto"/>
            </w:tcBorders>
            <w:vAlign w:val="center"/>
          </w:tcPr>
          <w:p w14:paraId="380916B8" w14:textId="0BE02589"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4FB95999" w14:textId="310CA14F"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14AF2ABC" w14:textId="3CA54A24"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16D279C0" w14:textId="3A27D0E9"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1F073435" w14:textId="48788947"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58811D17" w14:textId="4D8F56A8"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726A9AC9" w14:textId="1F0DFFE1" w:rsidR="007569E2" w:rsidRPr="00AE4CB4" w:rsidRDefault="007569E2" w:rsidP="007569E2">
            <w:pPr>
              <w:autoSpaceDE w:val="0"/>
              <w:autoSpaceDN w:val="0"/>
              <w:adjustRightInd w:val="0"/>
              <w:jc w:val="center"/>
              <w:rPr>
                <w:color w:val="000000"/>
              </w:rPr>
            </w:pPr>
            <w:r>
              <w:rPr>
                <w:color w:val="000000"/>
              </w:rPr>
              <w:t>0</w:t>
            </w:r>
          </w:p>
        </w:tc>
      </w:tr>
      <w:tr w:rsidR="00A14CDE" w:rsidRPr="00EF556F" w14:paraId="7106C42C" w14:textId="77777777" w:rsidTr="00362D8D">
        <w:tc>
          <w:tcPr>
            <w:tcW w:w="797" w:type="pct"/>
            <w:tcBorders>
              <w:top w:val="single" w:sz="4" w:space="0" w:color="auto"/>
              <w:left w:val="single" w:sz="4" w:space="0" w:color="auto"/>
              <w:bottom w:val="single" w:sz="4" w:space="0" w:color="auto"/>
              <w:right w:val="single" w:sz="4" w:space="0" w:color="auto"/>
            </w:tcBorders>
          </w:tcPr>
          <w:p w14:paraId="2B654ACA" w14:textId="18B2C3A1" w:rsidR="007569E2" w:rsidRPr="00AE4CB4" w:rsidRDefault="007569E2" w:rsidP="00B24C31">
            <w:r w:rsidRPr="00AE4CB4">
              <w:rPr>
                <w:iCs/>
                <w:lang w:eastAsia="lv-LV"/>
              </w:rPr>
              <w:t>2.3. pašvaldību budžets</w:t>
            </w:r>
          </w:p>
        </w:tc>
        <w:tc>
          <w:tcPr>
            <w:tcW w:w="580" w:type="pct"/>
            <w:tcBorders>
              <w:top w:val="single" w:sz="4" w:space="0" w:color="auto"/>
              <w:left w:val="single" w:sz="4" w:space="0" w:color="auto"/>
              <w:bottom w:val="single" w:sz="4" w:space="0" w:color="auto"/>
              <w:right w:val="single" w:sz="4" w:space="0" w:color="auto"/>
            </w:tcBorders>
            <w:vAlign w:val="center"/>
          </w:tcPr>
          <w:p w14:paraId="67F2F24F" w14:textId="3C65133A"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6E46B31D" w14:textId="0C9F7343"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29524763" w14:textId="2C1A189A"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3DF7996C" w14:textId="5F454573"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54897183" w14:textId="53373D63"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378390DC" w14:textId="6F208B21"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37D4928C" w14:textId="5446B466" w:rsidR="007569E2" w:rsidRPr="00AE4CB4" w:rsidRDefault="007569E2" w:rsidP="007569E2">
            <w:pPr>
              <w:autoSpaceDE w:val="0"/>
              <w:autoSpaceDN w:val="0"/>
              <w:adjustRightInd w:val="0"/>
              <w:jc w:val="center"/>
              <w:rPr>
                <w:color w:val="000000"/>
              </w:rPr>
            </w:pPr>
            <w:r>
              <w:rPr>
                <w:color w:val="000000"/>
              </w:rPr>
              <w:t>0</w:t>
            </w:r>
          </w:p>
        </w:tc>
      </w:tr>
      <w:tr w:rsidR="00A14CDE" w:rsidRPr="00EF556F" w14:paraId="698A7E8F"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06B143AA" w14:textId="77777777" w:rsidR="007569E2" w:rsidRPr="00AE4CB4" w:rsidRDefault="007569E2" w:rsidP="00B24C31">
            <w:r w:rsidRPr="00AE4CB4">
              <w:t>3. Finansiālā ietekme:</w:t>
            </w:r>
          </w:p>
        </w:tc>
        <w:tc>
          <w:tcPr>
            <w:tcW w:w="580" w:type="pct"/>
            <w:tcBorders>
              <w:top w:val="single" w:sz="4" w:space="0" w:color="auto"/>
              <w:left w:val="single" w:sz="4" w:space="0" w:color="auto"/>
              <w:bottom w:val="single" w:sz="4" w:space="0" w:color="auto"/>
              <w:right w:val="single" w:sz="4" w:space="0" w:color="auto"/>
            </w:tcBorders>
            <w:vAlign w:val="center"/>
            <w:hideMark/>
          </w:tcPr>
          <w:p w14:paraId="597D9371" w14:textId="77777777" w:rsidR="007569E2" w:rsidRPr="00AE4CB4" w:rsidRDefault="007569E2" w:rsidP="007569E2">
            <w:pPr>
              <w:jc w:val="center"/>
            </w:pPr>
            <w:r w:rsidRPr="00AE4CB4">
              <w:t>0</w:t>
            </w:r>
          </w:p>
        </w:tc>
        <w:tc>
          <w:tcPr>
            <w:tcW w:w="653" w:type="pct"/>
            <w:tcBorders>
              <w:top w:val="single" w:sz="4" w:space="0" w:color="auto"/>
              <w:left w:val="single" w:sz="4" w:space="0" w:color="auto"/>
              <w:bottom w:val="single" w:sz="4" w:space="0" w:color="auto"/>
              <w:right w:val="single" w:sz="4" w:space="0" w:color="auto"/>
            </w:tcBorders>
            <w:vAlign w:val="center"/>
            <w:hideMark/>
          </w:tcPr>
          <w:p w14:paraId="418E4937" w14:textId="45CA509A" w:rsidR="007569E2" w:rsidRPr="00AE4CB4" w:rsidRDefault="00A14019" w:rsidP="007569E2">
            <w:pPr>
              <w:jc w:val="center"/>
            </w:pPr>
            <w:r>
              <w:t>-1 792</w:t>
            </w:r>
          </w:p>
        </w:tc>
        <w:tc>
          <w:tcPr>
            <w:tcW w:w="508" w:type="pct"/>
            <w:tcBorders>
              <w:top w:val="single" w:sz="4" w:space="0" w:color="auto"/>
              <w:left w:val="single" w:sz="4" w:space="0" w:color="auto"/>
              <w:bottom w:val="single" w:sz="4" w:space="0" w:color="auto"/>
              <w:right w:val="single" w:sz="4" w:space="0" w:color="auto"/>
            </w:tcBorders>
            <w:vAlign w:val="center"/>
          </w:tcPr>
          <w:p w14:paraId="0A9BA3CB" w14:textId="002E9767" w:rsidR="007569E2" w:rsidRPr="00AE4CB4" w:rsidRDefault="007569E2" w:rsidP="007569E2">
            <w:pPr>
              <w:autoSpaceDE w:val="0"/>
              <w:autoSpaceDN w:val="0"/>
              <w:adjustRightInd w:val="0"/>
              <w:jc w:val="center"/>
              <w:rPr>
                <w:lang w:eastAsia="lv-LV"/>
              </w:rPr>
            </w:pPr>
            <w:r>
              <w:rPr>
                <w:lang w:eastAsia="lv-LV"/>
              </w:rPr>
              <w:t>0</w:t>
            </w:r>
          </w:p>
        </w:tc>
        <w:tc>
          <w:tcPr>
            <w:tcW w:w="652" w:type="pct"/>
            <w:tcBorders>
              <w:top w:val="single" w:sz="4" w:space="0" w:color="auto"/>
              <w:left w:val="single" w:sz="4" w:space="0" w:color="auto"/>
              <w:bottom w:val="single" w:sz="4" w:space="0" w:color="auto"/>
              <w:right w:val="single" w:sz="4" w:space="0" w:color="auto"/>
            </w:tcBorders>
            <w:vAlign w:val="center"/>
          </w:tcPr>
          <w:p w14:paraId="7B2C02B9" w14:textId="5FCF9D8C" w:rsidR="007569E2" w:rsidRPr="00AE4CB4" w:rsidRDefault="00A14019" w:rsidP="007569E2">
            <w:pPr>
              <w:autoSpaceDE w:val="0"/>
              <w:autoSpaceDN w:val="0"/>
              <w:adjustRightInd w:val="0"/>
              <w:jc w:val="center"/>
              <w:rPr>
                <w:lang w:eastAsia="lv-LV"/>
              </w:rPr>
            </w:pPr>
            <w:r>
              <w:rPr>
                <w:color w:val="000000"/>
              </w:rPr>
              <w:t>-225 407</w:t>
            </w:r>
          </w:p>
        </w:tc>
        <w:tc>
          <w:tcPr>
            <w:tcW w:w="508" w:type="pct"/>
            <w:tcBorders>
              <w:top w:val="single" w:sz="4" w:space="0" w:color="auto"/>
              <w:left w:val="single" w:sz="4" w:space="0" w:color="auto"/>
              <w:bottom w:val="single" w:sz="4" w:space="0" w:color="auto"/>
              <w:right w:val="single" w:sz="4" w:space="0" w:color="auto"/>
            </w:tcBorders>
            <w:vAlign w:val="center"/>
            <w:hideMark/>
          </w:tcPr>
          <w:p w14:paraId="0FE749F0" w14:textId="093ADB94" w:rsidR="007569E2" w:rsidRPr="00AE4CB4" w:rsidRDefault="007569E2" w:rsidP="007569E2">
            <w:pPr>
              <w:autoSpaceDE w:val="0"/>
              <w:autoSpaceDN w:val="0"/>
              <w:adjustRightInd w:val="0"/>
              <w:jc w:val="center"/>
              <w:rPr>
                <w:lang w:eastAsia="lv-LV"/>
              </w:rPr>
            </w:pPr>
            <w:r>
              <w:rPr>
                <w:lang w:eastAsia="lv-LV"/>
              </w:rPr>
              <w:t>0</w:t>
            </w:r>
          </w:p>
        </w:tc>
        <w:tc>
          <w:tcPr>
            <w:tcW w:w="653" w:type="pct"/>
            <w:tcBorders>
              <w:top w:val="single" w:sz="4" w:space="0" w:color="auto"/>
              <w:left w:val="single" w:sz="4" w:space="0" w:color="auto"/>
              <w:bottom w:val="single" w:sz="4" w:space="0" w:color="auto"/>
              <w:right w:val="single" w:sz="4" w:space="0" w:color="auto"/>
            </w:tcBorders>
            <w:vAlign w:val="center"/>
          </w:tcPr>
          <w:p w14:paraId="1E5AFBBC" w14:textId="2B1E31DD" w:rsidR="007569E2" w:rsidRPr="00AE4CB4" w:rsidRDefault="007569E2" w:rsidP="007569E2">
            <w:pPr>
              <w:autoSpaceDE w:val="0"/>
              <w:autoSpaceDN w:val="0"/>
              <w:adjustRightInd w:val="0"/>
              <w:jc w:val="center"/>
              <w:rPr>
                <w:lang w:eastAsia="lv-LV"/>
              </w:rPr>
            </w:pPr>
            <w:r>
              <w:rPr>
                <w:color w:val="000000"/>
              </w:rPr>
              <w:t>-134 898</w:t>
            </w:r>
          </w:p>
        </w:tc>
        <w:tc>
          <w:tcPr>
            <w:tcW w:w="651" w:type="pct"/>
            <w:tcBorders>
              <w:top w:val="single" w:sz="4" w:space="0" w:color="auto"/>
              <w:left w:val="single" w:sz="4" w:space="0" w:color="auto"/>
              <w:bottom w:val="single" w:sz="4" w:space="0" w:color="auto"/>
              <w:right w:val="single" w:sz="4" w:space="0" w:color="auto"/>
            </w:tcBorders>
            <w:vAlign w:val="center"/>
            <w:hideMark/>
          </w:tcPr>
          <w:p w14:paraId="370C2F97" w14:textId="3F9DA8A1" w:rsidR="007569E2" w:rsidRPr="00AE4CB4" w:rsidRDefault="007569E2" w:rsidP="007569E2">
            <w:pPr>
              <w:autoSpaceDE w:val="0"/>
              <w:autoSpaceDN w:val="0"/>
              <w:adjustRightInd w:val="0"/>
              <w:jc w:val="center"/>
              <w:rPr>
                <w:lang w:eastAsia="lv-LV"/>
              </w:rPr>
            </w:pPr>
            <w:r>
              <w:rPr>
                <w:color w:val="000000"/>
              </w:rPr>
              <w:t>-87 903</w:t>
            </w:r>
          </w:p>
        </w:tc>
      </w:tr>
      <w:tr w:rsidR="00A14CDE" w:rsidRPr="00EF556F" w14:paraId="17A620FB" w14:textId="77777777" w:rsidTr="00362D8D">
        <w:tc>
          <w:tcPr>
            <w:tcW w:w="797" w:type="pct"/>
            <w:tcBorders>
              <w:top w:val="single" w:sz="4" w:space="0" w:color="auto"/>
              <w:left w:val="single" w:sz="4" w:space="0" w:color="auto"/>
              <w:bottom w:val="single" w:sz="4" w:space="0" w:color="auto"/>
              <w:right w:val="single" w:sz="4" w:space="0" w:color="auto"/>
            </w:tcBorders>
          </w:tcPr>
          <w:p w14:paraId="3827437D" w14:textId="49C86A31" w:rsidR="007569E2" w:rsidRPr="00AE4CB4" w:rsidRDefault="007569E2" w:rsidP="00B24C31">
            <w:r w:rsidRPr="00AE4CB4">
              <w:rPr>
                <w:iCs/>
                <w:lang w:eastAsia="lv-LV"/>
              </w:rPr>
              <w:t xml:space="preserve">3.1. valsts pamatbudžets, </w:t>
            </w:r>
            <w:r w:rsidR="00A14CDE">
              <w:rPr>
                <w:iCs/>
                <w:lang w:eastAsia="lv-LV"/>
              </w:rPr>
              <w:t>t.sk.</w:t>
            </w:r>
            <w:r w:rsidRPr="00AE4CB4">
              <w:rPr>
                <w:iCs/>
                <w:lang w:eastAsia="lv-LV"/>
              </w:rPr>
              <w:t xml:space="preserve"> ieņēmumi no maksas pakalpojumiem un citi pašu ieņēmumi</w:t>
            </w:r>
          </w:p>
        </w:tc>
        <w:tc>
          <w:tcPr>
            <w:tcW w:w="580" w:type="pct"/>
            <w:tcBorders>
              <w:top w:val="single" w:sz="4" w:space="0" w:color="auto"/>
              <w:left w:val="single" w:sz="4" w:space="0" w:color="auto"/>
              <w:bottom w:val="single" w:sz="4" w:space="0" w:color="auto"/>
              <w:right w:val="single" w:sz="4" w:space="0" w:color="auto"/>
            </w:tcBorders>
            <w:vAlign w:val="center"/>
          </w:tcPr>
          <w:p w14:paraId="5554E20F" w14:textId="16443191"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34713683" w14:textId="512E3A07"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764509FE" w14:textId="1672FA86"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6063E0C9" w14:textId="6602DA7B"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519D3D46" w14:textId="320683B9"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6B1C74DB" w14:textId="6A831D0B"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184484C4" w14:textId="5343CD01" w:rsidR="007569E2" w:rsidRPr="00AE4CB4" w:rsidRDefault="007569E2" w:rsidP="007569E2">
            <w:pPr>
              <w:autoSpaceDE w:val="0"/>
              <w:autoSpaceDN w:val="0"/>
              <w:adjustRightInd w:val="0"/>
              <w:jc w:val="center"/>
              <w:rPr>
                <w:color w:val="000000"/>
              </w:rPr>
            </w:pPr>
            <w:r>
              <w:rPr>
                <w:color w:val="000000"/>
              </w:rPr>
              <w:t>0</w:t>
            </w:r>
          </w:p>
        </w:tc>
      </w:tr>
      <w:tr w:rsidR="00A14CDE" w:rsidRPr="00EF556F" w14:paraId="11B96474" w14:textId="77777777" w:rsidTr="00362D8D">
        <w:tc>
          <w:tcPr>
            <w:tcW w:w="797" w:type="pct"/>
            <w:tcBorders>
              <w:top w:val="single" w:sz="4" w:space="0" w:color="auto"/>
              <w:left w:val="single" w:sz="4" w:space="0" w:color="auto"/>
              <w:bottom w:val="single" w:sz="4" w:space="0" w:color="auto"/>
              <w:right w:val="single" w:sz="4" w:space="0" w:color="auto"/>
            </w:tcBorders>
          </w:tcPr>
          <w:p w14:paraId="4BD7E3D9" w14:textId="76E3A38C" w:rsidR="007569E2" w:rsidRPr="00AE4CB4" w:rsidRDefault="007569E2" w:rsidP="00B24C31">
            <w:r w:rsidRPr="00AE4CB4">
              <w:rPr>
                <w:iCs/>
                <w:lang w:eastAsia="lv-LV"/>
              </w:rPr>
              <w:t>3.2. valsts speciālais budžets</w:t>
            </w:r>
          </w:p>
        </w:tc>
        <w:tc>
          <w:tcPr>
            <w:tcW w:w="580" w:type="pct"/>
            <w:tcBorders>
              <w:top w:val="single" w:sz="4" w:space="0" w:color="auto"/>
              <w:left w:val="single" w:sz="4" w:space="0" w:color="auto"/>
              <w:bottom w:val="single" w:sz="4" w:space="0" w:color="auto"/>
              <w:right w:val="single" w:sz="4" w:space="0" w:color="auto"/>
            </w:tcBorders>
            <w:vAlign w:val="center"/>
          </w:tcPr>
          <w:p w14:paraId="344CCBDB" w14:textId="3DD86BBF"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01356A1A" w14:textId="32AA4472"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79341D3E" w14:textId="5401B1AF"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281D1ABE" w14:textId="795A4721"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5F52BD66" w14:textId="3EF82A92"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139B32D0" w14:textId="43A318E4"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0438CA66" w14:textId="736C0F7D" w:rsidR="007569E2" w:rsidRPr="00AE4CB4" w:rsidRDefault="007569E2" w:rsidP="007569E2">
            <w:pPr>
              <w:autoSpaceDE w:val="0"/>
              <w:autoSpaceDN w:val="0"/>
              <w:adjustRightInd w:val="0"/>
              <w:jc w:val="center"/>
              <w:rPr>
                <w:color w:val="000000"/>
              </w:rPr>
            </w:pPr>
            <w:r>
              <w:rPr>
                <w:color w:val="000000"/>
              </w:rPr>
              <w:t>0</w:t>
            </w:r>
          </w:p>
        </w:tc>
      </w:tr>
      <w:tr w:rsidR="00A14CDE" w:rsidRPr="00EF556F" w14:paraId="09F13EA8" w14:textId="77777777" w:rsidTr="00362D8D">
        <w:tc>
          <w:tcPr>
            <w:tcW w:w="797" w:type="pct"/>
            <w:tcBorders>
              <w:top w:val="single" w:sz="4" w:space="0" w:color="auto"/>
              <w:left w:val="single" w:sz="4" w:space="0" w:color="auto"/>
              <w:bottom w:val="single" w:sz="4" w:space="0" w:color="auto"/>
              <w:right w:val="single" w:sz="4" w:space="0" w:color="auto"/>
            </w:tcBorders>
          </w:tcPr>
          <w:p w14:paraId="7E395E0F" w14:textId="03DE6277" w:rsidR="007569E2" w:rsidRPr="00AE4CB4" w:rsidRDefault="007569E2" w:rsidP="00B24C31">
            <w:r w:rsidRPr="00AE4CB4">
              <w:rPr>
                <w:iCs/>
                <w:lang w:eastAsia="lv-LV"/>
              </w:rPr>
              <w:t>3.3. pašvaldību budžets</w:t>
            </w:r>
          </w:p>
        </w:tc>
        <w:tc>
          <w:tcPr>
            <w:tcW w:w="580" w:type="pct"/>
            <w:tcBorders>
              <w:top w:val="single" w:sz="4" w:space="0" w:color="auto"/>
              <w:left w:val="single" w:sz="4" w:space="0" w:color="auto"/>
              <w:bottom w:val="single" w:sz="4" w:space="0" w:color="auto"/>
              <w:right w:val="single" w:sz="4" w:space="0" w:color="auto"/>
            </w:tcBorders>
            <w:vAlign w:val="center"/>
          </w:tcPr>
          <w:p w14:paraId="79DA7216" w14:textId="454792A2" w:rsidR="007569E2" w:rsidRPr="00AE4CB4" w:rsidRDefault="007569E2" w:rsidP="007569E2">
            <w:pPr>
              <w:jc w:val="center"/>
            </w:pPr>
            <w:r>
              <w:t>0</w:t>
            </w:r>
          </w:p>
        </w:tc>
        <w:tc>
          <w:tcPr>
            <w:tcW w:w="653" w:type="pct"/>
            <w:tcBorders>
              <w:top w:val="single" w:sz="4" w:space="0" w:color="auto"/>
              <w:left w:val="single" w:sz="4" w:space="0" w:color="auto"/>
              <w:bottom w:val="single" w:sz="4" w:space="0" w:color="auto"/>
              <w:right w:val="single" w:sz="4" w:space="0" w:color="auto"/>
            </w:tcBorders>
            <w:vAlign w:val="center"/>
          </w:tcPr>
          <w:p w14:paraId="4C57B3F2" w14:textId="65D13B79" w:rsidR="007569E2" w:rsidRPr="00AE4CB4" w:rsidRDefault="007569E2" w:rsidP="007569E2">
            <w:pPr>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5B9F31CA" w14:textId="600A67F6" w:rsidR="007569E2" w:rsidRPr="00AE4CB4" w:rsidRDefault="007569E2" w:rsidP="007569E2">
            <w:pPr>
              <w:autoSpaceDE w:val="0"/>
              <w:autoSpaceDN w:val="0"/>
              <w:adjustRightInd w:val="0"/>
              <w:jc w:val="center"/>
              <w:rPr>
                <w:color w:val="000000"/>
              </w:rPr>
            </w:pPr>
            <w:r>
              <w:rPr>
                <w:color w:val="000000"/>
              </w:rPr>
              <w:t>0</w:t>
            </w:r>
          </w:p>
        </w:tc>
        <w:tc>
          <w:tcPr>
            <w:tcW w:w="652" w:type="pct"/>
            <w:tcBorders>
              <w:top w:val="single" w:sz="4" w:space="0" w:color="auto"/>
              <w:left w:val="single" w:sz="4" w:space="0" w:color="auto"/>
              <w:bottom w:val="single" w:sz="4" w:space="0" w:color="auto"/>
              <w:right w:val="single" w:sz="4" w:space="0" w:color="auto"/>
            </w:tcBorders>
            <w:vAlign w:val="center"/>
          </w:tcPr>
          <w:p w14:paraId="548AB386" w14:textId="2EAF3306" w:rsidR="007569E2" w:rsidRPr="00AE4CB4" w:rsidRDefault="007569E2" w:rsidP="007569E2">
            <w:pPr>
              <w:autoSpaceDE w:val="0"/>
              <w:autoSpaceDN w:val="0"/>
              <w:adjustRightInd w:val="0"/>
              <w:jc w:val="center"/>
              <w:rPr>
                <w:color w:val="000000"/>
              </w:rPr>
            </w:pPr>
            <w:r>
              <w:rPr>
                <w:color w:val="000000"/>
              </w:rPr>
              <w:t>0</w:t>
            </w:r>
          </w:p>
        </w:tc>
        <w:tc>
          <w:tcPr>
            <w:tcW w:w="508" w:type="pct"/>
            <w:tcBorders>
              <w:top w:val="single" w:sz="4" w:space="0" w:color="auto"/>
              <w:left w:val="single" w:sz="4" w:space="0" w:color="auto"/>
              <w:bottom w:val="single" w:sz="4" w:space="0" w:color="auto"/>
              <w:right w:val="single" w:sz="4" w:space="0" w:color="auto"/>
            </w:tcBorders>
            <w:vAlign w:val="center"/>
          </w:tcPr>
          <w:p w14:paraId="0545FB49" w14:textId="5185FF20" w:rsidR="007569E2" w:rsidRPr="00AE4CB4" w:rsidRDefault="007569E2" w:rsidP="007569E2">
            <w:pPr>
              <w:autoSpaceDE w:val="0"/>
              <w:autoSpaceDN w:val="0"/>
              <w:adjustRightInd w:val="0"/>
              <w:jc w:val="center"/>
              <w:rPr>
                <w:color w:val="000000"/>
              </w:rPr>
            </w:pPr>
            <w:r>
              <w:rPr>
                <w:color w:val="000000"/>
              </w:rPr>
              <w:t>0</w:t>
            </w:r>
          </w:p>
        </w:tc>
        <w:tc>
          <w:tcPr>
            <w:tcW w:w="653" w:type="pct"/>
            <w:tcBorders>
              <w:top w:val="single" w:sz="4" w:space="0" w:color="auto"/>
              <w:left w:val="single" w:sz="4" w:space="0" w:color="auto"/>
              <w:bottom w:val="single" w:sz="4" w:space="0" w:color="auto"/>
              <w:right w:val="single" w:sz="4" w:space="0" w:color="auto"/>
            </w:tcBorders>
            <w:vAlign w:val="center"/>
          </w:tcPr>
          <w:p w14:paraId="53D7B50D" w14:textId="4138E573" w:rsidR="007569E2" w:rsidRPr="00AE4CB4" w:rsidRDefault="007569E2" w:rsidP="007569E2">
            <w:pPr>
              <w:autoSpaceDE w:val="0"/>
              <w:autoSpaceDN w:val="0"/>
              <w:adjustRightInd w:val="0"/>
              <w:jc w:val="center"/>
              <w:rPr>
                <w:color w:val="000000"/>
              </w:rPr>
            </w:pPr>
            <w:r>
              <w:rPr>
                <w:color w:val="000000"/>
              </w:rPr>
              <w:t>0</w:t>
            </w:r>
          </w:p>
        </w:tc>
        <w:tc>
          <w:tcPr>
            <w:tcW w:w="651" w:type="pct"/>
            <w:tcBorders>
              <w:top w:val="single" w:sz="4" w:space="0" w:color="auto"/>
              <w:left w:val="single" w:sz="4" w:space="0" w:color="auto"/>
              <w:bottom w:val="single" w:sz="4" w:space="0" w:color="auto"/>
              <w:right w:val="single" w:sz="4" w:space="0" w:color="auto"/>
            </w:tcBorders>
            <w:vAlign w:val="center"/>
          </w:tcPr>
          <w:p w14:paraId="68C5DE62" w14:textId="4081EFC2" w:rsidR="007569E2" w:rsidRPr="00AE4CB4" w:rsidRDefault="007569E2" w:rsidP="007569E2">
            <w:pPr>
              <w:autoSpaceDE w:val="0"/>
              <w:autoSpaceDN w:val="0"/>
              <w:adjustRightInd w:val="0"/>
              <w:jc w:val="center"/>
              <w:rPr>
                <w:color w:val="000000"/>
              </w:rPr>
            </w:pPr>
            <w:r>
              <w:rPr>
                <w:color w:val="000000"/>
              </w:rPr>
              <w:t>0</w:t>
            </w:r>
          </w:p>
        </w:tc>
      </w:tr>
      <w:tr w:rsidR="00A14CDE" w:rsidRPr="00EF556F" w14:paraId="1EEB5FAB" w14:textId="77777777" w:rsidTr="00362D8D">
        <w:trPr>
          <w:trHeight w:val="1380"/>
        </w:trPr>
        <w:tc>
          <w:tcPr>
            <w:tcW w:w="797" w:type="pct"/>
            <w:tcBorders>
              <w:top w:val="single" w:sz="4" w:space="0" w:color="auto"/>
              <w:left w:val="single" w:sz="4" w:space="0" w:color="auto"/>
              <w:bottom w:val="single" w:sz="4" w:space="0" w:color="auto"/>
              <w:right w:val="single" w:sz="4" w:space="0" w:color="auto"/>
            </w:tcBorders>
            <w:hideMark/>
          </w:tcPr>
          <w:p w14:paraId="01261177" w14:textId="77777777" w:rsidR="007569E2" w:rsidRPr="00AE4CB4" w:rsidRDefault="007569E2" w:rsidP="00B24C31">
            <w:r w:rsidRPr="00AE4CB4">
              <w:t xml:space="preserve">4. Finanšu līdzekļi papildu izdevumu finansēšanai (kompensējošu izdevumu </w:t>
            </w:r>
            <w:r w:rsidRPr="00AE4CB4">
              <w:lastRenderedPageBreak/>
              <w:t>samazinājumu norāda ar "+" zīmi)</w:t>
            </w:r>
          </w:p>
        </w:tc>
        <w:tc>
          <w:tcPr>
            <w:tcW w:w="580" w:type="pct"/>
            <w:tcBorders>
              <w:top w:val="single" w:sz="4" w:space="0" w:color="auto"/>
              <w:left w:val="single" w:sz="4" w:space="0" w:color="auto"/>
              <w:bottom w:val="single" w:sz="4" w:space="0" w:color="auto"/>
              <w:right w:val="single" w:sz="4" w:space="0" w:color="auto"/>
            </w:tcBorders>
            <w:vAlign w:val="center"/>
            <w:hideMark/>
          </w:tcPr>
          <w:p w14:paraId="2C78A9B8" w14:textId="77777777" w:rsidR="007569E2" w:rsidRPr="00AE4CB4" w:rsidRDefault="007569E2" w:rsidP="007569E2">
            <w:pPr>
              <w:pStyle w:val="naisf"/>
              <w:spacing w:before="0" w:beforeAutospacing="0" w:after="0" w:afterAutospacing="0"/>
              <w:jc w:val="center"/>
              <w:rPr>
                <w:lang w:val="lv-LV"/>
              </w:rPr>
            </w:pPr>
            <w:r w:rsidRPr="00AE4CB4">
              <w:rPr>
                <w:lang w:val="lv-LV"/>
              </w:rPr>
              <w:lastRenderedPageBreak/>
              <w:t>0</w:t>
            </w:r>
          </w:p>
        </w:tc>
        <w:tc>
          <w:tcPr>
            <w:tcW w:w="653" w:type="pct"/>
            <w:tcBorders>
              <w:top w:val="single" w:sz="4" w:space="0" w:color="auto"/>
              <w:left w:val="single" w:sz="4" w:space="0" w:color="auto"/>
              <w:bottom w:val="single" w:sz="4" w:space="0" w:color="auto"/>
              <w:right w:val="single" w:sz="4" w:space="0" w:color="auto"/>
            </w:tcBorders>
            <w:vAlign w:val="center"/>
            <w:hideMark/>
          </w:tcPr>
          <w:p w14:paraId="2C13C71F" w14:textId="77777777" w:rsidR="007569E2" w:rsidRPr="00AE4CB4" w:rsidRDefault="007569E2" w:rsidP="007569E2">
            <w:pPr>
              <w:pStyle w:val="naisf"/>
              <w:spacing w:before="0" w:beforeAutospacing="0" w:after="0" w:afterAutospacing="0"/>
              <w:jc w:val="center"/>
              <w:rPr>
                <w:lang w:val="lv-LV"/>
              </w:rPr>
            </w:pPr>
            <w:r w:rsidRPr="00AE4CB4">
              <w:rPr>
                <w:lang w:val="lv-LV"/>
              </w:rPr>
              <w:t>0</w:t>
            </w:r>
          </w:p>
        </w:tc>
        <w:tc>
          <w:tcPr>
            <w:tcW w:w="508" w:type="pct"/>
            <w:tcBorders>
              <w:top w:val="single" w:sz="4" w:space="0" w:color="auto"/>
              <w:left w:val="single" w:sz="4" w:space="0" w:color="auto"/>
              <w:bottom w:val="single" w:sz="4" w:space="0" w:color="auto"/>
              <w:right w:val="single" w:sz="4" w:space="0" w:color="auto"/>
            </w:tcBorders>
            <w:vAlign w:val="center"/>
            <w:hideMark/>
          </w:tcPr>
          <w:p w14:paraId="0DCAB5FC" w14:textId="0A432F2C" w:rsidR="007569E2" w:rsidRPr="00AE4CB4" w:rsidRDefault="007569E2" w:rsidP="007569E2">
            <w:pPr>
              <w:pStyle w:val="naisf"/>
              <w:spacing w:before="0" w:beforeAutospacing="0" w:after="0" w:afterAutospacing="0"/>
              <w:jc w:val="center"/>
              <w:rPr>
                <w:lang w:val="lv-LV"/>
              </w:rPr>
            </w:pPr>
            <w:r>
              <w:rPr>
                <w:lang w:val="lv-LV"/>
              </w:rPr>
              <w:t>0</w:t>
            </w:r>
          </w:p>
        </w:tc>
        <w:tc>
          <w:tcPr>
            <w:tcW w:w="652" w:type="pct"/>
            <w:tcBorders>
              <w:top w:val="single" w:sz="4" w:space="0" w:color="auto"/>
              <w:left w:val="single" w:sz="4" w:space="0" w:color="auto"/>
              <w:bottom w:val="single" w:sz="4" w:space="0" w:color="auto"/>
              <w:right w:val="single" w:sz="4" w:space="0" w:color="auto"/>
            </w:tcBorders>
            <w:vAlign w:val="center"/>
          </w:tcPr>
          <w:p w14:paraId="6D53A035" w14:textId="011D691F" w:rsidR="007569E2" w:rsidRPr="00AE4CB4" w:rsidRDefault="007569E2" w:rsidP="007569E2">
            <w:pPr>
              <w:pStyle w:val="naisf"/>
              <w:spacing w:before="0" w:after="0"/>
              <w:jc w:val="center"/>
              <w:rPr>
                <w:lang w:val="lv-LV"/>
              </w:rPr>
            </w:pPr>
            <w:r w:rsidRPr="00AE4CB4">
              <w:rPr>
                <w:lang w:val="lv-LV"/>
              </w:rPr>
              <w:t>0</w:t>
            </w:r>
          </w:p>
        </w:tc>
        <w:tc>
          <w:tcPr>
            <w:tcW w:w="508" w:type="pct"/>
            <w:tcBorders>
              <w:top w:val="single" w:sz="4" w:space="0" w:color="auto"/>
              <w:left w:val="single" w:sz="4" w:space="0" w:color="auto"/>
              <w:bottom w:val="single" w:sz="4" w:space="0" w:color="auto"/>
              <w:right w:val="single" w:sz="4" w:space="0" w:color="auto"/>
            </w:tcBorders>
            <w:vAlign w:val="center"/>
            <w:hideMark/>
          </w:tcPr>
          <w:p w14:paraId="34B44BD8" w14:textId="1C995188" w:rsidR="007569E2" w:rsidRPr="00AE4CB4" w:rsidRDefault="007569E2" w:rsidP="007569E2">
            <w:pPr>
              <w:pStyle w:val="naisf"/>
              <w:spacing w:before="0" w:beforeAutospacing="0" w:after="0" w:afterAutospacing="0"/>
              <w:jc w:val="center"/>
              <w:rPr>
                <w:lang w:val="lv-LV"/>
              </w:rPr>
            </w:pPr>
            <w:r>
              <w:rPr>
                <w:lang w:val="lv-LV"/>
              </w:rPr>
              <w:t>0</w:t>
            </w:r>
          </w:p>
        </w:tc>
        <w:tc>
          <w:tcPr>
            <w:tcW w:w="653" w:type="pct"/>
            <w:tcBorders>
              <w:top w:val="single" w:sz="4" w:space="0" w:color="auto"/>
              <w:left w:val="single" w:sz="4" w:space="0" w:color="auto"/>
              <w:bottom w:val="single" w:sz="4" w:space="0" w:color="auto"/>
              <w:right w:val="single" w:sz="4" w:space="0" w:color="auto"/>
            </w:tcBorders>
            <w:vAlign w:val="center"/>
          </w:tcPr>
          <w:p w14:paraId="15F8DB97" w14:textId="15B35775" w:rsidR="007569E2" w:rsidRPr="00AE4CB4" w:rsidRDefault="007569E2" w:rsidP="007569E2">
            <w:pPr>
              <w:pStyle w:val="naisf"/>
              <w:spacing w:before="0" w:after="0"/>
              <w:jc w:val="center"/>
              <w:rPr>
                <w:lang w:val="lv-LV"/>
              </w:rPr>
            </w:pPr>
            <w:r w:rsidRPr="00AE4CB4">
              <w:rPr>
                <w:lang w:val="lv-LV"/>
              </w:rPr>
              <w:t>0</w:t>
            </w:r>
          </w:p>
        </w:tc>
        <w:tc>
          <w:tcPr>
            <w:tcW w:w="651" w:type="pct"/>
            <w:tcBorders>
              <w:top w:val="single" w:sz="4" w:space="0" w:color="auto"/>
              <w:left w:val="single" w:sz="4" w:space="0" w:color="auto"/>
              <w:bottom w:val="single" w:sz="4" w:space="0" w:color="auto"/>
              <w:right w:val="single" w:sz="4" w:space="0" w:color="auto"/>
            </w:tcBorders>
            <w:vAlign w:val="center"/>
            <w:hideMark/>
          </w:tcPr>
          <w:p w14:paraId="03CE5DA6" w14:textId="48F5BA4C" w:rsidR="007569E2" w:rsidRPr="00AE4CB4" w:rsidRDefault="007569E2" w:rsidP="007569E2">
            <w:pPr>
              <w:pStyle w:val="naisf"/>
              <w:spacing w:before="0" w:beforeAutospacing="0" w:after="0" w:afterAutospacing="0"/>
              <w:jc w:val="center"/>
              <w:rPr>
                <w:lang w:val="lv-LV"/>
              </w:rPr>
            </w:pPr>
            <w:r w:rsidRPr="00AE4CB4">
              <w:rPr>
                <w:lang w:val="lv-LV"/>
              </w:rPr>
              <w:t>0</w:t>
            </w:r>
          </w:p>
        </w:tc>
      </w:tr>
      <w:tr w:rsidR="00A14CDE" w:rsidRPr="00EF556F" w14:paraId="776B97AA"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46C1E159" w14:textId="77777777" w:rsidR="007569E2" w:rsidRPr="00AE4CB4" w:rsidRDefault="007569E2" w:rsidP="00B24C31">
            <w:r w:rsidRPr="00AE4CB4">
              <w:t>5. Precizēta finansiālā ietekme:</w:t>
            </w:r>
          </w:p>
        </w:tc>
        <w:tc>
          <w:tcPr>
            <w:tcW w:w="580" w:type="pct"/>
            <w:vMerge w:val="restart"/>
            <w:tcBorders>
              <w:top w:val="single" w:sz="4" w:space="0" w:color="auto"/>
              <w:left w:val="single" w:sz="4" w:space="0" w:color="auto"/>
              <w:right w:val="single" w:sz="4" w:space="0" w:color="auto"/>
            </w:tcBorders>
            <w:vAlign w:val="center"/>
            <w:hideMark/>
          </w:tcPr>
          <w:p w14:paraId="16EEFAB3" w14:textId="303D3478" w:rsidR="007569E2" w:rsidRPr="00AE4CB4" w:rsidRDefault="007569E2" w:rsidP="007569E2">
            <w:pPr>
              <w:pStyle w:val="naisf"/>
              <w:spacing w:before="0" w:after="0"/>
              <w:jc w:val="center"/>
              <w:rPr>
                <w:lang w:val="lv-LV"/>
              </w:rPr>
            </w:pPr>
            <w:r>
              <w:rPr>
                <w:lang w:val="lv-LV"/>
              </w:rPr>
              <w:t>X</w:t>
            </w:r>
          </w:p>
        </w:tc>
        <w:tc>
          <w:tcPr>
            <w:tcW w:w="653" w:type="pct"/>
            <w:tcBorders>
              <w:top w:val="single" w:sz="4" w:space="0" w:color="auto"/>
              <w:left w:val="single" w:sz="4" w:space="0" w:color="auto"/>
              <w:bottom w:val="single" w:sz="4" w:space="0" w:color="auto"/>
              <w:right w:val="single" w:sz="4" w:space="0" w:color="auto"/>
            </w:tcBorders>
            <w:vAlign w:val="center"/>
            <w:hideMark/>
          </w:tcPr>
          <w:p w14:paraId="69145B46" w14:textId="77777777" w:rsidR="007569E2" w:rsidRPr="00AE4CB4" w:rsidRDefault="007569E2" w:rsidP="007569E2">
            <w:pPr>
              <w:pStyle w:val="naisf"/>
              <w:spacing w:before="0" w:beforeAutospacing="0" w:after="0" w:afterAutospacing="0"/>
              <w:jc w:val="center"/>
              <w:rPr>
                <w:lang w:val="lv-LV"/>
              </w:rPr>
            </w:pPr>
            <w:r w:rsidRPr="00AE4CB4">
              <w:rPr>
                <w:lang w:val="lv-LV"/>
              </w:rPr>
              <w:t>0</w:t>
            </w:r>
          </w:p>
        </w:tc>
        <w:tc>
          <w:tcPr>
            <w:tcW w:w="508" w:type="pct"/>
            <w:vMerge w:val="restart"/>
            <w:tcBorders>
              <w:top w:val="single" w:sz="4" w:space="0" w:color="auto"/>
              <w:left w:val="single" w:sz="4" w:space="0" w:color="auto"/>
              <w:right w:val="single" w:sz="4" w:space="0" w:color="auto"/>
            </w:tcBorders>
            <w:vAlign w:val="center"/>
            <w:hideMark/>
          </w:tcPr>
          <w:p w14:paraId="4CFE79C0" w14:textId="30B940E6" w:rsidR="007569E2" w:rsidRPr="00AE4CB4" w:rsidRDefault="007569E2" w:rsidP="007569E2">
            <w:pPr>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458A0BAC" w14:textId="6EE407FB" w:rsidR="007569E2" w:rsidRPr="00AE4CB4" w:rsidRDefault="007569E2" w:rsidP="007569E2">
            <w:pPr>
              <w:jc w:val="center"/>
            </w:pPr>
            <w:r w:rsidRPr="00AE4CB4">
              <w:t>0</w:t>
            </w:r>
          </w:p>
        </w:tc>
        <w:tc>
          <w:tcPr>
            <w:tcW w:w="508" w:type="pct"/>
            <w:vMerge w:val="restart"/>
            <w:tcBorders>
              <w:top w:val="single" w:sz="4" w:space="0" w:color="auto"/>
              <w:left w:val="single" w:sz="4" w:space="0" w:color="auto"/>
              <w:right w:val="single" w:sz="4" w:space="0" w:color="auto"/>
            </w:tcBorders>
            <w:vAlign w:val="center"/>
            <w:hideMark/>
          </w:tcPr>
          <w:p w14:paraId="5991951D" w14:textId="7FA81F47" w:rsidR="007569E2" w:rsidRPr="00AE4CB4" w:rsidRDefault="007569E2" w:rsidP="007569E2">
            <w:pPr>
              <w:jc w:val="center"/>
            </w:pPr>
            <w:r>
              <w:t>X</w:t>
            </w:r>
          </w:p>
        </w:tc>
        <w:tc>
          <w:tcPr>
            <w:tcW w:w="653" w:type="pct"/>
            <w:tcBorders>
              <w:top w:val="single" w:sz="4" w:space="0" w:color="auto"/>
              <w:left w:val="single" w:sz="4" w:space="0" w:color="auto"/>
              <w:bottom w:val="single" w:sz="4" w:space="0" w:color="auto"/>
              <w:right w:val="single" w:sz="4" w:space="0" w:color="auto"/>
            </w:tcBorders>
            <w:vAlign w:val="center"/>
          </w:tcPr>
          <w:p w14:paraId="3FAD2D34" w14:textId="6CD8D01F" w:rsidR="007569E2" w:rsidRPr="00AE4CB4" w:rsidRDefault="007569E2" w:rsidP="007569E2">
            <w:pPr>
              <w:jc w:val="center"/>
            </w:pPr>
            <w:r w:rsidRPr="00AE4CB4">
              <w:t>0</w:t>
            </w:r>
          </w:p>
        </w:tc>
        <w:tc>
          <w:tcPr>
            <w:tcW w:w="651" w:type="pct"/>
            <w:tcBorders>
              <w:top w:val="single" w:sz="4" w:space="0" w:color="auto"/>
              <w:left w:val="single" w:sz="4" w:space="0" w:color="auto"/>
              <w:bottom w:val="single" w:sz="4" w:space="0" w:color="auto"/>
              <w:right w:val="single" w:sz="4" w:space="0" w:color="auto"/>
            </w:tcBorders>
            <w:vAlign w:val="center"/>
            <w:hideMark/>
          </w:tcPr>
          <w:p w14:paraId="4112559F" w14:textId="5E56B6BC" w:rsidR="007569E2" w:rsidRPr="00AE4CB4" w:rsidRDefault="007569E2" w:rsidP="007569E2">
            <w:pPr>
              <w:jc w:val="center"/>
            </w:pPr>
            <w:r w:rsidRPr="00AE4CB4">
              <w:t>0</w:t>
            </w:r>
          </w:p>
        </w:tc>
      </w:tr>
      <w:tr w:rsidR="00A14CDE" w:rsidRPr="00EF556F" w14:paraId="11565D16" w14:textId="77777777" w:rsidTr="00362D8D">
        <w:tc>
          <w:tcPr>
            <w:tcW w:w="797" w:type="pct"/>
            <w:tcBorders>
              <w:top w:val="single" w:sz="4" w:space="0" w:color="auto"/>
              <w:left w:val="single" w:sz="4" w:space="0" w:color="auto"/>
              <w:bottom w:val="single" w:sz="4" w:space="0" w:color="auto"/>
              <w:right w:val="single" w:sz="4" w:space="0" w:color="auto"/>
            </w:tcBorders>
          </w:tcPr>
          <w:p w14:paraId="640F5583" w14:textId="6D91D78F" w:rsidR="007569E2" w:rsidRPr="00AE4CB4" w:rsidRDefault="007569E2" w:rsidP="00B24C31">
            <w:r w:rsidRPr="00AE4CB4">
              <w:rPr>
                <w:iCs/>
                <w:lang w:eastAsia="lv-LV"/>
              </w:rPr>
              <w:t xml:space="preserve">5.1. valsts pamatbudžets, </w:t>
            </w:r>
            <w:r w:rsidR="00A14CDE">
              <w:rPr>
                <w:iCs/>
                <w:lang w:eastAsia="lv-LV"/>
              </w:rPr>
              <w:t>t.sk.</w:t>
            </w:r>
            <w:r w:rsidRPr="00AE4CB4">
              <w:rPr>
                <w:iCs/>
                <w:lang w:eastAsia="lv-LV"/>
              </w:rPr>
              <w:t xml:space="preserve"> ieņēmumi no maksas pakalpojumiem un citi pašu ieņēmumi</w:t>
            </w:r>
          </w:p>
        </w:tc>
        <w:tc>
          <w:tcPr>
            <w:tcW w:w="580" w:type="pct"/>
            <w:vMerge/>
            <w:tcBorders>
              <w:left w:val="single" w:sz="4" w:space="0" w:color="auto"/>
              <w:right w:val="single" w:sz="4" w:space="0" w:color="auto"/>
            </w:tcBorders>
            <w:vAlign w:val="center"/>
          </w:tcPr>
          <w:p w14:paraId="3B50650C" w14:textId="1A30C528" w:rsidR="007569E2" w:rsidRPr="00AE4CB4" w:rsidRDefault="007569E2" w:rsidP="007569E2">
            <w:pPr>
              <w:pStyle w:val="naisf"/>
              <w:spacing w:before="0" w:after="0"/>
              <w:jc w:val="center"/>
              <w:rPr>
                <w:lang w:val="lv-LV"/>
              </w:rPr>
            </w:pPr>
          </w:p>
        </w:tc>
        <w:tc>
          <w:tcPr>
            <w:tcW w:w="653" w:type="pct"/>
            <w:tcBorders>
              <w:top w:val="single" w:sz="4" w:space="0" w:color="auto"/>
              <w:left w:val="single" w:sz="4" w:space="0" w:color="auto"/>
              <w:bottom w:val="single" w:sz="4" w:space="0" w:color="auto"/>
              <w:right w:val="single" w:sz="4" w:space="0" w:color="auto"/>
            </w:tcBorders>
            <w:vAlign w:val="center"/>
          </w:tcPr>
          <w:p w14:paraId="16414AC3" w14:textId="0A23104D" w:rsidR="007569E2" w:rsidRPr="00AE4CB4" w:rsidRDefault="007569E2" w:rsidP="007569E2">
            <w:pPr>
              <w:pStyle w:val="naisf"/>
              <w:spacing w:before="0" w:beforeAutospacing="0" w:after="0" w:afterAutospacing="0"/>
              <w:jc w:val="center"/>
              <w:rPr>
                <w:lang w:val="lv-LV"/>
              </w:rPr>
            </w:pPr>
            <w:r>
              <w:rPr>
                <w:lang w:val="lv-LV"/>
              </w:rPr>
              <w:t>0</w:t>
            </w:r>
          </w:p>
        </w:tc>
        <w:tc>
          <w:tcPr>
            <w:tcW w:w="508" w:type="pct"/>
            <w:vMerge/>
            <w:tcBorders>
              <w:left w:val="single" w:sz="4" w:space="0" w:color="auto"/>
              <w:right w:val="single" w:sz="4" w:space="0" w:color="auto"/>
            </w:tcBorders>
            <w:vAlign w:val="center"/>
          </w:tcPr>
          <w:p w14:paraId="61DDE6AA" w14:textId="2F12DCB8" w:rsidR="007569E2" w:rsidRPr="00AE4CB4" w:rsidRDefault="007569E2" w:rsidP="007569E2">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E838638" w14:textId="538D6919" w:rsidR="007569E2" w:rsidRPr="00AE4CB4" w:rsidRDefault="007569E2" w:rsidP="007569E2">
            <w:pPr>
              <w:jc w:val="center"/>
            </w:pPr>
            <w:r>
              <w:t>0</w:t>
            </w:r>
          </w:p>
        </w:tc>
        <w:tc>
          <w:tcPr>
            <w:tcW w:w="508" w:type="pct"/>
            <w:vMerge/>
            <w:tcBorders>
              <w:left w:val="single" w:sz="4" w:space="0" w:color="auto"/>
              <w:right w:val="single" w:sz="4" w:space="0" w:color="auto"/>
            </w:tcBorders>
            <w:vAlign w:val="center"/>
          </w:tcPr>
          <w:p w14:paraId="18E70112" w14:textId="5CC6983E" w:rsidR="007569E2" w:rsidRPr="00AE4CB4" w:rsidRDefault="007569E2" w:rsidP="007569E2">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6981D236" w14:textId="6E3ABDD9" w:rsidR="007569E2" w:rsidRPr="00AE4CB4" w:rsidRDefault="007569E2" w:rsidP="007569E2">
            <w:pPr>
              <w:jc w:val="center"/>
            </w:pPr>
            <w:r>
              <w:t>0</w:t>
            </w:r>
          </w:p>
        </w:tc>
        <w:tc>
          <w:tcPr>
            <w:tcW w:w="651" w:type="pct"/>
            <w:tcBorders>
              <w:top w:val="single" w:sz="4" w:space="0" w:color="auto"/>
              <w:left w:val="single" w:sz="4" w:space="0" w:color="auto"/>
              <w:bottom w:val="single" w:sz="4" w:space="0" w:color="auto"/>
              <w:right w:val="single" w:sz="4" w:space="0" w:color="auto"/>
            </w:tcBorders>
            <w:vAlign w:val="center"/>
          </w:tcPr>
          <w:p w14:paraId="7120C5EF" w14:textId="25989466" w:rsidR="007569E2" w:rsidRPr="00AE4CB4" w:rsidRDefault="007569E2" w:rsidP="007569E2">
            <w:pPr>
              <w:jc w:val="center"/>
            </w:pPr>
            <w:r>
              <w:t>0</w:t>
            </w:r>
          </w:p>
        </w:tc>
      </w:tr>
      <w:tr w:rsidR="00A14CDE" w:rsidRPr="00EF556F" w14:paraId="64C03A63" w14:textId="77777777" w:rsidTr="00362D8D">
        <w:tc>
          <w:tcPr>
            <w:tcW w:w="797" w:type="pct"/>
            <w:tcBorders>
              <w:top w:val="single" w:sz="4" w:space="0" w:color="auto"/>
              <w:left w:val="single" w:sz="4" w:space="0" w:color="auto"/>
              <w:bottom w:val="single" w:sz="4" w:space="0" w:color="auto"/>
              <w:right w:val="single" w:sz="4" w:space="0" w:color="auto"/>
            </w:tcBorders>
          </w:tcPr>
          <w:p w14:paraId="2F0376EE" w14:textId="04CBF6C3" w:rsidR="007569E2" w:rsidRPr="00EF556F" w:rsidRDefault="007569E2" w:rsidP="00B24C31">
            <w:pPr>
              <w:rPr>
                <w:highlight w:val="yellow"/>
              </w:rPr>
            </w:pPr>
            <w:r>
              <w:rPr>
                <w:iCs/>
                <w:lang w:eastAsia="lv-LV"/>
              </w:rPr>
              <w:t>5</w:t>
            </w:r>
            <w:r w:rsidRPr="00B22C79">
              <w:rPr>
                <w:iCs/>
                <w:lang w:eastAsia="lv-LV"/>
              </w:rPr>
              <w:t>.2. valsts speciālais budžets</w:t>
            </w:r>
          </w:p>
        </w:tc>
        <w:tc>
          <w:tcPr>
            <w:tcW w:w="580" w:type="pct"/>
            <w:vMerge/>
            <w:tcBorders>
              <w:left w:val="single" w:sz="4" w:space="0" w:color="auto"/>
              <w:right w:val="single" w:sz="4" w:space="0" w:color="auto"/>
            </w:tcBorders>
            <w:vAlign w:val="center"/>
          </w:tcPr>
          <w:p w14:paraId="32F64B00" w14:textId="1F604EF2" w:rsidR="007569E2" w:rsidRPr="00AE4CB4" w:rsidRDefault="007569E2" w:rsidP="007569E2">
            <w:pPr>
              <w:pStyle w:val="naisf"/>
              <w:spacing w:before="0" w:after="0"/>
              <w:jc w:val="center"/>
              <w:rPr>
                <w:lang w:val="lv-LV"/>
              </w:rPr>
            </w:pPr>
          </w:p>
        </w:tc>
        <w:tc>
          <w:tcPr>
            <w:tcW w:w="653" w:type="pct"/>
            <w:tcBorders>
              <w:top w:val="single" w:sz="4" w:space="0" w:color="auto"/>
              <w:left w:val="single" w:sz="4" w:space="0" w:color="auto"/>
              <w:bottom w:val="single" w:sz="4" w:space="0" w:color="auto"/>
              <w:right w:val="single" w:sz="4" w:space="0" w:color="auto"/>
            </w:tcBorders>
            <w:vAlign w:val="center"/>
          </w:tcPr>
          <w:p w14:paraId="2DA7FDDE" w14:textId="0E7A625F" w:rsidR="007569E2" w:rsidRPr="00AE4CB4" w:rsidRDefault="007569E2" w:rsidP="007569E2">
            <w:pPr>
              <w:pStyle w:val="naisf"/>
              <w:spacing w:before="0" w:beforeAutospacing="0" w:after="0" w:afterAutospacing="0"/>
              <w:jc w:val="center"/>
              <w:rPr>
                <w:lang w:val="lv-LV"/>
              </w:rPr>
            </w:pPr>
            <w:r w:rsidRPr="00AE4CB4">
              <w:rPr>
                <w:lang w:val="lv-LV"/>
              </w:rPr>
              <w:t>0</w:t>
            </w:r>
          </w:p>
        </w:tc>
        <w:tc>
          <w:tcPr>
            <w:tcW w:w="508" w:type="pct"/>
            <w:vMerge/>
            <w:tcBorders>
              <w:left w:val="single" w:sz="4" w:space="0" w:color="auto"/>
              <w:right w:val="single" w:sz="4" w:space="0" w:color="auto"/>
            </w:tcBorders>
            <w:vAlign w:val="center"/>
          </w:tcPr>
          <w:p w14:paraId="20C2F056" w14:textId="08F2D53E" w:rsidR="007569E2" w:rsidRPr="00AE4CB4" w:rsidRDefault="007569E2" w:rsidP="007569E2">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22237CD" w14:textId="05373F9B" w:rsidR="007569E2" w:rsidRPr="00AE4CB4" w:rsidRDefault="007569E2" w:rsidP="007569E2">
            <w:pPr>
              <w:jc w:val="center"/>
            </w:pPr>
            <w:r w:rsidRPr="00AE4CB4">
              <w:t>0</w:t>
            </w:r>
          </w:p>
        </w:tc>
        <w:tc>
          <w:tcPr>
            <w:tcW w:w="508" w:type="pct"/>
            <w:vMerge/>
            <w:tcBorders>
              <w:left w:val="single" w:sz="4" w:space="0" w:color="auto"/>
              <w:right w:val="single" w:sz="4" w:space="0" w:color="auto"/>
            </w:tcBorders>
            <w:vAlign w:val="center"/>
          </w:tcPr>
          <w:p w14:paraId="718AE00A" w14:textId="7469AA1F" w:rsidR="007569E2" w:rsidRPr="00AE4CB4" w:rsidRDefault="007569E2" w:rsidP="007569E2">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7BFEB844" w14:textId="15393688" w:rsidR="007569E2" w:rsidRPr="00AE4CB4" w:rsidRDefault="007569E2" w:rsidP="007569E2">
            <w:pPr>
              <w:jc w:val="center"/>
            </w:pPr>
            <w:r w:rsidRPr="00AE4CB4">
              <w:t>0</w:t>
            </w:r>
          </w:p>
        </w:tc>
        <w:tc>
          <w:tcPr>
            <w:tcW w:w="651" w:type="pct"/>
            <w:tcBorders>
              <w:top w:val="single" w:sz="4" w:space="0" w:color="auto"/>
              <w:left w:val="single" w:sz="4" w:space="0" w:color="auto"/>
              <w:bottom w:val="single" w:sz="4" w:space="0" w:color="auto"/>
              <w:right w:val="single" w:sz="4" w:space="0" w:color="auto"/>
            </w:tcBorders>
            <w:vAlign w:val="center"/>
          </w:tcPr>
          <w:p w14:paraId="77C1E6CD" w14:textId="2D89012C" w:rsidR="007569E2" w:rsidRPr="00AE4CB4" w:rsidRDefault="007569E2" w:rsidP="007569E2">
            <w:pPr>
              <w:jc w:val="center"/>
            </w:pPr>
            <w:r w:rsidRPr="00AE4CB4">
              <w:t>0</w:t>
            </w:r>
          </w:p>
        </w:tc>
      </w:tr>
      <w:tr w:rsidR="00A14CDE" w:rsidRPr="00EF556F" w14:paraId="60C93E3B" w14:textId="77777777" w:rsidTr="00362D8D">
        <w:tc>
          <w:tcPr>
            <w:tcW w:w="797" w:type="pct"/>
            <w:tcBorders>
              <w:top w:val="single" w:sz="4" w:space="0" w:color="auto"/>
              <w:left w:val="single" w:sz="4" w:space="0" w:color="auto"/>
              <w:bottom w:val="single" w:sz="4" w:space="0" w:color="auto"/>
              <w:right w:val="single" w:sz="4" w:space="0" w:color="auto"/>
            </w:tcBorders>
          </w:tcPr>
          <w:p w14:paraId="30CC2246" w14:textId="15D8AEB2" w:rsidR="007569E2" w:rsidRPr="00EF556F" w:rsidRDefault="007569E2" w:rsidP="00B24C31">
            <w:pPr>
              <w:rPr>
                <w:highlight w:val="yellow"/>
              </w:rPr>
            </w:pPr>
            <w:r>
              <w:rPr>
                <w:iCs/>
                <w:lang w:eastAsia="lv-LV"/>
              </w:rPr>
              <w:t>5</w:t>
            </w:r>
            <w:r w:rsidRPr="00B22C79">
              <w:rPr>
                <w:iCs/>
                <w:lang w:eastAsia="lv-LV"/>
              </w:rPr>
              <w:t>.3. pašvaldību budžets</w:t>
            </w:r>
          </w:p>
        </w:tc>
        <w:tc>
          <w:tcPr>
            <w:tcW w:w="580" w:type="pct"/>
            <w:vMerge/>
            <w:tcBorders>
              <w:left w:val="single" w:sz="4" w:space="0" w:color="auto"/>
              <w:bottom w:val="single" w:sz="4" w:space="0" w:color="auto"/>
              <w:right w:val="single" w:sz="4" w:space="0" w:color="auto"/>
            </w:tcBorders>
            <w:vAlign w:val="center"/>
          </w:tcPr>
          <w:p w14:paraId="224BA761" w14:textId="50D78510" w:rsidR="007569E2" w:rsidRPr="00AE4CB4" w:rsidRDefault="007569E2" w:rsidP="007569E2">
            <w:pPr>
              <w:pStyle w:val="naisf"/>
              <w:spacing w:before="0" w:beforeAutospacing="0" w:after="0" w:afterAutospacing="0"/>
              <w:jc w:val="center"/>
              <w:rPr>
                <w:lang w:val="lv-LV"/>
              </w:rPr>
            </w:pPr>
          </w:p>
        </w:tc>
        <w:tc>
          <w:tcPr>
            <w:tcW w:w="653" w:type="pct"/>
            <w:tcBorders>
              <w:top w:val="single" w:sz="4" w:space="0" w:color="auto"/>
              <w:left w:val="single" w:sz="4" w:space="0" w:color="auto"/>
              <w:bottom w:val="single" w:sz="4" w:space="0" w:color="auto"/>
              <w:right w:val="single" w:sz="4" w:space="0" w:color="auto"/>
            </w:tcBorders>
            <w:vAlign w:val="center"/>
          </w:tcPr>
          <w:p w14:paraId="4B6106CF" w14:textId="295287AD" w:rsidR="007569E2" w:rsidRPr="00AE4CB4" w:rsidRDefault="007569E2" w:rsidP="007569E2">
            <w:pPr>
              <w:pStyle w:val="naisf"/>
              <w:spacing w:before="0" w:beforeAutospacing="0" w:after="0" w:afterAutospacing="0"/>
              <w:jc w:val="center"/>
              <w:rPr>
                <w:lang w:val="lv-LV"/>
              </w:rPr>
            </w:pPr>
            <w:r w:rsidRPr="00AE4CB4">
              <w:rPr>
                <w:lang w:val="lv-LV"/>
              </w:rPr>
              <w:t>0</w:t>
            </w:r>
          </w:p>
        </w:tc>
        <w:tc>
          <w:tcPr>
            <w:tcW w:w="508" w:type="pct"/>
            <w:vMerge/>
            <w:tcBorders>
              <w:left w:val="single" w:sz="4" w:space="0" w:color="auto"/>
              <w:bottom w:val="single" w:sz="4" w:space="0" w:color="auto"/>
              <w:right w:val="single" w:sz="4" w:space="0" w:color="auto"/>
            </w:tcBorders>
            <w:vAlign w:val="center"/>
          </w:tcPr>
          <w:p w14:paraId="644F137B" w14:textId="166B7C8C" w:rsidR="007569E2" w:rsidRPr="00AE4CB4" w:rsidRDefault="007569E2" w:rsidP="007569E2">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608C75C" w14:textId="5B20F6DA" w:rsidR="007569E2" w:rsidRPr="00AE4CB4" w:rsidRDefault="007569E2" w:rsidP="007569E2">
            <w:pPr>
              <w:jc w:val="center"/>
            </w:pPr>
            <w:r w:rsidRPr="00AE4CB4">
              <w:t>0</w:t>
            </w:r>
          </w:p>
        </w:tc>
        <w:tc>
          <w:tcPr>
            <w:tcW w:w="508" w:type="pct"/>
            <w:vMerge/>
            <w:tcBorders>
              <w:left w:val="single" w:sz="4" w:space="0" w:color="auto"/>
              <w:bottom w:val="single" w:sz="4" w:space="0" w:color="auto"/>
              <w:right w:val="single" w:sz="4" w:space="0" w:color="auto"/>
            </w:tcBorders>
            <w:vAlign w:val="center"/>
          </w:tcPr>
          <w:p w14:paraId="48AB3F2F" w14:textId="30212A4E" w:rsidR="007569E2" w:rsidRPr="00AE4CB4" w:rsidRDefault="007569E2" w:rsidP="007569E2">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14:paraId="04CD5455" w14:textId="401F50A8" w:rsidR="007569E2" w:rsidRPr="00AE4CB4" w:rsidRDefault="007569E2" w:rsidP="007569E2">
            <w:pPr>
              <w:jc w:val="center"/>
            </w:pPr>
            <w:r w:rsidRPr="00AE4CB4">
              <w:t>0</w:t>
            </w:r>
          </w:p>
        </w:tc>
        <w:tc>
          <w:tcPr>
            <w:tcW w:w="651" w:type="pct"/>
            <w:tcBorders>
              <w:top w:val="single" w:sz="4" w:space="0" w:color="auto"/>
              <w:left w:val="single" w:sz="4" w:space="0" w:color="auto"/>
              <w:bottom w:val="single" w:sz="4" w:space="0" w:color="auto"/>
              <w:right w:val="single" w:sz="4" w:space="0" w:color="auto"/>
            </w:tcBorders>
            <w:vAlign w:val="center"/>
          </w:tcPr>
          <w:p w14:paraId="6CA3BE52" w14:textId="1D5C9BAF" w:rsidR="007569E2" w:rsidRPr="00AE4CB4" w:rsidRDefault="007569E2" w:rsidP="007569E2">
            <w:pPr>
              <w:jc w:val="center"/>
            </w:pPr>
            <w:r w:rsidRPr="00AE4CB4">
              <w:t>0</w:t>
            </w:r>
          </w:p>
        </w:tc>
      </w:tr>
      <w:tr w:rsidR="00A14CDE" w:rsidRPr="00EF556F" w14:paraId="32E679A7"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75A64BF7" w14:textId="281C151A" w:rsidR="00B24C31" w:rsidRPr="003F466F" w:rsidRDefault="00B24C31" w:rsidP="00B24C31">
            <w:r w:rsidRPr="003F466F">
              <w:t>6. Detalizēts ieņēmumu un izdevumu aprēķins (ja nepie</w:t>
            </w:r>
            <w:r w:rsidRPr="003F466F">
              <w:softHyphen/>
              <w:t>ciešams, detalizētu ieņēmumu un izdevumu aprēķinu var pie</w:t>
            </w:r>
            <w:r w:rsidRPr="003F466F">
              <w:softHyphen/>
              <w:t>vienot anotācijas pielikumā)</w:t>
            </w:r>
          </w:p>
        </w:tc>
        <w:tc>
          <w:tcPr>
            <w:tcW w:w="4203" w:type="pct"/>
            <w:gridSpan w:val="7"/>
            <w:vMerge w:val="restart"/>
            <w:tcBorders>
              <w:top w:val="single" w:sz="4" w:space="0" w:color="auto"/>
              <w:left w:val="single" w:sz="4" w:space="0" w:color="auto"/>
              <w:bottom w:val="single" w:sz="4" w:space="0" w:color="auto"/>
              <w:right w:val="single" w:sz="4" w:space="0" w:color="auto"/>
            </w:tcBorders>
            <w:vAlign w:val="center"/>
          </w:tcPr>
          <w:p w14:paraId="18161915" w14:textId="74209A22" w:rsidR="00A14019" w:rsidRPr="00042E73" w:rsidRDefault="00A14019" w:rsidP="00A14019">
            <w:pPr>
              <w:spacing w:before="40" w:after="40"/>
              <w:ind w:right="57"/>
              <w:jc w:val="both"/>
              <w:rPr>
                <w:lang w:eastAsia="lv-LV" w:bidi="lo-LA"/>
              </w:rPr>
            </w:pPr>
            <w:r w:rsidRPr="00A14019">
              <w:rPr>
                <w:lang w:eastAsia="lv-LV" w:bidi="lo-LA"/>
              </w:rPr>
              <w:t>Specifiskā atbalsta kopējais finansējums (</w:t>
            </w:r>
            <w:r w:rsidRPr="00A14019">
              <w:rPr>
                <w:i/>
                <w:lang w:eastAsia="lv-LV" w:bidi="lo-LA"/>
              </w:rPr>
              <w:t>kopējās attiecināmās izmaksas</w:t>
            </w:r>
            <w:r w:rsidRPr="00A14019">
              <w:rPr>
                <w:lang w:eastAsia="lv-LV" w:bidi="lo-LA"/>
              </w:rPr>
              <w:t xml:space="preserve">) 3 000 000 </w:t>
            </w:r>
            <w:proofErr w:type="spellStart"/>
            <w:r w:rsidRPr="00A14019">
              <w:rPr>
                <w:i/>
                <w:lang w:eastAsia="lv-LV" w:bidi="lo-LA"/>
              </w:rPr>
              <w:t>euro</w:t>
            </w:r>
            <w:proofErr w:type="spellEnd"/>
            <w:r w:rsidRPr="00A14019">
              <w:rPr>
                <w:lang w:eastAsia="lv-LV" w:bidi="lo-LA"/>
              </w:rPr>
              <w:t xml:space="preserve">, tai skaitā ESF finansējums – 2 550 000 </w:t>
            </w:r>
            <w:proofErr w:type="spellStart"/>
            <w:r w:rsidRPr="00A14019">
              <w:rPr>
                <w:i/>
                <w:lang w:eastAsia="lv-LV" w:bidi="lo-LA"/>
              </w:rPr>
              <w:t>euro</w:t>
            </w:r>
            <w:proofErr w:type="spellEnd"/>
            <w:r w:rsidRPr="00A14019">
              <w:rPr>
                <w:lang w:eastAsia="lv-LV" w:bidi="lo-LA"/>
              </w:rPr>
              <w:t xml:space="preserve"> apmērā un valsts budžeta finansējums 450 000 </w:t>
            </w:r>
            <w:proofErr w:type="spellStart"/>
            <w:r w:rsidRPr="00A14019">
              <w:rPr>
                <w:i/>
                <w:lang w:eastAsia="lv-LV" w:bidi="lo-LA"/>
              </w:rPr>
              <w:t>euro</w:t>
            </w:r>
            <w:proofErr w:type="spellEnd"/>
            <w:r w:rsidRPr="00A14019">
              <w:rPr>
                <w:lang w:eastAsia="lv-LV" w:bidi="lo-LA"/>
              </w:rPr>
              <w:t xml:space="preserve"> apmērā. Budžeta ieņēmumi ir finansējuma ESF daļa 85% apmērā no projekta attiecināmajām izmaksām. Specifisko atbalstu plānots ieviest līdz 2023. gada 31. decembrim. Pirmajā ieviešanas gadā (2020. gadā) plānots apgūt finansējumu 0,3% apmērā – 10 612 </w:t>
            </w:r>
            <w:proofErr w:type="spellStart"/>
            <w:r w:rsidRPr="00A14019">
              <w:rPr>
                <w:i/>
                <w:lang w:eastAsia="lv-LV" w:bidi="lo-LA"/>
              </w:rPr>
              <w:t>euro</w:t>
            </w:r>
            <w:proofErr w:type="spellEnd"/>
            <w:r w:rsidRPr="00A14019">
              <w:rPr>
                <w:lang w:eastAsia="lv-LV" w:bidi="lo-LA"/>
              </w:rPr>
              <w:t xml:space="preserve">, tai skaitā ESF finansējums – </w:t>
            </w:r>
            <w:r w:rsidR="00042E73">
              <w:rPr>
                <w:lang w:eastAsia="lv-LV" w:bidi="lo-LA"/>
              </w:rPr>
              <w:t>8</w:t>
            </w:r>
            <w:r w:rsidRPr="00A14019">
              <w:rPr>
                <w:lang w:eastAsia="lv-LV" w:bidi="lo-LA"/>
              </w:rPr>
              <w:t> </w:t>
            </w:r>
            <w:r w:rsidR="00042E73">
              <w:rPr>
                <w:lang w:eastAsia="lv-LV" w:bidi="lo-LA"/>
              </w:rPr>
              <w:t>8</w:t>
            </w:r>
            <w:r w:rsidRPr="00A14019">
              <w:rPr>
                <w:lang w:eastAsia="lv-LV" w:bidi="lo-LA"/>
              </w:rPr>
              <w:t xml:space="preserve">20 </w:t>
            </w:r>
            <w:proofErr w:type="spellStart"/>
            <w:r w:rsidRPr="00A14019">
              <w:rPr>
                <w:i/>
                <w:lang w:eastAsia="lv-LV" w:bidi="lo-LA"/>
              </w:rPr>
              <w:t>euro</w:t>
            </w:r>
            <w:proofErr w:type="spellEnd"/>
            <w:r w:rsidRPr="00A14019">
              <w:rPr>
                <w:lang w:eastAsia="lv-LV" w:bidi="lo-LA"/>
              </w:rPr>
              <w:t xml:space="preserve"> apmērā, un valsts budžeta finansējums 1 </w:t>
            </w:r>
            <w:r w:rsidR="00042E73">
              <w:rPr>
                <w:lang w:eastAsia="lv-LV" w:bidi="lo-LA"/>
              </w:rPr>
              <w:t>7</w:t>
            </w:r>
            <w:r w:rsidRPr="00A14019">
              <w:rPr>
                <w:lang w:eastAsia="lv-LV" w:bidi="lo-LA"/>
              </w:rPr>
              <w:t xml:space="preserve">92 </w:t>
            </w:r>
            <w:proofErr w:type="spellStart"/>
            <w:r w:rsidRPr="00A14019">
              <w:rPr>
                <w:i/>
                <w:lang w:eastAsia="lv-LV" w:bidi="lo-LA"/>
              </w:rPr>
              <w:t>euro</w:t>
            </w:r>
            <w:proofErr w:type="spellEnd"/>
            <w:r w:rsidRPr="00A14019">
              <w:rPr>
                <w:i/>
                <w:lang w:eastAsia="lv-LV" w:bidi="lo-LA"/>
              </w:rPr>
              <w:t>,</w:t>
            </w:r>
            <w:r w:rsidRPr="00A14019">
              <w:rPr>
                <w:lang w:eastAsia="lv-LV" w:bidi="lo-LA"/>
              </w:rPr>
              <w:t xml:space="preserve"> otrajā ieviešanas gadā (2021.) plānots apgūt finansējumu  50% apmērā, </w:t>
            </w:r>
            <w:proofErr w:type="spellStart"/>
            <w:r w:rsidRPr="00A14019">
              <w:rPr>
                <w:lang w:eastAsia="lv-LV" w:bidi="lo-LA"/>
              </w:rPr>
              <w:t>trešājā</w:t>
            </w:r>
            <w:proofErr w:type="spellEnd"/>
            <w:r w:rsidRPr="00A14019">
              <w:rPr>
                <w:lang w:eastAsia="lv-LV" w:bidi="lo-LA"/>
              </w:rPr>
              <w:t xml:space="preserve"> ieviešanas gadā (2022.) plānots apgūt finansējumu 30,2% apmērā, savukārt pēdējā ieviešanas gadā (2023.gadā) plānots </w:t>
            </w:r>
            <w:r w:rsidRPr="00042E73">
              <w:rPr>
                <w:lang w:eastAsia="lv-LV" w:bidi="lo-LA"/>
              </w:rPr>
              <w:t xml:space="preserve">apgūt finansējumu 19,5% apmērā – 586 021 </w:t>
            </w:r>
            <w:proofErr w:type="spellStart"/>
            <w:r w:rsidRPr="00042E73">
              <w:rPr>
                <w:i/>
                <w:iCs/>
                <w:lang w:eastAsia="lv-LV" w:bidi="lo-LA"/>
              </w:rPr>
              <w:t>euro</w:t>
            </w:r>
            <w:proofErr w:type="spellEnd"/>
            <w:r w:rsidRPr="00042E73">
              <w:rPr>
                <w:i/>
                <w:iCs/>
                <w:lang w:eastAsia="lv-LV" w:bidi="lo-LA"/>
              </w:rPr>
              <w:t>,</w:t>
            </w:r>
            <w:r w:rsidRPr="00042E73">
              <w:rPr>
                <w:lang w:eastAsia="lv-LV" w:bidi="lo-LA"/>
              </w:rPr>
              <w:t xml:space="preserve"> tai skaitā ESF finansējums – 498 118 </w:t>
            </w:r>
            <w:proofErr w:type="spellStart"/>
            <w:r w:rsidRPr="00042E73">
              <w:rPr>
                <w:i/>
                <w:iCs/>
                <w:lang w:eastAsia="lv-LV" w:bidi="lo-LA"/>
              </w:rPr>
              <w:t>euro</w:t>
            </w:r>
            <w:proofErr w:type="spellEnd"/>
            <w:r w:rsidRPr="00042E73">
              <w:rPr>
                <w:i/>
                <w:iCs/>
                <w:lang w:eastAsia="lv-LV" w:bidi="lo-LA"/>
              </w:rPr>
              <w:t>,</w:t>
            </w:r>
            <w:r w:rsidRPr="00042E73">
              <w:rPr>
                <w:lang w:eastAsia="lv-LV" w:bidi="lo-LA"/>
              </w:rPr>
              <w:t xml:space="preserve"> un valsts budžeta finansējums 87 903 </w:t>
            </w:r>
            <w:proofErr w:type="spellStart"/>
            <w:r w:rsidRPr="00042E73">
              <w:rPr>
                <w:i/>
                <w:iCs/>
                <w:lang w:eastAsia="lv-LV" w:bidi="lo-LA"/>
              </w:rPr>
              <w:t>euro</w:t>
            </w:r>
            <w:proofErr w:type="spellEnd"/>
            <w:r w:rsidRPr="00042E73">
              <w:rPr>
                <w:i/>
                <w:iCs/>
                <w:lang w:eastAsia="lv-LV" w:bidi="lo-LA"/>
              </w:rPr>
              <w:t>.</w:t>
            </w:r>
          </w:p>
          <w:p w14:paraId="22CCE856" w14:textId="54BBABAE" w:rsidR="00A14019" w:rsidRPr="00042E73" w:rsidRDefault="00A14019" w:rsidP="00A14019">
            <w:pPr>
              <w:numPr>
                <w:ilvl w:val="0"/>
                <w:numId w:val="2"/>
              </w:numPr>
              <w:ind w:right="86"/>
              <w:contextualSpacing/>
              <w:jc w:val="both"/>
            </w:pPr>
            <w:r w:rsidRPr="00042E73">
              <w:rPr>
                <w:b/>
                <w:u w:val="single"/>
              </w:rPr>
              <w:t xml:space="preserve">2020. gadam </w:t>
            </w:r>
            <w:r w:rsidRPr="00042E73">
              <w:rPr>
                <w:szCs w:val="28"/>
              </w:rPr>
              <w:t>kopējās</w:t>
            </w:r>
            <w:r w:rsidRPr="00042E73">
              <w:t xml:space="preserve"> izmaksas 10 612  </w:t>
            </w:r>
            <w:proofErr w:type="spellStart"/>
            <w:r w:rsidRPr="00042E73">
              <w:rPr>
                <w:i/>
              </w:rPr>
              <w:t>euro</w:t>
            </w:r>
            <w:proofErr w:type="spellEnd"/>
            <w:r w:rsidRPr="00042E73">
              <w:t xml:space="preserve">, tai skaitā ESF finansējums – </w:t>
            </w:r>
            <w:r w:rsidR="00042E73" w:rsidRPr="00042E73">
              <w:t>8 820</w:t>
            </w:r>
            <w:r w:rsidRPr="00042E73">
              <w:t xml:space="preserve">  </w:t>
            </w:r>
            <w:proofErr w:type="spellStart"/>
            <w:r w:rsidRPr="00042E73">
              <w:rPr>
                <w:i/>
              </w:rPr>
              <w:t>euro</w:t>
            </w:r>
            <w:proofErr w:type="spellEnd"/>
            <w:r w:rsidRPr="00042E73">
              <w:t xml:space="preserve"> apmērā un valsts </w:t>
            </w:r>
            <w:r w:rsidRPr="00042E73">
              <w:rPr>
                <w:bCs/>
              </w:rPr>
              <w:t>budžeta</w:t>
            </w:r>
            <w:r w:rsidRPr="00042E73">
              <w:t xml:space="preserve"> finansējums 1 </w:t>
            </w:r>
            <w:r w:rsidR="00042E73" w:rsidRPr="00042E73">
              <w:t>7</w:t>
            </w:r>
            <w:r w:rsidRPr="00042E73">
              <w:t>92  </w:t>
            </w:r>
            <w:proofErr w:type="spellStart"/>
            <w:r w:rsidRPr="00042E73">
              <w:rPr>
                <w:i/>
              </w:rPr>
              <w:t>euro</w:t>
            </w:r>
            <w:proofErr w:type="spellEnd"/>
            <w:r w:rsidRPr="00042E73">
              <w:t xml:space="preserve">. </w:t>
            </w:r>
          </w:p>
          <w:p w14:paraId="29F9FD71" w14:textId="2C04E785" w:rsidR="00A14019" w:rsidRPr="00042E73" w:rsidRDefault="00A14019" w:rsidP="00A14019">
            <w:pPr>
              <w:numPr>
                <w:ilvl w:val="0"/>
                <w:numId w:val="2"/>
              </w:numPr>
              <w:ind w:right="86"/>
              <w:contextualSpacing/>
              <w:jc w:val="both"/>
            </w:pPr>
            <w:r w:rsidRPr="00042E73">
              <w:rPr>
                <w:b/>
                <w:u w:val="single"/>
              </w:rPr>
              <w:t>2021. gadam</w:t>
            </w:r>
            <w:r w:rsidRPr="00042E73">
              <w:rPr>
                <w:b/>
              </w:rPr>
              <w:t xml:space="preserve"> </w:t>
            </w:r>
            <w:r w:rsidRPr="00042E73">
              <w:rPr>
                <w:szCs w:val="28"/>
              </w:rPr>
              <w:t>kopējās</w:t>
            </w:r>
            <w:r w:rsidRPr="00042E73">
              <w:t xml:space="preserve"> izmaksas </w:t>
            </w:r>
            <w:r w:rsidRPr="00042E73">
              <w:rPr>
                <w:color w:val="000000"/>
              </w:rPr>
              <w:t xml:space="preserve">1 504 049 </w:t>
            </w:r>
            <w:proofErr w:type="spellStart"/>
            <w:r w:rsidRPr="00042E73">
              <w:rPr>
                <w:i/>
              </w:rPr>
              <w:t>euro</w:t>
            </w:r>
            <w:proofErr w:type="spellEnd"/>
            <w:r w:rsidRPr="00042E73">
              <w:t xml:space="preserve">, tai skaitā ESF finansējums – 1 278 </w:t>
            </w:r>
            <w:r w:rsidR="00042E73" w:rsidRPr="00042E73">
              <w:t>642</w:t>
            </w:r>
            <w:r w:rsidRPr="00042E73">
              <w:t xml:space="preserve"> </w:t>
            </w:r>
            <w:proofErr w:type="spellStart"/>
            <w:r w:rsidRPr="00042E73">
              <w:rPr>
                <w:i/>
              </w:rPr>
              <w:t>euro</w:t>
            </w:r>
            <w:proofErr w:type="spellEnd"/>
            <w:r w:rsidRPr="00042E73">
              <w:t xml:space="preserve"> apmērā un valsts </w:t>
            </w:r>
            <w:r w:rsidRPr="00042E73">
              <w:rPr>
                <w:bCs/>
              </w:rPr>
              <w:t>budžeta</w:t>
            </w:r>
            <w:r w:rsidRPr="00042E73">
              <w:t xml:space="preserve"> finansējums </w:t>
            </w:r>
            <w:r w:rsidR="00042E73" w:rsidRPr="00042E73">
              <w:t>225 407</w:t>
            </w:r>
            <w:r w:rsidRPr="00042E73">
              <w:t xml:space="preserve"> </w:t>
            </w:r>
            <w:proofErr w:type="spellStart"/>
            <w:r w:rsidRPr="00042E73">
              <w:rPr>
                <w:i/>
              </w:rPr>
              <w:t>euro</w:t>
            </w:r>
            <w:proofErr w:type="spellEnd"/>
            <w:r w:rsidRPr="00042E73">
              <w:rPr>
                <w:i/>
              </w:rPr>
              <w:t xml:space="preserve">. </w:t>
            </w:r>
          </w:p>
          <w:p w14:paraId="767C957D" w14:textId="77777777" w:rsidR="00A14019" w:rsidRPr="00042E73" w:rsidRDefault="00A14019" w:rsidP="00A14019">
            <w:pPr>
              <w:numPr>
                <w:ilvl w:val="0"/>
                <w:numId w:val="2"/>
              </w:numPr>
              <w:ind w:right="86"/>
              <w:contextualSpacing/>
              <w:jc w:val="both"/>
            </w:pPr>
            <w:r w:rsidRPr="00042E73">
              <w:rPr>
                <w:b/>
                <w:u w:val="single"/>
              </w:rPr>
              <w:t>2022. gadam</w:t>
            </w:r>
            <w:r w:rsidRPr="00042E73">
              <w:rPr>
                <w:b/>
              </w:rPr>
              <w:t xml:space="preserve"> </w:t>
            </w:r>
            <w:r w:rsidRPr="00042E73">
              <w:rPr>
                <w:szCs w:val="28"/>
              </w:rPr>
              <w:t>kopējās</w:t>
            </w:r>
            <w:r w:rsidRPr="00042E73">
              <w:t xml:space="preserve"> izmaksas 899 318 </w:t>
            </w:r>
            <w:proofErr w:type="spellStart"/>
            <w:r w:rsidRPr="00042E73">
              <w:rPr>
                <w:i/>
              </w:rPr>
              <w:t>euro</w:t>
            </w:r>
            <w:proofErr w:type="spellEnd"/>
            <w:r w:rsidRPr="00042E73">
              <w:t>, tai skaitā ESF finansējums – 764 420  </w:t>
            </w:r>
            <w:proofErr w:type="spellStart"/>
            <w:r w:rsidRPr="00042E73">
              <w:rPr>
                <w:i/>
              </w:rPr>
              <w:t>euro</w:t>
            </w:r>
            <w:proofErr w:type="spellEnd"/>
            <w:r w:rsidRPr="00042E73">
              <w:t xml:space="preserve"> apmērā un valsts </w:t>
            </w:r>
            <w:r w:rsidRPr="00042E73">
              <w:rPr>
                <w:bCs/>
              </w:rPr>
              <w:t>budžeta</w:t>
            </w:r>
            <w:r w:rsidRPr="00042E73">
              <w:t xml:space="preserve"> finansējums 134 898  </w:t>
            </w:r>
            <w:proofErr w:type="spellStart"/>
            <w:r w:rsidRPr="00042E73">
              <w:rPr>
                <w:i/>
              </w:rPr>
              <w:t>euro</w:t>
            </w:r>
            <w:proofErr w:type="spellEnd"/>
            <w:r w:rsidRPr="00042E73">
              <w:rPr>
                <w:i/>
              </w:rPr>
              <w:t xml:space="preserve">. </w:t>
            </w:r>
          </w:p>
          <w:p w14:paraId="247FDA84" w14:textId="77777777" w:rsidR="00A14019" w:rsidRPr="00A14019" w:rsidRDefault="00A14019" w:rsidP="00A14019">
            <w:pPr>
              <w:numPr>
                <w:ilvl w:val="0"/>
                <w:numId w:val="2"/>
              </w:numPr>
              <w:ind w:right="86"/>
              <w:contextualSpacing/>
              <w:jc w:val="both"/>
            </w:pPr>
            <w:r w:rsidRPr="00042E73">
              <w:rPr>
                <w:b/>
                <w:u w:val="single"/>
              </w:rPr>
              <w:t>2023. gadam</w:t>
            </w:r>
            <w:r w:rsidRPr="00042E73">
              <w:rPr>
                <w:b/>
              </w:rPr>
              <w:t xml:space="preserve"> </w:t>
            </w:r>
            <w:r w:rsidRPr="00042E73">
              <w:rPr>
                <w:szCs w:val="28"/>
              </w:rPr>
              <w:t>kopējās</w:t>
            </w:r>
            <w:r w:rsidRPr="00042E73">
              <w:t xml:space="preserve"> izmaksas 586</w:t>
            </w:r>
            <w:r w:rsidRPr="00A14019">
              <w:t xml:space="preserve"> 021 </w:t>
            </w:r>
            <w:proofErr w:type="spellStart"/>
            <w:r w:rsidRPr="00A14019">
              <w:rPr>
                <w:i/>
              </w:rPr>
              <w:t>euro</w:t>
            </w:r>
            <w:proofErr w:type="spellEnd"/>
            <w:r w:rsidRPr="00A14019">
              <w:t>, tai skaitā ESF finansējums – 498 118  </w:t>
            </w:r>
            <w:proofErr w:type="spellStart"/>
            <w:r w:rsidRPr="00A14019">
              <w:rPr>
                <w:i/>
              </w:rPr>
              <w:t>euro</w:t>
            </w:r>
            <w:proofErr w:type="spellEnd"/>
            <w:r w:rsidRPr="00A14019">
              <w:t xml:space="preserve"> apmērā un valsts </w:t>
            </w:r>
            <w:r w:rsidRPr="00A14019">
              <w:rPr>
                <w:bCs/>
              </w:rPr>
              <w:t>budžeta</w:t>
            </w:r>
            <w:r w:rsidRPr="00A14019">
              <w:t xml:space="preserve"> finansējums 87 903  </w:t>
            </w:r>
            <w:proofErr w:type="spellStart"/>
            <w:r w:rsidRPr="00A14019">
              <w:rPr>
                <w:i/>
              </w:rPr>
              <w:t>euro</w:t>
            </w:r>
            <w:proofErr w:type="spellEnd"/>
            <w:r w:rsidRPr="00A14019">
              <w:rPr>
                <w:i/>
              </w:rPr>
              <w:t>.</w:t>
            </w:r>
          </w:p>
          <w:p w14:paraId="3D4EBD2B" w14:textId="77777777" w:rsidR="00A14019" w:rsidRDefault="00A14019" w:rsidP="00A14019">
            <w:pPr>
              <w:spacing w:before="40" w:after="40"/>
              <w:ind w:left="57" w:right="57"/>
              <w:jc w:val="both"/>
              <w:rPr>
                <w:lang w:eastAsia="lv-LV" w:bidi="lo-LA"/>
              </w:rPr>
            </w:pPr>
            <w:r w:rsidRPr="00A14019">
              <w:rPr>
                <w:lang w:eastAsia="lv-LV" w:bidi="lo-LA"/>
              </w:rPr>
              <w:t xml:space="preserve">Finansējums tiks plānots Veselības ministrijas budžeta 63.07.00 apakšprogrammā „Eiropas Sociālā fonda (ESF) projektu īstenošana (2014-2020)”. </w:t>
            </w:r>
          </w:p>
          <w:p w14:paraId="74CB3613" w14:textId="10BBF8CF" w:rsidR="00A14019" w:rsidRPr="00A14019" w:rsidRDefault="00A14019" w:rsidP="00A14019">
            <w:pPr>
              <w:spacing w:before="40" w:after="40"/>
              <w:ind w:left="57" w:right="57"/>
              <w:jc w:val="both"/>
              <w:rPr>
                <w:lang w:eastAsia="lv-LV" w:bidi="lo-LA"/>
              </w:rPr>
            </w:pPr>
            <w:r w:rsidRPr="00B31D51">
              <w:t>Pēc projekta apstiprināšanas Veselības ministrija normatīvajos aktos noteiktajā kārtībā iesniegs Finanšu ministrijā pieprasījumu apropriācijas pārdalei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A14CDE" w:rsidRPr="00EF556F" w14:paraId="2F64B7EA"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4ED5D428" w14:textId="77777777" w:rsidR="00B24C31" w:rsidRPr="003F466F" w:rsidRDefault="00B24C31" w:rsidP="00B24C31">
            <w:r w:rsidRPr="003F466F">
              <w:t>6. 1. detalizēts ieņēmumu aprēķins</w:t>
            </w:r>
          </w:p>
        </w:tc>
        <w:tc>
          <w:tcPr>
            <w:tcW w:w="4203" w:type="pct"/>
            <w:gridSpan w:val="7"/>
            <w:vMerge/>
            <w:tcBorders>
              <w:top w:val="single" w:sz="4" w:space="0" w:color="auto"/>
              <w:left w:val="single" w:sz="4" w:space="0" w:color="auto"/>
              <w:bottom w:val="single" w:sz="4" w:space="0" w:color="auto"/>
              <w:right w:val="single" w:sz="4" w:space="0" w:color="auto"/>
            </w:tcBorders>
            <w:vAlign w:val="center"/>
            <w:hideMark/>
          </w:tcPr>
          <w:p w14:paraId="7C38F039" w14:textId="77777777" w:rsidR="00B24C31" w:rsidRPr="00EF556F" w:rsidRDefault="00B24C31" w:rsidP="00B24C31">
            <w:pPr>
              <w:rPr>
                <w:highlight w:val="yellow"/>
              </w:rPr>
            </w:pPr>
          </w:p>
        </w:tc>
      </w:tr>
      <w:tr w:rsidR="00A14CDE" w:rsidRPr="00EF556F" w14:paraId="598FCBEE" w14:textId="77777777" w:rsidTr="00362D8D">
        <w:tc>
          <w:tcPr>
            <w:tcW w:w="797" w:type="pct"/>
            <w:tcBorders>
              <w:top w:val="single" w:sz="4" w:space="0" w:color="auto"/>
              <w:left w:val="single" w:sz="4" w:space="0" w:color="auto"/>
              <w:bottom w:val="single" w:sz="4" w:space="0" w:color="auto"/>
              <w:right w:val="single" w:sz="4" w:space="0" w:color="auto"/>
            </w:tcBorders>
            <w:hideMark/>
          </w:tcPr>
          <w:p w14:paraId="45F05390" w14:textId="77777777" w:rsidR="00B24C31" w:rsidRPr="003F466F" w:rsidRDefault="00B24C31" w:rsidP="00B24C31">
            <w:r w:rsidRPr="003F466F">
              <w:t>6. 2. apakšpunktu detalizēts izdevumu aprēķins</w:t>
            </w:r>
          </w:p>
        </w:tc>
        <w:tc>
          <w:tcPr>
            <w:tcW w:w="4203" w:type="pct"/>
            <w:gridSpan w:val="7"/>
            <w:vMerge/>
            <w:tcBorders>
              <w:top w:val="single" w:sz="4" w:space="0" w:color="auto"/>
              <w:left w:val="single" w:sz="4" w:space="0" w:color="auto"/>
              <w:bottom w:val="single" w:sz="4" w:space="0" w:color="auto"/>
              <w:right w:val="single" w:sz="4" w:space="0" w:color="auto"/>
            </w:tcBorders>
            <w:vAlign w:val="center"/>
            <w:hideMark/>
          </w:tcPr>
          <w:p w14:paraId="2FC2A710" w14:textId="77777777" w:rsidR="00B24C31" w:rsidRPr="00EF556F" w:rsidRDefault="00B24C31" w:rsidP="00B24C31">
            <w:pPr>
              <w:rPr>
                <w:highlight w:val="yellow"/>
              </w:rPr>
            </w:pPr>
          </w:p>
        </w:tc>
      </w:tr>
      <w:tr w:rsidR="00A14CDE" w:rsidRPr="00EF556F" w14:paraId="78BBD5CD" w14:textId="77777777" w:rsidTr="00362D8D">
        <w:trPr>
          <w:trHeight w:val="556"/>
        </w:trPr>
        <w:tc>
          <w:tcPr>
            <w:tcW w:w="797" w:type="pct"/>
            <w:tcBorders>
              <w:top w:val="single" w:sz="4" w:space="0" w:color="auto"/>
              <w:left w:val="single" w:sz="4" w:space="0" w:color="auto"/>
              <w:bottom w:val="single" w:sz="4" w:space="0" w:color="auto"/>
              <w:right w:val="single" w:sz="4" w:space="0" w:color="auto"/>
            </w:tcBorders>
            <w:hideMark/>
          </w:tcPr>
          <w:p w14:paraId="7C8F4F5C" w14:textId="77777777" w:rsidR="00B24C31" w:rsidRPr="003F466F" w:rsidRDefault="00B24C31" w:rsidP="00B24C31">
            <w:r w:rsidRPr="003F466F">
              <w:lastRenderedPageBreak/>
              <w:t>7. Cita informācija</w:t>
            </w:r>
          </w:p>
        </w:tc>
        <w:tc>
          <w:tcPr>
            <w:tcW w:w="4203" w:type="pct"/>
            <w:gridSpan w:val="7"/>
            <w:tcBorders>
              <w:top w:val="single" w:sz="4" w:space="0" w:color="auto"/>
              <w:left w:val="single" w:sz="4" w:space="0" w:color="auto"/>
              <w:bottom w:val="single" w:sz="4" w:space="0" w:color="auto"/>
              <w:right w:val="single" w:sz="4" w:space="0" w:color="auto"/>
            </w:tcBorders>
            <w:hideMark/>
          </w:tcPr>
          <w:p w14:paraId="20E47DD3" w14:textId="77777777" w:rsidR="00B24C31" w:rsidRPr="003F466F" w:rsidRDefault="00B24C31" w:rsidP="00B24C31">
            <w:pPr>
              <w:pStyle w:val="naiskr"/>
              <w:spacing w:before="40" w:beforeAutospacing="0" w:after="40" w:afterAutospacing="0"/>
              <w:ind w:left="57" w:right="57" w:firstLine="284"/>
              <w:jc w:val="both"/>
              <w:rPr>
                <w:b/>
                <w:i/>
              </w:rPr>
            </w:pPr>
            <w:r w:rsidRPr="003F466F">
              <w:t>Nav</w:t>
            </w:r>
          </w:p>
        </w:tc>
      </w:tr>
      <w:tr w:rsidR="00B24C31" w:rsidRPr="00EF556F" w14:paraId="34BF0BD7" w14:textId="77777777" w:rsidTr="00362D8D">
        <w:trPr>
          <w:trHeight w:val="135"/>
        </w:trPr>
        <w:tc>
          <w:tcPr>
            <w:tcW w:w="5000" w:type="pct"/>
            <w:gridSpan w:val="8"/>
            <w:tcBorders>
              <w:top w:val="single" w:sz="4" w:space="0" w:color="auto"/>
              <w:left w:val="nil"/>
              <w:bottom w:val="single" w:sz="4" w:space="0" w:color="auto"/>
              <w:right w:val="nil"/>
            </w:tcBorders>
          </w:tcPr>
          <w:p w14:paraId="2AD12682" w14:textId="77777777" w:rsidR="00B24C31" w:rsidRPr="003F466F" w:rsidRDefault="00B24C31" w:rsidP="00B24C31">
            <w:pPr>
              <w:pStyle w:val="naiskr"/>
              <w:spacing w:before="40" w:beforeAutospacing="0" w:after="40" w:afterAutospacing="0"/>
              <w:ind w:left="57" w:right="57" w:firstLine="284"/>
              <w:jc w:val="both"/>
            </w:pPr>
          </w:p>
        </w:tc>
      </w:tr>
      <w:tr w:rsidR="00B24C31" w:rsidRPr="00EF556F" w14:paraId="6088BDFB" w14:textId="77777777" w:rsidTr="00362D8D">
        <w:trPr>
          <w:trHeight w:val="285"/>
        </w:trPr>
        <w:tc>
          <w:tcPr>
            <w:tcW w:w="5000" w:type="pct"/>
            <w:gridSpan w:val="8"/>
            <w:tcBorders>
              <w:top w:val="single" w:sz="4" w:space="0" w:color="auto"/>
              <w:left w:val="single" w:sz="4" w:space="0" w:color="auto"/>
              <w:bottom w:val="single" w:sz="4" w:space="0" w:color="auto"/>
              <w:right w:val="single" w:sz="4" w:space="0" w:color="auto"/>
            </w:tcBorders>
          </w:tcPr>
          <w:p w14:paraId="219EB4BF" w14:textId="4EA842EB" w:rsidR="00B24C31" w:rsidRPr="00102AE2" w:rsidRDefault="00B24C31" w:rsidP="00B24C31">
            <w:pPr>
              <w:pStyle w:val="naisnod"/>
              <w:spacing w:before="0" w:beforeAutospacing="0" w:after="0" w:afterAutospacing="0"/>
              <w:ind w:left="57" w:right="57"/>
            </w:pPr>
            <w:r w:rsidRPr="00102AE2">
              <w:rPr>
                <w:b/>
                <w:lang w:eastAsia="en-US" w:bidi="ar-SA"/>
              </w:rPr>
              <w:t>IV. Tiesību akta projekta ietekme uz spēkā esošo tiesību normu sistēmu</w:t>
            </w:r>
          </w:p>
        </w:tc>
      </w:tr>
      <w:tr w:rsidR="00B24C31" w:rsidRPr="00EF556F" w14:paraId="32376712" w14:textId="77777777" w:rsidTr="00362D8D">
        <w:trPr>
          <w:trHeight w:val="285"/>
        </w:trPr>
        <w:tc>
          <w:tcPr>
            <w:tcW w:w="5000" w:type="pct"/>
            <w:gridSpan w:val="8"/>
            <w:tcBorders>
              <w:top w:val="single" w:sz="4" w:space="0" w:color="auto"/>
              <w:left w:val="single" w:sz="4" w:space="0" w:color="auto"/>
              <w:bottom w:val="single" w:sz="4" w:space="0" w:color="auto"/>
              <w:right w:val="single" w:sz="4" w:space="0" w:color="auto"/>
            </w:tcBorders>
          </w:tcPr>
          <w:p w14:paraId="60763761" w14:textId="0578C52A" w:rsidR="00B24C31" w:rsidRPr="00102AE2" w:rsidRDefault="00B24C31" w:rsidP="00B24C31">
            <w:pPr>
              <w:pStyle w:val="naisnod"/>
              <w:spacing w:before="0" w:beforeAutospacing="0" w:after="0" w:afterAutospacing="0"/>
              <w:ind w:left="57" w:right="57"/>
              <w:rPr>
                <w:bCs/>
                <w:lang w:eastAsia="en-US" w:bidi="ar-SA"/>
              </w:rPr>
            </w:pPr>
            <w:r w:rsidRPr="00102AE2">
              <w:rPr>
                <w:bCs/>
                <w:lang w:eastAsia="en-US" w:bidi="ar-SA"/>
              </w:rPr>
              <w:t>Projekts šo jomu neskar.</w:t>
            </w:r>
          </w:p>
        </w:tc>
      </w:tr>
      <w:bookmarkEnd w:id="27"/>
    </w:tbl>
    <w:p w14:paraId="5ABAAEC8" w14:textId="77777777" w:rsidR="006E41DD" w:rsidRPr="00EF556F" w:rsidRDefault="006E41DD" w:rsidP="00A14CDE">
      <w:pPr>
        <w:pStyle w:val="naisnod"/>
        <w:spacing w:before="0" w:beforeAutospacing="0" w:after="0" w:afterAutospacing="0"/>
        <w:ind w:right="57"/>
        <w:rPr>
          <w:b/>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6E41DD" w:rsidRPr="00EF556F" w14:paraId="38750432" w14:textId="77777777" w:rsidTr="00B44433">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46D019A7" w14:textId="77777777" w:rsidR="006E41DD" w:rsidRPr="00EF556F" w:rsidRDefault="006E41DD" w:rsidP="00B44433">
            <w:pPr>
              <w:rPr>
                <w:b/>
                <w:highlight w:val="yellow"/>
              </w:rPr>
            </w:pPr>
            <w:r w:rsidRPr="00D821D6">
              <w:rPr>
                <w:b/>
              </w:rPr>
              <w:t>V</w:t>
            </w:r>
            <w:r w:rsidR="00D46E0B" w:rsidRPr="00D821D6">
              <w:rPr>
                <w:b/>
              </w:rPr>
              <w:t xml:space="preserve">. </w:t>
            </w:r>
            <w:r w:rsidRPr="00D821D6">
              <w:rPr>
                <w:b/>
              </w:rPr>
              <w:t>Tiesību akta projekta atbilstība Latvijas Republikas starptautiskajām saistībām</w:t>
            </w:r>
          </w:p>
        </w:tc>
      </w:tr>
      <w:tr w:rsidR="006E41DD" w:rsidRPr="00EF556F" w14:paraId="14BD785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7C2EB48C" w14:textId="77777777" w:rsidR="006E41DD" w:rsidRPr="00623A82" w:rsidRDefault="006E41DD" w:rsidP="00B44433">
            <w:r w:rsidRPr="00623A82">
              <w:t>1</w:t>
            </w:r>
            <w:r w:rsidR="00D46E0B" w:rsidRPr="00623A82">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26D15C84" w14:textId="77777777" w:rsidR="006E41DD" w:rsidRPr="00623A82" w:rsidRDefault="006E41DD" w:rsidP="00B44433">
            <w:r w:rsidRPr="00623A82">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8D6FEF5" w14:textId="1AA60E14" w:rsidR="006E41DD" w:rsidRPr="00623A82" w:rsidRDefault="006E41DD" w:rsidP="00D46E0B">
            <w:pPr>
              <w:pStyle w:val="naiskr"/>
              <w:spacing w:before="40" w:beforeAutospacing="0" w:after="40" w:afterAutospacing="0"/>
              <w:ind w:left="57" w:right="57" w:firstLine="284"/>
              <w:jc w:val="both"/>
              <w:rPr>
                <w:bCs/>
              </w:rPr>
            </w:pPr>
            <w:r w:rsidRPr="00623A82">
              <w:rPr>
                <w:bCs/>
              </w:rPr>
              <w:t xml:space="preserve">Tiek </w:t>
            </w:r>
            <w:r w:rsidRPr="00623A82">
              <w:t>ieviestas</w:t>
            </w:r>
            <w:r w:rsidR="003E4D08" w:rsidRPr="00623A82">
              <w:t xml:space="preserve"> šādu Eiropas Savienības </w:t>
            </w:r>
            <w:r w:rsidR="00A03E9A" w:rsidRPr="00623A82">
              <w:t>tiesību aktu</w:t>
            </w:r>
            <w:r w:rsidR="003E4D08" w:rsidRPr="00623A82">
              <w:t xml:space="preserve"> normas</w:t>
            </w:r>
            <w:r w:rsidRPr="00623A82">
              <w:rPr>
                <w:bCs/>
              </w:rPr>
              <w:t>:</w:t>
            </w:r>
          </w:p>
          <w:p w14:paraId="7AFFD005" w14:textId="77777777" w:rsidR="006E41DD" w:rsidRPr="00623A82" w:rsidRDefault="006E41DD" w:rsidP="00EB1B90">
            <w:pPr>
              <w:pStyle w:val="ListParagraph"/>
              <w:numPr>
                <w:ilvl w:val="0"/>
                <w:numId w:val="2"/>
              </w:numPr>
              <w:ind w:right="86"/>
              <w:jc w:val="both"/>
            </w:pPr>
            <w:r w:rsidRPr="00623A82">
              <w:rPr>
                <w:bCs/>
              </w:rPr>
              <w:t xml:space="preserve"> Eiropas Parlamenta un Padomes 2013</w:t>
            </w:r>
            <w:r w:rsidR="00D46E0B" w:rsidRPr="00623A82">
              <w:rPr>
                <w:bCs/>
              </w:rPr>
              <w:t xml:space="preserve">. </w:t>
            </w:r>
            <w:r w:rsidRPr="00623A82">
              <w:rPr>
                <w:bCs/>
              </w:rPr>
              <w:t>gada 17</w:t>
            </w:r>
            <w:r w:rsidR="00D46E0B" w:rsidRPr="00623A82">
              <w:rPr>
                <w:bCs/>
              </w:rPr>
              <w:t xml:space="preserve">. </w:t>
            </w:r>
            <w:r w:rsidRPr="00623A82">
              <w:rPr>
                <w:bCs/>
              </w:rPr>
              <w:t>decembra Regula (ES) Nr</w:t>
            </w:r>
            <w:r w:rsidR="00D46E0B" w:rsidRPr="00623A82">
              <w:rPr>
                <w:bCs/>
              </w:rPr>
              <w:t xml:space="preserve">. </w:t>
            </w:r>
            <w:r w:rsidRPr="00623A82">
              <w:rPr>
                <w:bCs/>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D46E0B" w:rsidRPr="00623A82">
              <w:rPr>
                <w:bCs/>
              </w:rPr>
              <w:t xml:space="preserve"> </w:t>
            </w:r>
            <w:r w:rsidRPr="00623A82">
              <w:rPr>
                <w:bCs/>
              </w:rPr>
              <w:t>Kohēzijas fondu un Eiropas Jūrlietu un zivsaimniecības fondu un atceļ Padomes Regulu (EK) Nr</w:t>
            </w:r>
            <w:r w:rsidR="00D46E0B" w:rsidRPr="00623A82">
              <w:rPr>
                <w:bCs/>
              </w:rPr>
              <w:t xml:space="preserve">. </w:t>
            </w:r>
            <w:r w:rsidRPr="00623A82">
              <w:rPr>
                <w:bCs/>
              </w:rPr>
              <w:t xml:space="preserve">1083/2006 (turpmāk </w:t>
            </w:r>
            <w:r w:rsidR="003E4D08" w:rsidRPr="00623A82">
              <w:rPr>
                <w:bCs/>
              </w:rPr>
              <w:t>–</w:t>
            </w:r>
            <w:r w:rsidR="00D46E0B" w:rsidRPr="00623A82">
              <w:rPr>
                <w:bCs/>
              </w:rPr>
              <w:t xml:space="preserve"> </w:t>
            </w:r>
            <w:r w:rsidR="003E4D08" w:rsidRPr="00623A82">
              <w:rPr>
                <w:bCs/>
              </w:rPr>
              <w:t>Ko</w:t>
            </w:r>
            <w:r w:rsidRPr="00623A82">
              <w:rPr>
                <w:bCs/>
              </w:rPr>
              <w:t>misijas regula Nr</w:t>
            </w:r>
            <w:r w:rsidR="00D46E0B" w:rsidRPr="00623A82">
              <w:rPr>
                <w:bCs/>
              </w:rPr>
              <w:t xml:space="preserve">. </w:t>
            </w:r>
            <w:r w:rsidRPr="00623A82">
              <w:rPr>
                <w:bCs/>
              </w:rPr>
              <w:t>1303/2013)</w:t>
            </w:r>
            <w:r w:rsidR="00E70899" w:rsidRPr="00623A82">
              <w:rPr>
                <w:bCs/>
              </w:rPr>
              <w:t xml:space="preserve"> </w:t>
            </w:r>
            <w:r w:rsidR="00E70899" w:rsidRPr="00623A82">
              <w:t>XII pielikuma 2.2. apakšpunkts</w:t>
            </w:r>
            <w:r w:rsidRPr="00623A82">
              <w:rPr>
                <w:bCs/>
              </w:rPr>
              <w:t>;</w:t>
            </w:r>
          </w:p>
          <w:p w14:paraId="42DC59E9" w14:textId="044EEE12" w:rsidR="007247F1" w:rsidRPr="00623A82" w:rsidRDefault="006E41DD" w:rsidP="00EB1B90">
            <w:pPr>
              <w:pStyle w:val="ListParagraph"/>
              <w:numPr>
                <w:ilvl w:val="0"/>
                <w:numId w:val="2"/>
              </w:numPr>
              <w:ind w:right="86"/>
              <w:jc w:val="both"/>
            </w:pPr>
            <w:r w:rsidRPr="00623A82">
              <w:t>Eiropas Parlamenta un Padomes 2013</w:t>
            </w:r>
            <w:r w:rsidR="00D46E0B" w:rsidRPr="00623A82">
              <w:t xml:space="preserve">. </w:t>
            </w:r>
            <w:r w:rsidRPr="00623A82">
              <w:t>gada 17</w:t>
            </w:r>
            <w:r w:rsidR="00D46E0B" w:rsidRPr="00623A82">
              <w:t xml:space="preserve">. </w:t>
            </w:r>
            <w:r w:rsidRPr="00623A82">
              <w:rPr>
                <w:bCs/>
              </w:rPr>
              <w:t>decembra</w:t>
            </w:r>
            <w:r w:rsidRPr="00623A82">
              <w:t xml:space="preserve"> Regula (ES) Nr</w:t>
            </w:r>
            <w:r w:rsidR="00D46E0B" w:rsidRPr="00623A82">
              <w:t xml:space="preserve">. </w:t>
            </w:r>
            <w:r w:rsidRPr="00623A82">
              <w:t>1304/2013 par Eiropas Sociālo fondu un ar ko atceļ Padomes Regulu (EK) Nr</w:t>
            </w:r>
            <w:r w:rsidR="00D46E0B" w:rsidRPr="00623A82">
              <w:t xml:space="preserve">. </w:t>
            </w:r>
            <w:r w:rsidRPr="00623A82">
              <w:t xml:space="preserve">1081/2006 (turpmāk - </w:t>
            </w:r>
            <w:r w:rsidRPr="00623A82">
              <w:rPr>
                <w:bCs/>
              </w:rPr>
              <w:t>Komisijas regula Nr</w:t>
            </w:r>
            <w:r w:rsidR="00D46E0B" w:rsidRPr="00623A82">
              <w:rPr>
                <w:bCs/>
              </w:rPr>
              <w:t xml:space="preserve">. </w:t>
            </w:r>
            <w:r w:rsidRPr="00623A82">
              <w:rPr>
                <w:bCs/>
              </w:rPr>
              <w:t>1304/2013</w:t>
            </w:r>
            <w:r w:rsidRPr="00623A82">
              <w:t>)</w:t>
            </w:r>
            <w:r w:rsidR="007247F1" w:rsidRPr="00623A82">
              <w:t>;</w:t>
            </w:r>
          </w:p>
          <w:p w14:paraId="1A72107F" w14:textId="33B4543F" w:rsidR="007247F1" w:rsidRPr="00623A82" w:rsidRDefault="00247A5C" w:rsidP="00EB1B90">
            <w:pPr>
              <w:pStyle w:val="ListParagraph"/>
              <w:numPr>
                <w:ilvl w:val="0"/>
                <w:numId w:val="2"/>
              </w:numPr>
              <w:ind w:right="86"/>
              <w:jc w:val="both"/>
            </w:pPr>
            <w:r w:rsidRPr="00623A82">
              <w:t>Eiropas Komisijas </w:t>
            </w:r>
            <w:hyperlink r:id="rId12" w:anchor="p2011" w:tgtFrame="_blank" w:history="1">
              <w:r w:rsidRPr="00623A82">
                <w:t>2011</w:t>
              </w:r>
              <w:r w:rsidR="00D46E0B" w:rsidRPr="00623A82">
                <w:t xml:space="preserve">. </w:t>
              </w:r>
            </w:hyperlink>
            <w:r w:rsidRPr="00623A82">
              <w:t>gada </w:t>
            </w:r>
            <w:hyperlink r:id="rId13" w:anchor="p20" w:tgtFrame="_blank" w:history="1">
              <w:r w:rsidRPr="00623A82">
                <w:t>20</w:t>
              </w:r>
              <w:r w:rsidR="00D46E0B" w:rsidRPr="00623A82">
                <w:t xml:space="preserve">. </w:t>
              </w:r>
            </w:hyperlink>
            <w:r w:rsidRPr="00623A82">
              <w:t>decembra lēmum</w:t>
            </w:r>
            <w:r w:rsidR="003C6F69" w:rsidRPr="00623A82">
              <w:t>s</w:t>
            </w:r>
            <w:r w:rsidRPr="00623A82">
              <w:t xml:space="preserve"> Nr</w:t>
            </w:r>
            <w:r w:rsidR="00D46E0B" w:rsidRPr="00623A82">
              <w:t xml:space="preserve">. </w:t>
            </w:r>
            <w:r w:rsidRPr="00623A82">
              <w:t xml:space="preserve">2012/21/ES par Līguma par Eiropas Savienības </w:t>
            </w:r>
            <w:r w:rsidRPr="00623A82">
              <w:rPr>
                <w:bCs/>
              </w:rPr>
              <w:t>darbību</w:t>
            </w:r>
            <w:r w:rsidRPr="00623A82">
              <w:t> </w:t>
            </w:r>
            <w:hyperlink r:id="rId14" w:anchor="p106" w:tgtFrame="_blank" w:history="1">
              <w:r w:rsidRPr="00623A82">
                <w:t>106</w:t>
              </w:r>
              <w:r w:rsidR="00D46E0B" w:rsidRPr="00623A82">
                <w:t xml:space="preserve">. </w:t>
              </w:r>
              <w:r w:rsidRPr="00623A82">
                <w:t>panta</w:t>
              </w:r>
            </w:hyperlink>
            <w:r w:rsidRPr="00623A82">
              <w:t> 2</w:t>
            </w:r>
            <w:r w:rsidR="00D46E0B" w:rsidRPr="00623A82">
              <w:t xml:space="preserve">. </w:t>
            </w:r>
            <w:r w:rsidRPr="00623A82">
              <w:t>punkta piemērošanu valsts atbalstam attiecībā uz kompensāciju par sabiedriskajiem pakalpojumiem dažiem uzņēmumiem, kuriem uzticēts sniegt pakalpojumus ar vispārēju tautsaimniecisku nozīmi (turpmāk – Komisijas lēmums Nr</w:t>
            </w:r>
            <w:r w:rsidR="00D46E0B" w:rsidRPr="00623A82">
              <w:t xml:space="preserve">. </w:t>
            </w:r>
            <w:r w:rsidRPr="00623A82">
              <w:t>2012/21/ES)</w:t>
            </w:r>
            <w:r w:rsidR="007247F1" w:rsidRPr="00623A82">
              <w:t>;</w:t>
            </w:r>
          </w:p>
          <w:p w14:paraId="61C06E60" w14:textId="77777777" w:rsidR="006E41DD" w:rsidRPr="00623A82" w:rsidRDefault="001C038E" w:rsidP="00EB1B90">
            <w:pPr>
              <w:pStyle w:val="ListParagraph"/>
              <w:numPr>
                <w:ilvl w:val="0"/>
                <w:numId w:val="2"/>
              </w:numPr>
              <w:ind w:right="86"/>
              <w:jc w:val="both"/>
            </w:pPr>
            <w:r w:rsidRPr="00623A82">
              <w:rPr>
                <w:bCs/>
              </w:rPr>
              <w:t>Eiropas</w:t>
            </w:r>
            <w:r w:rsidRPr="00623A82">
              <w:t xml:space="preserve"> Komisijas 2013</w:t>
            </w:r>
            <w:r w:rsidR="00D46E0B" w:rsidRPr="00623A82">
              <w:t xml:space="preserve">. </w:t>
            </w:r>
            <w:r w:rsidRPr="00623A82">
              <w:t>gada 18</w:t>
            </w:r>
            <w:r w:rsidR="00D46E0B" w:rsidRPr="00623A82">
              <w:t xml:space="preserve">. </w:t>
            </w:r>
            <w:r w:rsidRPr="00623A82">
              <w:t>decembra Regula (ES) Nr</w:t>
            </w:r>
            <w:r w:rsidR="00D46E0B" w:rsidRPr="00623A82">
              <w:t xml:space="preserve">. </w:t>
            </w:r>
            <w:hyperlink r:id="rId15" w:tgtFrame="_blank" w:history="1">
              <w:r w:rsidRPr="00623A82">
                <w:t>1407/2013</w:t>
              </w:r>
            </w:hyperlink>
            <w:r w:rsidRPr="00623A82">
              <w:t xml:space="preserve"> par Līguma par Eiropas Savienības </w:t>
            </w:r>
            <w:r w:rsidRPr="00623A82">
              <w:rPr>
                <w:bCs/>
              </w:rPr>
              <w:t>darbību</w:t>
            </w:r>
            <w:r w:rsidRPr="00623A82">
              <w:t> </w:t>
            </w:r>
            <w:hyperlink r:id="rId16" w:anchor="p107" w:tgtFrame="_blank" w:history="1">
              <w:r w:rsidRPr="00623A82">
                <w:t>107</w:t>
              </w:r>
              <w:r w:rsidR="00D46E0B" w:rsidRPr="00623A82">
                <w:t xml:space="preserve">. </w:t>
              </w:r>
            </w:hyperlink>
            <w:r w:rsidRPr="00623A82">
              <w:t>un </w:t>
            </w:r>
            <w:hyperlink r:id="rId17" w:anchor="p108" w:tgtFrame="_blank" w:history="1">
              <w:r w:rsidRPr="00623A82">
                <w:t>108</w:t>
              </w:r>
              <w:r w:rsidR="00D46E0B" w:rsidRPr="00623A82">
                <w:t xml:space="preserve">. </w:t>
              </w:r>
              <w:r w:rsidRPr="00623A82">
                <w:t>panta</w:t>
              </w:r>
            </w:hyperlink>
            <w:r w:rsidRPr="00623A82">
              <w:t> piemērošanu </w:t>
            </w:r>
            <w:proofErr w:type="spellStart"/>
            <w:r w:rsidRPr="00623A82">
              <w:rPr>
                <w:i/>
                <w:iCs/>
              </w:rPr>
              <w:t>de</w:t>
            </w:r>
            <w:proofErr w:type="spellEnd"/>
            <w:r w:rsidRPr="00623A82">
              <w:rPr>
                <w:i/>
                <w:iCs/>
              </w:rPr>
              <w:t xml:space="preserve"> </w:t>
            </w:r>
            <w:proofErr w:type="spellStart"/>
            <w:r w:rsidRPr="00623A82">
              <w:rPr>
                <w:i/>
                <w:iCs/>
              </w:rPr>
              <w:t>minimis</w:t>
            </w:r>
            <w:proofErr w:type="spellEnd"/>
            <w:r w:rsidRPr="00623A82">
              <w:t xml:space="preserve"> atbalstam </w:t>
            </w:r>
            <w:r w:rsidR="00125F55" w:rsidRPr="00623A82">
              <w:rPr>
                <w:shd w:val="clear" w:color="auto" w:fill="FFFFFF"/>
              </w:rPr>
              <w:t>1.panta 1. punkts; 2. panta 2. punkts; 3. panta 2. punkts;  5. panta 1. un 2. punkts; 6. panta 4. punkts; 7.panta 4. punkts un 8. pants</w:t>
            </w:r>
            <w:r w:rsidR="00125F55" w:rsidRPr="00623A82">
              <w:rPr>
                <w:sz w:val="28"/>
                <w:szCs w:val="28"/>
                <w:shd w:val="clear" w:color="auto" w:fill="FFFFFF"/>
              </w:rPr>
              <w:t xml:space="preserve"> </w:t>
            </w:r>
            <w:r w:rsidRPr="00623A82">
              <w:t>(Eiropas Savienības Oficiālais Vēstnesis, 2013</w:t>
            </w:r>
            <w:r w:rsidR="00D46E0B" w:rsidRPr="00623A82">
              <w:t xml:space="preserve">. </w:t>
            </w:r>
            <w:r w:rsidRPr="00623A82">
              <w:t>gada 24</w:t>
            </w:r>
            <w:r w:rsidR="00D46E0B" w:rsidRPr="00623A82">
              <w:t xml:space="preserve">. </w:t>
            </w:r>
            <w:r w:rsidRPr="00623A82">
              <w:t>decembris, Nr</w:t>
            </w:r>
            <w:r w:rsidR="00D46E0B" w:rsidRPr="00623A82">
              <w:t xml:space="preserve">. </w:t>
            </w:r>
            <w:r w:rsidRPr="00623A82">
              <w:t xml:space="preserve">L 352/1) (turpmāk - </w:t>
            </w:r>
            <w:r w:rsidRPr="00623A82">
              <w:rPr>
                <w:bCs/>
              </w:rPr>
              <w:t>Komisijas regula Nr</w:t>
            </w:r>
            <w:r w:rsidR="00D46E0B" w:rsidRPr="00623A82">
              <w:rPr>
                <w:bCs/>
              </w:rPr>
              <w:t xml:space="preserve">. </w:t>
            </w:r>
            <w:r w:rsidRPr="00623A82">
              <w:rPr>
                <w:bCs/>
              </w:rPr>
              <w:t>1407/2013</w:t>
            </w:r>
            <w:r w:rsidRPr="00623A82">
              <w:t>)</w:t>
            </w:r>
            <w:r w:rsidR="003E4D08" w:rsidRPr="00623A82">
              <w:t>.</w:t>
            </w:r>
          </w:p>
          <w:p w14:paraId="24EF8B3D" w14:textId="346C7F7F" w:rsidR="00623A82" w:rsidRPr="00623A82" w:rsidRDefault="00623A82" w:rsidP="00EB1B90">
            <w:pPr>
              <w:pStyle w:val="ListParagraph"/>
              <w:numPr>
                <w:ilvl w:val="0"/>
                <w:numId w:val="2"/>
              </w:numPr>
              <w:ind w:right="86"/>
              <w:jc w:val="both"/>
            </w:pPr>
            <w:r w:rsidRPr="00623A82">
              <w:rPr>
                <w:shd w:val="clear" w:color="auto" w:fill="FFFFFF"/>
              </w:rPr>
              <w:t>Eiropas Komisijas 2004.gada 21.aprīļa regulas (EK) Nr.794/2004 ar ko īsteno Padomes Regulu (EK) Nr. 659/1999, ar kuru nosaka sīki izstrādātus noteikumus EK Līguma 93. panta piemērošanai (turpmāk – Komisijas regula Nr.794/2004) 9.,10, un 11.pantā noteiktā procentu likmes piemērošanas metode.</w:t>
            </w:r>
          </w:p>
        </w:tc>
      </w:tr>
      <w:tr w:rsidR="006E41DD" w:rsidRPr="00EF556F" w14:paraId="515E32D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3BF02B1" w14:textId="77777777" w:rsidR="006E41DD" w:rsidRPr="00623A82" w:rsidRDefault="006E41DD" w:rsidP="00B44433">
            <w:r w:rsidRPr="00623A82">
              <w:t>2</w:t>
            </w:r>
            <w:r w:rsidR="00D46E0B" w:rsidRPr="00623A82">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11D70CA8" w14:textId="77777777" w:rsidR="006E41DD" w:rsidRPr="00623A82" w:rsidRDefault="006E41DD" w:rsidP="00B44433">
            <w:r w:rsidRPr="00623A82">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20D4008" w14:textId="77777777" w:rsidR="006E41DD" w:rsidRPr="00623A82" w:rsidRDefault="006E41DD" w:rsidP="00D46E0B">
            <w:pPr>
              <w:pStyle w:val="naiskr"/>
              <w:spacing w:before="40" w:beforeAutospacing="0" w:after="40" w:afterAutospacing="0"/>
              <w:ind w:left="57" w:right="57" w:firstLine="284"/>
              <w:jc w:val="both"/>
            </w:pPr>
            <w:r w:rsidRPr="00623A82">
              <w:t>MK noteikumu projekts šo jomu neskar</w:t>
            </w:r>
            <w:r w:rsidR="00D46E0B" w:rsidRPr="00623A82">
              <w:t xml:space="preserve">. </w:t>
            </w:r>
          </w:p>
        </w:tc>
      </w:tr>
      <w:tr w:rsidR="006E41DD" w:rsidRPr="00EF556F" w14:paraId="279FB66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5D079CF" w14:textId="77777777" w:rsidR="006E41DD" w:rsidRPr="00623A82" w:rsidRDefault="006E41DD" w:rsidP="00B44433">
            <w:r w:rsidRPr="00623A82">
              <w:t>3</w:t>
            </w:r>
            <w:r w:rsidR="00D46E0B" w:rsidRPr="00623A82">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49DDCAAC" w14:textId="77777777" w:rsidR="006E41DD" w:rsidRPr="00623A82" w:rsidRDefault="006E41DD" w:rsidP="00B44433">
            <w:r w:rsidRPr="00623A82">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5CB50578" w14:textId="1FBE931B" w:rsidR="006E41DD" w:rsidRPr="00EF556F" w:rsidRDefault="00506F24" w:rsidP="00506F24">
            <w:pPr>
              <w:pStyle w:val="naiskr"/>
              <w:spacing w:before="40" w:beforeAutospacing="0" w:after="40" w:afterAutospacing="0"/>
              <w:ind w:left="57" w:right="57"/>
              <w:jc w:val="both"/>
              <w:rPr>
                <w:highlight w:val="yellow"/>
              </w:rPr>
            </w:pPr>
            <w:r w:rsidRPr="007E5AFB">
              <w:t xml:space="preserve">Ar </w:t>
            </w:r>
            <w:r>
              <w:t>tiesību akta projektu</w:t>
            </w:r>
            <w:r w:rsidRPr="007E5AFB">
              <w:t xml:space="preserve"> plānots panākt Latvijas normatīvā regulējuma atbilstību secinājumiem un apsvērumiem, kas izriet </w:t>
            </w:r>
            <w:r w:rsidRPr="007E5AFB">
              <w:lastRenderedPageBreak/>
              <w:t xml:space="preserve">no ES Tiesas 2019. gada 5. marta spriedumā lietā C 349/17 </w:t>
            </w:r>
            <w:proofErr w:type="spellStart"/>
            <w:r w:rsidRPr="007E5AFB">
              <w:t>Eesti</w:t>
            </w:r>
            <w:proofErr w:type="spellEnd"/>
            <w:r w:rsidRPr="007E5AFB">
              <w:t xml:space="preserve"> </w:t>
            </w:r>
            <w:proofErr w:type="spellStart"/>
            <w:r w:rsidRPr="007E5AFB">
              <w:t>Pagar</w:t>
            </w:r>
            <w:proofErr w:type="spellEnd"/>
            <w:r w:rsidRPr="007E5AFB">
              <w:t>.</w:t>
            </w:r>
          </w:p>
        </w:tc>
      </w:tr>
      <w:tr w:rsidR="006E41DD" w:rsidRPr="00EF556F" w14:paraId="764DEEF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5250673" w14:textId="77777777" w:rsidR="006E41DD" w:rsidRPr="00623A82" w:rsidRDefault="006E41DD" w:rsidP="00B44433">
            <w:pPr>
              <w:rPr>
                <w:b/>
              </w:rPr>
            </w:pPr>
            <w:r w:rsidRPr="00623A82">
              <w:rPr>
                <w:b/>
              </w:rPr>
              <w:lastRenderedPageBreak/>
              <w:t>1</w:t>
            </w:r>
            <w:r w:rsidR="00D46E0B" w:rsidRPr="00623A82">
              <w:rPr>
                <w:b/>
              </w:rPr>
              <w:t xml:space="preserve">. </w:t>
            </w:r>
            <w:r w:rsidRPr="00623A82">
              <w:rPr>
                <w:b/>
              </w:rPr>
              <w:t>tabula</w:t>
            </w:r>
          </w:p>
          <w:p w14:paraId="687547BC" w14:textId="77777777" w:rsidR="006E41DD" w:rsidRPr="00623A82" w:rsidRDefault="006E41DD" w:rsidP="00B44433">
            <w:r w:rsidRPr="00623A82">
              <w:rPr>
                <w:b/>
              </w:rPr>
              <w:t>Tiesību akta projekta atbilstība ES tiesību aktiem</w:t>
            </w:r>
          </w:p>
        </w:tc>
      </w:tr>
      <w:tr w:rsidR="006E41DD" w:rsidRPr="00EF556F" w14:paraId="70BAF9A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6D509EB" w14:textId="77777777" w:rsidR="006E41DD" w:rsidRPr="00623A82" w:rsidRDefault="006E41DD" w:rsidP="00B44433">
            <w:r w:rsidRPr="00623A82">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5EA38D6" w14:textId="77777777" w:rsidR="006E41DD" w:rsidRPr="00623A82" w:rsidRDefault="006E41DD" w:rsidP="00D46E0B">
            <w:pPr>
              <w:pStyle w:val="naiskr"/>
              <w:spacing w:before="40" w:beforeAutospacing="0" w:after="40" w:afterAutospacing="0"/>
              <w:ind w:left="57" w:right="57" w:firstLine="284"/>
              <w:jc w:val="both"/>
              <w:rPr>
                <w:bCs/>
              </w:rPr>
            </w:pPr>
            <w:r w:rsidRPr="00623A82">
              <w:t>Komisijas</w:t>
            </w:r>
            <w:r w:rsidRPr="00623A82">
              <w:rPr>
                <w:bCs/>
              </w:rPr>
              <w:t xml:space="preserve"> regula Nr</w:t>
            </w:r>
            <w:r w:rsidR="00D46E0B" w:rsidRPr="00623A82">
              <w:rPr>
                <w:bCs/>
              </w:rPr>
              <w:t xml:space="preserve">. </w:t>
            </w:r>
            <w:r w:rsidRPr="00623A82">
              <w:rPr>
                <w:bCs/>
              </w:rPr>
              <w:t>1303/2013</w:t>
            </w:r>
            <w:r w:rsidR="00C76819" w:rsidRPr="00623A82">
              <w:rPr>
                <w:bCs/>
              </w:rPr>
              <w:t>;</w:t>
            </w:r>
          </w:p>
          <w:p w14:paraId="159359FD" w14:textId="77777777" w:rsidR="00C76819" w:rsidRPr="00623A82" w:rsidRDefault="00C76819" w:rsidP="00D46E0B">
            <w:pPr>
              <w:pStyle w:val="naiskr"/>
              <w:spacing w:before="40" w:beforeAutospacing="0" w:after="40" w:afterAutospacing="0"/>
              <w:ind w:left="57" w:right="57" w:firstLine="284"/>
              <w:jc w:val="both"/>
              <w:rPr>
                <w:bCs/>
              </w:rPr>
            </w:pPr>
            <w:r w:rsidRPr="00623A82">
              <w:rPr>
                <w:bCs/>
              </w:rPr>
              <w:t>Komisijas regula Nr. 1304/2013;</w:t>
            </w:r>
          </w:p>
          <w:p w14:paraId="50EFF622" w14:textId="77777777" w:rsidR="00C76819" w:rsidRPr="00623A82" w:rsidRDefault="00C76819" w:rsidP="00D46E0B">
            <w:pPr>
              <w:pStyle w:val="naiskr"/>
              <w:spacing w:before="40" w:beforeAutospacing="0" w:after="40" w:afterAutospacing="0"/>
              <w:ind w:left="57" w:right="57" w:firstLine="284"/>
              <w:jc w:val="both"/>
              <w:rPr>
                <w:bCs/>
              </w:rPr>
            </w:pPr>
            <w:r w:rsidRPr="00623A82">
              <w:t>Komisijas lēmums Nr. 2012/21/ES</w:t>
            </w:r>
            <w:r w:rsidR="00132F9A" w:rsidRPr="00623A82">
              <w:t>;</w:t>
            </w:r>
          </w:p>
          <w:p w14:paraId="0FDC0C7E" w14:textId="77777777" w:rsidR="006E41DD" w:rsidRPr="00623A82" w:rsidRDefault="00C76819" w:rsidP="00132F9A">
            <w:pPr>
              <w:pStyle w:val="naiskr"/>
              <w:spacing w:before="40" w:beforeAutospacing="0" w:after="40" w:afterAutospacing="0"/>
              <w:ind w:left="57" w:right="57" w:firstLine="284"/>
              <w:jc w:val="both"/>
              <w:rPr>
                <w:bCs/>
              </w:rPr>
            </w:pPr>
            <w:r w:rsidRPr="00623A82">
              <w:rPr>
                <w:bCs/>
              </w:rPr>
              <w:t>Komisijas regula Nr. 1407/2013</w:t>
            </w:r>
            <w:r w:rsidR="00623A82" w:rsidRPr="00623A82">
              <w:rPr>
                <w:bCs/>
              </w:rPr>
              <w:t>;</w:t>
            </w:r>
          </w:p>
          <w:p w14:paraId="58CAA223" w14:textId="575ACE3D" w:rsidR="00623A82" w:rsidRPr="00623A82" w:rsidRDefault="00623A82" w:rsidP="00132F9A">
            <w:pPr>
              <w:pStyle w:val="naiskr"/>
              <w:spacing w:before="40" w:beforeAutospacing="0" w:after="40" w:afterAutospacing="0"/>
              <w:ind w:left="57" w:right="57" w:firstLine="284"/>
              <w:jc w:val="both"/>
            </w:pPr>
            <w:r w:rsidRPr="00623A82">
              <w:rPr>
                <w:shd w:val="clear" w:color="auto" w:fill="FFFFFF"/>
              </w:rPr>
              <w:t>Komisijas regula Nr.794/2004.</w:t>
            </w:r>
          </w:p>
        </w:tc>
      </w:tr>
      <w:tr w:rsidR="006E41DD" w:rsidRPr="00EF556F" w14:paraId="5051EEC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500916F9" w14:textId="77777777" w:rsidR="006E41DD" w:rsidRPr="00DD7C08" w:rsidRDefault="006E41DD" w:rsidP="00B44433">
            <w:r w:rsidRPr="00DD7C08">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7C3200F" w14:textId="77777777" w:rsidR="006E41DD" w:rsidRPr="00DD7C08" w:rsidRDefault="006E41DD" w:rsidP="00B44433">
            <w:r w:rsidRPr="00DD7C08">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63B18B81" w14:textId="77777777" w:rsidR="006E41DD" w:rsidRPr="00DD7C08" w:rsidRDefault="006E41DD" w:rsidP="00B44433">
            <w:r w:rsidRPr="00DD7C08">
              <w:t>C</w:t>
            </w:r>
          </w:p>
        </w:tc>
        <w:tc>
          <w:tcPr>
            <w:tcW w:w="2240" w:type="dxa"/>
            <w:tcBorders>
              <w:top w:val="outset" w:sz="6" w:space="0" w:color="auto"/>
              <w:left w:val="outset" w:sz="6" w:space="0" w:color="auto"/>
              <w:bottom w:val="outset" w:sz="6" w:space="0" w:color="auto"/>
              <w:right w:val="outset" w:sz="6" w:space="0" w:color="auto"/>
            </w:tcBorders>
            <w:vAlign w:val="center"/>
          </w:tcPr>
          <w:p w14:paraId="2D41CC93" w14:textId="77777777" w:rsidR="006E41DD" w:rsidRPr="00DD7C08" w:rsidRDefault="006E41DD" w:rsidP="00B44433">
            <w:r w:rsidRPr="00DD7C08">
              <w:t>D</w:t>
            </w:r>
          </w:p>
        </w:tc>
      </w:tr>
      <w:tr w:rsidR="006E41DD" w:rsidRPr="00EF556F" w14:paraId="725EE719"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2423E27" w14:textId="77777777" w:rsidR="006E41DD" w:rsidRPr="00DD7C08" w:rsidRDefault="006E41DD" w:rsidP="00D46E0B">
            <w:pPr>
              <w:pStyle w:val="naiskr"/>
              <w:spacing w:before="40" w:beforeAutospacing="0" w:after="40" w:afterAutospacing="0"/>
              <w:ind w:left="57" w:right="57"/>
            </w:pPr>
            <w:r w:rsidRPr="00DD7C08">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725753A7" w14:textId="77777777" w:rsidR="006E41DD" w:rsidRPr="00DD7C08" w:rsidRDefault="006E41DD" w:rsidP="00D46E0B">
            <w:pPr>
              <w:pStyle w:val="naiskr"/>
              <w:spacing w:before="40" w:beforeAutospacing="0" w:after="40" w:afterAutospacing="0"/>
              <w:ind w:left="57" w:right="57"/>
            </w:pPr>
            <w:r w:rsidRPr="00DD7C08">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1B3126AE" w14:textId="77777777" w:rsidR="006E41DD" w:rsidRPr="00DD7C08" w:rsidRDefault="006E41DD" w:rsidP="00D46E0B">
            <w:pPr>
              <w:pStyle w:val="naiskr"/>
              <w:spacing w:before="40" w:beforeAutospacing="0" w:after="40" w:afterAutospacing="0"/>
              <w:ind w:left="57" w:right="57"/>
            </w:pPr>
            <w:r w:rsidRPr="00DD7C08">
              <w:t>Informācija par to, vai šīs tabulas A ailē minētās ES tiesību akta vienības tiek pārņemtas vai ieviestas pilnībā vai daļēji</w:t>
            </w:r>
            <w:r w:rsidR="00D46E0B" w:rsidRPr="00DD7C08">
              <w:t xml:space="preserve">. </w:t>
            </w:r>
          </w:p>
          <w:p w14:paraId="47A5A22C" w14:textId="77777777" w:rsidR="006E41DD" w:rsidRPr="00DD7C08" w:rsidRDefault="006E41DD" w:rsidP="00D46E0B">
            <w:pPr>
              <w:pStyle w:val="naiskr"/>
              <w:spacing w:before="40" w:beforeAutospacing="0" w:after="40" w:afterAutospacing="0"/>
              <w:ind w:left="57" w:right="57"/>
            </w:pPr>
            <w:r w:rsidRPr="00DD7C08">
              <w:t>Ja attiecīgā ES tiesību akta vienība tiek pārņemta vai ieviesta daļēji, sniedz attiecīgu skaidrojumu, kā arī precīzi norāda, kad un kādā veidā ES tiesību akta vienība tiks pārņemta vai ieviesta pilnībā</w:t>
            </w:r>
            <w:r w:rsidR="00D46E0B" w:rsidRPr="00DD7C08">
              <w:t xml:space="preserve">. </w:t>
            </w:r>
          </w:p>
          <w:p w14:paraId="384B5E55" w14:textId="77777777" w:rsidR="006E41DD" w:rsidRPr="00DD7C08" w:rsidRDefault="006E41DD" w:rsidP="00D46E0B">
            <w:pPr>
              <w:pStyle w:val="naiskr"/>
              <w:spacing w:before="40" w:beforeAutospacing="0" w:after="40" w:afterAutospacing="0"/>
              <w:ind w:left="57" w:right="57"/>
            </w:pPr>
            <w:r w:rsidRPr="00DD7C08">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E6EAF62" w14:textId="77777777" w:rsidR="006E41DD" w:rsidRPr="00DD7C08" w:rsidRDefault="006E41DD" w:rsidP="00D46E0B">
            <w:pPr>
              <w:pStyle w:val="naiskr"/>
              <w:spacing w:before="40" w:beforeAutospacing="0" w:after="40" w:afterAutospacing="0"/>
              <w:ind w:left="57" w:right="57"/>
            </w:pPr>
            <w:r w:rsidRPr="00DD7C08">
              <w:t>Informācija par to, vai šīs tabulas B ailē minētās projekta vienības paredz stingrākas prasības nekā šīs tabulas A ailē minētās ES tiesību akta vienības</w:t>
            </w:r>
            <w:r w:rsidR="00D46E0B" w:rsidRPr="00DD7C08">
              <w:t xml:space="preserve">. </w:t>
            </w:r>
          </w:p>
          <w:p w14:paraId="374B0789" w14:textId="77777777" w:rsidR="006E41DD" w:rsidRPr="00DD7C08" w:rsidRDefault="006E41DD" w:rsidP="00D46E0B">
            <w:pPr>
              <w:pStyle w:val="naiskr"/>
              <w:spacing w:before="40" w:beforeAutospacing="0" w:after="40" w:afterAutospacing="0"/>
              <w:ind w:left="57" w:right="57"/>
            </w:pPr>
            <w:r w:rsidRPr="00DD7C08">
              <w:t>Ja projekts satur stingrā</w:t>
            </w:r>
            <w:r w:rsidRPr="00DD7C08">
              <w:softHyphen/>
              <w:t>kas prasības nekā attie</w:t>
            </w:r>
            <w:r w:rsidRPr="00DD7C08">
              <w:softHyphen/>
              <w:t>cīgais ES tiesību akts, norāda pamatojumu un samērīgumu</w:t>
            </w:r>
            <w:r w:rsidR="00D46E0B" w:rsidRPr="00DD7C08">
              <w:t xml:space="preserve">. </w:t>
            </w:r>
          </w:p>
          <w:p w14:paraId="546CF0CE" w14:textId="77777777" w:rsidR="006E41DD" w:rsidRPr="00DD7C08" w:rsidRDefault="006E41DD" w:rsidP="00D46E0B">
            <w:pPr>
              <w:pStyle w:val="naiskr"/>
              <w:spacing w:before="40" w:beforeAutospacing="0" w:after="40" w:afterAutospacing="0"/>
              <w:ind w:left="57" w:right="57"/>
            </w:pPr>
            <w:r w:rsidRPr="00DD7C08">
              <w:t>Norāda iespējamās alternatīvas (t</w:t>
            </w:r>
            <w:r w:rsidR="00D46E0B" w:rsidRPr="00DD7C08">
              <w:t xml:space="preserve">. </w:t>
            </w:r>
            <w:r w:rsidRPr="00DD7C08">
              <w:t>sk</w:t>
            </w:r>
            <w:r w:rsidR="00D46E0B" w:rsidRPr="00DD7C08">
              <w:t xml:space="preserve">. </w:t>
            </w:r>
            <w:r w:rsidRPr="00DD7C08">
              <w:t>alternatīvas, kas neparedz tiesiskā regulējuma izstrādi) – kādos gadījumos būtu iespējams izvairīties no stingrāku prasību noteikšanas, nekā paredzēts attiecīgajos ES tiesību aktos</w:t>
            </w:r>
          </w:p>
        </w:tc>
      </w:tr>
      <w:tr w:rsidR="006E41DD" w:rsidRPr="00EF556F" w14:paraId="3123BA1F"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26D4614" w14:textId="16A40C4E" w:rsidR="006E41DD" w:rsidRPr="007F5F4A" w:rsidRDefault="00D821D6" w:rsidP="004065CE">
            <w:r>
              <w:t>Eiropas Parlamenta un Padomes Regula Nr. 1303/2013, 68.a panta 1.punkts</w:t>
            </w:r>
          </w:p>
        </w:tc>
        <w:tc>
          <w:tcPr>
            <w:tcW w:w="2455" w:type="dxa"/>
            <w:gridSpan w:val="3"/>
            <w:tcBorders>
              <w:top w:val="outset" w:sz="6" w:space="0" w:color="auto"/>
              <w:left w:val="outset" w:sz="6" w:space="0" w:color="auto"/>
              <w:bottom w:val="outset" w:sz="6" w:space="0" w:color="auto"/>
              <w:right w:val="outset" w:sz="6" w:space="0" w:color="auto"/>
            </w:tcBorders>
          </w:tcPr>
          <w:p w14:paraId="55263A97" w14:textId="6C08C5B3" w:rsidR="006E41DD" w:rsidRPr="007F5F4A" w:rsidRDefault="00004926" w:rsidP="008D632C">
            <w:pPr>
              <w:pStyle w:val="naiskr"/>
              <w:spacing w:before="40" w:beforeAutospacing="0" w:after="40" w:afterAutospacing="0"/>
              <w:ind w:left="57" w:right="57"/>
            </w:pPr>
            <w:r>
              <w:t>MK noteikumu projekta 15.punkts</w:t>
            </w:r>
          </w:p>
        </w:tc>
        <w:tc>
          <w:tcPr>
            <w:tcW w:w="2693" w:type="dxa"/>
            <w:gridSpan w:val="2"/>
            <w:tcBorders>
              <w:top w:val="outset" w:sz="6" w:space="0" w:color="auto"/>
              <w:left w:val="outset" w:sz="6" w:space="0" w:color="auto"/>
              <w:bottom w:val="outset" w:sz="6" w:space="0" w:color="auto"/>
              <w:right w:val="outset" w:sz="6" w:space="0" w:color="auto"/>
            </w:tcBorders>
          </w:tcPr>
          <w:p w14:paraId="0DAC6A86" w14:textId="77777777" w:rsidR="00D821D6" w:rsidRPr="007F5F4A" w:rsidRDefault="00D821D6" w:rsidP="00D821D6">
            <w:pPr>
              <w:pStyle w:val="naiskr"/>
              <w:spacing w:before="40" w:beforeAutospacing="0" w:after="40" w:afterAutospacing="0"/>
              <w:ind w:left="57" w:right="57"/>
            </w:pPr>
            <w:r w:rsidRPr="007F5F4A">
              <w:t xml:space="preserve">Tiek ieviesta pilnībā. </w:t>
            </w:r>
          </w:p>
          <w:p w14:paraId="17973C56" w14:textId="2A7F5266" w:rsidR="006E41DD" w:rsidRPr="007F5F4A" w:rsidRDefault="00D821D6" w:rsidP="00D821D6">
            <w:pPr>
              <w:pStyle w:val="naiskr"/>
              <w:spacing w:before="40" w:beforeAutospacing="0" w:after="40" w:afterAutospacing="0"/>
              <w:ind w:left="57" w:right="57"/>
            </w:pPr>
            <w:r w:rsidRPr="007F5F4A">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1FF26545" w14:textId="7B355BD0" w:rsidR="006E41DD" w:rsidRPr="007F5F4A" w:rsidRDefault="00D821D6" w:rsidP="00D46E0B">
            <w:pPr>
              <w:pStyle w:val="naiskr"/>
              <w:spacing w:before="40" w:beforeAutospacing="0" w:after="40" w:afterAutospacing="0"/>
              <w:ind w:left="57" w:right="57"/>
            </w:pPr>
            <w:r w:rsidRPr="007F5F4A">
              <w:t>Netiek paredzētas stingrākas prasības</w:t>
            </w:r>
            <w:r>
              <w:t>.</w:t>
            </w:r>
          </w:p>
        </w:tc>
      </w:tr>
      <w:tr w:rsidR="00004926" w:rsidRPr="00EF556F" w14:paraId="3FE4D901"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D86DFB9" w14:textId="77777777" w:rsidR="00004926" w:rsidRPr="007F5F4A" w:rsidRDefault="00004926" w:rsidP="00004926">
            <w:r w:rsidRPr="007F5F4A">
              <w:rPr>
                <w:bCs/>
              </w:rPr>
              <w:t>Komisijas regula Nr. 1303/2013</w:t>
            </w:r>
          </w:p>
          <w:p w14:paraId="28541CFB" w14:textId="0A4185F1" w:rsidR="00004926" w:rsidRPr="007F5F4A" w:rsidRDefault="00004926" w:rsidP="00004926">
            <w:pPr>
              <w:rPr>
                <w:bCs/>
              </w:rPr>
            </w:pPr>
            <w:r w:rsidRPr="007F5F4A">
              <w:t>XII pielikuma 2. 2. sadaļa</w:t>
            </w:r>
          </w:p>
        </w:tc>
        <w:tc>
          <w:tcPr>
            <w:tcW w:w="2455" w:type="dxa"/>
            <w:gridSpan w:val="3"/>
            <w:tcBorders>
              <w:top w:val="outset" w:sz="6" w:space="0" w:color="auto"/>
              <w:left w:val="outset" w:sz="6" w:space="0" w:color="auto"/>
              <w:bottom w:val="outset" w:sz="6" w:space="0" w:color="auto"/>
              <w:right w:val="outset" w:sz="6" w:space="0" w:color="auto"/>
            </w:tcBorders>
          </w:tcPr>
          <w:p w14:paraId="3DE884D4" w14:textId="0EBC17D7" w:rsidR="00004926" w:rsidRPr="007F5F4A" w:rsidRDefault="00004926" w:rsidP="00004926">
            <w:pPr>
              <w:pStyle w:val="naiskr"/>
              <w:spacing w:before="40" w:beforeAutospacing="0" w:after="40" w:afterAutospacing="0"/>
              <w:ind w:left="57" w:right="57"/>
            </w:pPr>
            <w:r w:rsidRPr="007F5F4A">
              <w:t xml:space="preserve">MK noteikumu projekta 15. punkts, 49.punkts </w:t>
            </w:r>
          </w:p>
        </w:tc>
        <w:tc>
          <w:tcPr>
            <w:tcW w:w="2693" w:type="dxa"/>
            <w:gridSpan w:val="2"/>
            <w:tcBorders>
              <w:top w:val="outset" w:sz="6" w:space="0" w:color="auto"/>
              <w:left w:val="outset" w:sz="6" w:space="0" w:color="auto"/>
              <w:bottom w:val="outset" w:sz="6" w:space="0" w:color="auto"/>
              <w:right w:val="outset" w:sz="6" w:space="0" w:color="auto"/>
            </w:tcBorders>
          </w:tcPr>
          <w:p w14:paraId="60EB49CD" w14:textId="77777777" w:rsidR="00004926" w:rsidRPr="007F5F4A" w:rsidRDefault="00004926" w:rsidP="00004926">
            <w:pPr>
              <w:pStyle w:val="naiskr"/>
              <w:spacing w:before="40" w:beforeAutospacing="0" w:after="40" w:afterAutospacing="0"/>
              <w:ind w:left="57" w:right="57"/>
            </w:pPr>
            <w:r w:rsidRPr="007F5F4A">
              <w:t xml:space="preserve">Tiek ieviesta pilnībā. </w:t>
            </w:r>
          </w:p>
          <w:p w14:paraId="1C3C82F9" w14:textId="3D7B2E3D" w:rsidR="00004926" w:rsidRPr="007F5F4A" w:rsidRDefault="00004926" w:rsidP="00004926">
            <w:pPr>
              <w:pStyle w:val="naiskr"/>
              <w:spacing w:before="40" w:beforeAutospacing="0" w:after="40" w:afterAutospacing="0"/>
              <w:ind w:left="57" w:right="57"/>
            </w:pPr>
            <w:r w:rsidRPr="007F5F4A">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587948A5" w14:textId="39A9C229" w:rsidR="00004926" w:rsidRPr="007F5F4A" w:rsidRDefault="00004926" w:rsidP="00004926">
            <w:pPr>
              <w:pStyle w:val="naiskr"/>
              <w:spacing w:before="40" w:beforeAutospacing="0" w:after="40" w:afterAutospacing="0"/>
              <w:ind w:left="57" w:right="57"/>
            </w:pPr>
            <w:r w:rsidRPr="007F5F4A">
              <w:t xml:space="preserve">Netiek paredzētas stingrākas prasības. </w:t>
            </w:r>
          </w:p>
        </w:tc>
      </w:tr>
      <w:tr w:rsidR="00004926" w:rsidRPr="00EF556F" w14:paraId="5F149F6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42A7F7A0" w14:textId="77777777" w:rsidR="00004926" w:rsidRPr="007F5F4A" w:rsidRDefault="00004926" w:rsidP="00004926">
            <w:r w:rsidRPr="007F5F4A">
              <w:rPr>
                <w:bCs/>
              </w:rPr>
              <w:lastRenderedPageBreak/>
              <w:t>Komisijas regula Nr. 1304/2013</w:t>
            </w:r>
          </w:p>
          <w:p w14:paraId="40D39017" w14:textId="77777777" w:rsidR="00004926" w:rsidRPr="007F5F4A" w:rsidRDefault="00004926" w:rsidP="00004926">
            <w:pPr>
              <w:rPr>
                <w:bCs/>
              </w:rPr>
            </w:pPr>
            <w:r w:rsidRPr="007F5F4A">
              <w:t>1. pielikums</w:t>
            </w:r>
          </w:p>
        </w:tc>
        <w:tc>
          <w:tcPr>
            <w:tcW w:w="2455" w:type="dxa"/>
            <w:gridSpan w:val="3"/>
            <w:tcBorders>
              <w:top w:val="outset" w:sz="6" w:space="0" w:color="auto"/>
              <w:left w:val="outset" w:sz="6" w:space="0" w:color="auto"/>
              <w:bottom w:val="outset" w:sz="6" w:space="0" w:color="auto"/>
              <w:right w:val="outset" w:sz="6" w:space="0" w:color="auto"/>
            </w:tcBorders>
          </w:tcPr>
          <w:p w14:paraId="0F4B8977" w14:textId="4C54F185" w:rsidR="00004926" w:rsidRPr="007F5F4A" w:rsidRDefault="00004926" w:rsidP="00004926">
            <w:pPr>
              <w:pStyle w:val="naiskr"/>
              <w:spacing w:before="40" w:beforeAutospacing="0" w:after="40" w:afterAutospacing="0"/>
              <w:ind w:left="57" w:right="57"/>
            </w:pPr>
            <w:r w:rsidRPr="007F5F4A">
              <w:t>MK noteikumu projekta 53.1.apakšpunkts.</w:t>
            </w:r>
          </w:p>
        </w:tc>
        <w:tc>
          <w:tcPr>
            <w:tcW w:w="2693" w:type="dxa"/>
            <w:gridSpan w:val="2"/>
            <w:tcBorders>
              <w:top w:val="outset" w:sz="6" w:space="0" w:color="auto"/>
              <w:left w:val="outset" w:sz="6" w:space="0" w:color="auto"/>
              <w:bottom w:val="outset" w:sz="6" w:space="0" w:color="auto"/>
              <w:right w:val="outset" w:sz="6" w:space="0" w:color="auto"/>
            </w:tcBorders>
          </w:tcPr>
          <w:p w14:paraId="5FE55C2A" w14:textId="77777777" w:rsidR="00004926" w:rsidRPr="007F5F4A" w:rsidRDefault="00004926" w:rsidP="00004926">
            <w:pPr>
              <w:pStyle w:val="naiskr"/>
              <w:spacing w:before="40" w:beforeAutospacing="0" w:after="40" w:afterAutospacing="0"/>
              <w:ind w:left="57" w:right="57"/>
            </w:pPr>
            <w:r w:rsidRPr="007F5F4A">
              <w:t xml:space="preserve">Tiek ieviesta pilnībā. </w:t>
            </w:r>
          </w:p>
          <w:p w14:paraId="7D0DB176" w14:textId="77777777" w:rsidR="00004926" w:rsidRPr="007F5F4A" w:rsidRDefault="00004926" w:rsidP="00004926">
            <w:pPr>
              <w:pStyle w:val="naiskr"/>
              <w:spacing w:before="40" w:beforeAutospacing="0" w:after="40" w:afterAutospacing="0"/>
              <w:ind w:left="57" w:right="57"/>
            </w:pPr>
            <w:r w:rsidRPr="007F5F4A">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115E05E3" w14:textId="77777777" w:rsidR="00004926" w:rsidRPr="007F5F4A" w:rsidRDefault="00004926" w:rsidP="00004926">
            <w:pPr>
              <w:pStyle w:val="naiskr"/>
              <w:spacing w:before="40" w:beforeAutospacing="0" w:after="40" w:afterAutospacing="0"/>
              <w:ind w:left="57" w:right="57"/>
            </w:pPr>
            <w:r w:rsidRPr="007F5F4A">
              <w:t xml:space="preserve">Netiek paredzētas stingrākas prasības. </w:t>
            </w:r>
          </w:p>
        </w:tc>
      </w:tr>
      <w:tr w:rsidR="00004926" w:rsidRPr="00EF556F" w14:paraId="119E664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534B06D" w14:textId="77777777" w:rsidR="00004926" w:rsidRPr="004C5E09" w:rsidRDefault="00004926" w:rsidP="00004926">
            <w:pPr>
              <w:rPr>
                <w:bCs/>
              </w:rPr>
            </w:pPr>
            <w:r w:rsidRPr="004C5E09">
              <w:t>Komisijas lēmums Nr. 2012/21/ES</w:t>
            </w:r>
          </w:p>
        </w:tc>
        <w:tc>
          <w:tcPr>
            <w:tcW w:w="2455" w:type="dxa"/>
            <w:gridSpan w:val="3"/>
            <w:tcBorders>
              <w:top w:val="outset" w:sz="6" w:space="0" w:color="auto"/>
              <w:left w:val="outset" w:sz="6" w:space="0" w:color="auto"/>
              <w:bottom w:val="outset" w:sz="6" w:space="0" w:color="auto"/>
              <w:right w:val="outset" w:sz="6" w:space="0" w:color="auto"/>
            </w:tcBorders>
          </w:tcPr>
          <w:p w14:paraId="4161164C" w14:textId="1EF029D4" w:rsidR="00004926" w:rsidRPr="004C5E09" w:rsidRDefault="00004926" w:rsidP="00004926">
            <w:pPr>
              <w:pStyle w:val="naiskr"/>
              <w:spacing w:before="40" w:beforeAutospacing="0" w:after="40" w:afterAutospacing="0"/>
              <w:ind w:left="57" w:right="57"/>
            </w:pPr>
            <w:r w:rsidRPr="004C5E09">
              <w:t>MK noteikumu projekta 37.1., 37.2., 37.4.2.</w:t>
            </w:r>
            <w:r>
              <w:t xml:space="preserve">apakšpunkts, </w:t>
            </w:r>
            <w:r w:rsidRPr="004C5E09">
              <w:t>45.</w:t>
            </w:r>
            <w:r>
              <w:t>punkts</w:t>
            </w:r>
          </w:p>
        </w:tc>
        <w:tc>
          <w:tcPr>
            <w:tcW w:w="2693" w:type="dxa"/>
            <w:gridSpan w:val="2"/>
            <w:tcBorders>
              <w:top w:val="outset" w:sz="6" w:space="0" w:color="auto"/>
              <w:left w:val="outset" w:sz="6" w:space="0" w:color="auto"/>
              <w:bottom w:val="outset" w:sz="6" w:space="0" w:color="auto"/>
              <w:right w:val="outset" w:sz="6" w:space="0" w:color="auto"/>
            </w:tcBorders>
          </w:tcPr>
          <w:p w14:paraId="44A12D23" w14:textId="77777777" w:rsidR="00004926" w:rsidRPr="004C5E09" w:rsidRDefault="00004926" w:rsidP="00004926">
            <w:pPr>
              <w:pStyle w:val="naiskr"/>
              <w:spacing w:before="40" w:beforeAutospacing="0" w:after="40" w:afterAutospacing="0"/>
              <w:ind w:left="57" w:right="57"/>
            </w:pPr>
            <w:r w:rsidRPr="004C5E09">
              <w:t xml:space="preserve">Tiek ieviesta pilnībā. </w:t>
            </w:r>
          </w:p>
          <w:p w14:paraId="764D7526" w14:textId="77777777" w:rsidR="00004926" w:rsidRPr="004C5E09" w:rsidRDefault="00004926" w:rsidP="00004926">
            <w:pPr>
              <w:pStyle w:val="naiskr"/>
              <w:spacing w:before="40" w:beforeAutospacing="0" w:after="40" w:afterAutospacing="0"/>
              <w:ind w:left="57" w:right="57"/>
            </w:pPr>
            <w:r w:rsidRPr="004C5E09">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1494200E" w14:textId="77777777" w:rsidR="00004926" w:rsidRPr="004C5E09" w:rsidRDefault="00004926" w:rsidP="00004926">
            <w:pPr>
              <w:pStyle w:val="naiskr"/>
              <w:spacing w:before="40" w:beforeAutospacing="0" w:after="40" w:afterAutospacing="0"/>
              <w:ind w:left="57" w:right="57"/>
            </w:pPr>
            <w:r w:rsidRPr="004C5E09">
              <w:t xml:space="preserve">Netiek paredzētas stingrākas prasības. </w:t>
            </w:r>
          </w:p>
        </w:tc>
      </w:tr>
      <w:tr w:rsidR="00004926" w:rsidRPr="00EF556F" w14:paraId="6081957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4C62CDA" w14:textId="77777777" w:rsidR="00004926" w:rsidRPr="004C5E09" w:rsidRDefault="00004926" w:rsidP="00004926">
            <w:pPr>
              <w:rPr>
                <w:bCs/>
              </w:rPr>
            </w:pPr>
            <w:r w:rsidRPr="004C5E09">
              <w:rPr>
                <w:bCs/>
              </w:rPr>
              <w:t>Komisijas regula Nr. 1407/2013</w:t>
            </w:r>
          </w:p>
        </w:tc>
        <w:tc>
          <w:tcPr>
            <w:tcW w:w="2455" w:type="dxa"/>
            <w:gridSpan w:val="3"/>
            <w:tcBorders>
              <w:top w:val="outset" w:sz="6" w:space="0" w:color="auto"/>
              <w:left w:val="outset" w:sz="6" w:space="0" w:color="auto"/>
              <w:bottom w:val="outset" w:sz="6" w:space="0" w:color="auto"/>
              <w:right w:val="outset" w:sz="6" w:space="0" w:color="auto"/>
            </w:tcBorders>
          </w:tcPr>
          <w:p w14:paraId="41B35B1F" w14:textId="402B82A2" w:rsidR="00004926" w:rsidRPr="004C5E09" w:rsidRDefault="00004926" w:rsidP="00004926">
            <w:pPr>
              <w:pStyle w:val="naiskr"/>
              <w:spacing w:before="40" w:beforeAutospacing="0" w:after="40" w:afterAutospacing="0"/>
              <w:ind w:left="57" w:right="57"/>
            </w:pPr>
            <w:r w:rsidRPr="004C5E09">
              <w:t>MK noteikumu projekta 37.4.1.apakšpunkts</w:t>
            </w:r>
            <w:r>
              <w:t>, 44.punkts</w:t>
            </w:r>
          </w:p>
        </w:tc>
        <w:tc>
          <w:tcPr>
            <w:tcW w:w="2693" w:type="dxa"/>
            <w:gridSpan w:val="2"/>
            <w:tcBorders>
              <w:top w:val="outset" w:sz="6" w:space="0" w:color="auto"/>
              <w:left w:val="outset" w:sz="6" w:space="0" w:color="auto"/>
              <w:bottom w:val="outset" w:sz="6" w:space="0" w:color="auto"/>
              <w:right w:val="outset" w:sz="6" w:space="0" w:color="auto"/>
            </w:tcBorders>
          </w:tcPr>
          <w:p w14:paraId="18BB8962" w14:textId="77777777" w:rsidR="00004926" w:rsidRPr="004C5E09" w:rsidRDefault="00004926" w:rsidP="00004926">
            <w:pPr>
              <w:pStyle w:val="naiskr"/>
              <w:spacing w:before="40" w:beforeAutospacing="0" w:after="40" w:afterAutospacing="0"/>
              <w:ind w:left="57" w:right="57"/>
            </w:pPr>
            <w:r w:rsidRPr="004C5E09">
              <w:t xml:space="preserve">Tiek ieviesta pilnībā. </w:t>
            </w:r>
          </w:p>
          <w:p w14:paraId="6D923543" w14:textId="77777777" w:rsidR="00004926" w:rsidRPr="004C5E09" w:rsidRDefault="00004926" w:rsidP="00004926">
            <w:pPr>
              <w:pStyle w:val="naiskr"/>
              <w:spacing w:before="40" w:beforeAutospacing="0" w:after="40" w:afterAutospacing="0"/>
              <w:ind w:left="57" w:right="57"/>
            </w:pPr>
            <w:r w:rsidRPr="004C5E09">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1D12422E" w14:textId="77777777" w:rsidR="00004926" w:rsidRPr="004C5E09" w:rsidRDefault="00004926" w:rsidP="00004926">
            <w:pPr>
              <w:pStyle w:val="naiskr"/>
              <w:spacing w:before="40" w:beforeAutospacing="0" w:after="40" w:afterAutospacing="0"/>
              <w:ind w:left="57" w:right="57"/>
            </w:pPr>
            <w:r w:rsidRPr="004C5E09">
              <w:t xml:space="preserve">Netiek paredzētas stingrākas prasības. </w:t>
            </w:r>
          </w:p>
        </w:tc>
      </w:tr>
      <w:tr w:rsidR="00004926" w:rsidRPr="00EF556F" w14:paraId="03DE9B1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024C644" w14:textId="423978E3" w:rsidR="00004926" w:rsidRPr="004C5E09" w:rsidRDefault="00004926" w:rsidP="00004926">
            <w:pPr>
              <w:rPr>
                <w:bCs/>
              </w:rPr>
            </w:pPr>
            <w:r w:rsidRPr="004C5E09">
              <w:rPr>
                <w:bCs/>
              </w:rPr>
              <w:t xml:space="preserve">Komisijas regula Nr. 1407/2013 </w:t>
            </w:r>
            <w:r w:rsidRPr="004C5E09">
              <w:rPr>
                <w:shd w:val="clear" w:color="auto" w:fill="FFFFFF"/>
              </w:rPr>
              <w:t>1.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1DD6DD0C" w14:textId="4B90DFB0" w:rsidR="00004926" w:rsidRPr="004C5E09" w:rsidRDefault="00004926" w:rsidP="00004926">
            <w:pPr>
              <w:pStyle w:val="naiskr"/>
              <w:spacing w:before="40" w:beforeAutospacing="0" w:after="40" w:afterAutospacing="0"/>
              <w:ind w:left="57" w:right="57"/>
            </w:pPr>
            <w:r w:rsidRPr="004C5E09">
              <w:t>MK noteikumu projekta 42.1.1.apakšpunkts</w:t>
            </w:r>
          </w:p>
        </w:tc>
        <w:tc>
          <w:tcPr>
            <w:tcW w:w="2693" w:type="dxa"/>
            <w:gridSpan w:val="2"/>
            <w:tcBorders>
              <w:top w:val="outset" w:sz="6" w:space="0" w:color="auto"/>
              <w:left w:val="outset" w:sz="6" w:space="0" w:color="auto"/>
              <w:bottom w:val="outset" w:sz="6" w:space="0" w:color="auto"/>
              <w:right w:val="outset" w:sz="6" w:space="0" w:color="auto"/>
            </w:tcBorders>
          </w:tcPr>
          <w:p w14:paraId="5EAF8148" w14:textId="77777777" w:rsidR="00004926" w:rsidRPr="004C5E09" w:rsidRDefault="00004926" w:rsidP="00004926">
            <w:pPr>
              <w:pStyle w:val="naiskr"/>
              <w:spacing w:before="40" w:beforeAutospacing="0" w:after="40" w:afterAutospacing="0"/>
              <w:ind w:left="57" w:right="57"/>
            </w:pPr>
            <w:r w:rsidRPr="004C5E09">
              <w:t xml:space="preserve">Tiek ieviesta pilnībā. </w:t>
            </w:r>
          </w:p>
          <w:p w14:paraId="56EACDA2" w14:textId="0DFFA21E" w:rsidR="00004926" w:rsidRPr="004C5E09" w:rsidRDefault="00004926" w:rsidP="00004926">
            <w:pPr>
              <w:pStyle w:val="naiskr"/>
              <w:spacing w:before="40" w:beforeAutospacing="0" w:after="40" w:afterAutospacing="0"/>
              <w:ind w:left="57" w:right="57"/>
            </w:pPr>
            <w:r w:rsidRPr="004C5E09">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08DF9187" w14:textId="22FB0F26" w:rsidR="00004926" w:rsidRPr="004C5E09" w:rsidRDefault="00004926" w:rsidP="00004926">
            <w:pPr>
              <w:pStyle w:val="naiskr"/>
              <w:spacing w:before="40" w:beforeAutospacing="0" w:after="40" w:afterAutospacing="0"/>
              <w:ind w:left="57" w:right="57"/>
            </w:pPr>
            <w:r w:rsidRPr="004C5E09">
              <w:t xml:space="preserve">Netiek paredzētas stingrākas prasības. </w:t>
            </w:r>
          </w:p>
        </w:tc>
      </w:tr>
      <w:tr w:rsidR="00004926" w:rsidRPr="00EF556F" w14:paraId="4129AC2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A74CE6A" w14:textId="3A26B72C" w:rsidR="00004926" w:rsidRPr="00206CDE" w:rsidRDefault="00004926" w:rsidP="00004926">
            <w:pPr>
              <w:rPr>
                <w:bCs/>
              </w:rPr>
            </w:pPr>
            <w:r w:rsidRPr="00206CDE">
              <w:rPr>
                <w:bCs/>
              </w:rPr>
              <w:t xml:space="preserve">Komisijas regula Nr. 1407/2013 </w:t>
            </w:r>
            <w:r w:rsidRPr="00206CDE">
              <w:rPr>
                <w:shd w:val="clear" w:color="auto" w:fill="FFFFFF"/>
              </w:rPr>
              <w:t>3. panta 2. punkts un 2. panta 2. punkts</w:t>
            </w:r>
          </w:p>
        </w:tc>
        <w:tc>
          <w:tcPr>
            <w:tcW w:w="2455" w:type="dxa"/>
            <w:gridSpan w:val="3"/>
            <w:tcBorders>
              <w:top w:val="outset" w:sz="6" w:space="0" w:color="auto"/>
              <w:left w:val="outset" w:sz="6" w:space="0" w:color="auto"/>
              <w:bottom w:val="outset" w:sz="6" w:space="0" w:color="auto"/>
              <w:right w:val="outset" w:sz="6" w:space="0" w:color="auto"/>
            </w:tcBorders>
          </w:tcPr>
          <w:p w14:paraId="0E1F67CA" w14:textId="325EBE1F" w:rsidR="00004926" w:rsidRPr="00206CDE" w:rsidRDefault="00004926" w:rsidP="00004926">
            <w:pPr>
              <w:pStyle w:val="naiskr"/>
              <w:spacing w:before="40" w:beforeAutospacing="0" w:after="40" w:afterAutospacing="0"/>
              <w:ind w:left="57" w:right="57"/>
            </w:pPr>
            <w:r w:rsidRPr="00206CDE">
              <w:t>MK noteikumu projekta 42.2.apakšpunkts</w:t>
            </w:r>
          </w:p>
        </w:tc>
        <w:tc>
          <w:tcPr>
            <w:tcW w:w="2693" w:type="dxa"/>
            <w:gridSpan w:val="2"/>
            <w:tcBorders>
              <w:top w:val="outset" w:sz="6" w:space="0" w:color="auto"/>
              <w:left w:val="outset" w:sz="6" w:space="0" w:color="auto"/>
              <w:bottom w:val="outset" w:sz="6" w:space="0" w:color="auto"/>
              <w:right w:val="outset" w:sz="6" w:space="0" w:color="auto"/>
            </w:tcBorders>
          </w:tcPr>
          <w:p w14:paraId="1480EBC4" w14:textId="77777777" w:rsidR="00004926" w:rsidRPr="00206CDE" w:rsidRDefault="00004926" w:rsidP="00004926">
            <w:pPr>
              <w:pStyle w:val="naiskr"/>
              <w:spacing w:before="40" w:beforeAutospacing="0" w:after="40" w:afterAutospacing="0"/>
              <w:ind w:left="57" w:right="57"/>
            </w:pPr>
            <w:r w:rsidRPr="00206CDE">
              <w:t xml:space="preserve">Tiek ieviesta pilnībā. </w:t>
            </w:r>
          </w:p>
          <w:p w14:paraId="65DD7B75" w14:textId="30E17234" w:rsidR="00004926" w:rsidRPr="00206CDE" w:rsidRDefault="00004926" w:rsidP="00004926">
            <w:pPr>
              <w:pStyle w:val="naiskr"/>
              <w:spacing w:before="40" w:beforeAutospacing="0" w:after="40" w:afterAutospacing="0"/>
              <w:ind w:left="57" w:right="57"/>
            </w:pPr>
            <w:r w:rsidRPr="00206CDE">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7CD637DA" w14:textId="53E710FA" w:rsidR="00004926" w:rsidRPr="00206CDE" w:rsidRDefault="00004926" w:rsidP="00004926">
            <w:pPr>
              <w:pStyle w:val="naiskr"/>
              <w:spacing w:before="40" w:beforeAutospacing="0" w:after="40" w:afterAutospacing="0"/>
              <w:ind w:left="57" w:right="57"/>
            </w:pPr>
            <w:r w:rsidRPr="00206CDE">
              <w:t xml:space="preserve">Netiek paredzētas stingrākas prasības. </w:t>
            </w:r>
          </w:p>
        </w:tc>
      </w:tr>
      <w:tr w:rsidR="00004926" w:rsidRPr="00EF556F" w14:paraId="2856E3A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E8D6DE9" w14:textId="05F9C264" w:rsidR="00004926" w:rsidRPr="00206CDE" w:rsidRDefault="00004926" w:rsidP="00004926">
            <w:pPr>
              <w:rPr>
                <w:bCs/>
              </w:rPr>
            </w:pPr>
            <w:r w:rsidRPr="00206CDE">
              <w:rPr>
                <w:bCs/>
              </w:rPr>
              <w:t xml:space="preserve">Komisijas regula Nr. 1407/2013 </w:t>
            </w:r>
            <w:r w:rsidRPr="00206CDE">
              <w:rPr>
                <w:shd w:val="clear" w:color="auto" w:fill="FFFFFF"/>
              </w:rPr>
              <w:t>3. panta 2. punkts un 5. panta 1. un 2. punkts</w:t>
            </w:r>
          </w:p>
        </w:tc>
        <w:tc>
          <w:tcPr>
            <w:tcW w:w="2455" w:type="dxa"/>
            <w:gridSpan w:val="3"/>
            <w:tcBorders>
              <w:top w:val="outset" w:sz="6" w:space="0" w:color="auto"/>
              <w:left w:val="outset" w:sz="6" w:space="0" w:color="auto"/>
              <w:bottom w:val="outset" w:sz="6" w:space="0" w:color="auto"/>
              <w:right w:val="outset" w:sz="6" w:space="0" w:color="auto"/>
            </w:tcBorders>
          </w:tcPr>
          <w:p w14:paraId="32BE4D73" w14:textId="4ECCDFD2" w:rsidR="00004926" w:rsidRPr="00206CDE" w:rsidRDefault="00004926" w:rsidP="00004926">
            <w:pPr>
              <w:pStyle w:val="naiskr"/>
              <w:spacing w:before="40" w:beforeAutospacing="0" w:after="40" w:afterAutospacing="0"/>
              <w:ind w:left="57" w:right="57"/>
            </w:pPr>
            <w:r w:rsidRPr="00206CDE">
              <w:t>MK noteikumu projekta 42.3.apakšpunkts</w:t>
            </w:r>
          </w:p>
        </w:tc>
        <w:tc>
          <w:tcPr>
            <w:tcW w:w="2693" w:type="dxa"/>
            <w:gridSpan w:val="2"/>
            <w:tcBorders>
              <w:top w:val="outset" w:sz="6" w:space="0" w:color="auto"/>
              <w:left w:val="outset" w:sz="6" w:space="0" w:color="auto"/>
              <w:bottom w:val="outset" w:sz="6" w:space="0" w:color="auto"/>
              <w:right w:val="outset" w:sz="6" w:space="0" w:color="auto"/>
            </w:tcBorders>
          </w:tcPr>
          <w:p w14:paraId="628329B9" w14:textId="77777777" w:rsidR="00004926" w:rsidRPr="00206CDE" w:rsidRDefault="00004926" w:rsidP="00004926">
            <w:pPr>
              <w:pStyle w:val="naiskr"/>
              <w:spacing w:before="40" w:beforeAutospacing="0" w:after="40" w:afterAutospacing="0"/>
              <w:ind w:left="57" w:right="57"/>
            </w:pPr>
            <w:r w:rsidRPr="00206CDE">
              <w:t xml:space="preserve">Tiek ieviesta pilnībā. </w:t>
            </w:r>
          </w:p>
          <w:p w14:paraId="49AE0B65" w14:textId="5CE4956B" w:rsidR="00004926" w:rsidRPr="00206CDE" w:rsidRDefault="00004926" w:rsidP="00004926">
            <w:pPr>
              <w:pStyle w:val="naiskr"/>
              <w:spacing w:before="40" w:beforeAutospacing="0" w:after="40" w:afterAutospacing="0"/>
              <w:ind w:left="57" w:right="57"/>
            </w:pPr>
            <w:r w:rsidRPr="00206CDE">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4F7FAA2" w14:textId="48450356" w:rsidR="00004926" w:rsidRPr="00206CDE" w:rsidRDefault="00004926" w:rsidP="00004926">
            <w:pPr>
              <w:pStyle w:val="naiskr"/>
              <w:spacing w:before="40" w:beforeAutospacing="0" w:after="40" w:afterAutospacing="0"/>
              <w:ind w:left="57" w:right="57"/>
            </w:pPr>
            <w:r w:rsidRPr="00206CDE">
              <w:t xml:space="preserve">Netiek paredzētas stingrākas prasības. </w:t>
            </w:r>
          </w:p>
        </w:tc>
      </w:tr>
      <w:tr w:rsidR="00004926" w:rsidRPr="00EF556F" w14:paraId="77DE63D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8AB66B0" w14:textId="610B093B" w:rsidR="00004926" w:rsidRPr="00206CDE" w:rsidRDefault="00004926" w:rsidP="00004926">
            <w:pPr>
              <w:rPr>
                <w:bCs/>
              </w:rPr>
            </w:pPr>
            <w:r w:rsidRPr="00206CDE">
              <w:rPr>
                <w:bCs/>
              </w:rPr>
              <w:t xml:space="preserve">Komisijas regula Nr. 1407/2013 </w:t>
            </w:r>
            <w:r w:rsidRPr="00206CDE">
              <w:rPr>
                <w:shd w:val="clear" w:color="auto" w:fill="FFFFFF"/>
              </w:rPr>
              <w:t>7. panta 4. punkts un 8. pants</w:t>
            </w:r>
          </w:p>
        </w:tc>
        <w:tc>
          <w:tcPr>
            <w:tcW w:w="2455" w:type="dxa"/>
            <w:gridSpan w:val="3"/>
            <w:tcBorders>
              <w:top w:val="outset" w:sz="6" w:space="0" w:color="auto"/>
              <w:left w:val="outset" w:sz="6" w:space="0" w:color="auto"/>
              <w:bottom w:val="outset" w:sz="6" w:space="0" w:color="auto"/>
              <w:right w:val="outset" w:sz="6" w:space="0" w:color="auto"/>
            </w:tcBorders>
          </w:tcPr>
          <w:p w14:paraId="628F617A" w14:textId="640676AF" w:rsidR="00004926" w:rsidRPr="00206CDE" w:rsidRDefault="00004926" w:rsidP="00004926">
            <w:pPr>
              <w:pStyle w:val="naiskr"/>
              <w:spacing w:before="40" w:beforeAutospacing="0" w:after="40" w:afterAutospacing="0"/>
              <w:ind w:left="57" w:right="57"/>
            </w:pPr>
            <w:r w:rsidRPr="00206CDE">
              <w:t>MK noteikumu projekta 42.4.apakšpunkts</w:t>
            </w:r>
          </w:p>
        </w:tc>
        <w:tc>
          <w:tcPr>
            <w:tcW w:w="2693" w:type="dxa"/>
            <w:gridSpan w:val="2"/>
            <w:tcBorders>
              <w:top w:val="outset" w:sz="6" w:space="0" w:color="auto"/>
              <w:left w:val="outset" w:sz="6" w:space="0" w:color="auto"/>
              <w:bottom w:val="outset" w:sz="6" w:space="0" w:color="auto"/>
              <w:right w:val="outset" w:sz="6" w:space="0" w:color="auto"/>
            </w:tcBorders>
          </w:tcPr>
          <w:p w14:paraId="1A9DCF70" w14:textId="77777777" w:rsidR="00004926" w:rsidRPr="00206CDE" w:rsidRDefault="00004926" w:rsidP="00004926">
            <w:pPr>
              <w:pStyle w:val="naiskr"/>
              <w:spacing w:before="40" w:beforeAutospacing="0" w:after="40" w:afterAutospacing="0"/>
              <w:ind w:left="57" w:right="57"/>
            </w:pPr>
            <w:r w:rsidRPr="00206CDE">
              <w:t xml:space="preserve">Tiek ieviesta pilnībā. </w:t>
            </w:r>
          </w:p>
          <w:p w14:paraId="319B62C2" w14:textId="332BC352" w:rsidR="00004926" w:rsidRPr="00206CDE" w:rsidRDefault="00004926" w:rsidP="00004926">
            <w:pPr>
              <w:pStyle w:val="naiskr"/>
              <w:spacing w:before="40" w:beforeAutospacing="0" w:after="40" w:afterAutospacing="0"/>
              <w:ind w:left="57" w:right="57"/>
            </w:pPr>
            <w:r w:rsidRPr="00206CDE">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128735C" w14:textId="30F0ED24" w:rsidR="00004926" w:rsidRPr="00206CDE" w:rsidRDefault="00004926" w:rsidP="00004926">
            <w:pPr>
              <w:pStyle w:val="naiskr"/>
              <w:spacing w:before="40" w:beforeAutospacing="0" w:after="40" w:afterAutospacing="0"/>
              <w:ind w:left="57" w:right="57"/>
            </w:pPr>
            <w:r w:rsidRPr="00206CDE">
              <w:t xml:space="preserve">Netiek paredzētas stingrākas prasības. </w:t>
            </w:r>
          </w:p>
        </w:tc>
      </w:tr>
      <w:tr w:rsidR="00004926" w:rsidRPr="00EF556F" w14:paraId="06C49CF0" w14:textId="77777777" w:rsidTr="00FF129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4F4A0B2" w14:textId="23DE60C7" w:rsidR="00004926" w:rsidRPr="00206CDE" w:rsidRDefault="00004926" w:rsidP="00004926">
            <w:pPr>
              <w:rPr>
                <w:bCs/>
              </w:rPr>
            </w:pPr>
            <w:r w:rsidRPr="00206CDE">
              <w:rPr>
                <w:bCs/>
              </w:rPr>
              <w:t xml:space="preserve">Komisijas regula Nr. 1407/2013 </w:t>
            </w:r>
            <w:r w:rsidRPr="00206CDE">
              <w:rPr>
                <w:shd w:val="clear" w:color="auto" w:fill="FFFFFF"/>
              </w:rPr>
              <w:t>6. panta 4. punkts</w:t>
            </w:r>
          </w:p>
        </w:tc>
        <w:tc>
          <w:tcPr>
            <w:tcW w:w="2455" w:type="dxa"/>
            <w:gridSpan w:val="3"/>
            <w:tcBorders>
              <w:top w:val="outset" w:sz="6" w:space="0" w:color="auto"/>
              <w:left w:val="outset" w:sz="6" w:space="0" w:color="auto"/>
              <w:bottom w:val="outset" w:sz="6" w:space="0" w:color="auto"/>
              <w:right w:val="outset" w:sz="6" w:space="0" w:color="auto"/>
            </w:tcBorders>
          </w:tcPr>
          <w:p w14:paraId="07C58085" w14:textId="2A6442A9" w:rsidR="00004926" w:rsidRPr="00206CDE" w:rsidRDefault="00004926" w:rsidP="00004926">
            <w:pPr>
              <w:pStyle w:val="naiskr"/>
              <w:spacing w:before="40" w:beforeAutospacing="0" w:after="40" w:afterAutospacing="0"/>
              <w:ind w:left="57" w:right="57"/>
            </w:pPr>
            <w:r w:rsidRPr="00206CDE">
              <w:t>MK noteikumu projekta 42.5.apakšpunkts</w:t>
            </w:r>
          </w:p>
        </w:tc>
        <w:tc>
          <w:tcPr>
            <w:tcW w:w="2693" w:type="dxa"/>
            <w:gridSpan w:val="2"/>
            <w:tcBorders>
              <w:top w:val="outset" w:sz="6" w:space="0" w:color="auto"/>
              <w:left w:val="outset" w:sz="6" w:space="0" w:color="auto"/>
              <w:bottom w:val="outset" w:sz="6" w:space="0" w:color="auto"/>
              <w:right w:val="outset" w:sz="6" w:space="0" w:color="auto"/>
            </w:tcBorders>
          </w:tcPr>
          <w:p w14:paraId="2B6BE922" w14:textId="77777777" w:rsidR="00004926" w:rsidRPr="00206CDE" w:rsidRDefault="00004926" w:rsidP="00004926">
            <w:pPr>
              <w:pStyle w:val="naiskr"/>
              <w:spacing w:before="40" w:beforeAutospacing="0" w:after="40" w:afterAutospacing="0"/>
              <w:ind w:left="57" w:right="57"/>
            </w:pPr>
            <w:r w:rsidRPr="00206CDE">
              <w:t xml:space="preserve">Tiek ieviesta pilnībā. </w:t>
            </w:r>
          </w:p>
          <w:p w14:paraId="35BCCE98" w14:textId="65DB82CF" w:rsidR="00004926" w:rsidRPr="00206CDE" w:rsidRDefault="00004926" w:rsidP="00004926">
            <w:pPr>
              <w:pStyle w:val="naiskr"/>
              <w:spacing w:before="40" w:beforeAutospacing="0" w:after="40" w:afterAutospacing="0"/>
              <w:ind w:left="57" w:right="57"/>
            </w:pPr>
            <w:r w:rsidRPr="00206CDE">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274E6D52" w14:textId="77777777" w:rsidR="00004926" w:rsidRPr="00206CDE" w:rsidRDefault="00004926" w:rsidP="00004926">
            <w:pPr>
              <w:pStyle w:val="naiskr"/>
              <w:spacing w:before="40" w:beforeAutospacing="0" w:after="40" w:afterAutospacing="0"/>
              <w:ind w:left="57" w:right="57"/>
            </w:pPr>
            <w:r w:rsidRPr="00206CDE">
              <w:t xml:space="preserve">Netiek paredzētas stingrākas prasības. </w:t>
            </w:r>
          </w:p>
        </w:tc>
      </w:tr>
      <w:tr w:rsidR="00004926" w:rsidRPr="00EF556F" w14:paraId="3E92090C" w14:textId="77777777" w:rsidTr="00FF129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53DBF534" w14:textId="4B20D8A2" w:rsidR="00004926" w:rsidRPr="00206CDE" w:rsidRDefault="00004926" w:rsidP="00004926">
            <w:pPr>
              <w:rPr>
                <w:bCs/>
              </w:rPr>
            </w:pPr>
            <w:r w:rsidRPr="00206CDE">
              <w:rPr>
                <w:shd w:val="clear" w:color="auto" w:fill="FFFFFF"/>
              </w:rPr>
              <w:t>Komisijas regula Nr.794/2004 9.,10.,11.pants</w:t>
            </w:r>
          </w:p>
        </w:tc>
        <w:tc>
          <w:tcPr>
            <w:tcW w:w="2455" w:type="dxa"/>
            <w:gridSpan w:val="3"/>
            <w:tcBorders>
              <w:top w:val="outset" w:sz="6" w:space="0" w:color="auto"/>
              <w:left w:val="outset" w:sz="6" w:space="0" w:color="auto"/>
              <w:bottom w:val="outset" w:sz="6" w:space="0" w:color="auto"/>
              <w:right w:val="outset" w:sz="6" w:space="0" w:color="auto"/>
            </w:tcBorders>
          </w:tcPr>
          <w:p w14:paraId="385AC0A1" w14:textId="39252B36" w:rsidR="00004926" w:rsidRPr="00206CDE" w:rsidRDefault="00004926" w:rsidP="00004926">
            <w:pPr>
              <w:pStyle w:val="naiskr"/>
              <w:spacing w:before="40" w:beforeAutospacing="0" w:after="40" w:afterAutospacing="0"/>
              <w:ind w:left="57" w:right="57"/>
            </w:pPr>
            <w:r w:rsidRPr="00206CDE">
              <w:t>MK noteikumu projekta 44.,45.punkts</w:t>
            </w:r>
          </w:p>
        </w:tc>
        <w:tc>
          <w:tcPr>
            <w:tcW w:w="2693" w:type="dxa"/>
            <w:gridSpan w:val="2"/>
            <w:tcBorders>
              <w:top w:val="outset" w:sz="6" w:space="0" w:color="auto"/>
              <w:left w:val="outset" w:sz="6" w:space="0" w:color="auto"/>
              <w:bottom w:val="outset" w:sz="6" w:space="0" w:color="auto"/>
              <w:right w:val="outset" w:sz="6" w:space="0" w:color="auto"/>
            </w:tcBorders>
          </w:tcPr>
          <w:p w14:paraId="313627A7" w14:textId="77777777" w:rsidR="00004926" w:rsidRPr="00206CDE" w:rsidRDefault="00004926" w:rsidP="00004926">
            <w:pPr>
              <w:pStyle w:val="naiskr"/>
              <w:spacing w:before="40" w:beforeAutospacing="0" w:after="40" w:afterAutospacing="0"/>
              <w:ind w:left="57" w:right="57"/>
            </w:pPr>
            <w:r w:rsidRPr="00206CDE">
              <w:t xml:space="preserve">Tiek ieviesta pilnībā. </w:t>
            </w:r>
          </w:p>
          <w:p w14:paraId="0C9CBA2E" w14:textId="059BED17" w:rsidR="00004926" w:rsidRPr="00206CDE" w:rsidRDefault="00004926" w:rsidP="00004926">
            <w:pPr>
              <w:pStyle w:val="naiskr"/>
              <w:spacing w:before="40" w:beforeAutospacing="0" w:after="40" w:afterAutospacing="0"/>
              <w:ind w:left="57" w:right="57"/>
            </w:pPr>
            <w:r w:rsidRPr="00206CDE">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739F3A71" w14:textId="3455D2D1" w:rsidR="00004926" w:rsidRPr="00206CDE" w:rsidRDefault="00004926" w:rsidP="00004926">
            <w:pPr>
              <w:pStyle w:val="naiskr"/>
              <w:spacing w:before="40" w:beforeAutospacing="0" w:after="40" w:afterAutospacing="0"/>
              <w:ind w:left="57" w:right="57"/>
            </w:pPr>
            <w:r w:rsidRPr="00206CDE">
              <w:t>Netiek paredzētas stingrākas prasības</w:t>
            </w:r>
          </w:p>
        </w:tc>
      </w:tr>
      <w:tr w:rsidR="00004926" w:rsidRPr="00EF556F" w14:paraId="0D92FC2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650876B" w14:textId="77777777" w:rsidR="00004926" w:rsidRPr="00206CDE" w:rsidRDefault="00004926" w:rsidP="00004926">
            <w:r w:rsidRPr="00206CDE">
              <w:t>Kā ir izmantota ES tiesību aktā paredzētā rīcības brīvība dalīb</w:t>
            </w:r>
            <w:r w:rsidRPr="00206CDE">
              <w:softHyphen/>
              <w:t>valstij pārņemt vai ieviest noteiktas ES tiesību akta normas?</w:t>
            </w:r>
          </w:p>
          <w:p w14:paraId="3A67F7C0" w14:textId="77777777" w:rsidR="00004926" w:rsidRPr="00206CDE" w:rsidRDefault="00004926" w:rsidP="00004926">
            <w:r w:rsidRPr="00206CDE">
              <w:t>Kādēļ?</w:t>
            </w:r>
          </w:p>
        </w:tc>
        <w:tc>
          <w:tcPr>
            <w:tcW w:w="7388" w:type="dxa"/>
            <w:gridSpan w:val="6"/>
            <w:tcBorders>
              <w:top w:val="outset" w:sz="6" w:space="0" w:color="auto"/>
              <w:left w:val="outset" w:sz="6" w:space="0" w:color="auto"/>
              <w:bottom w:val="outset" w:sz="6" w:space="0" w:color="auto"/>
              <w:right w:val="outset" w:sz="6" w:space="0" w:color="auto"/>
            </w:tcBorders>
          </w:tcPr>
          <w:p w14:paraId="41985F76"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r>
      <w:tr w:rsidR="00004926" w:rsidRPr="00EF556F" w14:paraId="6F5FB3F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ADF0B53" w14:textId="77777777" w:rsidR="00004926" w:rsidRPr="00206CDE" w:rsidRDefault="00004926" w:rsidP="00004926">
            <w:r w:rsidRPr="00206CDE">
              <w:lastRenderedPageBreak/>
              <w:t>Saistības sniegt paziņojumu ES insti</w:t>
            </w:r>
            <w:r w:rsidRPr="00206CDE">
              <w:softHyphen/>
              <w:t>tūcijām un ES dalīb</w:t>
            </w:r>
            <w:r w:rsidRPr="00206CDE">
              <w:softHyphen/>
              <w:t>valstīm atbilstoši normatīvajiem aktiem, kas regulē informācijas sniegšanu par tehnisko noteikumu, valsts atbalsta piešķir</w:t>
            </w:r>
            <w:r w:rsidRPr="00206CDE">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39C255BB"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r>
      <w:tr w:rsidR="00004926" w:rsidRPr="00EF556F" w14:paraId="48E1FCAA"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587B3B7" w14:textId="77777777" w:rsidR="00004926" w:rsidRPr="00206CDE" w:rsidRDefault="00004926" w:rsidP="00004926">
            <w:r w:rsidRPr="00206CDE">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02065B1C" w14:textId="77777777" w:rsidR="00004926" w:rsidRPr="00206CDE" w:rsidRDefault="00004926" w:rsidP="00004926">
            <w:pPr>
              <w:pStyle w:val="naiskr"/>
              <w:spacing w:before="40" w:beforeAutospacing="0" w:after="40" w:afterAutospacing="0"/>
              <w:ind w:left="57" w:right="57" w:firstLine="284"/>
              <w:jc w:val="both"/>
            </w:pPr>
            <w:r w:rsidRPr="00206CDE">
              <w:t xml:space="preserve">Nav. </w:t>
            </w:r>
          </w:p>
        </w:tc>
      </w:tr>
      <w:tr w:rsidR="00004926" w:rsidRPr="00EF556F" w14:paraId="05A6D52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20A6E825" w14:textId="77777777" w:rsidR="00004926" w:rsidRPr="00206CDE" w:rsidRDefault="00004926" w:rsidP="00004926">
            <w:pPr>
              <w:rPr>
                <w:b/>
              </w:rPr>
            </w:pPr>
            <w:r w:rsidRPr="00206CDE">
              <w:rPr>
                <w:b/>
              </w:rPr>
              <w:t>2. tabula</w:t>
            </w:r>
          </w:p>
          <w:p w14:paraId="3E248A84" w14:textId="77777777" w:rsidR="00004926" w:rsidRPr="00206CDE" w:rsidRDefault="00004926" w:rsidP="00004926">
            <w:pPr>
              <w:rPr>
                <w:b/>
              </w:rPr>
            </w:pPr>
            <w:r w:rsidRPr="00206CDE">
              <w:rPr>
                <w:b/>
              </w:rPr>
              <w:t xml:space="preserve">Ar tiesību akta projektu izpildītās vai uzņemtās saistības, kas izriet no starptautiskajiem tiesību aktiem vai starptautiskas institūcijas vai organizācijas dokumentiem. </w:t>
            </w:r>
          </w:p>
          <w:p w14:paraId="1AE2B0D6" w14:textId="77777777" w:rsidR="00004926" w:rsidRPr="00206CDE" w:rsidRDefault="00004926" w:rsidP="00004926">
            <w:pPr>
              <w:rPr>
                <w:b/>
              </w:rPr>
            </w:pPr>
            <w:r w:rsidRPr="00206CDE">
              <w:rPr>
                <w:b/>
              </w:rPr>
              <w:t>Pasākumi šo saistību izpildei</w:t>
            </w:r>
          </w:p>
        </w:tc>
      </w:tr>
      <w:tr w:rsidR="00004926" w:rsidRPr="00EF556F" w14:paraId="2A27FC2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C4B7FEC" w14:textId="77777777" w:rsidR="00004926" w:rsidRPr="00206CDE" w:rsidRDefault="00004926" w:rsidP="00004926">
            <w:r w:rsidRPr="00206CDE">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27776344"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r>
      <w:tr w:rsidR="00004926" w:rsidRPr="00EF556F" w14:paraId="453FEB9C"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B010C7A" w14:textId="77777777" w:rsidR="00004926" w:rsidRPr="00206CDE" w:rsidRDefault="00004926" w:rsidP="00004926">
            <w:r w:rsidRPr="00206CDE">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524899E2" w14:textId="77777777" w:rsidR="00004926" w:rsidRPr="00206CDE" w:rsidRDefault="00004926" w:rsidP="00004926">
            <w:r w:rsidRPr="00206CDE">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6444CB7" w14:textId="77777777" w:rsidR="00004926" w:rsidRPr="00206CDE" w:rsidRDefault="00004926" w:rsidP="00004926">
            <w:r w:rsidRPr="00206CDE">
              <w:t>C</w:t>
            </w:r>
          </w:p>
        </w:tc>
      </w:tr>
      <w:tr w:rsidR="00004926" w:rsidRPr="00EF556F" w14:paraId="659CCE9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03EA56D" w14:textId="77777777" w:rsidR="00004926" w:rsidRPr="00206CDE" w:rsidRDefault="00004926" w:rsidP="00004926">
            <w:pPr>
              <w:pStyle w:val="naiskr"/>
              <w:spacing w:before="40" w:beforeAutospacing="0" w:after="40" w:afterAutospacing="0"/>
              <w:ind w:left="57" w:right="57"/>
            </w:pPr>
            <w:r w:rsidRPr="00206CDE">
              <w:t xml:space="preserve">Starptautiskās saistības (pēc būtības), kas izriet no norādītā starptautiskā dokumenta. </w:t>
            </w:r>
          </w:p>
          <w:p w14:paraId="3E5D13B3" w14:textId="77777777" w:rsidR="00004926" w:rsidRPr="00206CDE" w:rsidRDefault="00004926" w:rsidP="00004926">
            <w:pPr>
              <w:pStyle w:val="naiskr"/>
              <w:spacing w:before="40" w:beforeAutospacing="0" w:after="40" w:afterAutospacing="0"/>
              <w:ind w:left="57" w:right="57"/>
            </w:pPr>
            <w:r w:rsidRPr="00206CDE">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3C99059" w14:textId="77777777" w:rsidR="00004926" w:rsidRPr="00206CDE" w:rsidRDefault="00004926" w:rsidP="00004926">
            <w:pPr>
              <w:pStyle w:val="naiskr"/>
              <w:spacing w:before="40" w:beforeAutospacing="0" w:after="40" w:afterAutospacing="0"/>
              <w:ind w:left="57" w:right="57"/>
            </w:pPr>
            <w:r w:rsidRPr="00206CDE">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6B36366" w14:textId="77777777" w:rsidR="00004926" w:rsidRPr="00206CDE" w:rsidRDefault="00004926" w:rsidP="00004926">
            <w:pPr>
              <w:pStyle w:val="naiskr"/>
              <w:spacing w:before="40" w:beforeAutospacing="0" w:after="40" w:afterAutospacing="0"/>
              <w:ind w:left="57" w:right="57"/>
            </w:pPr>
            <w:r w:rsidRPr="00206CDE">
              <w:t xml:space="preserve">Informācija par to, vai starptautiskās saistības, kas minētas šīs tabulas A ailē, tiek izpildītas pilnībā vai daļēji. </w:t>
            </w:r>
          </w:p>
          <w:p w14:paraId="1AF91B52" w14:textId="77777777" w:rsidR="00004926" w:rsidRPr="00206CDE" w:rsidRDefault="00004926" w:rsidP="00004926">
            <w:pPr>
              <w:pStyle w:val="naiskr"/>
              <w:spacing w:before="40" w:beforeAutospacing="0" w:after="40" w:afterAutospacing="0"/>
              <w:ind w:left="57" w:right="57"/>
            </w:pPr>
            <w:r w:rsidRPr="00206CDE">
              <w:t xml:space="preserve">Ja attiecīgās starptautiskās saistības tiek izpildītas daļēji, sniedz skaidrojumu, kā arī precīzi norāda, kad un kādā veidā starptautiskās saistības tiks izpildītas pilnībā. </w:t>
            </w:r>
          </w:p>
          <w:p w14:paraId="6199D568" w14:textId="77777777" w:rsidR="00004926" w:rsidRPr="00206CDE" w:rsidRDefault="00004926" w:rsidP="00004926">
            <w:pPr>
              <w:pStyle w:val="naiskr"/>
              <w:spacing w:before="40" w:beforeAutospacing="0" w:after="40" w:afterAutospacing="0"/>
              <w:ind w:left="57" w:right="57"/>
            </w:pPr>
            <w:r w:rsidRPr="00206CDE">
              <w:t>Norāda institūciju, kas ir atbildīga par šo saistību izpildi pilnībā</w:t>
            </w:r>
          </w:p>
        </w:tc>
      </w:tr>
      <w:tr w:rsidR="00004926" w:rsidRPr="00EF556F" w14:paraId="45B3E28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BAE98ED" w14:textId="77777777" w:rsidR="00004926" w:rsidRPr="00206CDE" w:rsidRDefault="00004926" w:rsidP="00004926">
            <w:r w:rsidRPr="00206CDE">
              <w:t xml:space="preserve">MK noteikumu projekts šo jomu neskar. </w:t>
            </w:r>
          </w:p>
        </w:tc>
        <w:tc>
          <w:tcPr>
            <w:tcW w:w="3324" w:type="dxa"/>
            <w:gridSpan w:val="3"/>
            <w:tcBorders>
              <w:top w:val="outset" w:sz="6" w:space="0" w:color="auto"/>
              <w:left w:val="outset" w:sz="6" w:space="0" w:color="auto"/>
              <w:bottom w:val="outset" w:sz="6" w:space="0" w:color="auto"/>
              <w:right w:val="outset" w:sz="6" w:space="0" w:color="auto"/>
            </w:tcBorders>
          </w:tcPr>
          <w:p w14:paraId="042D91AB"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c>
          <w:tcPr>
            <w:tcW w:w="3799" w:type="dxa"/>
            <w:gridSpan w:val="2"/>
            <w:tcBorders>
              <w:top w:val="outset" w:sz="6" w:space="0" w:color="auto"/>
              <w:left w:val="outset" w:sz="6" w:space="0" w:color="auto"/>
              <w:bottom w:val="outset" w:sz="6" w:space="0" w:color="auto"/>
              <w:right w:val="outset" w:sz="6" w:space="0" w:color="auto"/>
            </w:tcBorders>
          </w:tcPr>
          <w:p w14:paraId="633A113B"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r>
      <w:tr w:rsidR="00004926" w:rsidRPr="00EF556F" w14:paraId="70071E8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2106CDBB" w14:textId="77777777" w:rsidR="00004926" w:rsidRPr="00206CDE" w:rsidRDefault="00004926" w:rsidP="00004926">
            <w:r w:rsidRPr="00206CDE">
              <w:t>Vai starptautiskajā dokumentā paredzētās saistības nav pretrunā ar jau esošajām Latvijas Republikas starptautis</w:t>
            </w:r>
            <w:r w:rsidRPr="00206CDE">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1D0F539B" w14:textId="77777777" w:rsidR="00004926" w:rsidRPr="00206CDE" w:rsidRDefault="00004926" w:rsidP="00004926">
            <w:pPr>
              <w:pStyle w:val="naiskr"/>
              <w:spacing w:before="40" w:beforeAutospacing="0" w:after="40" w:afterAutospacing="0"/>
              <w:ind w:left="57" w:right="57" w:firstLine="284"/>
              <w:jc w:val="both"/>
            </w:pPr>
            <w:r w:rsidRPr="00206CDE">
              <w:t xml:space="preserve">MK noteikumu projekts šo jomu neskar. </w:t>
            </w:r>
          </w:p>
        </w:tc>
      </w:tr>
      <w:tr w:rsidR="00004926" w:rsidRPr="00EF556F" w14:paraId="48F965E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C2AE3E1" w14:textId="77777777" w:rsidR="00004926" w:rsidRPr="00206CDE" w:rsidRDefault="00004926" w:rsidP="00004926">
            <w:r w:rsidRPr="00206CDE">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74750979" w14:textId="77777777" w:rsidR="00004926" w:rsidRPr="00206CDE" w:rsidRDefault="00004926" w:rsidP="00004926">
            <w:pPr>
              <w:pStyle w:val="naiskr"/>
              <w:spacing w:before="40" w:beforeAutospacing="0" w:after="40" w:afterAutospacing="0"/>
              <w:ind w:left="57" w:right="57" w:firstLine="284"/>
              <w:jc w:val="both"/>
            </w:pPr>
            <w:r w:rsidRPr="00206CDE">
              <w:t xml:space="preserve">Nav. </w:t>
            </w:r>
          </w:p>
        </w:tc>
      </w:tr>
    </w:tbl>
    <w:p w14:paraId="53082F71" w14:textId="7C10F1C4" w:rsidR="00A14CDE" w:rsidRDefault="00A14CDE" w:rsidP="003735C6">
      <w:pPr>
        <w:rPr>
          <w:highlight w:val="yellow"/>
        </w:rPr>
      </w:pPr>
    </w:p>
    <w:p w14:paraId="3117E5BD" w14:textId="77777777" w:rsidR="00A14CDE" w:rsidRPr="00EF556F" w:rsidRDefault="00A14CDE" w:rsidP="003735C6">
      <w:pPr>
        <w:rPr>
          <w:highlight w:val="yellow"/>
        </w:rPr>
      </w:pP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2218"/>
        <w:gridCol w:w="6662"/>
      </w:tblGrid>
      <w:tr w:rsidR="003735C6" w:rsidRPr="004335B8" w14:paraId="5957CF4A" w14:textId="77777777" w:rsidTr="00E516B6">
        <w:trPr>
          <w:trHeight w:val="421"/>
        </w:trPr>
        <w:tc>
          <w:tcPr>
            <w:tcW w:w="9640" w:type="dxa"/>
            <w:gridSpan w:val="3"/>
            <w:vAlign w:val="center"/>
          </w:tcPr>
          <w:p w14:paraId="73FD594D" w14:textId="77777777" w:rsidR="003735C6" w:rsidRPr="004335B8" w:rsidRDefault="003735C6" w:rsidP="0009253D">
            <w:pPr>
              <w:pStyle w:val="naisnod"/>
              <w:spacing w:before="0" w:beforeAutospacing="0" w:after="0" w:afterAutospacing="0"/>
              <w:ind w:left="57" w:right="57"/>
              <w:jc w:val="center"/>
              <w:rPr>
                <w:b/>
              </w:rPr>
            </w:pPr>
            <w:r w:rsidRPr="004335B8">
              <w:rPr>
                <w:b/>
              </w:rPr>
              <w:t>VI</w:t>
            </w:r>
            <w:r w:rsidR="00D46E0B" w:rsidRPr="004335B8">
              <w:rPr>
                <w:b/>
              </w:rPr>
              <w:t xml:space="preserve">. </w:t>
            </w:r>
            <w:r w:rsidRPr="004335B8">
              <w:rPr>
                <w:b/>
              </w:rPr>
              <w:t>Sabiedrības līdzdalība un komunikācijas aktivitātes</w:t>
            </w:r>
          </w:p>
        </w:tc>
      </w:tr>
      <w:tr w:rsidR="003735C6" w:rsidRPr="004335B8" w14:paraId="2616937D" w14:textId="77777777" w:rsidTr="00E516B6">
        <w:trPr>
          <w:trHeight w:val="553"/>
        </w:trPr>
        <w:tc>
          <w:tcPr>
            <w:tcW w:w="760" w:type="dxa"/>
          </w:tcPr>
          <w:p w14:paraId="18B82E84" w14:textId="77777777" w:rsidR="003735C6" w:rsidRPr="004335B8" w:rsidRDefault="003735C6" w:rsidP="0009253D">
            <w:pPr>
              <w:ind w:left="57" w:right="57"/>
              <w:jc w:val="both"/>
              <w:rPr>
                <w:bCs/>
              </w:rPr>
            </w:pPr>
            <w:r w:rsidRPr="004335B8">
              <w:rPr>
                <w:bCs/>
              </w:rPr>
              <w:t>1</w:t>
            </w:r>
            <w:r w:rsidR="00D46E0B" w:rsidRPr="004335B8">
              <w:rPr>
                <w:bCs/>
              </w:rPr>
              <w:t xml:space="preserve">. </w:t>
            </w:r>
          </w:p>
        </w:tc>
        <w:tc>
          <w:tcPr>
            <w:tcW w:w="2218" w:type="dxa"/>
          </w:tcPr>
          <w:p w14:paraId="6CDD2F41" w14:textId="77777777" w:rsidR="003735C6" w:rsidRPr="004335B8" w:rsidRDefault="003735C6" w:rsidP="0009253D">
            <w:pPr>
              <w:tabs>
                <w:tab w:val="left" w:pos="170"/>
              </w:tabs>
              <w:ind w:left="57" w:right="57"/>
              <w:rPr>
                <w:lang w:eastAsia="lv-LV"/>
              </w:rPr>
            </w:pPr>
            <w:r w:rsidRPr="004335B8">
              <w:rPr>
                <w:lang w:eastAsia="lv-LV"/>
              </w:rPr>
              <w:t>Plānotās sabiedrības līdzdalības un komunikācijas aktivitātes saistībā ar projektu</w:t>
            </w:r>
          </w:p>
        </w:tc>
        <w:tc>
          <w:tcPr>
            <w:tcW w:w="6662" w:type="dxa"/>
          </w:tcPr>
          <w:p w14:paraId="7C6ABE61" w14:textId="51BE0B78" w:rsidR="004F5F76" w:rsidRPr="004335B8" w:rsidRDefault="004335B8" w:rsidP="00360528">
            <w:pPr>
              <w:pStyle w:val="naiskr"/>
              <w:spacing w:before="40" w:beforeAutospacing="0" w:after="40" w:afterAutospacing="0"/>
              <w:ind w:left="57" w:right="57" w:firstLine="284"/>
              <w:jc w:val="both"/>
            </w:pPr>
            <w:bookmarkStart w:id="28" w:name="p61"/>
            <w:bookmarkEnd w:id="28"/>
            <w:r w:rsidRPr="004A6791">
              <w:t xml:space="preserve">Specifiskā atbalsta mērķis tika saskaņots un izdiskutēts </w:t>
            </w:r>
            <w:r w:rsidRPr="00394CB8">
              <w:t>starpinstitūciju un sociālo partneru starpā</w:t>
            </w:r>
            <w:r w:rsidR="00394CB8" w:rsidRPr="00394CB8">
              <w:t xml:space="preserve"> </w:t>
            </w:r>
            <w:r w:rsidRPr="00394CB8">
              <w:t xml:space="preserve">Darbības </w:t>
            </w:r>
            <w:r w:rsidRPr="00394CB8">
              <w:rPr>
                <w:bCs/>
              </w:rPr>
              <w:t>programm</w:t>
            </w:r>
            <w:r w:rsidR="00394CB8" w:rsidRPr="00394CB8">
              <w:rPr>
                <w:bCs/>
              </w:rPr>
              <w:t>as</w:t>
            </w:r>
            <w:r w:rsidRPr="00394CB8">
              <w:t xml:space="preserve"> “</w:t>
            </w:r>
            <w:r w:rsidRPr="00394CB8">
              <w:rPr>
                <w:i/>
              </w:rPr>
              <w:t>Izaugsme un nodarbinātība</w:t>
            </w:r>
            <w:r w:rsidRPr="00394CB8">
              <w:t>” grozījumu Nr.6 saskaņošanas procesa ietvaro</w:t>
            </w:r>
            <w:r w:rsidR="00394CB8" w:rsidRPr="00394CB8">
              <w:t>s. Pirms noteikumu projekta iesniegšanas izskatīšanai Ministru kabinetā specifiskā atbalsta sākotnējais novērtējums, uz kā pamata izstrādāts noteikumu projekts, un projektu vērtēšanas kritēriji tika izskatīti un apstiprināti atbilstoši Eiropas Savienības struktūrfondu un Kohēzijas fonda 2014. —2020. gada plānošanas perioda vadības likumam izveidotajā Nodarbinātības, darbaspēka mobilitātes un sociālā iekļaušanas prioritārā virziena uzraudzības apakškomitejas 27.08.2020. sēdē</w:t>
            </w:r>
          </w:p>
        </w:tc>
      </w:tr>
      <w:tr w:rsidR="00BA6371" w:rsidRPr="00EF556F" w14:paraId="11F3EA8D" w14:textId="77777777" w:rsidTr="00E516B6">
        <w:trPr>
          <w:trHeight w:val="339"/>
        </w:trPr>
        <w:tc>
          <w:tcPr>
            <w:tcW w:w="760" w:type="dxa"/>
          </w:tcPr>
          <w:p w14:paraId="4B24ECD0" w14:textId="77777777" w:rsidR="00BA6371" w:rsidRPr="008D52EA" w:rsidRDefault="00BA6371" w:rsidP="0009253D">
            <w:pPr>
              <w:ind w:left="57" w:right="57"/>
              <w:jc w:val="both"/>
              <w:rPr>
                <w:bCs/>
              </w:rPr>
            </w:pPr>
            <w:r w:rsidRPr="008D52EA">
              <w:rPr>
                <w:bCs/>
              </w:rPr>
              <w:t>2</w:t>
            </w:r>
            <w:r w:rsidR="00D46E0B" w:rsidRPr="008D52EA">
              <w:rPr>
                <w:bCs/>
              </w:rPr>
              <w:t xml:space="preserve">. </w:t>
            </w:r>
          </w:p>
        </w:tc>
        <w:tc>
          <w:tcPr>
            <w:tcW w:w="2218" w:type="dxa"/>
          </w:tcPr>
          <w:p w14:paraId="629DCF90" w14:textId="77777777" w:rsidR="00BA6371" w:rsidRPr="008D52EA" w:rsidRDefault="00BA6371" w:rsidP="0009253D">
            <w:pPr>
              <w:ind w:left="57" w:right="57"/>
              <w:rPr>
                <w:lang w:eastAsia="lv-LV"/>
              </w:rPr>
            </w:pPr>
            <w:r w:rsidRPr="008D52EA">
              <w:rPr>
                <w:lang w:eastAsia="lv-LV"/>
              </w:rPr>
              <w:t>Sabiedrības līdzdalība projekta izstrādē</w:t>
            </w:r>
          </w:p>
        </w:tc>
        <w:tc>
          <w:tcPr>
            <w:tcW w:w="6662" w:type="dxa"/>
          </w:tcPr>
          <w:p w14:paraId="090EA59B" w14:textId="3091C8F8" w:rsidR="008F50D6" w:rsidRPr="008D52EA" w:rsidRDefault="00424E0C" w:rsidP="008D52EA">
            <w:pPr>
              <w:pStyle w:val="naiskr"/>
              <w:spacing w:before="40" w:beforeAutospacing="0" w:after="40" w:afterAutospacing="0"/>
              <w:ind w:right="57"/>
              <w:jc w:val="both"/>
            </w:pPr>
            <w:bookmarkStart w:id="29" w:name="p62"/>
            <w:bookmarkEnd w:id="29"/>
            <w:r w:rsidRPr="008D52EA">
              <w:rPr>
                <w:szCs w:val="28"/>
              </w:rPr>
              <w:t>Sabiedrības</w:t>
            </w:r>
            <w:r w:rsidRPr="008D52EA">
              <w:t xml:space="preserve"> līdzdalība tika nodrošināta visā </w:t>
            </w:r>
            <w:r w:rsidR="003E4D08" w:rsidRPr="008D52EA">
              <w:t>specifiskā atbalsta</w:t>
            </w:r>
            <w:r w:rsidRPr="008D52EA">
              <w:t xml:space="preserve"> plānošanas procesā</w:t>
            </w:r>
            <w:r w:rsidR="00D46E0B" w:rsidRPr="008D52EA">
              <w:t xml:space="preserve">.  </w:t>
            </w:r>
            <w:r w:rsidR="008D52EA" w:rsidRPr="008D52EA">
              <w:t xml:space="preserve">Specifiskā atbalsta mērķis tika saskaņots un izdiskutēts starpinstitūciju un sociālo partneru starpā Darbības </w:t>
            </w:r>
            <w:r w:rsidR="008D52EA" w:rsidRPr="008D52EA">
              <w:rPr>
                <w:bCs/>
              </w:rPr>
              <w:t>programmas</w:t>
            </w:r>
            <w:r w:rsidR="008D52EA" w:rsidRPr="008D52EA">
              <w:t xml:space="preserve"> “</w:t>
            </w:r>
            <w:r w:rsidR="008D52EA" w:rsidRPr="008D52EA">
              <w:rPr>
                <w:i/>
              </w:rPr>
              <w:t>Izaugsme un nodarbinātība</w:t>
            </w:r>
            <w:r w:rsidR="008D52EA" w:rsidRPr="008D52EA">
              <w:t>” grozījumu Nr.6 saskaņošanas procesa ietvaros. Specifiskā atbalsta sākotnējais novērtējums un projektu vērtēšanas kritēriji tika izskatīti un apstiprināti atbilstoši Eiropas Savienības struktūrfondu un Kohēzijas fonda 2014. —2020. gada plānošanas perioda vadības likumam izveidotajā Nodarbinātības, darbaspēka mobilitātes un sociālā iekļaušanas prioritārā virziena uzraudzības apakškomitejas 27.08.2020. sēdē</w:t>
            </w:r>
          </w:p>
        </w:tc>
      </w:tr>
      <w:tr w:rsidR="00BA6371" w:rsidRPr="00EF556F" w14:paraId="0D5424BB" w14:textId="77777777" w:rsidTr="00E516B6">
        <w:trPr>
          <w:trHeight w:val="476"/>
        </w:trPr>
        <w:tc>
          <w:tcPr>
            <w:tcW w:w="760" w:type="dxa"/>
          </w:tcPr>
          <w:p w14:paraId="5579E263" w14:textId="77777777" w:rsidR="00BA6371" w:rsidRPr="008D52EA" w:rsidRDefault="00BA6371" w:rsidP="0009253D">
            <w:pPr>
              <w:ind w:left="57" w:right="57"/>
              <w:jc w:val="both"/>
              <w:rPr>
                <w:bCs/>
              </w:rPr>
            </w:pPr>
            <w:r w:rsidRPr="008D52EA">
              <w:rPr>
                <w:bCs/>
              </w:rPr>
              <w:t>3</w:t>
            </w:r>
            <w:r w:rsidR="00D46E0B" w:rsidRPr="008D52EA">
              <w:rPr>
                <w:bCs/>
              </w:rPr>
              <w:t xml:space="preserve">. </w:t>
            </w:r>
          </w:p>
        </w:tc>
        <w:tc>
          <w:tcPr>
            <w:tcW w:w="2218" w:type="dxa"/>
          </w:tcPr>
          <w:p w14:paraId="3FEECE86" w14:textId="77777777" w:rsidR="00BA6371" w:rsidRPr="008D52EA" w:rsidRDefault="00BA6371" w:rsidP="0009253D">
            <w:pPr>
              <w:ind w:left="57" w:right="57"/>
              <w:rPr>
                <w:lang w:eastAsia="lv-LV"/>
              </w:rPr>
            </w:pPr>
            <w:r w:rsidRPr="008D52EA">
              <w:rPr>
                <w:lang w:eastAsia="lv-LV"/>
              </w:rPr>
              <w:t>Sabiedrības līdzdalības rezultāti</w:t>
            </w:r>
          </w:p>
        </w:tc>
        <w:tc>
          <w:tcPr>
            <w:tcW w:w="6662" w:type="dxa"/>
          </w:tcPr>
          <w:p w14:paraId="4775CD5C" w14:textId="5A3DB11E" w:rsidR="00BA6371" w:rsidRPr="00EF556F" w:rsidRDefault="00394CB8" w:rsidP="002C6B64">
            <w:pPr>
              <w:pStyle w:val="naiskr"/>
              <w:spacing w:before="40" w:beforeAutospacing="0" w:after="40" w:afterAutospacing="0"/>
              <w:ind w:left="57" w:right="57" w:firstLine="284"/>
              <w:jc w:val="both"/>
              <w:rPr>
                <w:highlight w:val="yellow"/>
              </w:rPr>
            </w:pPr>
            <w:r w:rsidRPr="008D52EA">
              <w:t xml:space="preserve">Darbības </w:t>
            </w:r>
            <w:r w:rsidRPr="008D52EA">
              <w:rPr>
                <w:bCs/>
              </w:rPr>
              <w:t>programmas</w:t>
            </w:r>
            <w:r w:rsidRPr="008D52EA">
              <w:t xml:space="preserve"> “</w:t>
            </w:r>
            <w:r w:rsidRPr="008D52EA">
              <w:rPr>
                <w:i/>
              </w:rPr>
              <w:t>Izaugsme un nodarbinātība</w:t>
            </w:r>
            <w:r w:rsidRPr="008D52EA">
              <w:t>” grozījumu Nr.6</w:t>
            </w:r>
            <w:r w:rsidR="008D52EA">
              <w:t>.,</w:t>
            </w:r>
            <w:r w:rsidR="008D52EA" w:rsidRPr="008D52EA">
              <w:t xml:space="preserve"> </w:t>
            </w:r>
            <w:r w:rsidRPr="008D52EA">
              <w:t>specifiskā atbalsta sākotnējā novērtējuma</w:t>
            </w:r>
            <w:r w:rsidR="008D52EA" w:rsidRPr="008D52EA">
              <w:t xml:space="preserve"> </w:t>
            </w:r>
            <w:r w:rsidRPr="008D52EA">
              <w:t>un projektu vērtēšanas kritērij</w:t>
            </w:r>
            <w:r w:rsidR="008D52EA" w:rsidRPr="008D52EA">
              <w:t>u saskaņošanas procesā</w:t>
            </w:r>
            <w:r w:rsidRPr="008D52EA">
              <w:t xml:space="preserve"> </w:t>
            </w:r>
            <w:r w:rsidR="008D52EA" w:rsidRPr="008D52EA">
              <w:t xml:space="preserve">iesniegtie </w:t>
            </w:r>
            <w:r w:rsidR="00424E0C" w:rsidRPr="008D52EA">
              <w:t>komentāri ir saskaņoti un panākta vienošanās ar visām iesaistītajām pusēm</w:t>
            </w:r>
            <w:r w:rsidR="00D46E0B" w:rsidRPr="008D52EA">
              <w:t xml:space="preserve">. </w:t>
            </w:r>
          </w:p>
        </w:tc>
      </w:tr>
      <w:tr w:rsidR="003735C6" w:rsidRPr="00EF556F" w14:paraId="384326E9" w14:textId="77777777" w:rsidTr="00E516B6">
        <w:trPr>
          <w:trHeight w:val="476"/>
        </w:trPr>
        <w:tc>
          <w:tcPr>
            <w:tcW w:w="760" w:type="dxa"/>
          </w:tcPr>
          <w:p w14:paraId="7011D965" w14:textId="77777777" w:rsidR="003735C6" w:rsidRPr="00394CB8" w:rsidRDefault="003735C6" w:rsidP="0009253D">
            <w:pPr>
              <w:ind w:left="57" w:right="57"/>
              <w:jc w:val="both"/>
              <w:rPr>
                <w:bCs/>
              </w:rPr>
            </w:pPr>
            <w:r w:rsidRPr="00394CB8">
              <w:rPr>
                <w:bCs/>
              </w:rPr>
              <w:t>4</w:t>
            </w:r>
            <w:r w:rsidR="00D46E0B" w:rsidRPr="00394CB8">
              <w:rPr>
                <w:bCs/>
              </w:rPr>
              <w:t xml:space="preserve">. </w:t>
            </w:r>
          </w:p>
        </w:tc>
        <w:tc>
          <w:tcPr>
            <w:tcW w:w="2218" w:type="dxa"/>
          </w:tcPr>
          <w:p w14:paraId="77CDF21F" w14:textId="77777777" w:rsidR="003735C6" w:rsidRPr="00394CB8" w:rsidRDefault="003735C6" w:rsidP="0009253D">
            <w:pPr>
              <w:ind w:left="57" w:right="57"/>
              <w:rPr>
                <w:lang w:eastAsia="lv-LV"/>
              </w:rPr>
            </w:pPr>
            <w:r w:rsidRPr="00394CB8">
              <w:rPr>
                <w:lang w:eastAsia="lv-LV"/>
              </w:rPr>
              <w:t>Cita informācija</w:t>
            </w:r>
          </w:p>
        </w:tc>
        <w:tc>
          <w:tcPr>
            <w:tcW w:w="6662" w:type="dxa"/>
          </w:tcPr>
          <w:p w14:paraId="32CE87F9" w14:textId="4C0E03AE" w:rsidR="003735C6" w:rsidRPr="00394CB8" w:rsidRDefault="00394CB8" w:rsidP="008A5908">
            <w:pPr>
              <w:pStyle w:val="naiskr"/>
              <w:spacing w:before="40" w:beforeAutospacing="0" w:after="40" w:afterAutospacing="0"/>
              <w:ind w:left="57" w:right="57" w:firstLine="284"/>
              <w:jc w:val="both"/>
            </w:pPr>
            <w:r w:rsidRPr="00394CB8">
              <w:t>Nav.</w:t>
            </w:r>
            <w:r w:rsidR="00D46E0B" w:rsidRPr="00394CB8">
              <w:t xml:space="preserve"> </w:t>
            </w:r>
          </w:p>
        </w:tc>
      </w:tr>
    </w:tbl>
    <w:p w14:paraId="03388F1E" w14:textId="77777777" w:rsidR="00C1591C" w:rsidRPr="00EF556F" w:rsidRDefault="00C1591C" w:rsidP="003735C6">
      <w:pPr>
        <w:rPr>
          <w:highlight w:val="yellow"/>
        </w:rPr>
      </w:pPr>
    </w:p>
    <w:p w14:paraId="2BD7168A" w14:textId="77777777" w:rsidR="00513043" w:rsidRPr="00EF556F" w:rsidRDefault="00513043" w:rsidP="003735C6">
      <w:pPr>
        <w:rPr>
          <w:highlight w:val="yellow"/>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EF556F" w14:paraId="1082F5E7" w14:textId="77777777" w:rsidTr="00E516B6">
        <w:trPr>
          <w:trHeight w:val="381"/>
        </w:trPr>
        <w:tc>
          <w:tcPr>
            <w:tcW w:w="9640" w:type="dxa"/>
            <w:gridSpan w:val="3"/>
            <w:vAlign w:val="center"/>
          </w:tcPr>
          <w:p w14:paraId="75887F27" w14:textId="77777777" w:rsidR="003735C6" w:rsidRPr="008D52EA" w:rsidRDefault="003735C6" w:rsidP="0009253D">
            <w:pPr>
              <w:pStyle w:val="naisnod"/>
              <w:spacing w:before="0" w:beforeAutospacing="0" w:after="0" w:afterAutospacing="0"/>
              <w:ind w:left="57" w:right="57"/>
              <w:jc w:val="center"/>
              <w:rPr>
                <w:b/>
              </w:rPr>
            </w:pPr>
            <w:r w:rsidRPr="008D52EA">
              <w:rPr>
                <w:b/>
              </w:rPr>
              <w:t>VII</w:t>
            </w:r>
            <w:r w:rsidR="00D46E0B" w:rsidRPr="008D52EA">
              <w:rPr>
                <w:b/>
              </w:rPr>
              <w:t xml:space="preserve">. </w:t>
            </w:r>
            <w:r w:rsidRPr="008D52EA">
              <w:rPr>
                <w:b/>
              </w:rPr>
              <w:t>Tiesību akta projekta izpildes nodrošināšana un tās ietekme uz institūcijām</w:t>
            </w:r>
          </w:p>
        </w:tc>
      </w:tr>
      <w:tr w:rsidR="003735C6" w:rsidRPr="00EF556F" w14:paraId="7481F6CC" w14:textId="77777777" w:rsidTr="00E516B6">
        <w:trPr>
          <w:trHeight w:val="427"/>
        </w:trPr>
        <w:tc>
          <w:tcPr>
            <w:tcW w:w="721" w:type="dxa"/>
          </w:tcPr>
          <w:p w14:paraId="0B2066C7" w14:textId="77777777" w:rsidR="003735C6" w:rsidRPr="008D52EA" w:rsidRDefault="003735C6" w:rsidP="0009253D">
            <w:pPr>
              <w:pStyle w:val="naisnod"/>
              <w:spacing w:before="0" w:beforeAutospacing="0" w:after="0" w:afterAutospacing="0"/>
              <w:ind w:left="57" w:right="57"/>
              <w:jc w:val="both"/>
            </w:pPr>
            <w:r w:rsidRPr="008D52EA">
              <w:t>1</w:t>
            </w:r>
            <w:r w:rsidR="00D46E0B" w:rsidRPr="008D52EA">
              <w:t xml:space="preserve">. </w:t>
            </w:r>
          </w:p>
        </w:tc>
        <w:tc>
          <w:tcPr>
            <w:tcW w:w="3249" w:type="dxa"/>
          </w:tcPr>
          <w:p w14:paraId="75139B2F" w14:textId="77777777" w:rsidR="003735C6" w:rsidRPr="008D52EA" w:rsidRDefault="003735C6" w:rsidP="0009253D">
            <w:pPr>
              <w:pStyle w:val="naisf"/>
              <w:spacing w:before="0" w:beforeAutospacing="0" w:after="0" w:afterAutospacing="0"/>
              <w:ind w:left="57" w:right="57"/>
              <w:rPr>
                <w:lang w:val="lv-LV"/>
              </w:rPr>
            </w:pPr>
            <w:r w:rsidRPr="008D52EA">
              <w:rPr>
                <w:lang w:val="lv-LV"/>
              </w:rPr>
              <w:t>Projekta izpildē iesaistītās institūcijas</w:t>
            </w:r>
          </w:p>
        </w:tc>
        <w:tc>
          <w:tcPr>
            <w:tcW w:w="5670" w:type="dxa"/>
          </w:tcPr>
          <w:p w14:paraId="0C355170" w14:textId="77777777" w:rsidR="003735C6" w:rsidRPr="008D52EA" w:rsidRDefault="003735C6" w:rsidP="00737E8D">
            <w:pPr>
              <w:pStyle w:val="naiskr"/>
              <w:spacing w:before="40" w:beforeAutospacing="0" w:after="40" w:afterAutospacing="0"/>
              <w:ind w:left="57" w:right="57" w:firstLine="284"/>
              <w:jc w:val="both"/>
            </w:pPr>
            <w:bookmarkStart w:id="30" w:name="p66"/>
            <w:bookmarkStart w:id="31" w:name="p67"/>
            <w:bookmarkStart w:id="32" w:name="p68"/>
            <w:bookmarkStart w:id="33" w:name="p69"/>
            <w:bookmarkEnd w:id="30"/>
            <w:bookmarkEnd w:id="31"/>
            <w:bookmarkEnd w:id="32"/>
            <w:bookmarkEnd w:id="33"/>
            <w:r w:rsidRPr="008D52EA">
              <w:rPr>
                <w:szCs w:val="28"/>
              </w:rPr>
              <w:t>Atbildīgās</w:t>
            </w:r>
            <w:r w:rsidRPr="008D52EA">
              <w:t xml:space="preserve"> iestādes funkcijas pilda </w:t>
            </w:r>
            <w:r w:rsidR="00E97CF8" w:rsidRPr="008D52EA">
              <w:t xml:space="preserve">Veselības </w:t>
            </w:r>
            <w:r w:rsidRPr="008D52EA">
              <w:t>ministrija, sadarbības iestādes funkcijas – Centrālā finanšu un līgumu aģentūra</w:t>
            </w:r>
            <w:r w:rsidR="00D46E0B" w:rsidRPr="008D52EA">
              <w:t xml:space="preserve">. </w:t>
            </w:r>
            <w:r w:rsidR="004F5F76" w:rsidRPr="008D52EA">
              <w:t>Projekta iesniedzējs</w:t>
            </w:r>
            <w:r w:rsidR="00460FE0" w:rsidRPr="008D52EA">
              <w:t xml:space="preserve"> un finansējuma saņēmējs ir Veselības ministrija </w:t>
            </w:r>
          </w:p>
        </w:tc>
      </w:tr>
      <w:tr w:rsidR="00424E0C" w:rsidRPr="00EF556F" w14:paraId="3E1B39DC" w14:textId="77777777" w:rsidTr="00E516B6">
        <w:trPr>
          <w:trHeight w:val="463"/>
        </w:trPr>
        <w:tc>
          <w:tcPr>
            <w:tcW w:w="721" w:type="dxa"/>
          </w:tcPr>
          <w:p w14:paraId="38E5EA65" w14:textId="77777777" w:rsidR="00424E0C" w:rsidRPr="008D52EA" w:rsidRDefault="00424E0C" w:rsidP="0009253D">
            <w:pPr>
              <w:pStyle w:val="naisnod"/>
              <w:spacing w:before="0" w:beforeAutospacing="0" w:after="0" w:afterAutospacing="0"/>
              <w:ind w:left="57" w:right="57"/>
              <w:jc w:val="both"/>
            </w:pPr>
            <w:r w:rsidRPr="008D52EA">
              <w:t>2</w:t>
            </w:r>
            <w:r w:rsidR="00D46E0B" w:rsidRPr="008D52EA">
              <w:t xml:space="preserve">. </w:t>
            </w:r>
          </w:p>
        </w:tc>
        <w:tc>
          <w:tcPr>
            <w:tcW w:w="3249" w:type="dxa"/>
          </w:tcPr>
          <w:p w14:paraId="675DE8F3" w14:textId="77777777" w:rsidR="00424E0C" w:rsidRPr="008D52EA" w:rsidRDefault="00424E0C" w:rsidP="0009253D">
            <w:pPr>
              <w:pStyle w:val="naisf"/>
              <w:spacing w:before="0" w:beforeAutospacing="0" w:after="0" w:afterAutospacing="0"/>
              <w:ind w:left="57" w:right="57"/>
              <w:rPr>
                <w:lang w:val="lv-LV"/>
              </w:rPr>
            </w:pPr>
            <w:r w:rsidRPr="008D52EA">
              <w:rPr>
                <w:lang w:val="lv-LV"/>
              </w:rPr>
              <w:t>Projekta izpildes ietekme uz pār</w:t>
            </w:r>
            <w:r w:rsidRPr="008D52EA">
              <w:rPr>
                <w:lang w:val="lv-LV"/>
              </w:rPr>
              <w:softHyphen/>
              <w:t>valdes funkcijām un institucionālo struktūru</w:t>
            </w:r>
            <w:r w:rsidR="00D46E0B" w:rsidRPr="008D52EA">
              <w:rPr>
                <w:lang w:val="lv-LV"/>
              </w:rPr>
              <w:t xml:space="preserve">. </w:t>
            </w:r>
          </w:p>
          <w:p w14:paraId="18BE9E54" w14:textId="77777777" w:rsidR="00424E0C" w:rsidRPr="008D52EA" w:rsidRDefault="00424E0C" w:rsidP="0009253D">
            <w:pPr>
              <w:pStyle w:val="naisf"/>
              <w:spacing w:before="0" w:beforeAutospacing="0" w:after="0" w:afterAutospacing="0"/>
              <w:ind w:left="57" w:right="57"/>
              <w:rPr>
                <w:lang w:val="lv-LV"/>
              </w:rPr>
            </w:pPr>
            <w:r w:rsidRPr="008D52EA">
              <w:rPr>
                <w:lang w:val="lv-LV"/>
              </w:rPr>
              <w:t>Jaunu institūciju izveide, esošu institūciju likvidācija vai reorga</w:t>
            </w:r>
            <w:r w:rsidRPr="008D52EA">
              <w:rPr>
                <w:lang w:val="lv-LV"/>
              </w:rPr>
              <w:softHyphen/>
              <w:t>nizācija, to ietekme uz institūcijas cilvēkresursiem</w:t>
            </w:r>
          </w:p>
        </w:tc>
        <w:tc>
          <w:tcPr>
            <w:tcW w:w="5670" w:type="dxa"/>
          </w:tcPr>
          <w:p w14:paraId="63CCAD24" w14:textId="77777777" w:rsidR="00424E0C" w:rsidRPr="008D52EA" w:rsidRDefault="00424E0C" w:rsidP="007C0E17">
            <w:pPr>
              <w:pStyle w:val="naiskr"/>
              <w:spacing w:before="40" w:beforeAutospacing="0" w:after="40" w:afterAutospacing="0"/>
              <w:ind w:left="57" w:right="57" w:firstLine="284"/>
              <w:jc w:val="both"/>
            </w:pPr>
            <w:r w:rsidRPr="008D52EA">
              <w:rPr>
                <w:szCs w:val="28"/>
              </w:rPr>
              <w:t>MK</w:t>
            </w:r>
            <w:r w:rsidRPr="008D52EA">
              <w:t xml:space="preserve"> noteikumu projekts šo jomu neskar</w:t>
            </w:r>
            <w:r w:rsidR="00D46E0B" w:rsidRPr="008D52EA">
              <w:t xml:space="preserve">. </w:t>
            </w:r>
          </w:p>
        </w:tc>
      </w:tr>
      <w:tr w:rsidR="003735C6" w:rsidRPr="00EF556F" w14:paraId="708F7CB5"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35878976" w14:textId="77777777" w:rsidR="003735C6" w:rsidRPr="008D52EA" w:rsidRDefault="003735C6" w:rsidP="0009253D">
            <w:pPr>
              <w:pStyle w:val="naisnod"/>
              <w:spacing w:before="0" w:beforeAutospacing="0" w:after="0" w:afterAutospacing="0"/>
              <w:ind w:left="57" w:right="57"/>
              <w:jc w:val="both"/>
            </w:pPr>
            <w:r w:rsidRPr="008D52EA">
              <w:t>3</w:t>
            </w:r>
            <w:r w:rsidR="00D46E0B" w:rsidRPr="008D52EA">
              <w:t xml:space="preserve">. </w:t>
            </w:r>
          </w:p>
        </w:tc>
        <w:tc>
          <w:tcPr>
            <w:tcW w:w="3249" w:type="dxa"/>
            <w:tcBorders>
              <w:top w:val="single" w:sz="4" w:space="0" w:color="auto"/>
              <w:left w:val="single" w:sz="4" w:space="0" w:color="auto"/>
              <w:bottom w:val="single" w:sz="4" w:space="0" w:color="auto"/>
              <w:right w:val="single" w:sz="4" w:space="0" w:color="auto"/>
            </w:tcBorders>
          </w:tcPr>
          <w:p w14:paraId="2BB133DC" w14:textId="77777777" w:rsidR="003735C6" w:rsidRPr="008D52EA" w:rsidRDefault="003735C6" w:rsidP="0009253D">
            <w:pPr>
              <w:pStyle w:val="naisf"/>
              <w:spacing w:before="0" w:beforeAutospacing="0" w:after="0" w:afterAutospacing="0"/>
              <w:ind w:left="57" w:right="57"/>
              <w:rPr>
                <w:lang w:val="lv-LV"/>
              </w:rPr>
            </w:pPr>
            <w:r w:rsidRPr="008D52EA">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481F370B" w14:textId="77777777" w:rsidR="003735C6" w:rsidRPr="008D52EA" w:rsidRDefault="003735C6" w:rsidP="00AE31FA">
            <w:pPr>
              <w:pStyle w:val="naiskr"/>
              <w:spacing w:before="40" w:beforeAutospacing="0" w:after="40" w:afterAutospacing="0"/>
              <w:ind w:left="57" w:right="57" w:firstLine="284"/>
              <w:jc w:val="both"/>
            </w:pPr>
            <w:r w:rsidRPr="008D52EA">
              <w:t>Nav</w:t>
            </w:r>
            <w:r w:rsidR="00D46E0B" w:rsidRPr="008D52EA">
              <w:t xml:space="preserve">. </w:t>
            </w:r>
          </w:p>
        </w:tc>
      </w:tr>
    </w:tbl>
    <w:p w14:paraId="4BB0122E" w14:textId="77777777" w:rsidR="003735C6" w:rsidRPr="00EF556F" w:rsidRDefault="003735C6" w:rsidP="003735C6">
      <w:pPr>
        <w:rPr>
          <w:highlight w:val="yellow"/>
        </w:rPr>
      </w:pPr>
    </w:p>
    <w:p w14:paraId="3CB6543D" w14:textId="77777777" w:rsidR="00513043" w:rsidRPr="00EF556F" w:rsidRDefault="00513043" w:rsidP="003735C6">
      <w:pPr>
        <w:rPr>
          <w:highlight w:val="yellow"/>
        </w:rPr>
      </w:pPr>
    </w:p>
    <w:p w14:paraId="39CA86B8" w14:textId="77777777" w:rsidR="00513043" w:rsidRPr="00EF556F" w:rsidRDefault="00513043" w:rsidP="003735C6">
      <w:pPr>
        <w:rPr>
          <w:highlight w:val="yellow"/>
        </w:rPr>
      </w:pPr>
    </w:p>
    <w:p w14:paraId="76D4C017" w14:textId="16D383FD" w:rsidR="00102AE2" w:rsidRPr="00B22C79" w:rsidRDefault="00102AE2" w:rsidP="00102AE2">
      <w:pPr>
        <w:tabs>
          <w:tab w:val="right" w:pos="9356"/>
        </w:tabs>
        <w:ind w:right="49"/>
        <w:jc w:val="both"/>
        <w:rPr>
          <w:rFonts w:eastAsia="Calibri"/>
          <w:color w:val="000000" w:themeColor="text1"/>
          <w:sz w:val="28"/>
          <w:szCs w:val="28"/>
        </w:rPr>
      </w:pPr>
      <w:r w:rsidRPr="00B22C79">
        <w:rPr>
          <w:rFonts w:eastAsia="Calibri"/>
          <w:color w:val="000000" w:themeColor="text1"/>
          <w:sz w:val="28"/>
          <w:szCs w:val="28"/>
        </w:rPr>
        <w:t xml:space="preserve">Veselības ministre </w:t>
      </w:r>
      <w:r w:rsidRPr="00B22C79">
        <w:rPr>
          <w:rFonts w:eastAsia="Calibri"/>
          <w:color w:val="000000" w:themeColor="text1"/>
          <w:sz w:val="28"/>
          <w:szCs w:val="28"/>
        </w:rPr>
        <w:tab/>
        <w:t xml:space="preserve"> </w:t>
      </w:r>
      <w:r w:rsidRPr="00B22C79">
        <w:rPr>
          <w:sz w:val="28"/>
          <w:szCs w:val="28"/>
        </w:rPr>
        <w:t>I. Viņķele</w:t>
      </w:r>
    </w:p>
    <w:p w14:paraId="1E48E201" w14:textId="77777777" w:rsidR="00A14CDE" w:rsidRDefault="00A14CDE" w:rsidP="00102AE2">
      <w:pPr>
        <w:tabs>
          <w:tab w:val="right" w:pos="9356"/>
        </w:tabs>
        <w:ind w:right="49"/>
        <w:jc w:val="both"/>
        <w:rPr>
          <w:rFonts w:eastAsia="Calibri"/>
          <w:color w:val="000000" w:themeColor="text1"/>
          <w:sz w:val="28"/>
          <w:szCs w:val="28"/>
        </w:rPr>
      </w:pPr>
    </w:p>
    <w:p w14:paraId="0EADA7EA" w14:textId="77777777" w:rsidR="00A14CDE" w:rsidRDefault="00A14CDE" w:rsidP="00102AE2">
      <w:pPr>
        <w:tabs>
          <w:tab w:val="right" w:pos="9356"/>
        </w:tabs>
        <w:ind w:right="49"/>
        <w:jc w:val="both"/>
        <w:rPr>
          <w:rFonts w:eastAsia="Calibri"/>
          <w:color w:val="000000" w:themeColor="text1"/>
          <w:sz w:val="28"/>
          <w:szCs w:val="28"/>
        </w:rPr>
      </w:pPr>
    </w:p>
    <w:p w14:paraId="71B2FF3B" w14:textId="05085031" w:rsidR="00A869F5" w:rsidRPr="00B22C79" w:rsidRDefault="00102AE2" w:rsidP="00102AE2">
      <w:pPr>
        <w:tabs>
          <w:tab w:val="right" w:pos="9356"/>
        </w:tabs>
        <w:ind w:right="49"/>
        <w:jc w:val="both"/>
        <w:rPr>
          <w:rFonts w:eastAsia="Calibri"/>
          <w:color w:val="000000" w:themeColor="text1"/>
          <w:sz w:val="28"/>
          <w:szCs w:val="28"/>
        </w:rPr>
      </w:pPr>
      <w:r w:rsidRPr="00B22C79">
        <w:rPr>
          <w:rFonts w:eastAsia="Calibri"/>
          <w:color w:val="000000" w:themeColor="text1"/>
          <w:sz w:val="28"/>
          <w:szCs w:val="28"/>
        </w:rPr>
        <w:t>Vīza: Valsts sekretār</w:t>
      </w:r>
      <w:r w:rsidR="00A869F5">
        <w:rPr>
          <w:rFonts w:eastAsia="Calibri"/>
          <w:color w:val="000000" w:themeColor="text1"/>
          <w:sz w:val="28"/>
          <w:szCs w:val="28"/>
        </w:rPr>
        <w:t>e</w:t>
      </w:r>
      <w:r w:rsidRPr="00B22C79">
        <w:rPr>
          <w:rFonts w:eastAsia="Calibri"/>
          <w:color w:val="000000" w:themeColor="text1"/>
          <w:sz w:val="28"/>
          <w:szCs w:val="28"/>
        </w:rPr>
        <w:tab/>
      </w:r>
      <w:r w:rsidR="00A869F5" w:rsidRPr="00365614">
        <w:rPr>
          <w:rFonts w:eastAsia="Calibri"/>
          <w:color w:val="000000" w:themeColor="text1"/>
          <w:sz w:val="28"/>
          <w:szCs w:val="28"/>
        </w:rPr>
        <w:t xml:space="preserve">D. </w:t>
      </w:r>
      <w:proofErr w:type="spellStart"/>
      <w:r w:rsidR="00A869F5" w:rsidRPr="00365614">
        <w:rPr>
          <w:rFonts w:eastAsia="Calibri"/>
          <w:color w:val="000000" w:themeColor="text1"/>
          <w:sz w:val="28"/>
          <w:szCs w:val="28"/>
        </w:rPr>
        <w:t>Mūrmane</w:t>
      </w:r>
      <w:proofErr w:type="spellEnd"/>
      <w:r w:rsidR="00A869F5" w:rsidRPr="00365614">
        <w:rPr>
          <w:rFonts w:eastAsia="Calibri"/>
          <w:color w:val="000000" w:themeColor="text1"/>
          <w:sz w:val="28"/>
          <w:szCs w:val="28"/>
        </w:rPr>
        <w:t xml:space="preserve"> </w:t>
      </w:r>
      <w:r w:rsidR="00A869F5">
        <w:rPr>
          <w:rFonts w:eastAsia="Calibri"/>
          <w:color w:val="000000" w:themeColor="text1"/>
          <w:sz w:val="28"/>
          <w:szCs w:val="28"/>
        </w:rPr>
        <w:t>–</w:t>
      </w:r>
      <w:r w:rsidR="00A869F5" w:rsidRPr="00365614">
        <w:rPr>
          <w:rFonts w:eastAsia="Calibri"/>
          <w:color w:val="000000" w:themeColor="text1"/>
          <w:sz w:val="28"/>
          <w:szCs w:val="28"/>
        </w:rPr>
        <w:t xml:space="preserve"> </w:t>
      </w:r>
      <w:proofErr w:type="spellStart"/>
      <w:r w:rsidR="00A869F5" w:rsidRPr="00365614">
        <w:rPr>
          <w:rFonts w:eastAsia="Calibri"/>
          <w:color w:val="000000" w:themeColor="text1"/>
          <w:sz w:val="28"/>
          <w:szCs w:val="28"/>
        </w:rPr>
        <w:t>Umbraško</w:t>
      </w:r>
      <w:proofErr w:type="spellEnd"/>
    </w:p>
    <w:p w14:paraId="60F7C5E2" w14:textId="77777777" w:rsidR="00652C22" w:rsidRPr="00EF556F" w:rsidRDefault="00652C22" w:rsidP="000F080D">
      <w:pPr>
        <w:contextualSpacing/>
        <w:jc w:val="both"/>
        <w:rPr>
          <w:highlight w:val="yellow"/>
        </w:rPr>
      </w:pPr>
    </w:p>
    <w:p w14:paraId="4891E237" w14:textId="77777777" w:rsidR="00652C22" w:rsidRPr="00EF556F" w:rsidRDefault="00652C22" w:rsidP="000F080D">
      <w:pPr>
        <w:contextualSpacing/>
        <w:jc w:val="both"/>
        <w:rPr>
          <w:highlight w:val="yellow"/>
        </w:rPr>
      </w:pPr>
    </w:p>
    <w:p w14:paraId="7698B714" w14:textId="774DDE3D" w:rsidR="00E516B6" w:rsidRPr="00102AE2" w:rsidRDefault="00102AE2" w:rsidP="000F080D">
      <w:pPr>
        <w:contextualSpacing/>
        <w:jc w:val="both"/>
      </w:pPr>
      <w:r w:rsidRPr="00102AE2">
        <w:t>Žurovska</w:t>
      </w:r>
      <w:r w:rsidR="00E516B6" w:rsidRPr="00102AE2">
        <w:t xml:space="preserve"> 67876</w:t>
      </w:r>
      <w:r w:rsidRPr="00102AE2">
        <w:t>012</w:t>
      </w:r>
    </w:p>
    <w:p w14:paraId="5BB47393" w14:textId="46AB8766" w:rsidR="00E516B6" w:rsidRPr="004A6791" w:rsidRDefault="00102AE2" w:rsidP="000F080D">
      <w:pPr>
        <w:contextualSpacing/>
        <w:jc w:val="both"/>
      </w:pPr>
      <w:r>
        <w:t>L</w:t>
      </w:r>
      <w:r w:rsidRPr="00102AE2">
        <w:t>iga</w:t>
      </w:r>
      <w:r w:rsidR="00531946" w:rsidRPr="00102AE2">
        <w:t>.</w:t>
      </w:r>
      <w:r>
        <w:t>Z</w:t>
      </w:r>
      <w:r w:rsidRPr="00102AE2">
        <w:t>urovska</w:t>
      </w:r>
      <w:r w:rsidR="00E516B6" w:rsidRPr="00102AE2">
        <w:t>@vm.gov.lv</w:t>
      </w:r>
    </w:p>
    <w:sectPr w:rsidR="00E516B6" w:rsidRPr="004A6791" w:rsidSect="00855945">
      <w:headerReference w:type="even" r:id="rId18"/>
      <w:headerReference w:type="default" r:id="rId19"/>
      <w:footerReference w:type="default" r:id="rId20"/>
      <w:footerReference w:type="first" r:id="rId21"/>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C6E0" w14:textId="77777777" w:rsidR="00E626A4" w:rsidRDefault="00E626A4">
      <w:r>
        <w:separator/>
      </w:r>
    </w:p>
  </w:endnote>
  <w:endnote w:type="continuationSeparator" w:id="0">
    <w:p w14:paraId="4939F6D0" w14:textId="77777777" w:rsidR="00E626A4" w:rsidRDefault="00E6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B70F" w14:textId="458EDFF6" w:rsidR="00E626A4" w:rsidRPr="0068261C" w:rsidRDefault="00E626A4" w:rsidP="0068261C">
    <w:pPr>
      <w:tabs>
        <w:tab w:val="center" w:pos="4153"/>
        <w:tab w:val="right" w:pos="8306"/>
      </w:tabs>
      <w:jc w:val="both"/>
      <w:rPr>
        <w:sz w:val="20"/>
        <w:szCs w:val="20"/>
        <w:lang w:eastAsia="lv-LV"/>
      </w:rPr>
    </w:pPr>
    <w:r w:rsidRPr="000F65F0">
      <w:rPr>
        <w:sz w:val="20"/>
        <w:szCs w:val="20"/>
        <w:lang w:eastAsia="lv-LV"/>
      </w:rPr>
      <w:t>VManot_</w:t>
    </w:r>
    <w:r w:rsidR="003A3A2B">
      <w:rPr>
        <w:sz w:val="20"/>
        <w:szCs w:val="20"/>
        <w:lang w:eastAsia="lv-LV"/>
      </w:rPr>
      <w:t>03</w:t>
    </w:r>
    <w:r w:rsidR="00F9790F">
      <w:rPr>
        <w:sz w:val="20"/>
        <w:szCs w:val="20"/>
        <w:lang w:eastAsia="lv-LV"/>
      </w:rPr>
      <w:t>1</w:t>
    </w:r>
    <w:r w:rsidR="003A3A2B">
      <w:rPr>
        <w:sz w:val="20"/>
        <w:szCs w:val="20"/>
        <w:lang w:eastAsia="lv-LV"/>
      </w:rPr>
      <w:t>2</w:t>
    </w:r>
    <w:r>
      <w:rPr>
        <w:sz w:val="20"/>
        <w:szCs w:val="20"/>
        <w:lang w:eastAsia="lv-LV"/>
      </w:rPr>
      <w:t>20</w:t>
    </w:r>
    <w:r w:rsidRPr="000F65F0">
      <w:rPr>
        <w:sz w:val="20"/>
        <w:szCs w:val="20"/>
        <w:lang w:eastAsia="lv-LV"/>
      </w:rPr>
      <w:t>_SAM</w:t>
    </w:r>
    <w:r>
      <w:rPr>
        <w:sz w:val="20"/>
        <w:szCs w:val="20"/>
        <w:lang w:eastAsia="lv-LV"/>
      </w:rPr>
      <w:t>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A929" w14:textId="77777777" w:rsidR="00E626A4" w:rsidRPr="00A94F44" w:rsidRDefault="00E626A4"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E026" w14:textId="77777777" w:rsidR="00E626A4" w:rsidRDefault="00E626A4">
      <w:r>
        <w:separator/>
      </w:r>
    </w:p>
  </w:footnote>
  <w:footnote w:type="continuationSeparator" w:id="0">
    <w:p w14:paraId="71074F23" w14:textId="77777777" w:rsidR="00E626A4" w:rsidRDefault="00E626A4">
      <w:r>
        <w:continuationSeparator/>
      </w:r>
    </w:p>
  </w:footnote>
  <w:footnote w:id="1">
    <w:p w14:paraId="7461C67B" w14:textId="77777777" w:rsidR="00E626A4" w:rsidRDefault="00E626A4" w:rsidP="00A22D99">
      <w:pPr>
        <w:pStyle w:val="FootnoteText"/>
      </w:pPr>
      <w:r>
        <w:rPr>
          <w:rStyle w:val="FootnoteReference"/>
        </w:rPr>
        <w:footnoteRef/>
      </w:r>
      <w:r>
        <w:t xml:space="preserve"> EUROSTAT dati par 2017.gadu.</w:t>
      </w:r>
    </w:p>
  </w:footnote>
  <w:footnote w:id="2">
    <w:p w14:paraId="06E0EC18" w14:textId="77777777" w:rsidR="00E626A4" w:rsidRDefault="00E626A4" w:rsidP="00F10B3D">
      <w:pPr>
        <w:pStyle w:val="FootnoteText"/>
        <w:rPr>
          <w:sz w:val="16"/>
          <w:szCs w:val="16"/>
        </w:rPr>
      </w:pPr>
      <w:r>
        <w:rPr>
          <w:rStyle w:val="FootnoteReference"/>
          <w:sz w:val="18"/>
          <w:szCs w:val="18"/>
        </w:rPr>
        <w:footnoteRef/>
      </w:r>
      <w:r>
        <w:rPr>
          <w:rStyle w:val="FootnoteReference"/>
          <w:sz w:val="18"/>
          <w:szCs w:val="18"/>
        </w:rPr>
        <w:t xml:space="preserve"> </w:t>
      </w:r>
      <w:r>
        <w:rPr>
          <w:sz w:val="16"/>
          <w:szCs w:val="16"/>
        </w:rPr>
        <w:t xml:space="preserve">SPKC dati, </w:t>
      </w:r>
      <w:hyperlink r:id="rId1" w:history="1">
        <w:r>
          <w:rPr>
            <w:rStyle w:val="Hyperlink"/>
            <w:sz w:val="16"/>
            <w:szCs w:val="16"/>
          </w:rPr>
          <w:t>https://www.spkc.gov.lv/lv/statistika-un-petijumi/statistika/veselibas-aprupes-statistika1</w:t>
        </w:r>
      </w:hyperlink>
    </w:p>
  </w:footnote>
  <w:footnote w:id="3">
    <w:p w14:paraId="736AEEC7" w14:textId="77777777" w:rsidR="00E626A4" w:rsidRDefault="00E626A4" w:rsidP="007A18F5">
      <w:pPr>
        <w:pStyle w:val="FootnoteText"/>
        <w:rPr>
          <w:rFonts w:ascii="Calibri" w:hAnsi="Calibri"/>
        </w:rPr>
      </w:pPr>
      <w:r>
        <w:rPr>
          <w:rStyle w:val="FootnoteReference"/>
        </w:rPr>
        <w:footnoteRef/>
      </w:r>
      <w:r>
        <w:t xml:space="preserve"> </w:t>
      </w:r>
      <w:proofErr w:type="spellStart"/>
      <w:r>
        <w:rPr>
          <w:sz w:val="16"/>
          <w:szCs w:val="16"/>
        </w:rPr>
        <w:t>Europen</w:t>
      </w:r>
      <w:proofErr w:type="spellEnd"/>
      <w:r>
        <w:rPr>
          <w:sz w:val="16"/>
          <w:szCs w:val="16"/>
        </w:rPr>
        <w:t xml:space="preserve"> </w:t>
      </w:r>
      <w:proofErr w:type="spellStart"/>
      <w:r>
        <w:rPr>
          <w:sz w:val="16"/>
          <w:szCs w:val="16"/>
        </w:rPr>
        <w:t>strategic</w:t>
      </w:r>
      <w:proofErr w:type="spellEnd"/>
      <w:r>
        <w:rPr>
          <w:sz w:val="16"/>
          <w:szCs w:val="16"/>
        </w:rPr>
        <w:t xml:space="preserve"> </w:t>
      </w:r>
      <w:proofErr w:type="spellStart"/>
      <w:r>
        <w:rPr>
          <w:sz w:val="16"/>
          <w:szCs w:val="16"/>
        </w:rPr>
        <w:t>directions</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strengthening</w:t>
      </w:r>
      <w:proofErr w:type="spellEnd"/>
      <w:r>
        <w:rPr>
          <w:sz w:val="16"/>
          <w:szCs w:val="16"/>
        </w:rPr>
        <w:t xml:space="preserve"> </w:t>
      </w:r>
      <w:proofErr w:type="spellStart"/>
      <w:r>
        <w:rPr>
          <w:sz w:val="16"/>
          <w:szCs w:val="16"/>
        </w:rPr>
        <w:t>nursing</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midwifery</w:t>
      </w:r>
      <w:proofErr w:type="spellEnd"/>
      <w:r>
        <w:rPr>
          <w:sz w:val="16"/>
          <w:szCs w:val="16"/>
        </w:rPr>
        <w:t xml:space="preserve"> </w:t>
      </w:r>
      <w:proofErr w:type="spellStart"/>
      <w:r>
        <w:rPr>
          <w:sz w:val="16"/>
          <w:szCs w:val="16"/>
        </w:rPr>
        <w:t>towards</w:t>
      </w:r>
      <w:proofErr w:type="spellEnd"/>
      <w:r>
        <w:rPr>
          <w:sz w:val="16"/>
          <w:szCs w:val="16"/>
        </w:rPr>
        <w:t xml:space="preserve"> Health 2020 </w:t>
      </w:r>
      <w:proofErr w:type="spellStart"/>
      <w:r>
        <w:rPr>
          <w:sz w:val="16"/>
          <w:szCs w:val="16"/>
        </w:rPr>
        <w:t>goals</w:t>
      </w:r>
      <w:proofErr w:type="spellEnd"/>
      <w:r>
        <w:rPr>
          <w:sz w:val="16"/>
          <w:szCs w:val="16"/>
        </w:rPr>
        <w:t>, PVO, 2015, 7.lpp.;  (http://www.euro.who.int/__data/assets/pdf_file/0004/274306/European-strategic-directions-strengthening-nursing-midwifery-Health2020_en-REV1.pdf?ua=1)</w:t>
      </w:r>
    </w:p>
  </w:footnote>
  <w:footnote w:id="4">
    <w:p w14:paraId="68574D97" w14:textId="77777777" w:rsidR="00E626A4" w:rsidRDefault="00E626A4" w:rsidP="007A18F5">
      <w:pPr>
        <w:pStyle w:val="FootnoteText"/>
      </w:pPr>
      <w:r>
        <w:rPr>
          <w:rStyle w:val="FootnoteReference"/>
        </w:rPr>
        <w:footnoteRef/>
      </w:r>
      <w:r>
        <w:t xml:space="preserve"> </w:t>
      </w:r>
      <w:r>
        <w:rPr>
          <w:sz w:val="16"/>
          <w:szCs w:val="16"/>
        </w:rPr>
        <w:t>MK 07.08.2017. rīkojums Nr. 394 “Par konceptuālo ziņojumu "Par veselības aprūpes sistēmas reformu" 145.punkts</w:t>
      </w:r>
    </w:p>
  </w:footnote>
  <w:footnote w:id="5">
    <w:p w14:paraId="54260D4B" w14:textId="09D57143" w:rsidR="00E626A4" w:rsidRDefault="00E626A4">
      <w:pPr>
        <w:pStyle w:val="FootnoteText"/>
      </w:pPr>
      <w:r>
        <w:rPr>
          <w:rStyle w:val="FootnoteReference"/>
        </w:rPr>
        <w:footnoteRef/>
      </w:r>
      <w:r>
        <w:t xml:space="preserve"> Pasaules Bankas pētījuma ziņojums „Veselības politikas rekomendācijas Latvijai”</w:t>
      </w:r>
    </w:p>
  </w:footnote>
  <w:footnote w:id="6">
    <w:p w14:paraId="4D0CB4FE" w14:textId="77777777" w:rsidR="00E626A4" w:rsidRDefault="00E626A4" w:rsidP="00BD4522">
      <w:pPr>
        <w:pStyle w:val="FootnoteText"/>
      </w:pPr>
      <w:r>
        <w:rPr>
          <w:rStyle w:val="FootnoteReference"/>
        </w:rPr>
        <w:footnoteRef/>
      </w:r>
      <w:r>
        <w:t xml:space="preserve"> Sabiedrības veselības pamatnostādnes 2014.-2020.gadam.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3862" w14:textId="77777777" w:rsidR="00E626A4" w:rsidRDefault="00E62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5DD3F" w14:textId="77777777" w:rsidR="00E626A4" w:rsidRDefault="00E62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D1B8" w14:textId="6893BEB4" w:rsidR="00E626A4" w:rsidRDefault="00E62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3BC5F74" w14:textId="77777777" w:rsidR="00E626A4" w:rsidRDefault="00E62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B00"/>
    <w:multiLevelType w:val="hybridMultilevel"/>
    <w:tmpl w:val="7CBA8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ED40F6"/>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 w15:restartNumberingAfterBreak="0">
    <w:nsid w:val="17583242"/>
    <w:multiLevelType w:val="hybridMultilevel"/>
    <w:tmpl w:val="B0E01C16"/>
    <w:lvl w:ilvl="0" w:tplc="A9442346">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E6DD5"/>
    <w:multiLevelType w:val="hybridMultilevel"/>
    <w:tmpl w:val="03841A70"/>
    <w:lvl w:ilvl="0" w:tplc="5380A56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1B490C"/>
    <w:multiLevelType w:val="hybridMultilevel"/>
    <w:tmpl w:val="4624648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5E23B1"/>
    <w:multiLevelType w:val="multilevel"/>
    <w:tmpl w:val="D1E4AE40"/>
    <w:lvl w:ilvl="0">
      <w:start w:val="1"/>
      <w:numFmt w:val="decimal"/>
      <w:lvlText w:val="%1."/>
      <w:lvlJc w:val="left"/>
      <w:pPr>
        <w:ind w:left="785" w:hanging="360"/>
      </w:pPr>
      <w:rPr>
        <w:rFonts w:hint="default"/>
      </w:rPr>
    </w:lvl>
    <w:lvl w:ilvl="1">
      <w:numFmt w:val="bullet"/>
      <w:lvlText w:val="-"/>
      <w:lvlJc w:val="left"/>
      <w:pPr>
        <w:ind w:left="-4388" w:hanging="432"/>
      </w:pPr>
      <w:rPr>
        <w:rFont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6" w15:restartNumberingAfterBreak="0">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7" w15:restartNumberingAfterBreak="0">
    <w:nsid w:val="3FDD423D"/>
    <w:multiLevelType w:val="hybridMultilevel"/>
    <w:tmpl w:val="433269DE"/>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5C256D"/>
    <w:multiLevelType w:val="hybridMultilevel"/>
    <w:tmpl w:val="1BE81102"/>
    <w:lvl w:ilvl="0" w:tplc="6C6E1DB2">
      <w:start w:val="9"/>
      <w:numFmt w:val="bullet"/>
      <w:lvlText w:val="-"/>
      <w:lvlJc w:val="left"/>
      <w:pPr>
        <w:ind w:left="1061" w:hanging="360"/>
      </w:pPr>
      <w:rPr>
        <w:rFonts w:ascii="Times New Roman" w:eastAsia="Calibri" w:hAnsi="Times New Roman" w:cs="Times New Roman"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9" w15:restartNumberingAfterBreak="0">
    <w:nsid w:val="5F4C31C6"/>
    <w:multiLevelType w:val="hybridMultilevel"/>
    <w:tmpl w:val="6624F640"/>
    <w:lvl w:ilvl="0" w:tplc="A9442346">
      <w:numFmt w:val="bullet"/>
      <w:lvlText w:val="-"/>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dstrike w:val="0"/>
        <w:color w:val="000000" w:themeColor="text1"/>
        <w:sz w:val="24"/>
        <w:szCs w:val="24"/>
        <w:u w:val="none"/>
        <w:effect w:val="none"/>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849542C"/>
    <w:multiLevelType w:val="hybridMultilevel"/>
    <w:tmpl w:val="33F00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4"/>
  </w:num>
  <w:num w:numId="8">
    <w:abstractNumId w:val="2"/>
  </w:num>
  <w:num w:numId="9">
    <w:abstractNumId w:val="0"/>
  </w:num>
  <w:num w:numId="10">
    <w:abstractNumId w:val="9"/>
  </w:num>
  <w:num w:numId="11">
    <w:abstractNumId w:val="1"/>
  </w:num>
  <w:num w:numId="12">
    <w:abstractNumId w:val="5"/>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3658"/>
    <w:rsid w:val="00004926"/>
    <w:rsid w:val="00005A88"/>
    <w:rsid w:val="00006A21"/>
    <w:rsid w:val="00006CA3"/>
    <w:rsid w:val="00010573"/>
    <w:rsid w:val="0001075C"/>
    <w:rsid w:val="00011564"/>
    <w:rsid w:val="00013A86"/>
    <w:rsid w:val="00013B7C"/>
    <w:rsid w:val="000142AB"/>
    <w:rsid w:val="0001496E"/>
    <w:rsid w:val="00014D04"/>
    <w:rsid w:val="00016BD9"/>
    <w:rsid w:val="000177D7"/>
    <w:rsid w:val="00017DF7"/>
    <w:rsid w:val="00017E95"/>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5304"/>
    <w:rsid w:val="00036003"/>
    <w:rsid w:val="0003665B"/>
    <w:rsid w:val="00036D9A"/>
    <w:rsid w:val="000372A0"/>
    <w:rsid w:val="000379CD"/>
    <w:rsid w:val="000401EE"/>
    <w:rsid w:val="00040261"/>
    <w:rsid w:val="00040280"/>
    <w:rsid w:val="0004096E"/>
    <w:rsid w:val="00040B69"/>
    <w:rsid w:val="0004188B"/>
    <w:rsid w:val="000419AE"/>
    <w:rsid w:val="00042E73"/>
    <w:rsid w:val="0004341C"/>
    <w:rsid w:val="00043510"/>
    <w:rsid w:val="00044751"/>
    <w:rsid w:val="00044811"/>
    <w:rsid w:val="000451EF"/>
    <w:rsid w:val="00045588"/>
    <w:rsid w:val="000461A6"/>
    <w:rsid w:val="0004642F"/>
    <w:rsid w:val="00046C46"/>
    <w:rsid w:val="000471B2"/>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55B"/>
    <w:rsid w:val="00062879"/>
    <w:rsid w:val="00062E81"/>
    <w:rsid w:val="000637E3"/>
    <w:rsid w:val="00063FD8"/>
    <w:rsid w:val="00064018"/>
    <w:rsid w:val="000648AB"/>
    <w:rsid w:val="00065BE4"/>
    <w:rsid w:val="00065DC8"/>
    <w:rsid w:val="00066554"/>
    <w:rsid w:val="000665DA"/>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715"/>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630"/>
    <w:rsid w:val="00094968"/>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D85"/>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494A"/>
    <w:rsid w:val="000B54AE"/>
    <w:rsid w:val="000B5BC8"/>
    <w:rsid w:val="000B5C3B"/>
    <w:rsid w:val="000B5E3A"/>
    <w:rsid w:val="000B6F32"/>
    <w:rsid w:val="000C0654"/>
    <w:rsid w:val="000C075A"/>
    <w:rsid w:val="000C0894"/>
    <w:rsid w:val="000C0BFF"/>
    <w:rsid w:val="000C11F7"/>
    <w:rsid w:val="000C1806"/>
    <w:rsid w:val="000C1E94"/>
    <w:rsid w:val="000C228E"/>
    <w:rsid w:val="000C326C"/>
    <w:rsid w:val="000C328B"/>
    <w:rsid w:val="000C3992"/>
    <w:rsid w:val="000C4392"/>
    <w:rsid w:val="000C467C"/>
    <w:rsid w:val="000C508E"/>
    <w:rsid w:val="000C5995"/>
    <w:rsid w:val="000C61CE"/>
    <w:rsid w:val="000C62B6"/>
    <w:rsid w:val="000C69A8"/>
    <w:rsid w:val="000C6E9B"/>
    <w:rsid w:val="000C6F38"/>
    <w:rsid w:val="000C7F03"/>
    <w:rsid w:val="000C7F3E"/>
    <w:rsid w:val="000D0F10"/>
    <w:rsid w:val="000D10A0"/>
    <w:rsid w:val="000D3507"/>
    <w:rsid w:val="000D37FA"/>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7117"/>
    <w:rsid w:val="0010017D"/>
    <w:rsid w:val="00100196"/>
    <w:rsid w:val="00102127"/>
    <w:rsid w:val="001022F4"/>
    <w:rsid w:val="001024E1"/>
    <w:rsid w:val="001026F6"/>
    <w:rsid w:val="00102AE2"/>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33A"/>
    <w:rsid w:val="00114608"/>
    <w:rsid w:val="00115124"/>
    <w:rsid w:val="001157B2"/>
    <w:rsid w:val="00115996"/>
    <w:rsid w:val="00115C48"/>
    <w:rsid w:val="00117BB9"/>
    <w:rsid w:val="0012089E"/>
    <w:rsid w:val="00120CE6"/>
    <w:rsid w:val="00121058"/>
    <w:rsid w:val="00121170"/>
    <w:rsid w:val="00121708"/>
    <w:rsid w:val="001219BE"/>
    <w:rsid w:val="00122240"/>
    <w:rsid w:val="001228BD"/>
    <w:rsid w:val="00123384"/>
    <w:rsid w:val="00124003"/>
    <w:rsid w:val="00124412"/>
    <w:rsid w:val="00124DDF"/>
    <w:rsid w:val="00125CC0"/>
    <w:rsid w:val="00125F55"/>
    <w:rsid w:val="0012600A"/>
    <w:rsid w:val="001268E7"/>
    <w:rsid w:val="001271A7"/>
    <w:rsid w:val="001301D8"/>
    <w:rsid w:val="00130286"/>
    <w:rsid w:val="0013083A"/>
    <w:rsid w:val="00130B15"/>
    <w:rsid w:val="0013167A"/>
    <w:rsid w:val="00132010"/>
    <w:rsid w:val="00132477"/>
    <w:rsid w:val="00132673"/>
    <w:rsid w:val="0013287B"/>
    <w:rsid w:val="00132D78"/>
    <w:rsid w:val="00132F9A"/>
    <w:rsid w:val="001342F6"/>
    <w:rsid w:val="001343E2"/>
    <w:rsid w:val="0013473F"/>
    <w:rsid w:val="001349E0"/>
    <w:rsid w:val="00135104"/>
    <w:rsid w:val="001364D4"/>
    <w:rsid w:val="001366D7"/>
    <w:rsid w:val="00136FE2"/>
    <w:rsid w:val="00141485"/>
    <w:rsid w:val="00141BBC"/>
    <w:rsid w:val="00142047"/>
    <w:rsid w:val="00142096"/>
    <w:rsid w:val="001420EE"/>
    <w:rsid w:val="0014373C"/>
    <w:rsid w:val="001437C1"/>
    <w:rsid w:val="00144417"/>
    <w:rsid w:val="0014459B"/>
    <w:rsid w:val="001445AA"/>
    <w:rsid w:val="001449CC"/>
    <w:rsid w:val="001461E0"/>
    <w:rsid w:val="00146A34"/>
    <w:rsid w:val="00150DA5"/>
    <w:rsid w:val="0015195C"/>
    <w:rsid w:val="00151C63"/>
    <w:rsid w:val="00151E3F"/>
    <w:rsid w:val="001526CD"/>
    <w:rsid w:val="00152866"/>
    <w:rsid w:val="001529BA"/>
    <w:rsid w:val="00152B20"/>
    <w:rsid w:val="00153395"/>
    <w:rsid w:val="001534BF"/>
    <w:rsid w:val="00153C19"/>
    <w:rsid w:val="00155B12"/>
    <w:rsid w:val="00160F63"/>
    <w:rsid w:val="0016187F"/>
    <w:rsid w:val="0016188D"/>
    <w:rsid w:val="00162A40"/>
    <w:rsid w:val="0016372F"/>
    <w:rsid w:val="00164651"/>
    <w:rsid w:val="0016465D"/>
    <w:rsid w:val="001647CA"/>
    <w:rsid w:val="00164C8C"/>
    <w:rsid w:val="00164EDE"/>
    <w:rsid w:val="001654DC"/>
    <w:rsid w:val="001671FC"/>
    <w:rsid w:val="0016725E"/>
    <w:rsid w:val="00171E70"/>
    <w:rsid w:val="00172C6E"/>
    <w:rsid w:val="00172E1B"/>
    <w:rsid w:val="00173657"/>
    <w:rsid w:val="00173DB7"/>
    <w:rsid w:val="00174BEF"/>
    <w:rsid w:val="00174F93"/>
    <w:rsid w:val="00175FE2"/>
    <w:rsid w:val="00176219"/>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D8A"/>
    <w:rsid w:val="00190E51"/>
    <w:rsid w:val="00191D21"/>
    <w:rsid w:val="001928F8"/>
    <w:rsid w:val="00192C03"/>
    <w:rsid w:val="00193692"/>
    <w:rsid w:val="001942EB"/>
    <w:rsid w:val="00194696"/>
    <w:rsid w:val="001950BA"/>
    <w:rsid w:val="0019516A"/>
    <w:rsid w:val="00195AE2"/>
    <w:rsid w:val="00195FE5"/>
    <w:rsid w:val="001962E3"/>
    <w:rsid w:val="001971B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386"/>
    <w:rsid w:val="001B1BEB"/>
    <w:rsid w:val="001B1DEC"/>
    <w:rsid w:val="001B237B"/>
    <w:rsid w:val="001B268D"/>
    <w:rsid w:val="001B2753"/>
    <w:rsid w:val="001B2D1D"/>
    <w:rsid w:val="001B5116"/>
    <w:rsid w:val="001B7153"/>
    <w:rsid w:val="001B7BBF"/>
    <w:rsid w:val="001C02F2"/>
    <w:rsid w:val="001C038E"/>
    <w:rsid w:val="001C07E0"/>
    <w:rsid w:val="001C11EA"/>
    <w:rsid w:val="001C2383"/>
    <w:rsid w:val="001C2401"/>
    <w:rsid w:val="001C3DA6"/>
    <w:rsid w:val="001C446A"/>
    <w:rsid w:val="001C457A"/>
    <w:rsid w:val="001C4854"/>
    <w:rsid w:val="001C493F"/>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4857"/>
    <w:rsid w:val="001D49E8"/>
    <w:rsid w:val="001D4AB1"/>
    <w:rsid w:val="001D55DA"/>
    <w:rsid w:val="001D5EC8"/>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3C54"/>
    <w:rsid w:val="0020428A"/>
    <w:rsid w:val="00205006"/>
    <w:rsid w:val="0020696D"/>
    <w:rsid w:val="00206AB9"/>
    <w:rsid w:val="00206CDE"/>
    <w:rsid w:val="002070E9"/>
    <w:rsid w:val="00207ED4"/>
    <w:rsid w:val="002105B1"/>
    <w:rsid w:val="002106BC"/>
    <w:rsid w:val="00210B37"/>
    <w:rsid w:val="00210C61"/>
    <w:rsid w:val="0021148A"/>
    <w:rsid w:val="00212558"/>
    <w:rsid w:val="002131A0"/>
    <w:rsid w:val="00214A11"/>
    <w:rsid w:val="00214EE0"/>
    <w:rsid w:val="00215184"/>
    <w:rsid w:val="00215774"/>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56B"/>
    <w:rsid w:val="00227E32"/>
    <w:rsid w:val="00231010"/>
    <w:rsid w:val="00231B6A"/>
    <w:rsid w:val="00231C91"/>
    <w:rsid w:val="00231D61"/>
    <w:rsid w:val="00231F4B"/>
    <w:rsid w:val="00232CEC"/>
    <w:rsid w:val="00233132"/>
    <w:rsid w:val="00233516"/>
    <w:rsid w:val="00233D20"/>
    <w:rsid w:val="0023455C"/>
    <w:rsid w:val="00234612"/>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54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7FA"/>
    <w:rsid w:val="00260BFA"/>
    <w:rsid w:val="00260F8B"/>
    <w:rsid w:val="00261745"/>
    <w:rsid w:val="002629D3"/>
    <w:rsid w:val="00262B6A"/>
    <w:rsid w:val="0026440F"/>
    <w:rsid w:val="002650D4"/>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0150"/>
    <w:rsid w:val="00281321"/>
    <w:rsid w:val="002821D4"/>
    <w:rsid w:val="00282642"/>
    <w:rsid w:val="0028281D"/>
    <w:rsid w:val="00283496"/>
    <w:rsid w:val="002845C6"/>
    <w:rsid w:val="0028551C"/>
    <w:rsid w:val="00285C1F"/>
    <w:rsid w:val="0028615F"/>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11"/>
    <w:rsid w:val="002A49D0"/>
    <w:rsid w:val="002A51D1"/>
    <w:rsid w:val="002A725C"/>
    <w:rsid w:val="002A7525"/>
    <w:rsid w:val="002B0032"/>
    <w:rsid w:val="002B20CA"/>
    <w:rsid w:val="002B2135"/>
    <w:rsid w:val="002B2650"/>
    <w:rsid w:val="002B29C1"/>
    <w:rsid w:val="002B30CD"/>
    <w:rsid w:val="002B3DFA"/>
    <w:rsid w:val="002B40D0"/>
    <w:rsid w:val="002B55D2"/>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4263"/>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5E7F"/>
    <w:rsid w:val="002E64EC"/>
    <w:rsid w:val="002E6680"/>
    <w:rsid w:val="002E70B4"/>
    <w:rsid w:val="002F1089"/>
    <w:rsid w:val="002F18EE"/>
    <w:rsid w:val="002F1C53"/>
    <w:rsid w:val="002F25D5"/>
    <w:rsid w:val="002F25F5"/>
    <w:rsid w:val="002F2ACD"/>
    <w:rsid w:val="002F2C30"/>
    <w:rsid w:val="002F30DA"/>
    <w:rsid w:val="002F35E2"/>
    <w:rsid w:val="002F3C9C"/>
    <w:rsid w:val="002F3CAE"/>
    <w:rsid w:val="002F3DAD"/>
    <w:rsid w:val="002F4AA1"/>
    <w:rsid w:val="002F55B9"/>
    <w:rsid w:val="002F5C8A"/>
    <w:rsid w:val="002F6C5D"/>
    <w:rsid w:val="002F6DDC"/>
    <w:rsid w:val="00301BEE"/>
    <w:rsid w:val="00302E22"/>
    <w:rsid w:val="00303ECC"/>
    <w:rsid w:val="0030406D"/>
    <w:rsid w:val="003040AC"/>
    <w:rsid w:val="00304659"/>
    <w:rsid w:val="003049B9"/>
    <w:rsid w:val="00304CAD"/>
    <w:rsid w:val="00304FB3"/>
    <w:rsid w:val="003053E2"/>
    <w:rsid w:val="00305C17"/>
    <w:rsid w:val="00305C7A"/>
    <w:rsid w:val="00312F4F"/>
    <w:rsid w:val="0031399B"/>
    <w:rsid w:val="003148E2"/>
    <w:rsid w:val="003155DF"/>
    <w:rsid w:val="00315984"/>
    <w:rsid w:val="00316EC1"/>
    <w:rsid w:val="003171D8"/>
    <w:rsid w:val="00317C42"/>
    <w:rsid w:val="0032178A"/>
    <w:rsid w:val="00322138"/>
    <w:rsid w:val="003225AA"/>
    <w:rsid w:val="003233AF"/>
    <w:rsid w:val="00323DD9"/>
    <w:rsid w:val="00323E40"/>
    <w:rsid w:val="00323F11"/>
    <w:rsid w:val="00325BB4"/>
    <w:rsid w:val="00325C93"/>
    <w:rsid w:val="00326D94"/>
    <w:rsid w:val="003270A8"/>
    <w:rsid w:val="003278BE"/>
    <w:rsid w:val="00327C1C"/>
    <w:rsid w:val="00327F2F"/>
    <w:rsid w:val="003312B4"/>
    <w:rsid w:val="00332010"/>
    <w:rsid w:val="00332500"/>
    <w:rsid w:val="003345AC"/>
    <w:rsid w:val="0033534F"/>
    <w:rsid w:val="0033566F"/>
    <w:rsid w:val="00335E2F"/>
    <w:rsid w:val="00337329"/>
    <w:rsid w:val="00337F4E"/>
    <w:rsid w:val="003404B8"/>
    <w:rsid w:val="003405B9"/>
    <w:rsid w:val="00340B9C"/>
    <w:rsid w:val="00340D97"/>
    <w:rsid w:val="003411FF"/>
    <w:rsid w:val="00341808"/>
    <w:rsid w:val="0034346D"/>
    <w:rsid w:val="00343908"/>
    <w:rsid w:val="00343B44"/>
    <w:rsid w:val="003443E6"/>
    <w:rsid w:val="00344652"/>
    <w:rsid w:val="0034510E"/>
    <w:rsid w:val="0034660F"/>
    <w:rsid w:val="00346B0B"/>
    <w:rsid w:val="003472C1"/>
    <w:rsid w:val="00350016"/>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0B91"/>
    <w:rsid w:val="00361451"/>
    <w:rsid w:val="003615C2"/>
    <w:rsid w:val="0036166B"/>
    <w:rsid w:val="00361E0D"/>
    <w:rsid w:val="00362D8D"/>
    <w:rsid w:val="0036307A"/>
    <w:rsid w:val="0036313C"/>
    <w:rsid w:val="00363DC2"/>
    <w:rsid w:val="00365A5C"/>
    <w:rsid w:val="00365F3F"/>
    <w:rsid w:val="00366170"/>
    <w:rsid w:val="003669C2"/>
    <w:rsid w:val="003677E4"/>
    <w:rsid w:val="00367A86"/>
    <w:rsid w:val="00370604"/>
    <w:rsid w:val="00370DFE"/>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4D1"/>
    <w:rsid w:val="00386E5C"/>
    <w:rsid w:val="0038720A"/>
    <w:rsid w:val="00387602"/>
    <w:rsid w:val="00391A0D"/>
    <w:rsid w:val="00391DD4"/>
    <w:rsid w:val="003923A2"/>
    <w:rsid w:val="00392AD8"/>
    <w:rsid w:val="00394632"/>
    <w:rsid w:val="00394AC9"/>
    <w:rsid w:val="00394CB8"/>
    <w:rsid w:val="00395167"/>
    <w:rsid w:val="00396C3C"/>
    <w:rsid w:val="00397320"/>
    <w:rsid w:val="003979EF"/>
    <w:rsid w:val="00397A86"/>
    <w:rsid w:val="00397E92"/>
    <w:rsid w:val="003A0162"/>
    <w:rsid w:val="003A06DF"/>
    <w:rsid w:val="003A0D9D"/>
    <w:rsid w:val="003A1BB5"/>
    <w:rsid w:val="003A1D5A"/>
    <w:rsid w:val="003A23E9"/>
    <w:rsid w:val="003A2B7B"/>
    <w:rsid w:val="003A33E3"/>
    <w:rsid w:val="003A35CE"/>
    <w:rsid w:val="003A3A2B"/>
    <w:rsid w:val="003A4057"/>
    <w:rsid w:val="003A4FD6"/>
    <w:rsid w:val="003A5810"/>
    <w:rsid w:val="003A58AA"/>
    <w:rsid w:val="003A6675"/>
    <w:rsid w:val="003A66E5"/>
    <w:rsid w:val="003A6ED8"/>
    <w:rsid w:val="003A71D9"/>
    <w:rsid w:val="003A743D"/>
    <w:rsid w:val="003A7C39"/>
    <w:rsid w:val="003B199A"/>
    <w:rsid w:val="003B2028"/>
    <w:rsid w:val="003B21AF"/>
    <w:rsid w:val="003B27A7"/>
    <w:rsid w:val="003B2F70"/>
    <w:rsid w:val="003B35F5"/>
    <w:rsid w:val="003B440E"/>
    <w:rsid w:val="003B5988"/>
    <w:rsid w:val="003B5A70"/>
    <w:rsid w:val="003B5B47"/>
    <w:rsid w:val="003B6A1B"/>
    <w:rsid w:val="003B75B8"/>
    <w:rsid w:val="003B7ED4"/>
    <w:rsid w:val="003B7F45"/>
    <w:rsid w:val="003C0045"/>
    <w:rsid w:val="003C0241"/>
    <w:rsid w:val="003C1A61"/>
    <w:rsid w:val="003C1A7F"/>
    <w:rsid w:val="003C3911"/>
    <w:rsid w:val="003C509F"/>
    <w:rsid w:val="003C6583"/>
    <w:rsid w:val="003C6E25"/>
    <w:rsid w:val="003C6F69"/>
    <w:rsid w:val="003C71C8"/>
    <w:rsid w:val="003D019E"/>
    <w:rsid w:val="003D1747"/>
    <w:rsid w:val="003D19D5"/>
    <w:rsid w:val="003D2D26"/>
    <w:rsid w:val="003D2D27"/>
    <w:rsid w:val="003D3941"/>
    <w:rsid w:val="003D3C5D"/>
    <w:rsid w:val="003D41F3"/>
    <w:rsid w:val="003D48D4"/>
    <w:rsid w:val="003D55EC"/>
    <w:rsid w:val="003D5665"/>
    <w:rsid w:val="003D6FF6"/>
    <w:rsid w:val="003D7101"/>
    <w:rsid w:val="003D7B7E"/>
    <w:rsid w:val="003D7E84"/>
    <w:rsid w:val="003E07CF"/>
    <w:rsid w:val="003E093F"/>
    <w:rsid w:val="003E1929"/>
    <w:rsid w:val="003E1C44"/>
    <w:rsid w:val="003E2BBE"/>
    <w:rsid w:val="003E4352"/>
    <w:rsid w:val="003E44BE"/>
    <w:rsid w:val="003E4D08"/>
    <w:rsid w:val="003E4D41"/>
    <w:rsid w:val="003E552E"/>
    <w:rsid w:val="003E5FE9"/>
    <w:rsid w:val="003E65C9"/>
    <w:rsid w:val="003E6BA0"/>
    <w:rsid w:val="003E7513"/>
    <w:rsid w:val="003E7680"/>
    <w:rsid w:val="003F0128"/>
    <w:rsid w:val="003F02B2"/>
    <w:rsid w:val="003F1D51"/>
    <w:rsid w:val="003F27AD"/>
    <w:rsid w:val="003F2C9C"/>
    <w:rsid w:val="003F45C7"/>
    <w:rsid w:val="003F466F"/>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5CE"/>
    <w:rsid w:val="00406A38"/>
    <w:rsid w:val="00406F0A"/>
    <w:rsid w:val="00407067"/>
    <w:rsid w:val="00407AD9"/>
    <w:rsid w:val="004106D1"/>
    <w:rsid w:val="00411F3B"/>
    <w:rsid w:val="00412639"/>
    <w:rsid w:val="004127CC"/>
    <w:rsid w:val="00412DDC"/>
    <w:rsid w:val="00413FE9"/>
    <w:rsid w:val="00415074"/>
    <w:rsid w:val="00415285"/>
    <w:rsid w:val="00415470"/>
    <w:rsid w:val="00416377"/>
    <w:rsid w:val="004163B4"/>
    <w:rsid w:val="00417592"/>
    <w:rsid w:val="004176B8"/>
    <w:rsid w:val="00417AAF"/>
    <w:rsid w:val="004216A9"/>
    <w:rsid w:val="00422021"/>
    <w:rsid w:val="0042211C"/>
    <w:rsid w:val="004225CE"/>
    <w:rsid w:val="00422E57"/>
    <w:rsid w:val="00423EDA"/>
    <w:rsid w:val="00424278"/>
    <w:rsid w:val="00424362"/>
    <w:rsid w:val="0042495A"/>
    <w:rsid w:val="00424AD4"/>
    <w:rsid w:val="00424E0C"/>
    <w:rsid w:val="004251A9"/>
    <w:rsid w:val="00425F1A"/>
    <w:rsid w:val="00425FA9"/>
    <w:rsid w:val="00426EF4"/>
    <w:rsid w:val="00427E7B"/>
    <w:rsid w:val="004304EA"/>
    <w:rsid w:val="004335B8"/>
    <w:rsid w:val="00434456"/>
    <w:rsid w:val="00435509"/>
    <w:rsid w:val="00436025"/>
    <w:rsid w:val="00437493"/>
    <w:rsid w:val="00437540"/>
    <w:rsid w:val="0043756A"/>
    <w:rsid w:val="004375F7"/>
    <w:rsid w:val="00437975"/>
    <w:rsid w:val="004401D4"/>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1C4"/>
    <w:rsid w:val="004463E4"/>
    <w:rsid w:val="004464FA"/>
    <w:rsid w:val="00446989"/>
    <w:rsid w:val="00447335"/>
    <w:rsid w:val="00447358"/>
    <w:rsid w:val="004473C8"/>
    <w:rsid w:val="00447E21"/>
    <w:rsid w:val="00450C27"/>
    <w:rsid w:val="004519D0"/>
    <w:rsid w:val="00451DF3"/>
    <w:rsid w:val="00452170"/>
    <w:rsid w:val="0045270C"/>
    <w:rsid w:val="00452AA8"/>
    <w:rsid w:val="00452DC4"/>
    <w:rsid w:val="0045306C"/>
    <w:rsid w:val="00453806"/>
    <w:rsid w:val="0045425B"/>
    <w:rsid w:val="004543BF"/>
    <w:rsid w:val="004543CC"/>
    <w:rsid w:val="0045495E"/>
    <w:rsid w:val="004556DF"/>
    <w:rsid w:val="0045670D"/>
    <w:rsid w:val="00456B84"/>
    <w:rsid w:val="00457472"/>
    <w:rsid w:val="00460ED6"/>
    <w:rsid w:val="00460FE0"/>
    <w:rsid w:val="004612BD"/>
    <w:rsid w:val="00461404"/>
    <w:rsid w:val="004614BE"/>
    <w:rsid w:val="00461752"/>
    <w:rsid w:val="0046222A"/>
    <w:rsid w:val="004632E6"/>
    <w:rsid w:val="0046332B"/>
    <w:rsid w:val="00463530"/>
    <w:rsid w:val="00463E49"/>
    <w:rsid w:val="00463F25"/>
    <w:rsid w:val="00464611"/>
    <w:rsid w:val="00465A6A"/>
    <w:rsid w:val="0047035C"/>
    <w:rsid w:val="0047129B"/>
    <w:rsid w:val="00472279"/>
    <w:rsid w:val="0047276F"/>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4BD9"/>
    <w:rsid w:val="0048532F"/>
    <w:rsid w:val="004855AC"/>
    <w:rsid w:val="004858A4"/>
    <w:rsid w:val="00485E89"/>
    <w:rsid w:val="00487725"/>
    <w:rsid w:val="00487AEB"/>
    <w:rsid w:val="00487DBC"/>
    <w:rsid w:val="00490153"/>
    <w:rsid w:val="00491387"/>
    <w:rsid w:val="004922B6"/>
    <w:rsid w:val="0049553E"/>
    <w:rsid w:val="00495DED"/>
    <w:rsid w:val="00496650"/>
    <w:rsid w:val="00496BE8"/>
    <w:rsid w:val="00497B9B"/>
    <w:rsid w:val="00497CBE"/>
    <w:rsid w:val="00497D7B"/>
    <w:rsid w:val="004A006B"/>
    <w:rsid w:val="004A085E"/>
    <w:rsid w:val="004A1920"/>
    <w:rsid w:val="004A27A9"/>
    <w:rsid w:val="004A289F"/>
    <w:rsid w:val="004A303C"/>
    <w:rsid w:val="004A3942"/>
    <w:rsid w:val="004A41D5"/>
    <w:rsid w:val="004A455D"/>
    <w:rsid w:val="004A4E6C"/>
    <w:rsid w:val="004A5AC1"/>
    <w:rsid w:val="004A60A4"/>
    <w:rsid w:val="004A60DF"/>
    <w:rsid w:val="004A6791"/>
    <w:rsid w:val="004A68D0"/>
    <w:rsid w:val="004A727C"/>
    <w:rsid w:val="004B0DBD"/>
    <w:rsid w:val="004B0E9F"/>
    <w:rsid w:val="004B232E"/>
    <w:rsid w:val="004B2405"/>
    <w:rsid w:val="004B3557"/>
    <w:rsid w:val="004B375D"/>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5E09"/>
    <w:rsid w:val="004C6D39"/>
    <w:rsid w:val="004C7A3F"/>
    <w:rsid w:val="004D0084"/>
    <w:rsid w:val="004D014F"/>
    <w:rsid w:val="004D07DB"/>
    <w:rsid w:val="004D1F78"/>
    <w:rsid w:val="004D2CB9"/>
    <w:rsid w:val="004D5B1B"/>
    <w:rsid w:val="004D6813"/>
    <w:rsid w:val="004D6AB2"/>
    <w:rsid w:val="004D74A6"/>
    <w:rsid w:val="004D7597"/>
    <w:rsid w:val="004D773D"/>
    <w:rsid w:val="004D7867"/>
    <w:rsid w:val="004D7897"/>
    <w:rsid w:val="004E00AB"/>
    <w:rsid w:val="004E0586"/>
    <w:rsid w:val="004E1594"/>
    <w:rsid w:val="004E1AD5"/>
    <w:rsid w:val="004E1B75"/>
    <w:rsid w:val="004E3019"/>
    <w:rsid w:val="004E37D6"/>
    <w:rsid w:val="004E37E9"/>
    <w:rsid w:val="004E4ABB"/>
    <w:rsid w:val="004E5738"/>
    <w:rsid w:val="004E7530"/>
    <w:rsid w:val="004E79CD"/>
    <w:rsid w:val="004E7C20"/>
    <w:rsid w:val="004F0A1E"/>
    <w:rsid w:val="004F1237"/>
    <w:rsid w:val="004F2B51"/>
    <w:rsid w:val="004F3397"/>
    <w:rsid w:val="004F3D53"/>
    <w:rsid w:val="004F3F9F"/>
    <w:rsid w:val="004F4692"/>
    <w:rsid w:val="004F47A7"/>
    <w:rsid w:val="004F5F76"/>
    <w:rsid w:val="004F6013"/>
    <w:rsid w:val="004F68A9"/>
    <w:rsid w:val="00500D8F"/>
    <w:rsid w:val="00501C34"/>
    <w:rsid w:val="00502C2B"/>
    <w:rsid w:val="00503797"/>
    <w:rsid w:val="00503B34"/>
    <w:rsid w:val="00504667"/>
    <w:rsid w:val="00505E68"/>
    <w:rsid w:val="00506028"/>
    <w:rsid w:val="00506220"/>
    <w:rsid w:val="00506F24"/>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601"/>
    <w:rsid w:val="00527A13"/>
    <w:rsid w:val="00530D0A"/>
    <w:rsid w:val="00531946"/>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57E45"/>
    <w:rsid w:val="00560744"/>
    <w:rsid w:val="00560C9E"/>
    <w:rsid w:val="0056168A"/>
    <w:rsid w:val="00562116"/>
    <w:rsid w:val="0056303D"/>
    <w:rsid w:val="00564B00"/>
    <w:rsid w:val="00564E02"/>
    <w:rsid w:val="00564FCF"/>
    <w:rsid w:val="0056575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14B"/>
    <w:rsid w:val="00580558"/>
    <w:rsid w:val="00581162"/>
    <w:rsid w:val="00581270"/>
    <w:rsid w:val="005817ED"/>
    <w:rsid w:val="00582808"/>
    <w:rsid w:val="0058375A"/>
    <w:rsid w:val="00584D91"/>
    <w:rsid w:val="00585AAF"/>
    <w:rsid w:val="00585F0D"/>
    <w:rsid w:val="00585F96"/>
    <w:rsid w:val="00586566"/>
    <w:rsid w:val="00586E36"/>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2AF4"/>
    <w:rsid w:val="005B2CE0"/>
    <w:rsid w:val="005B2F32"/>
    <w:rsid w:val="005B4A53"/>
    <w:rsid w:val="005B4AA4"/>
    <w:rsid w:val="005B6123"/>
    <w:rsid w:val="005B6ADF"/>
    <w:rsid w:val="005B7AA5"/>
    <w:rsid w:val="005C0F88"/>
    <w:rsid w:val="005C2152"/>
    <w:rsid w:val="005C23C5"/>
    <w:rsid w:val="005C31D9"/>
    <w:rsid w:val="005C42DC"/>
    <w:rsid w:val="005C4C12"/>
    <w:rsid w:val="005C4E2D"/>
    <w:rsid w:val="005C5317"/>
    <w:rsid w:val="005C544F"/>
    <w:rsid w:val="005C68D5"/>
    <w:rsid w:val="005C78B3"/>
    <w:rsid w:val="005D106F"/>
    <w:rsid w:val="005D18B6"/>
    <w:rsid w:val="005D1C88"/>
    <w:rsid w:val="005D22E8"/>
    <w:rsid w:val="005D244C"/>
    <w:rsid w:val="005D2CAC"/>
    <w:rsid w:val="005D34C3"/>
    <w:rsid w:val="005D3DEE"/>
    <w:rsid w:val="005D3EE2"/>
    <w:rsid w:val="005D4183"/>
    <w:rsid w:val="005D4977"/>
    <w:rsid w:val="005D4D8A"/>
    <w:rsid w:val="005D7578"/>
    <w:rsid w:val="005E0FE9"/>
    <w:rsid w:val="005E1132"/>
    <w:rsid w:val="005E1257"/>
    <w:rsid w:val="005E173B"/>
    <w:rsid w:val="005E2FA8"/>
    <w:rsid w:val="005E500A"/>
    <w:rsid w:val="005E627E"/>
    <w:rsid w:val="005E685D"/>
    <w:rsid w:val="005E6A79"/>
    <w:rsid w:val="005F1430"/>
    <w:rsid w:val="005F2C82"/>
    <w:rsid w:val="005F383A"/>
    <w:rsid w:val="005F3954"/>
    <w:rsid w:val="005F512B"/>
    <w:rsid w:val="005F5711"/>
    <w:rsid w:val="005F64BE"/>
    <w:rsid w:val="005F7774"/>
    <w:rsid w:val="0060011E"/>
    <w:rsid w:val="00600132"/>
    <w:rsid w:val="006007B1"/>
    <w:rsid w:val="006007D6"/>
    <w:rsid w:val="00601201"/>
    <w:rsid w:val="0060137D"/>
    <w:rsid w:val="006017BB"/>
    <w:rsid w:val="00602F2F"/>
    <w:rsid w:val="00603A61"/>
    <w:rsid w:val="00603B17"/>
    <w:rsid w:val="006045C5"/>
    <w:rsid w:val="006051AF"/>
    <w:rsid w:val="00605AF5"/>
    <w:rsid w:val="00605C51"/>
    <w:rsid w:val="00611B0E"/>
    <w:rsid w:val="00612184"/>
    <w:rsid w:val="00612914"/>
    <w:rsid w:val="00612FE3"/>
    <w:rsid w:val="00613EF1"/>
    <w:rsid w:val="00614DEA"/>
    <w:rsid w:val="0061544F"/>
    <w:rsid w:val="00617813"/>
    <w:rsid w:val="00617EAE"/>
    <w:rsid w:val="006200EC"/>
    <w:rsid w:val="00621791"/>
    <w:rsid w:val="00621CE5"/>
    <w:rsid w:val="00622ACC"/>
    <w:rsid w:val="00622D42"/>
    <w:rsid w:val="00623154"/>
    <w:rsid w:val="00623A82"/>
    <w:rsid w:val="00623AE2"/>
    <w:rsid w:val="00624C32"/>
    <w:rsid w:val="00624CE3"/>
    <w:rsid w:val="0062664C"/>
    <w:rsid w:val="006268EA"/>
    <w:rsid w:val="00626EFE"/>
    <w:rsid w:val="006303F8"/>
    <w:rsid w:val="00630A55"/>
    <w:rsid w:val="00630AEA"/>
    <w:rsid w:val="00631007"/>
    <w:rsid w:val="0063122B"/>
    <w:rsid w:val="00633A90"/>
    <w:rsid w:val="0063402C"/>
    <w:rsid w:val="0063422A"/>
    <w:rsid w:val="00634A76"/>
    <w:rsid w:val="00635F13"/>
    <w:rsid w:val="006364A4"/>
    <w:rsid w:val="00636C40"/>
    <w:rsid w:val="00636F5B"/>
    <w:rsid w:val="0063757E"/>
    <w:rsid w:val="00640263"/>
    <w:rsid w:val="00640B54"/>
    <w:rsid w:val="00640BB3"/>
    <w:rsid w:val="00640EE7"/>
    <w:rsid w:val="00641585"/>
    <w:rsid w:val="0064167F"/>
    <w:rsid w:val="0064199A"/>
    <w:rsid w:val="006419FF"/>
    <w:rsid w:val="006427FC"/>
    <w:rsid w:val="0064310B"/>
    <w:rsid w:val="00643225"/>
    <w:rsid w:val="0064331E"/>
    <w:rsid w:val="00643D50"/>
    <w:rsid w:val="00643EA4"/>
    <w:rsid w:val="006446A6"/>
    <w:rsid w:val="006450C2"/>
    <w:rsid w:val="00645213"/>
    <w:rsid w:val="0064550E"/>
    <w:rsid w:val="00645C03"/>
    <w:rsid w:val="00646421"/>
    <w:rsid w:val="00646424"/>
    <w:rsid w:val="00646938"/>
    <w:rsid w:val="00650C8D"/>
    <w:rsid w:val="00652215"/>
    <w:rsid w:val="006526A1"/>
    <w:rsid w:val="00652C22"/>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3ECF"/>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1B2"/>
    <w:rsid w:val="006763C5"/>
    <w:rsid w:val="0067660E"/>
    <w:rsid w:val="006771FC"/>
    <w:rsid w:val="0067773F"/>
    <w:rsid w:val="00677BB8"/>
    <w:rsid w:val="00680B0D"/>
    <w:rsid w:val="00680CD5"/>
    <w:rsid w:val="00681332"/>
    <w:rsid w:val="006814A6"/>
    <w:rsid w:val="00681508"/>
    <w:rsid w:val="00681E0E"/>
    <w:rsid w:val="0068261C"/>
    <w:rsid w:val="00682A99"/>
    <w:rsid w:val="00683AEF"/>
    <w:rsid w:val="0068418D"/>
    <w:rsid w:val="0068450E"/>
    <w:rsid w:val="0068598B"/>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EFF"/>
    <w:rsid w:val="0069702A"/>
    <w:rsid w:val="00697672"/>
    <w:rsid w:val="006A0071"/>
    <w:rsid w:val="006A14BD"/>
    <w:rsid w:val="006A2EDB"/>
    <w:rsid w:val="006A35B8"/>
    <w:rsid w:val="006A415D"/>
    <w:rsid w:val="006A4472"/>
    <w:rsid w:val="006A4F15"/>
    <w:rsid w:val="006A5026"/>
    <w:rsid w:val="006A5088"/>
    <w:rsid w:val="006A52F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593"/>
    <w:rsid w:val="006B669A"/>
    <w:rsid w:val="006B7013"/>
    <w:rsid w:val="006B7639"/>
    <w:rsid w:val="006C0069"/>
    <w:rsid w:val="006C0373"/>
    <w:rsid w:val="006C0A23"/>
    <w:rsid w:val="006C19B4"/>
    <w:rsid w:val="006C21D2"/>
    <w:rsid w:val="006C2585"/>
    <w:rsid w:val="006C45DA"/>
    <w:rsid w:val="006C50D0"/>
    <w:rsid w:val="006C7A90"/>
    <w:rsid w:val="006C7BBD"/>
    <w:rsid w:val="006C7DDE"/>
    <w:rsid w:val="006D0547"/>
    <w:rsid w:val="006D066D"/>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4D2C"/>
    <w:rsid w:val="006E52DA"/>
    <w:rsid w:val="006E6892"/>
    <w:rsid w:val="006E6F24"/>
    <w:rsid w:val="006E719B"/>
    <w:rsid w:val="006E7387"/>
    <w:rsid w:val="006E7A83"/>
    <w:rsid w:val="006F13BE"/>
    <w:rsid w:val="006F19AE"/>
    <w:rsid w:val="006F2298"/>
    <w:rsid w:val="006F2806"/>
    <w:rsid w:val="006F291D"/>
    <w:rsid w:val="006F44E0"/>
    <w:rsid w:val="006F45D6"/>
    <w:rsid w:val="006F507E"/>
    <w:rsid w:val="006F535A"/>
    <w:rsid w:val="006F55BB"/>
    <w:rsid w:val="006F5D9E"/>
    <w:rsid w:val="006F5E00"/>
    <w:rsid w:val="006F75C1"/>
    <w:rsid w:val="00700CA2"/>
    <w:rsid w:val="00701A6C"/>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1A5F"/>
    <w:rsid w:val="00712790"/>
    <w:rsid w:val="00712928"/>
    <w:rsid w:val="00712DA1"/>
    <w:rsid w:val="007137F3"/>
    <w:rsid w:val="00713B2C"/>
    <w:rsid w:val="00713DE8"/>
    <w:rsid w:val="00713FE4"/>
    <w:rsid w:val="007145F2"/>
    <w:rsid w:val="00714795"/>
    <w:rsid w:val="00715B84"/>
    <w:rsid w:val="00715FAC"/>
    <w:rsid w:val="00717D11"/>
    <w:rsid w:val="00720097"/>
    <w:rsid w:val="007212FD"/>
    <w:rsid w:val="00721C3B"/>
    <w:rsid w:val="00722800"/>
    <w:rsid w:val="00722A98"/>
    <w:rsid w:val="00723AD0"/>
    <w:rsid w:val="007247F1"/>
    <w:rsid w:val="00724E7D"/>
    <w:rsid w:val="00727B39"/>
    <w:rsid w:val="00730693"/>
    <w:rsid w:val="007319AA"/>
    <w:rsid w:val="00732646"/>
    <w:rsid w:val="00732F6F"/>
    <w:rsid w:val="00733524"/>
    <w:rsid w:val="00733C28"/>
    <w:rsid w:val="007340B0"/>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5020C"/>
    <w:rsid w:val="00750312"/>
    <w:rsid w:val="00751017"/>
    <w:rsid w:val="00751B66"/>
    <w:rsid w:val="00752044"/>
    <w:rsid w:val="00752565"/>
    <w:rsid w:val="00752662"/>
    <w:rsid w:val="00752B35"/>
    <w:rsid w:val="0075389C"/>
    <w:rsid w:val="007545DD"/>
    <w:rsid w:val="007560F0"/>
    <w:rsid w:val="0075610E"/>
    <w:rsid w:val="007565E0"/>
    <w:rsid w:val="007569E2"/>
    <w:rsid w:val="00756B2D"/>
    <w:rsid w:val="00756F4D"/>
    <w:rsid w:val="00757B39"/>
    <w:rsid w:val="00757C4D"/>
    <w:rsid w:val="00757E17"/>
    <w:rsid w:val="00760D71"/>
    <w:rsid w:val="00760F9F"/>
    <w:rsid w:val="00761BCE"/>
    <w:rsid w:val="00763141"/>
    <w:rsid w:val="007648BF"/>
    <w:rsid w:val="00764D93"/>
    <w:rsid w:val="007652CA"/>
    <w:rsid w:val="00765528"/>
    <w:rsid w:val="007656DE"/>
    <w:rsid w:val="00765726"/>
    <w:rsid w:val="007667EC"/>
    <w:rsid w:val="00766FF7"/>
    <w:rsid w:val="00770756"/>
    <w:rsid w:val="007713D1"/>
    <w:rsid w:val="00771460"/>
    <w:rsid w:val="00771D44"/>
    <w:rsid w:val="00771DF1"/>
    <w:rsid w:val="0077212E"/>
    <w:rsid w:val="00773135"/>
    <w:rsid w:val="0077373B"/>
    <w:rsid w:val="0077566B"/>
    <w:rsid w:val="0077582E"/>
    <w:rsid w:val="00775DA1"/>
    <w:rsid w:val="00776EED"/>
    <w:rsid w:val="0077788C"/>
    <w:rsid w:val="00777A57"/>
    <w:rsid w:val="007808DA"/>
    <w:rsid w:val="007811CF"/>
    <w:rsid w:val="007812D1"/>
    <w:rsid w:val="00781671"/>
    <w:rsid w:val="00781771"/>
    <w:rsid w:val="007817EB"/>
    <w:rsid w:val="00781D2C"/>
    <w:rsid w:val="00781F9D"/>
    <w:rsid w:val="00782B61"/>
    <w:rsid w:val="007848C8"/>
    <w:rsid w:val="0078572B"/>
    <w:rsid w:val="00785DCD"/>
    <w:rsid w:val="0078645E"/>
    <w:rsid w:val="007875BB"/>
    <w:rsid w:val="00787D01"/>
    <w:rsid w:val="0079058D"/>
    <w:rsid w:val="00790A31"/>
    <w:rsid w:val="00791065"/>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8F5"/>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B6D6E"/>
    <w:rsid w:val="007C0858"/>
    <w:rsid w:val="007C0E17"/>
    <w:rsid w:val="007C0F62"/>
    <w:rsid w:val="007C2A74"/>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932"/>
    <w:rsid w:val="007E0B71"/>
    <w:rsid w:val="007E0D09"/>
    <w:rsid w:val="007E1121"/>
    <w:rsid w:val="007E21EC"/>
    <w:rsid w:val="007E263B"/>
    <w:rsid w:val="007E2AE3"/>
    <w:rsid w:val="007E2BDE"/>
    <w:rsid w:val="007E30BB"/>
    <w:rsid w:val="007E32B0"/>
    <w:rsid w:val="007E4827"/>
    <w:rsid w:val="007E492B"/>
    <w:rsid w:val="007E5047"/>
    <w:rsid w:val="007E63FA"/>
    <w:rsid w:val="007F08D4"/>
    <w:rsid w:val="007F0B51"/>
    <w:rsid w:val="007F1156"/>
    <w:rsid w:val="007F2A84"/>
    <w:rsid w:val="007F2B5D"/>
    <w:rsid w:val="007F3581"/>
    <w:rsid w:val="007F36E8"/>
    <w:rsid w:val="007F3A28"/>
    <w:rsid w:val="007F5F4A"/>
    <w:rsid w:val="007F6644"/>
    <w:rsid w:val="007F72A8"/>
    <w:rsid w:val="007F779E"/>
    <w:rsid w:val="007F7C4B"/>
    <w:rsid w:val="0080048D"/>
    <w:rsid w:val="00800EFD"/>
    <w:rsid w:val="0080180A"/>
    <w:rsid w:val="00801900"/>
    <w:rsid w:val="00801CB4"/>
    <w:rsid w:val="00801DF0"/>
    <w:rsid w:val="00801E7A"/>
    <w:rsid w:val="00802B33"/>
    <w:rsid w:val="0080447C"/>
    <w:rsid w:val="00804872"/>
    <w:rsid w:val="00804E4E"/>
    <w:rsid w:val="00805AF2"/>
    <w:rsid w:val="00805C2D"/>
    <w:rsid w:val="008061A5"/>
    <w:rsid w:val="00806BF8"/>
    <w:rsid w:val="008100A7"/>
    <w:rsid w:val="0081042F"/>
    <w:rsid w:val="0081067C"/>
    <w:rsid w:val="00810B42"/>
    <w:rsid w:val="00810E47"/>
    <w:rsid w:val="00811E7B"/>
    <w:rsid w:val="008134DA"/>
    <w:rsid w:val="008134E4"/>
    <w:rsid w:val="0081374A"/>
    <w:rsid w:val="00814750"/>
    <w:rsid w:val="008151A4"/>
    <w:rsid w:val="008164E0"/>
    <w:rsid w:val="00816C1E"/>
    <w:rsid w:val="00817C9E"/>
    <w:rsid w:val="00817F1B"/>
    <w:rsid w:val="00820CDF"/>
    <w:rsid w:val="0082170C"/>
    <w:rsid w:val="00821B22"/>
    <w:rsid w:val="00822D82"/>
    <w:rsid w:val="0082323A"/>
    <w:rsid w:val="0082335B"/>
    <w:rsid w:val="00823656"/>
    <w:rsid w:val="00823BFB"/>
    <w:rsid w:val="00823DA8"/>
    <w:rsid w:val="00825205"/>
    <w:rsid w:val="00825B27"/>
    <w:rsid w:val="00825E3E"/>
    <w:rsid w:val="00825EF0"/>
    <w:rsid w:val="00826192"/>
    <w:rsid w:val="00826CA8"/>
    <w:rsid w:val="00831928"/>
    <w:rsid w:val="00832C90"/>
    <w:rsid w:val="00832F8E"/>
    <w:rsid w:val="00833D31"/>
    <w:rsid w:val="00834A55"/>
    <w:rsid w:val="00834C16"/>
    <w:rsid w:val="00834EB5"/>
    <w:rsid w:val="00835419"/>
    <w:rsid w:val="00835B35"/>
    <w:rsid w:val="008361C3"/>
    <w:rsid w:val="00837801"/>
    <w:rsid w:val="00837E60"/>
    <w:rsid w:val="0084007F"/>
    <w:rsid w:val="00841D0C"/>
    <w:rsid w:val="00841E0F"/>
    <w:rsid w:val="008422CD"/>
    <w:rsid w:val="00842411"/>
    <w:rsid w:val="00842F1F"/>
    <w:rsid w:val="00843CC2"/>
    <w:rsid w:val="00844751"/>
    <w:rsid w:val="008447F2"/>
    <w:rsid w:val="0084592A"/>
    <w:rsid w:val="00845972"/>
    <w:rsid w:val="008460D6"/>
    <w:rsid w:val="00846370"/>
    <w:rsid w:val="00847124"/>
    <w:rsid w:val="008509D2"/>
    <w:rsid w:val="00850CA6"/>
    <w:rsid w:val="00850CDB"/>
    <w:rsid w:val="00850D9A"/>
    <w:rsid w:val="00851089"/>
    <w:rsid w:val="00851140"/>
    <w:rsid w:val="00851718"/>
    <w:rsid w:val="008530B9"/>
    <w:rsid w:val="00853981"/>
    <w:rsid w:val="00854D50"/>
    <w:rsid w:val="00854DEE"/>
    <w:rsid w:val="00855289"/>
    <w:rsid w:val="00855945"/>
    <w:rsid w:val="00860888"/>
    <w:rsid w:val="0086170A"/>
    <w:rsid w:val="00861B14"/>
    <w:rsid w:val="00862C86"/>
    <w:rsid w:val="0086372D"/>
    <w:rsid w:val="00863B70"/>
    <w:rsid w:val="00864C89"/>
    <w:rsid w:val="008651D5"/>
    <w:rsid w:val="0086681C"/>
    <w:rsid w:val="00867D21"/>
    <w:rsid w:val="00870D44"/>
    <w:rsid w:val="0087207D"/>
    <w:rsid w:val="0087292C"/>
    <w:rsid w:val="0087453A"/>
    <w:rsid w:val="00874B9F"/>
    <w:rsid w:val="00874EED"/>
    <w:rsid w:val="0087514B"/>
    <w:rsid w:val="008751D7"/>
    <w:rsid w:val="008755BB"/>
    <w:rsid w:val="0087587A"/>
    <w:rsid w:val="00875A1F"/>
    <w:rsid w:val="00875B68"/>
    <w:rsid w:val="00875DE7"/>
    <w:rsid w:val="008764D5"/>
    <w:rsid w:val="00877171"/>
    <w:rsid w:val="00877E4A"/>
    <w:rsid w:val="0088309F"/>
    <w:rsid w:val="008832C4"/>
    <w:rsid w:val="00883458"/>
    <w:rsid w:val="00883CA7"/>
    <w:rsid w:val="00884187"/>
    <w:rsid w:val="00885423"/>
    <w:rsid w:val="00885691"/>
    <w:rsid w:val="0088615E"/>
    <w:rsid w:val="0088649A"/>
    <w:rsid w:val="00886EA7"/>
    <w:rsid w:val="0089031B"/>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5908"/>
    <w:rsid w:val="008A5924"/>
    <w:rsid w:val="008A5B9F"/>
    <w:rsid w:val="008A5CE2"/>
    <w:rsid w:val="008A652A"/>
    <w:rsid w:val="008A6795"/>
    <w:rsid w:val="008A6BF2"/>
    <w:rsid w:val="008A7545"/>
    <w:rsid w:val="008A762B"/>
    <w:rsid w:val="008A77D4"/>
    <w:rsid w:val="008B1824"/>
    <w:rsid w:val="008B1DDD"/>
    <w:rsid w:val="008B25AF"/>
    <w:rsid w:val="008B2B87"/>
    <w:rsid w:val="008B2F47"/>
    <w:rsid w:val="008B3998"/>
    <w:rsid w:val="008B477D"/>
    <w:rsid w:val="008B5597"/>
    <w:rsid w:val="008B5878"/>
    <w:rsid w:val="008B67B3"/>
    <w:rsid w:val="008B7445"/>
    <w:rsid w:val="008B75DB"/>
    <w:rsid w:val="008B7723"/>
    <w:rsid w:val="008C0C96"/>
    <w:rsid w:val="008C10FA"/>
    <w:rsid w:val="008C1926"/>
    <w:rsid w:val="008C2C5E"/>
    <w:rsid w:val="008C2E01"/>
    <w:rsid w:val="008C3050"/>
    <w:rsid w:val="008C432F"/>
    <w:rsid w:val="008C4AF9"/>
    <w:rsid w:val="008C5493"/>
    <w:rsid w:val="008C59F5"/>
    <w:rsid w:val="008C5A12"/>
    <w:rsid w:val="008C5A8B"/>
    <w:rsid w:val="008C5DA9"/>
    <w:rsid w:val="008C5F0D"/>
    <w:rsid w:val="008C69AA"/>
    <w:rsid w:val="008C79D1"/>
    <w:rsid w:val="008D228A"/>
    <w:rsid w:val="008D234C"/>
    <w:rsid w:val="008D35AB"/>
    <w:rsid w:val="008D3870"/>
    <w:rsid w:val="008D52EA"/>
    <w:rsid w:val="008D5674"/>
    <w:rsid w:val="008D632C"/>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432"/>
    <w:rsid w:val="008E4E6D"/>
    <w:rsid w:val="008E4ED4"/>
    <w:rsid w:val="008E591C"/>
    <w:rsid w:val="008E593B"/>
    <w:rsid w:val="008E5A3F"/>
    <w:rsid w:val="008E60A1"/>
    <w:rsid w:val="008E61D0"/>
    <w:rsid w:val="008E6C07"/>
    <w:rsid w:val="008E6CAF"/>
    <w:rsid w:val="008E77DD"/>
    <w:rsid w:val="008F1146"/>
    <w:rsid w:val="008F2B3E"/>
    <w:rsid w:val="008F32EF"/>
    <w:rsid w:val="008F3F39"/>
    <w:rsid w:val="008F413E"/>
    <w:rsid w:val="008F4E95"/>
    <w:rsid w:val="008F50D6"/>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B7C"/>
    <w:rsid w:val="00907B91"/>
    <w:rsid w:val="00907FB0"/>
    <w:rsid w:val="00907FDA"/>
    <w:rsid w:val="00911EC3"/>
    <w:rsid w:val="00911F86"/>
    <w:rsid w:val="00912071"/>
    <w:rsid w:val="0091213A"/>
    <w:rsid w:val="009123EF"/>
    <w:rsid w:val="009125C8"/>
    <w:rsid w:val="009126B4"/>
    <w:rsid w:val="00912883"/>
    <w:rsid w:val="00912CDC"/>
    <w:rsid w:val="00912D24"/>
    <w:rsid w:val="00913537"/>
    <w:rsid w:val="00913A99"/>
    <w:rsid w:val="00914901"/>
    <w:rsid w:val="00914B80"/>
    <w:rsid w:val="00915966"/>
    <w:rsid w:val="00916CCF"/>
    <w:rsid w:val="00916CEF"/>
    <w:rsid w:val="00921A8D"/>
    <w:rsid w:val="00922DF3"/>
    <w:rsid w:val="0092321A"/>
    <w:rsid w:val="009239C5"/>
    <w:rsid w:val="009257DB"/>
    <w:rsid w:val="00926B95"/>
    <w:rsid w:val="00926F87"/>
    <w:rsid w:val="0092787E"/>
    <w:rsid w:val="00927B54"/>
    <w:rsid w:val="00933DA6"/>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EC"/>
    <w:rsid w:val="009512DA"/>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047"/>
    <w:rsid w:val="009607D7"/>
    <w:rsid w:val="0096126B"/>
    <w:rsid w:val="00963C1F"/>
    <w:rsid w:val="00964DC6"/>
    <w:rsid w:val="00965014"/>
    <w:rsid w:val="009651E9"/>
    <w:rsid w:val="00965A66"/>
    <w:rsid w:val="00966443"/>
    <w:rsid w:val="009669AC"/>
    <w:rsid w:val="0096765E"/>
    <w:rsid w:val="009710A0"/>
    <w:rsid w:val="00971CF8"/>
    <w:rsid w:val="009725B4"/>
    <w:rsid w:val="0097520E"/>
    <w:rsid w:val="00975792"/>
    <w:rsid w:val="00976167"/>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A7EAB"/>
    <w:rsid w:val="009B0A7B"/>
    <w:rsid w:val="009B1D21"/>
    <w:rsid w:val="009B2734"/>
    <w:rsid w:val="009B3E22"/>
    <w:rsid w:val="009B3EF7"/>
    <w:rsid w:val="009B42AA"/>
    <w:rsid w:val="009B4456"/>
    <w:rsid w:val="009B4D86"/>
    <w:rsid w:val="009B5142"/>
    <w:rsid w:val="009B5305"/>
    <w:rsid w:val="009B7177"/>
    <w:rsid w:val="009B7188"/>
    <w:rsid w:val="009B78CA"/>
    <w:rsid w:val="009C25C5"/>
    <w:rsid w:val="009C29D8"/>
    <w:rsid w:val="009C2B22"/>
    <w:rsid w:val="009C3139"/>
    <w:rsid w:val="009C40AC"/>
    <w:rsid w:val="009C449D"/>
    <w:rsid w:val="009C49B9"/>
    <w:rsid w:val="009C4B63"/>
    <w:rsid w:val="009C4F84"/>
    <w:rsid w:val="009C6FD2"/>
    <w:rsid w:val="009C70D7"/>
    <w:rsid w:val="009C7705"/>
    <w:rsid w:val="009C7AD2"/>
    <w:rsid w:val="009C7DED"/>
    <w:rsid w:val="009C7F06"/>
    <w:rsid w:val="009D02B6"/>
    <w:rsid w:val="009D0F62"/>
    <w:rsid w:val="009D21F1"/>
    <w:rsid w:val="009D2615"/>
    <w:rsid w:val="009D2633"/>
    <w:rsid w:val="009D36EF"/>
    <w:rsid w:val="009D4015"/>
    <w:rsid w:val="009D4640"/>
    <w:rsid w:val="009D4889"/>
    <w:rsid w:val="009D6632"/>
    <w:rsid w:val="009D6D8F"/>
    <w:rsid w:val="009D75F6"/>
    <w:rsid w:val="009D777E"/>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3E2"/>
    <w:rsid w:val="009F3DDB"/>
    <w:rsid w:val="009F3F7A"/>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3E9A"/>
    <w:rsid w:val="00A05C48"/>
    <w:rsid w:val="00A05CFE"/>
    <w:rsid w:val="00A06121"/>
    <w:rsid w:val="00A0723C"/>
    <w:rsid w:val="00A0772D"/>
    <w:rsid w:val="00A07B3B"/>
    <w:rsid w:val="00A107FA"/>
    <w:rsid w:val="00A10FC2"/>
    <w:rsid w:val="00A11B1F"/>
    <w:rsid w:val="00A11C7F"/>
    <w:rsid w:val="00A11DF0"/>
    <w:rsid w:val="00A12602"/>
    <w:rsid w:val="00A12CFF"/>
    <w:rsid w:val="00A14019"/>
    <w:rsid w:val="00A1405D"/>
    <w:rsid w:val="00A14CDE"/>
    <w:rsid w:val="00A14F28"/>
    <w:rsid w:val="00A15840"/>
    <w:rsid w:val="00A2076A"/>
    <w:rsid w:val="00A20B68"/>
    <w:rsid w:val="00A22D99"/>
    <w:rsid w:val="00A237C6"/>
    <w:rsid w:val="00A24190"/>
    <w:rsid w:val="00A25691"/>
    <w:rsid w:val="00A259C5"/>
    <w:rsid w:val="00A262A5"/>
    <w:rsid w:val="00A27F18"/>
    <w:rsid w:val="00A308E2"/>
    <w:rsid w:val="00A30FDA"/>
    <w:rsid w:val="00A31701"/>
    <w:rsid w:val="00A31E05"/>
    <w:rsid w:val="00A3480D"/>
    <w:rsid w:val="00A34B3F"/>
    <w:rsid w:val="00A3523D"/>
    <w:rsid w:val="00A35383"/>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7DF"/>
    <w:rsid w:val="00A478CF"/>
    <w:rsid w:val="00A47ABD"/>
    <w:rsid w:val="00A47AC1"/>
    <w:rsid w:val="00A47FC5"/>
    <w:rsid w:val="00A51CC4"/>
    <w:rsid w:val="00A5211E"/>
    <w:rsid w:val="00A52390"/>
    <w:rsid w:val="00A52B18"/>
    <w:rsid w:val="00A52F6A"/>
    <w:rsid w:val="00A53705"/>
    <w:rsid w:val="00A53E1A"/>
    <w:rsid w:val="00A5596B"/>
    <w:rsid w:val="00A56076"/>
    <w:rsid w:val="00A56161"/>
    <w:rsid w:val="00A57070"/>
    <w:rsid w:val="00A573C2"/>
    <w:rsid w:val="00A5789D"/>
    <w:rsid w:val="00A606EE"/>
    <w:rsid w:val="00A60BA3"/>
    <w:rsid w:val="00A61668"/>
    <w:rsid w:val="00A63A15"/>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092"/>
    <w:rsid w:val="00A81CC2"/>
    <w:rsid w:val="00A82B3C"/>
    <w:rsid w:val="00A83A8C"/>
    <w:rsid w:val="00A848F6"/>
    <w:rsid w:val="00A84C8E"/>
    <w:rsid w:val="00A869F5"/>
    <w:rsid w:val="00A86DA7"/>
    <w:rsid w:val="00A86F66"/>
    <w:rsid w:val="00A90124"/>
    <w:rsid w:val="00A90B88"/>
    <w:rsid w:val="00A90BCD"/>
    <w:rsid w:val="00A9277C"/>
    <w:rsid w:val="00A94638"/>
    <w:rsid w:val="00A94F44"/>
    <w:rsid w:val="00A95059"/>
    <w:rsid w:val="00A95CF7"/>
    <w:rsid w:val="00A95D44"/>
    <w:rsid w:val="00A968DE"/>
    <w:rsid w:val="00A96F65"/>
    <w:rsid w:val="00A97069"/>
    <w:rsid w:val="00A9738B"/>
    <w:rsid w:val="00A9791B"/>
    <w:rsid w:val="00AA07E2"/>
    <w:rsid w:val="00AA135F"/>
    <w:rsid w:val="00AA1869"/>
    <w:rsid w:val="00AA186D"/>
    <w:rsid w:val="00AA2EE3"/>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B7E69"/>
    <w:rsid w:val="00AC0B8D"/>
    <w:rsid w:val="00AC0C69"/>
    <w:rsid w:val="00AC0FDA"/>
    <w:rsid w:val="00AC110A"/>
    <w:rsid w:val="00AC24D9"/>
    <w:rsid w:val="00AC3A38"/>
    <w:rsid w:val="00AC3BF5"/>
    <w:rsid w:val="00AC51C4"/>
    <w:rsid w:val="00AC5356"/>
    <w:rsid w:val="00AC6313"/>
    <w:rsid w:val="00AC6E8D"/>
    <w:rsid w:val="00AD07E9"/>
    <w:rsid w:val="00AD26F4"/>
    <w:rsid w:val="00AD31CE"/>
    <w:rsid w:val="00AD36C4"/>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4CB4"/>
    <w:rsid w:val="00AE5851"/>
    <w:rsid w:val="00AE5AFB"/>
    <w:rsid w:val="00AE6256"/>
    <w:rsid w:val="00AE6F3D"/>
    <w:rsid w:val="00AE7341"/>
    <w:rsid w:val="00AE7C17"/>
    <w:rsid w:val="00AF0958"/>
    <w:rsid w:val="00AF0B7C"/>
    <w:rsid w:val="00AF194D"/>
    <w:rsid w:val="00AF1DE6"/>
    <w:rsid w:val="00AF31BB"/>
    <w:rsid w:val="00AF3EC1"/>
    <w:rsid w:val="00AF44AF"/>
    <w:rsid w:val="00AF46C2"/>
    <w:rsid w:val="00AF53F0"/>
    <w:rsid w:val="00AF5621"/>
    <w:rsid w:val="00AF593E"/>
    <w:rsid w:val="00AF5D85"/>
    <w:rsid w:val="00AF6FBC"/>
    <w:rsid w:val="00AF796A"/>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A91"/>
    <w:rsid w:val="00B21E5F"/>
    <w:rsid w:val="00B223EB"/>
    <w:rsid w:val="00B23B86"/>
    <w:rsid w:val="00B23F8F"/>
    <w:rsid w:val="00B24AF2"/>
    <w:rsid w:val="00B24C31"/>
    <w:rsid w:val="00B2599B"/>
    <w:rsid w:val="00B25A49"/>
    <w:rsid w:val="00B26CA7"/>
    <w:rsid w:val="00B27BFD"/>
    <w:rsid w:val="00B310E7"/>
    <w:rsid w:val="00B31260"/>
    <w:rsid w:val="00B3195A"/>
    <w:rsid w:val="00B31994"/>
    <w:rsid w:val="00B319F8"/>
    <w:rsid w:val="00B31D51"/>
    <w:rsid w:val="00B3254A"/>
    <w:rsid w:val="00B3344D"/>
    <w:rsid w:val="00B336CA"/>
    <w:rsid w:val="00B33C07"/>
    <w:rsid w:val="00B33CE4"/>
    <w:rsid w:val="00B340B6"/>
    <w:rsid w:val="00B34CB6"/>
    <w:rsid w:val="00B3546D"/>
    <w:rsid w:val="00B3574E"/>
    <w:rsid w:val="00B3622E"/>
    <w:rsid w:val="00B36429"/>
    <w:rsid w:val="00B37D3E"/>
    <w:rsid w:val="00B404FB"/>
    <w:rsid w:val="00B40722"/>
    <w:rsid w:val="00B40890"/>
    <w:rsid w:val="00B412B7"/>
    <w:rsid w:val="00B41CC9"/>
    <w:rsid w:val="00B43465"/>
    <w:rsid w:val="00B43489"/>
    <w:rsid w:val="00B43976"/>
    <w:rsid w:val="00B43D3B"/>
    <w:rsid w:val="00B440B2"/>
    <w:rsid w:val="00B441B5"/>
    <w:rsid w:val="00B44327"/>
    <w:rsid w:val="00B44433"/>
    <w:rsid w:val="00B46499"/>
    <w:rsid w:val="00B465E2"/>
    <w:rsid w:val="00B46AD1"/>
    <w:rsid w:val="00B46B4C"/>
    <w:rsid w:val="00B509FB"/>
    <w:rsid w:val="00B50FF5"/>
    <w:rsid w:val="00B516DB"/>
    <w:rsid w:val="00B52A17"/>
    <w:rsid w:val="00B52F1B"/>
    <w:rsid w:val="00B53014"/>
    <w:rsid w:val="00B5458B"/>
    <w:rsid w:val="00B5520A"/>
    <w:rsid w:val="00B5574F"/>
    <w:rsid w:val="00B55987"/>
    <w:rsid w:val="00B56B24"/>
    <w:rsid w:val="00B56FBC"/>
    <w:rsid w:val="00B57073"/>
    <w:rsid w:val="00B572F2"/>
    <w:rsid w:val="00B57461"/>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DDE"/>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75C"/>
    <w:rsid w:val="00B87D57"/>
    <w:rsid w:val="00B923BE"/>
    <w:rsid w:val="00B9292C"/>
    <w:rsid w:val="00B937BE"/>
    <w:rsid w:val="00B93D57"/>
    <w:rsid w:val="00B9454B"/>
    <w:rsid w:val="00B9584E"/>
    <w:rsid w:val="00B95B41"/>
    <w:rsid w:val="00B96CE1"/>
    <w:rsid w:val="00B9763B"/>
    <w:rsid w:val="00BA02A5"/>
    <w:rsid w:val="00BA0CE5"/>
    <w:rsid w:val="00BA1E77"/>
    <w:rsid w:val="00BA1E7C"/>
    <w:rsid w:val="00BA2CD0"/>
    <w:rsid w:val="00BA3263"/>
    <w:rsid w:val="00BA3412"/>
    <w:rsid w:val="00BA3F77"/>
    <w:rsid w:val="00BA525D"/>
    <w:rsid w:val="00BA6009"/>
    <w:rsid w:val="00BA6371"/>
    <w:rsid w:val="00BA657E"/>
    <w:rsid w:val="00BA6835"/>
    <w:rsid w:val="00BA7162"/>
    <w:rsid w:val="00BA7772"/>
    <w:rsid w:val="00BB0B79"/>
    <w:rsid w:val="00BB0C1F"/>
    <w:rsid w:val="00BB0CAC"/>
    <w:rsid w:val="00BB1E2F"/>
    <w:rsid w:val="00BB38A4"/>
    <w:rsid w:val="00BB3A3A"/>
    <w:rsid w:val="00BB4913"/>
    <w:rsid w:val="00BB4DFB"/>
    <w:rsid w:val="00BB5AD0"/>
    <w:rsid w:val="00BB61CF"/>
    <w:rsid w:val="00BB68CD"/>
    <w:rsid w:val="00BB7397"/>
    <w:rsid w:val="00BB788F"/>
    <w:rsid w:val="00BC0222"/>
    <w:rsid w:val="00BC0F3D"/>
    <w:rsid w:val="00BC2B38"/>
    <w:rsid w:val="00BC2B59"/>
    <w:rsid w:val="00BC304A"/>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4522"/>
    <w:rsid w:val="00BD6EEE"/>
    <w:rsid w:val="00BD7E44"/>
    <w:rsid w:val="00BE0217"/>
    <w:rsid w:val="00BE05D8"/>
    <w:rsid w:val="00BE09F3"/>
    <w:rsid w:val="00BE0C68"/>
    <w:rsid w:val="00BE1E8E"/>
    <w:rsid w:val="00BE2709"/>
    <w:rsid w:val="00BE2B3E"/>
    <w:rsid w:val="00BE320E"/>
    <w:rsid w:val="00BE3636"/>
    <w:rsid w:val="00BE38A1"/>
    <w:rsid w:val="00BE4343"/>
    <w:rsid w:val="00BE44FA"/>
    <w:rsid w:val="00BE4BE4"/>
    <w:rsid w:val="00BE50E6"/>
    <w:rsid w:val="00BE517A"/>
    <w:rsid w:val="00BE5AAA"/>
    <w:rsid w:val="00BE68F4"/>
    <w:rsid w:val="00BE690B"/>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4C2C"/>
    <w:rsid w:val="00C05976"/>
    <w:rsid w:val="00C064DE"/>
    <w:rsid w:val="00C065AA"/>
    <w:rsid w:val="00C06674"/>
    <w:rsid w:val="00C06827"/>
    <w:rsid w:val="00C0771C"/>
    <w:rsid w:val="00C077F6"/>
    <w:rsid w:val="00C115D1"/>
    <w:rsid w:val="00C11782"/>
    <w:rsid w:val="00C12976"/>
    <w:rsid w:val="00C14961"/>
    <w:rsid w:val="00C1591C"/>
    <w:rsid w:val="00C1604E"/>
    <w:rsid w:val="00C16074"/>
    <w:rsid w:val="00C17B13"/>
    <w:rsid w:val="00C2015A"/>
    <w:rsid w:val="00C20ACF"/>
    <w:rsid w:val="00C212DB"/>
    <w:rsid w:val="00C2186C"/>
    <w:rsid w:val="00C21D87"/>
    <w:rsid w:val="00C2313A"/>
    <w:rsid w:val="00C23677"/>
    <w:rsid w:val="00C240DA"/>
    <w:rsid w:val="00C243D7"/>
    <w:rsid w:val="00C24972"/>
    <w:rsid w:val="00C24B96"/>
    <w:rsid w:val="00C24ECD"/>
    <w:rsid w:val="00C25CBF"/>
    <w:rsid w:val="00C26649"/>
    <w:rsid w:val="00C267DD"/>
    <w:rsid w:val="00C26EB5"/>
    <w:rsid w:val="00C300A6"/>
    <w:rsid w:val="00C30337"/>
    <w:rsid w:val="00C304A8"/>
    <w:rsid w:val="00C3055C"/>
    <w:rsid w:val="00C3082F"/>
    <w:rsid w:val="00C3125C"/>
    <w:rsid w:val="00C314DB"/>
    <w:rsid w:val="00C31A86"/>
    <w:rsid w:val="00C31F2E"/>
    <w:rsid w:val="00C3226E"/>
    <w:rsid w:val="00C33018"/>
    <w:rsid w:val="00C33C0F"/>
    <w:rsid w:val="00C3434D"/>
    <w:rsid w:val="00C34826"/>
    <w:rsid w:val="00C352BE"/>
    <w:rsid w:val="00C35426"/>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7FF"/>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BFA"/>
    <w:rsid w:val="00C67E99"/>
    <w:rsid w:val="00C71E4B"/>
    <w:rsid w:val="00C722E4"/>
    <w:rsid w:val="00C725BD"/>
    <w:rsid w:val="00C72F9A"/>
    <w:rsid w:val="00C73B2D"/>
    <w:rsid w:val="00C74370"/>
    <w:rsid w:val="00C75CB8"/>
    <w:rsid w:val="00C75D52"/>
    <w:rsid w:val="00C7600A"/>
    <w:rsid w:val="00C76819"/>
    <w:rsid w:val="00C772C8"/>
    <w:rsid w:val="00C77E43"/>
    <w:rsid w:val="00C80A88"/>
    <w:rsid w:val="00C80C08"/>
    <w:rsid w:val="00C814C3"/>
    <w:rsid w:val="00C826AF"/>
    <w:rsid w:val="00C826C9"/>
    <w:rsid w:val="00C82864"/>
    <w:rsid w:val="00C82D8E"/>
    <w:rsid w:val="00C83002"/>
    <w:rsid w:val="00C83D4C"/>
    <w:rsid w:val="00C83E55"/>
    <w:rsid w:val="00C83FCF"/>
    <w:rsid w:val="00C85131"/>
    <w:rsid w:val="00C85A62"/>
    <w:rsid w:val="00C861C1"/>
    <w:rsid w:val="00C86654"/>
    <w:rsid w:val="00C91DF4"/>
    <w:rsid w:val="00C922F6"/>
    <w:rsid w:val="00C9396D"/>
    <w:rsid w:val="00C949E1"/>
    <w:rsid w:val="00C94C21"/>
    <w:rsid w:val="00C951FA"/>
    <w:rsid w:val="00C95269"/>
    <w:rsid w:val="00C95AD9"/>
    <w:rsid w:val="00C95C3E"/>
    <w:rsid w:val="00C967E5"/>
    <w:rsid w:val="00C96F32"/>
    <w:rsid w:val="00C97483"/>
    <w:rsid w:val="00C97A2B"/>
    <w:rsid w:val="00C97E05"/>
    <w:rsid w:val="00CA0795"/>
    <w:rsid w:val="00CA13C3"/>
    <w:rsid w:val="00CA19D7"/>
    <w:rsid w:val="00CA1A66"/>
    <w:rsid w:val="00CA207A"/>
    <w:rsid w:val="00CA22B7"/>
    <w:rsid w:val="00CA2C99"/>
    <w:rsid w:val="00CA2CE9"/>
    <w:rsid w:val="00CA3094"/>
    <w:rsid w:val="00CA3654"/>
    <w:rsid w:val="00CA3B03"/>
    <w:rsid w:val="00CA44AB"/>
    <w:rsid w:val="00CA6069"/>
    <w:rsid w:val="00CA6245"/>
    <w:rsid w:val="00CA718A"/>
    <w:rsid w:val="00CA732A"/>
    <w:rsid w:val="00CB0270"/>
    <w:rsid w:val="00CB1FAD"/>
    <w:rsid w:val="00CB2573"/>
    <w:rsid w:val="00CB34E4"/>
    <w:rsid w:val="00CB4A5A"/>
    <w:rsid w:val="00CB5B1E"/>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705"/>
    <w:rsid w:val="00CE0CE9"/>
    <w:rsid w:val="00CE0D9D"/>
    <w:rsid w:val="00CE14D4"/>
    <w:rsid w:val="00CE1A01"/>
    <w:rsid w:val="00CE2B42"/>
    <w:rsid w:val="00CE317F"/>
    <w:rsid w:val="00CE3CF6"/>
    <w:rsid w:val="00CE4034"/>
    <w:rsid w:val="00CE43AF"/>
    <w:rsid w:val="00CE5640"/>
    <w:rsid w:val="00CE6E46"/>
    <w:rsid w:val="00CE7272"/>
    <w:rsid w:val="00CE7987"/>
    <w:rsid w:val="00CE7C07"/>
    <w:rsid w:val="00CF0629"/>
    <w:rsid w:val="00CF2324"/>
    <w:rsid w:val="00CF2E90"/>
    <w:rsid w:val="00CF3A7A"/>
    <w:rsid w:val="00CF40A7"/>
    <w:rsid w:val="00CF47F3"/>
    <w:rsid w:val="00CF506B"/>
    <w:rsid w:val="00CF5EE5"/>
    <w:rsid w:val="00CF7299"/>
    <w:rsid w:val="00CF7434"/>
    <w:rsid w:val="00CF7671"/>
    <w:rsid w:val="00D000F0"/>
    <w:rsid w:val="00D01272"/>
    <w:rsid w:val="00D0263B"/>
    <w:rsid w:val="00D02B78"/>
    <w:rsid w:val="00D0309B"/>
    <w:rsid w:val="00D03415"/>
    <w:rsid w:val="00D0369B"/>
    <w:rsid w:val="00D03D10"/>
    <w:rsid w:val="00D041AD"/>
    <w:rsid w:val="00D04247"/>
    <w:rsid w:val="00D042B6"/>
    <w:rsid w:val="00D04DB1"/>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2F53"/>
    <w:rsid w:val="00D23A77"/>
    <w:rsid w:val="00D240D1"/>
    <w:rsid w:val="00D24255"/>
    <w:rsid w:val="00D242BD"/>
    <w:rsid w:val="00D2440C"/>
    <w:rsid w:val="00D2651F"/>
    <w:rsid w:val="00D26824"/>
    <w:rsid w:val="00D26FFF"/>
    <w:rsid w:val="00D27A64"/>
    <w:rsid w:val="00D30468"/>
    <w:rsid w:val="00D306F3"/>
    <w:rsid w:val="00D30A53"/>
    <w:rsid w:val="00D30E2B"/>
    <w:rsid w:val="00D32B01"/>
    <w:rsid w:val="00D33426"/>
    <w:rsid w:val="00D3378E"/>
    <w:rsid w:val="00D33BEB"/>
    <w:rsid w:val="00D34F90"/>
    <w:rsid w:val="00D35632"/>
    <w:rsid w:val="00D359FC"/>
    <w:rsid w:val="00D378F0"/>
    <w:rsid w:val="00D41187"/>
    <w:rsid w:val="00D41AA3"/>
    <w:rsid w:val="00D42358"/>
    <w:rsid w:val="00D4246D"/>
    <w:rsid w:val="00D4298D"/>
    <w:rsid w:val="00D4399A"/>
    <w:rsid w:val="00D43D08"/>
    <w:rsid w:val="00D43D35"/>
    <w:rsid w:val="00D43EFB"/>
    <w:rsid w:val="00D44131"/>
    <w:rsid w:val="00D4432F"/>
    <w:rsid w:val="00D443AF"/>
    <w:rsid w:val="00D448F3"/>
    <w:rsid w:val="00D45193"/>
    <w:rsid w:val="00D45DF3"/>
    <w:rsid w:val="00D45E3F"/>
    <w:rsid w:val="00D46B63"/>
    <w:rsid w:val="00D46BBB"/>
    <w:rsid w:val="00D46E0B"/>
    <w:rsid w:val="00D473C0"/>
    <w:rsid w:val="00D477B5"/>
    <w:rsid w:val="00D47963"/>
    <w:rsid w:val="00D47DBC"/>
    <w:rsid w:val="00D50B82"/>
    <w:rsid w:val="00D50E4C"/>
    <w:rsid w:val="00D50E74"/>
    <w:rsid w:val="00D51B1F"/>
    <w:rsid w:val="00D527EC"/>
    <w:rsid w:val="00D543B1"/>
    <w:rsid w:val="00D55654"/>
    <w:rsid w:val="00D55B8D"/>
    <w:rsid w:val="00D55BA3"/>
    <w:rsid w:val="00D606F0"/>
    <w:rsid w:val="00D60B19"/>
    <w:rsid w:val="00D60C37"/>
    <w:rsid w:val="00D61040"/>
    <w:rsid w:val="00D6163C"/>
    <w:rsid w:val="00D625DC"/>
    <w:rsid w:val="00D62C18"/>
    <w:rsid w:val="00D632B5"/>
    <w:rsid w:val="00D65492"/>
    <w:rsid w:val="00D664F3"/>
    <w:rsid w:val="00D66F97"/>
    <w:rsid w:val="00D678A0"/>
    <w:rsid w:val="00D704F7"/>
    <w:rsid w:val="00D70E1B"/>
    <w:rsid w:val="00D71E8B"/>
    <w:rsid w:val="00D72EC8"/>
    <w:rsid w:val="00D75260"/>
    <w:rsid w:val="00D75358"/>
    <w:rsid w:val="00D75D10"/>
    <w:rsid w:val="00D75E17"/>
    <w:rsid w:val="00D7651B"/>
    <w:rsid w:val="00D770AB"/>
    <w:rsid w:val="00D800C4"/>
    <w:rsid w:val="00D8093A"/>
    <w:rsid w:val="00D80C2E"/>
    <w:rsid w:val="00D8102D"/>
    <w:rsid w:val="00D81390"/>
    <w:rsid w:val="00D81B3C"/>
    <w:rsid w:val="00D821D6"/>
    <w:rsid w:val="00D82E71"/>
    <w:rsid w:val="00D83E2F"/>
    <w:rsid w:val="00D84449"/>
    <w:rsid w:val="00D848CA"/>
    <w:rsid w:val="00D857FB"/>
    <w:rsid w:val="00D85DCE"/>
    <w:rsid w:val="00D86C78"/>
    <w:rsid w:val="00D8764F"/>
    <w:rsid w:val="00D877DA"/>
    <w:rsid w:val="00D87BBB"/>
    <w:rsid w:val="00D87F2D"/>
    <w:rsid w:val="00D9003D"/>
    <w:rsid w:val="00D912B1"/>
    <w:rsid w:val="00D93C42"/>
    <w:rsid w:val="00D941B4"/>
    <w:rsid w:val="00D944A4"/>
    <w:rsid w:val="00D9506E"/>
    <w:rsid w:val="00D96BCE"/>
    <w:rsid w:val="00D96CB4"/>
    <w:rsid w:val="00D96EA0"/>
    <w:rsid w:val="00D979E1"/>
    <w:rsid w:val="00D97E59"/>
    <w:rsid w:val="00D97E71"/>
    <w:rsid w:val="00DA02F4"/>
    <w:rsid w:val="00DA0829"/>
    <w:rsid w:val="00DA0B30"/>
    <w:rsid w:val="00DA287E"/>
    <w:rsid w:val="00DA2F3A"/>
    <w:rsid w:val="00DA3194"/>
    <w:rsid w:val="00DA355C"/>
    <w:rsid w:val="00DA3C26"/>
    <w:rsid w:val="00DA45F7"/>
    <w:rsid w:val="00DA51CF"/>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1B9"/>
    <w:rsid w:val="00DB574B"/>
    <w:rsid w:val="00DB63B9"/>
    <w:rsid w:val="00DB7BC2"/>
    <w:rsid w:val="00DB7E55"/>
    <w:rsid w:val="00DC0011"/>
    <w:rsid w:val="00DC142D"/>
    <w:rsid w:val="00DC14D7"/>
    <w:rsid w:val="00DC20BC"/>
    <w:rsid w:val="00DC367D"/>
    <w:rsid w:val="00DC6C95"/>
    <w:rsid w:val="00DC77DE"/>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69D8"/>
    <w:rsid w:val="00DD78D9"/>
    <w:rsid w:val="00DD7A31"/>
    <w:rsid w:val="00DD7C08"/>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53"/>
    <w:rsid w:val="00DF2479"/>
    <w:rsid w:val="00DF254F"/>
    <w:rsid w:val="00DF3AB8"/>
    <w:rsid w:val="00DF3D31"/>
    <w:rsid w:val="00DF4002"/>
    <w:rsid w:val="00DF517E"/>
    <w:rsid w:val="00DF5418"/>
    <w:rsid w:val="00DF5588"/>
    <w:rsid w:val="00DF5B54"/>
    <w:rsid w:val="00DF5BFF"/>
    <w:rsid w:val="00DF6A86"/>
    <w:rsid w:val="00DF6C15"/>
    <w:rsid w:val="00DF6F99"/>
    <w:rsid w:val="00E0066E"/>
    <w:rsid w:val="00E00A8F"/>
    <w:rsid w:val="00E00B41"/>
    <w:rsid w:val="00E03229"/>
    <w:rsid w:val="00E034A7"/>
    <w:rsid w:val="00E03820"/>
    <w:rsid w:val="00E040BC"/>
    <w:rsid w:val="00E047B2"/>
    <w:rsid w:val="00E048C5"/>
    <w:rsid w:val="00E04AF5"/>
    <w:rsid w:val="00E04B83"/>
    <w:rsid w:val="00E05863"/>
    <w:rsid w:val="00E058B2"/>
    <w:rsid w:val="00E065F3"/>
    <w:rsid w:val="00E0672A"/>
    <w:rsid w:val="00E06749"/>
    <w:rsid w:val="00E068C3"/>
    <w:rsid w:val="00E06E5C"/>
    <w:rsid w:val="00E102C2"/>
    <w:rsid w:val="00E1053D"/>
    <w:rsid w:val="00E10794"/>
    <w:rsid w:val="00E10908"/>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35251"/>
    <w:rsid w:val="00E407C9"/>
    <w:rsid w:val="00E42E20"/>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26A4"/>
    <w:rsid w:val="00E63C20"/>
    <w:rsid w:val="00E63CC0"/>
    <w:rsid w:val="00E65018"/>
    <w:rsid w:val="00E66A0C"/>
    <w:rsid w:val="00E675BE"/>
    <w:rsid w:val="00E7042B"/>
    <w:rsid w:val="00E70899"/>
    <w:rsid w:val="00E71052"/>
    <w:rsid w:val="00E71719"/>
    <w:rsid w:val="00E71994"/>
    <w:rsid w:val="00E7273D"/>
    <w:rsid w:val="00E72F02"/>
    <w:rsid w:val="00E7341F"/>
    <w:rsid w:val="00E73470"/>
    <w:rsid w:val="00E738C0"/>
    <w:rsid w:val="00E73B29"/>
    <w:rsid w:val="00E74C0F"/>
    <w:rsid w:val="00E76692"/>
    <w:rsid w:val="00E77306"/>
    <w:rsid w:val="00E804F9"/>
    <w:rsid w:val="00E80B62"/>
    <w:rsid w:val="00E80E9B"/>
    <w:rsid w:val="00E81442"/>
    <w:rsid w:val="00E81C77"/>
    <w:rsid w:val="00E8266A"/>
    <w:rsid w:val="00E827D9"/>
    <w:rsid w:val="00E829A3"/>
    <w:rsid w:val="00E8316D"/>
    <w:rsid w:val="00E84264"/>
    <w:rsid w:val="00E84508"/>
    <w:rsid w:val="00E857FC"/>
    <w:rsid w:val="00E86CDC"/>
    <w:rsid w:val="00E878F0"/>
    <w:rsid w:val="00E87D80"/>
    <w:rsid w:val="00E90B56"/>
    <w:rsid w:val="00E925C9"/>
    <w:rsid w:val="00E931DC"/>
    <w:rsid w:val="00E947F2"/>
    <w:rsid w:val="00E948E4"/>
    <w:rsid w:val="00E96BDC"/>
    <w:rsid w:val="00E97C3D"/>
    <w:rsid w:val="00E97CF8"/>
    <w:rsid w:val="00EA0214"/>
    <w:rsid w:val="00EA0248"/>
    <w:rsid w:val="00EA0FE0"/>
    <w:rsid w:val="00EA12B1"/>
    <w:rsid w:val="00EA17FC"/>
    <w:rsid w:val="00EA2165"/>
    <w:rsid w:val="00EA34CE"/>
    <w:rsid w:val="00EA384A"/>
    <w:rsid w:val="00EA3F33"/>
    <w:rsid w:val="00EA4808"/>
    <w:rsid w:val="00EA4A76"/>
    <w:rsid w:val="00EA4DF9"/>
    <w:rsid w:val="00EA5416"/>
    <w:rsid w:val="00EB1317"/>
    <w:rsid w:val="00EB1AC1"/>
    <w:rsid w:val="00EB1B90"/>
    <w:rsid w:val="00EB26B9"/>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CFE"/>
    <w:rsid w:val="00EC5193"/>
    <w:rsid w:val="00EC61C5"/>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033"/>
    <w:rsid w:val="00EF0F8D"/>
    <w:rsid w:val="00EF12DF"/>
    <w:rsid w:val="00EF1D5A"/>
    <w:rsid w:val="00EF290A"/>
    <w:rsid w:val="00EF2BB1"/>
    <w:rsid w:val="00EF3E07"/>
    <w:rsid w:val="00EF415D"/>
    <w:rsid w:val="00EF556F"/>
    <w:rsid w:val="00EF5D8A"/>
    <w:rsid w:val="00EF66BB"/>
    <w:rsid w:val="00EF7A50"/>
    <w:rsid w:val="00F000FB"/>
    <w:rsid w:val="00F0258D"/>
    <w:rsid w:val="00F027DA"/>
    <w:rsid w:val="00F02A68"/>
    <w:rsid w:val="00F03F36"/>
    <w:rsid w:val="00F04C25"/>
    <w:rsid w:val="00F05693"/>
    <w:rsid w:val="00F05A22"/>
    <w:rsid w:val="00F05C68"/>
    <w:rsid w:val="00F06165"/>
    <w:rsid w:val="00F0653F"/>
    <w:rsid w:val="00F0696F"/>
    <w:rsid w:val="00F07836"/>
    <w:rsid w:val="00F105B7"/>
    <w:rsid w:val="00F10AA8"/>
    <w:rsid w:val="00F10B3D"/>
    <w:rsid w:val="00F11797"/>
    <w:rsid w:val="00F117EA"/>
    <w:rsid w:val="00F120F0"/>
    <w:rsid w:val="00F12899"/>
    <w:rsid w:val="00F135A7"/>
    <w:rsid w:val="00F13E3B"/>
    <w:rsid w:val="00F15639"/>
    <w:rsid w:val="00F1655A"/>
    <w:rsid w:val="00F16864"/>
    <w:rsid w:val="00F17C34"/>
    <w:rsid w:val="00F21799"/>
    <w:rsid w:val="00F21EB4"/>
    <w:rsid w:val="00F22A8D"/>
    <w:rsid w:val="00F22C61"/>
    <w:rsid w:val="00F22F3C"/>
    <w:rsid w:val="00F232F5"/>
    <w:rsid w:val="00F23F39"/>
    <w:rsid w:val="00F24DDE"/>
    <w:rsid w:val="00F25980"/>
    <w:rsid w:val="00F25F18"/>
    <w:rsid w:val="00F26BD3"/>
    <w:rsid w:val="00F26FA6"/>
    <w:rsid w:val="00F27CC5"/>
    <w:rsid w:val="00F3068A"/>
    <w:rsid w:val="00F309C6"/>
    <w:rsid w:val="00F30BA4"/>
    <w:rsid w:val="00F31326"/>
    <w:rsid w:val="00F32F69"/>
    <w:rsid w:val="00F33964"/>
    <w:rsid w:val="00F33D25"/>
    <w:rsid w:val="00F33EC4"/>
    <w:rsid w:val="00F344EF"/>
    <w:rsid w:val="00F35298"/>
    <w:rsid w:val="00F362C5"/>
    <w:rsid w:val="00F36C7D"/>
    <w:rsid w:val="00F40558"/>
    <w:rsid w:val="00F42CA2"/>
    <w:rsid w:val="00F440BE"/>
    <w:rsid w:val="00F446AC"/>
    <w:rsid w:val="00F45261"/>
    <w:rsid w:val="00F459FA"/>
    <w:rsid w:val="00F45C3F"/>
    <w:rsid w:val="00F45C55"/>
    <w:rsid w:val="00F460BC"/>
    <w:rsid w:val="00F46706"/>
    <w:rsid w:val="00F4712B"/>
    <w:rsid w:val="00F479E7"/>
    <w:rsid w:val="00F50B42"/>
    <w:rsid w:val="00F50D51"/>
    <w:rsid w:val="00F51554"/>
    <w:rsid w:val="00F519C0"/>
    <w:rsid w:val="00F53320"/>
    <w:rsid w:val="00F5490C"/>
    <w:rsid w:val="00F55B37"/>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3EF"/>
    <w:rsid w:val="00F76564"/>
    <w:rsid w:val="00F766CD"/>
    <w:rsid w:val="00F767F6"/>
    <w:rsid w:val="00F76BB3"/>
    <w:rsid w:val="00F77604"/>
    <w:rsid w:val="00F80C9E"/>
    <w:rsid w:val="00F810C5"/>
    <w:rsid w:val="00F81DBE"/>
    <w:rsid w:val="00F821A9"/>
    <w:rsid w:val="00F8247D"/>
    <w:rsid w:val="00F82EF7"/>
    <w:rsid w:val="00F83838"/>
    <w:rsid w:val="00F83BC8"/>
    <w:rsid w:val="00F83C8A"/>
    <w:rsid w:val="00F83EAE"/>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9790F"/>
    <w:rsid w:val="00FA01E5"/>
    <w:rsid w:val="00FA023D"/>
    <w:rsid w:val="00FA07D5"/>
    <w:rsid w:val="00FA153E"/>
    <w:rsid w:val="00FA15E0"/>
    <w:rsid w:val="00FA201F"/>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88C"/>
    <w:rsid w:val="00FB6BE5"/>
    <w:rsid w:val="00FB6D84"/>
    <w:rsid w:val="00FB7556"/>
    <w:rsid w:val="00FC23EB"/>
    <w:rsid w:val="00FC2EFF"/>
    <w:rsid w:val="00FC3A20"/>
    <w:rsid w:val="00FC3FE2"/>
    <w:rsid w:val="00FC430C"/>
    <w:rsid w:val="00FC5807"/>
    <w:rsid w:val="00FC59F9"/>
    <w:rsid w:val="00FC6213"/>
    <w:rsid w:val="00FC62CC"/>
    <w:rsid w:val="00FC65F0"/>
    <w:rsid w:val="00FC763D"/>
    <w:rsid w:val="00FC7E86"/>
    <w:rsid w:val="00FD036F"/>
    <w:rsid w:val="00FD056E"/>
    <w:rsid w:val="00FD080B"/>
    <w:rsid w:val="00FD15A5"/>
    <w:rsid w:val="00FD208F"/>
    <w:rsid w:val="00FD243E"/>
    <w:rsid w:val="00FD31C5"/>
    <w:rsid w:val="00FD40D7"/>
    <w:rsid w:val="00FD4885"/>
    <w:rsid w:val="00FD495A"/>
    <w:rsid w:val="00FD49CA"/>
    <w:rsid w:val="00FD5493"/>
    <w:rsid w:val="00FD5F2B"/>
    <w:rsid w:val="00FD7521"/>
    <w:rsid w:val="00FE0FCD"/>
    <w:rsid w:val="00FE10DA"/>
    <w:rsid w:val="00FE1DFC"/>
    <w:rsid w:val="00FE2643"/>
    <w:rsid w:val="00FE27B3"/>
    <w:rsid w:val="00FE3954"/>
    <w:rsid w:val="00FE52ED"/>
    <w:rsid w:val="00FE64ED"/>
    <w:rsid w:val="00FE792B"/>
    <w:rsid w:val="00FE7F76"/>
    <w:rsid w:val="00FF1299"/>
    <w:rsid w:val="00FF13E4"/>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CAD3B1A"/>
  <w15:docId w15:val="{B1A61538-A541-4925-B563-32D8BF12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ākums,s?kums Rakstz. Rakstz.,s?kums Rakstz.,s?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ormal bullet 2,Bullet list,Saistīto dokumentu saraksts,Syle 1,Numurets,List Paragraph11,OBC Bullet,Bullet Style,L,Akapit z listą BS,Bullet 1,Bullet Points,Dot pt,F5 List Paragraph,IFCL -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ormal bullet 2 Char,Bullet list Char,Saistīto dokumentu saraksts Char,Syle 1 Char,Numurets Char,List Paragraph11 Char,OBC Bullet Char,Bullet Style Char,L Char,Akapit z listą BS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customStyle="1" w:styleId="xmsonormal">
    <w:name w:val="x_msonormal"/>
    <w:basedOn w:val="Normal"/>
    <w:rsid w:val="004A27A9"/>
    <w:pPr>
      <w:spacing w:before="100" w:beforeAutospacing="1" w:after="100" w:afterAutospacing="1"/>
    </w:pPr>
    <w:rPr>
      <w:lang w:val="en-US"/>
    </w:rPr>
  </w:style>
  <w:style w:type="character" w:customStyle="1" w:styleId="NormalWebChar">
    <w:name w:val="Normal (Web) Char"/>
    <w:aliases w:val="sākums Char,s?kums Rakstz. Rakstz. Char,s?kums Rakstz. Char,s?kums Char"/>
    <w:link w:val="NormalWeb"/>
    <w:uiPriority w:val="99"/>
    <w:locked/>
    <w:rsid w:val="00A22D9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27026351">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14778142">
      <w:bodyDiv w:val="1"/>
      <w:marLeft w:val="0"/>
      <w:marRight w:val="0"/>
      <w:marTop w:val="0"/>
      <w:marBottom w:val="0"/>
      <w:divBdr>
        <w:top w:val="none" w:sz="0" w:space="0" w:color="auto"/>
        <w:left w:val="none" w:sz="0" w:space="0" w:color="auto"/>
        <w:bottom w:val="none" w:sz="0" w:space="0" w:color="auto"/>
        <w:right w:val="none" w:sz="0" w:space="0" w:color="auto"/>
      </w:divBdr>
      <w:divsChild>
        <w:div w:id="1474525356">
          <w:marLeft w:val="0"/>
          <w:marRight w:val="0"/>
          <w:marTop w:val="0"/>
          <w:marBottom w:val="0"/>
          <w:divBdr>
            <w:top w:val="none" w:sz="0" w:space="0" w:color="auto"/>
            <w:left w:val="none" w:sz="0" w:space="0" w:color="auto"/>
            <w:bottom w:val="none" w:sz="0" w:space="0" w:color="auto"/>
            <w:right w:val="none" w:sz="0" w:space="0" w:color="auto"/>
          </w:divBdr>
        </w:div>
        <w:div w:id="1577670347">
          <w:marLeft w:val="0"/>
          <w:marRight w:val="0"/>
          <w:marTop w:val="0"/>
          <w:marBottom w:val="0"/>
          <w:divBdr>
            <w:top w:val="none" w:sz="0" w:space="0" w:color="auto"/>
            <w:left w:val="none" w:sz="0" w:space="0" w:color="auto"/>
            <w:bottom w:val="none" w:sz="0" w:space="0" w:color="auto"/>
            <w:right w:val="none" w:sz="0" w:space="0" w:color="auto"/>
          </w:divBdr>
        </w:div>
      </w:divsChild>
    </w:div>
    <w:div w:id="233517568">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29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1660912">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8523517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29718907">
      <w:bodyDiv w:val="1"/>
      <w:marLeft w:val="0"/>
      <w:marRight w:val="0"/>
      <w:marTop w:val="0"/>
      <w:marBottom w:val="0"/>
      <w:divBdr>
        <w:top w:val="none" w:sz="0" w:space="0" w:color="auto"/>
        <w:left w:val="none" w:sz="0" w:space="0" w:color="auto"/>
        <w:bottom w:val="none" w:sz="0" w:space="0" w:color="auto"/>
        <w:right w:val="none" w:sz="0" w:space="0" w:color="auto"/>
      </w:divBdr>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01217336">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4069440">
      <w:bodyDiv w:val="1"/>
      <w:marLeft w:val="0"/>
      <w:marRight w:val="0"/>
      <w:marTop w:val="0"/>
      <w:marBottom w:val="0"/>
      <w:divBdr>
        <w:top w:val="none" w:sz="0" w:space="0" w:color="auto"/>
        <w:left w:val="none" w:sz="0" w:space="0" w:color="auto"/>
        <w:bottom w:val="none" w:sz="0" w:space="0" w:color="auto"/>
        <w:right w:val="none" w:sz="0" w:space="0" w:color="auto"/>
      </w:divBdr>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1657297118">
          <w:marLeft w:val="0"/>
          <w:marRight w:val="0"/>
          <w:marTop w:val="0"/>
          <w:marBottom w:val="567"/>
          <w:divBdr>
            <w:top w:val="none" w:sz="0" w:space="0" w:color="auto"/>
            <w:left w:val="none" w:sz="0" w:space="0" w:color="auto"/>
            <w:bottom w:val="none" w:sz="0" w:space="0" w:color="auto"/>
            <w:right w:val="none" w:sz="0" w:space="0" w:color="auto"/>
          </w:divBdr>
        </w:div>
        <w:div w:id="2141994701">
          <w:marLeft w:val="0"/>
          <w:marRight w:val="0"/>
          <w:marTop w:val="480"/>
          <w:marBottom w:val="240"/>
          <w:divBdr>
            <w:top w:val="none" w:sz="0" w:space="0" w:color="auto"/>
            <w:left w:val="none" w:sz="0" w:space="0" w:color="auto"/>
            <w:bottom w:val="none" w:sz="0" w:space="0" w:color="auto"/>
            <w:right w:val="none" w:sz="0" w:space="0" w:color="auto"/>
          </w:divBdr>
        </w:div>
      </w:divsChild>
    </w:div>
    <w:div w:id="15141486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9013830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61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81111-darbibas-programmas-izaugsme-un-nodarbinatiba-4-2-2-specifiska-atbalsta-merka-atbilstosi-pasvaldibas-integretajam-attistiba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kumi.lv/ta/id/281111-darbibas-programmas-izaugsme-un-nodarbinatiba-4-2-2-specifiska-atbalsta-merka-atbilstosi-pasvaldibas-integretajam-attistibas" TargetMode="External"/><Relationship Id="rId17" Type="http://schemas.openxmlformats.org/officeDocument/2006/relationships/hyperlink" Target="http://likumi.lv/doc.php?id=278590" TargetMode="External"/><Relationship Id="rId2" Type="http://schemas.openxmlformats.org/officeDocument/2006/relationships/customXml" Target="../customXml/item2.xml"/><Relationship Id="rId16" Type="http://schemas.openxmlformats.org/officeDocument/2006/relationships/hyperlink" Target="http://likumi.lv/doc.php?id=2785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b.gov.lv/lv/statistika/statistikas-temas/socialie-procesi/darba-samaksa/meklet-tema/2693-darba-samaksas-parmainas-2020-gada-1" TargetMode="External"/><Relationship Id="rId5" Type="http://schemas.openxmlformats.org/officeDocument/2006/relationships/settings" Target="settings.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hyperlink" Target="https://www.csb.gov.lv/lv/statistika/statistikas-temas/socialie-procesi/darba-samaksa/meklet-tema/2693-darba-samaksas-parmainas-2020-gada-1"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eur-lex.europa.eu/eli/dec/2012/21/oj/?locale=LV" TargetMode="External"/><Relationship Id="rId14" Type="http://schemas.openxmlformats.org/officeDocument/2006/relationships/hyperlink" Target="http://likumi.lv/ta/id/281111-darbibas-programmas-izaugsme-un-nodarbinatiba-4-2-2-specifiska-atbalsta-merka-atbilstosi-pasvaldibas-integretajam-attistiba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statistika-un-petijumi/statistika/veselibas-aprupes-statistik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1FF2-74A6-40B8-9107-FE4006E94612}">
  <ds:schemaRefs>
    <ds:schemaRef ds:uri="http://schemas.openxmlformats.org/officeDocument/2006/bibliography"/>
  </ds:schemaRefs>
</ds:datastoreItem>
</file>

<file path=customXml/itemProps2.xml><?xml version="1.0" encoding="utf-8"?>
<ds:datastoreItem xmlns:ds="http://schemas.openxmlformats.org/officeDocument/2006/customXml" ds:itemID="{D70F4B42-49F7-441A-A25E-67ADCA20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8469</Words>
  <Characters>60527</Characters>
  <Application>Microsoft Office Word</Application>
  <DocSecurity>0</DocSecurity>
  <Lines>504</Lines>
  <Paragraphs>137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9.2.5. specifiskā atbalsta mērķa „Uzlabot pieejamību ārstniecības un ārstniecības atbalsta personām, kas sniedz pakalpojumus prioritārajās veselības jomās iedzīvotājiem,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9.2.5. specifiskā atbalsta mērķa „Uzlabot pieejamību ārstniecības un ārstniecības atbalsta personām, kas sniedz pakalpojumus prioritārajās veselības jomās iedzīvotājiem,</dc:title>
  <dc:subject>Anotācija</dc:subject>
  <dc:creator>Jūlija Grabovska</dc:creator>
  <cp:keywords/>
  <dc:description/>
  <cp:lastModifiedBy>Līga Žurovska</cp:lastModifiedBy>
  <cp:revision>6</cp:revision>
  <cp:lastPrinted>2017-01-09T09:04:00Z</cp:lastPrinted>
  <dcterms:created xsi:type="dcterms:W3CDTF">2020-11-03T09:48:00Z</dcterms:created>
  <dcterms:modified xsi:type="dcterms:W3CDTF">2020-12-03T13:12:00Z</dcterms:modified>
</cp:coreProperties>
</file>