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A093" w14:textId="3D947C23" w:rsidR="00E33A2C" w:rsidRPr="000C3267" w:rsidRDefault="0005464C" w:rsidP="00E33A2C">
      <w:pPr>
        <w:pStyle w:val="Bezatstarpm"/>
        <w:jc w:val="center"/>
        <w:rPr>
          <w:rFonts w:ascii="Times New Roman" w:hAnsi="Times New Roman" w:cs="Times New Roman"/>
          <w:b/>
          <w:sz w:val="28"/>
          <w:szCs w:val="28"/>
        </w:rPr>
      </w:pPr>
      <w:r w:rsidRPr="000C3267">
        <w:rPr>
          <w:rFonts w:ascii="Times New Roman" w:hAnsi="Times New Roman" w:cs="Times New Roman"/>
          <w:b/>
          <w:sz w:val="28"/>
          <w:szCs w:val="28"/>
        </w:rPr>
        <w:t>Ministru kabineta noteikumu projekt</w:t>
      </w:r>
      <w:r w:rsidR="00E33A2C" w:rsidRPr="000C3267">
        <w:rPr>
          <w:rFonts w:ascii="Times New Roman" w:hAnsi="Times New Roman" w:cs="Times New Roman"/>
          <w:b/>
          <w:sz w:val="28"/>
          <w:szCs w:val="28"/>
        </w:rPr>
        <w:t>a</w:t>
      </w:r>
      <w:r w:rsidRPr="000C3267">
        <w:rPr>
          <w:rFonts w:ascii="Times New Roman" w:hAnsi="Times New Roman" w:cs="Times New Roman"/>
          <w:b/>
          <w:sz w:val="28"/>
          <w:szCs w:val="28"/>
        </w:rPr>
        <w:t xml:space="preserve"> </w:t>
      </w:r>
      <w:r w:rsidR="00E330F2" w:rsidRPr="000C3267">
        <w:rPr>
          <w:rFonts w:ascii="Times New Roman" w:hAnsi="Times New Roman" w:cs="Times New Roman"/>
          <w:b/>
          <w:sz w:val="28"/>
          <w:szCs w:val="28"/>
        </w:rPr>
        <w:t>“Grozījumi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00012F0A" w:rsidRPr="000C3267">
        <w:rPr>
          <w:rFonts w:ascii="Times New Roman" w:hAnsi="Times New Roman" w:cs="Times New Roman"/>
          <w:b/>
          <w:sz w:val="28"/>
          <w:szCs w:val="28"/>
        </w:rPr>
        <w:t>”</w:t>
      </w:r>
    </w:p>
    <w:p w14:paraId="4360F71F" w14:textId="17F107E7" w:rsidR="0005464C" w:rsidRPr="000C3267" w:rsidRDefault="00E330F2" w:rsidP="00E330F2">
      <w:pPr>
        <w:pStyle w:val="Bezatstarpm"/>
        <w:jc w:val="center"/>
        <w:rPr>
          <w:rFonts w:ascii="Times New Roman" w:hAnsi="Times New Roman" w:cs="Times New Roman"/>
          <w:b/>
          <w:sz w:val="28"/>
          <w:szCs w:val="28"/>
        </w:rPr>
      </w:pPr>
      <w:r w:rsidRPr="000C3267">
        <w:rPr>
          <w:rFonts w:ascii="Times New Roman" w:hAnsi="Times New Roman" w:cs="Times New Roman"/>
          <w:b/>
          <w:sz w:val="28"/>
          <w:szCs w:val="28"/>
        </w:rPr>
        <w:t xml:space="preserve"> </w:t>
      </w:r>
      <w:r w:rsidR="0005464C" w:rsidRPr="000C3267">
        <w:rPr>
          <w:rFonts w:ascii="Times New Roman" w:hAnsi="Times New Roman" w:cs="Times New Roman"/>
          <w:b/>
          <w:sz w:val="28"/>
          <w:szCs w:val="28"/>
        </w:rPr>
        <w:t>sākotnējās ietekmes novērtējuma ziņojums (anotācija)</w:t>
      </w:r>
    </w:p>
    <w:p w14:paraId="79F52857" w14:textId="77777777" w:rsidR="0005464C" w:rsidRPr="000C3267" w:rsidRDefault="0005464C" w:rsidP="00B45678">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5464C" w:rsidRPr="000C3267" w14:paraId="677A5546" w14:textId="77777777" w:rsidTr="00E33A2C">
        <w:trPr>
          <w:cantSplit/>
        </w:trPr>
        <w:tc>
          <w:tcPr>
            <w:tcW w:w="9061" w:type="dxa"/>
            <w:gridSpan w:val="2"/>
            <w:shd w:val="clear" w:color="auto" w:fill="FFFFFF"/>
            <w:vAlign w:val="center"/>
            <w:hideMark/>
          </w:tcPr>
          <w:p w14:paraId="4D1987C4" w14:textId="77777777" w:rsidR="0005464C" w:rsidRPr="000C3267" w:rsidRDefault="0005464C" w:rsidP="00D44D6F">
            <w:pPr>
              <w:jc w:val="center"/>
              <w:rPr>
                <w:b/>
                <w:iCs/>
                <w:lang w:eastAsia="en-US"/>
              </w:rPr>
            </w:pPr>
            <w:r w:rsidRPr="000C3267">
              <w:rPr>
                <w:b/>
                <w:iCs/>
                <w:lang w:eastAsia="en-US"/>
              </w:rPr>
              <w:t>Tiesību akta projekta anotācijas kopsavilkums</w:t>
            </w:r>
          </w:p>
        </w:tc>
      </w:tr>
      <w:tr w:rsidR="001B52D2" w:rsidRPr="000C3267" w14:paraId="4FE7C78C" w14:textId="77777777" w:rsidTr="000544E1">
        <w:trPr>
          <w:cantSplit/>
        </w:trPr>
        <w:tc>
          <w:tcPr>
            <w:tcW w:w="1696" w:type="dxa"/>
            <w:shd w:val="clear" w:color="auto" w:fill="FFFFFF"/>
            <w:hideMark/>
          </w:tcPr>
          <w:p w14:paraId="5B264DEC" w14:textId="77777777" w:rsidR="0005464C" w:rsidRPr="000C3267" w:rsidRDefault="0005464C" w:rsidP="00D44D6F">
            <w:pPr>
              <w:rPr>
                <w:iCs/>
                <w:lang w:eastAsia="en-US"/>
              </w:rPr>
            </w:pPr>
            <w:r w:rsidRPr="000C3267">
              <w:rPr>
                <w:iCs/>
                <w:lang w:eastAsia="en-US"/>
              </w:rPr>
              <w:t>Mērķis, risinājums un projekta spēkā stāšanās laiks (500 zīmes bez atstarpēm)</w:t>
            </w:r>
          </w:p>
        </w:tc>
        <w:tc>
          <w:tcPr>
            <w:tcW w:w="7365" w:type="dxa"/>
            <w:shd w:val="clear" w:color="auto" w:fill="FFFFFF"/>
            <w:hideMark/>
          </w:tcPr>
          <w:p w14:paraId="52BBF01D" w14:textId="71453EBD" w:rsidR="00C25BAA" w:rsidRPr="000C3267" w:rsidRDefault="00A74935" w:rsidP="00E33A2C">
            <w:pPr>
              <w:jc w:val="both"/>
              <w:rPr>
                <w:iCs/>
                <w:shd w:val="clear" w:color="auto" w:fill="FFFFFF"/>
              </w:rPr>
            </w:pPr>
            <w:r w:rsidRPr="000C3267">
              <w:rPr>
                <w:iCs/>
                <w:shd w:val="clear" w:color="auto" w:fill="FFFFFF"/>
              </w:rPr>
              <w:t>Ministru kabineta noteikumu projekt</w:t>
            </w:r>
            <w:r w:rsidR="00E33A2C" w:rsidRPr="000C3267">
              <w:rPr>
                <w:iCs/>
                <w:shd w:val="clear" w:color="auto" w:fill="FFFFFF"/>
              </w:rPr>
              <w:t>a “</w:t>
            </w:r>
            <w:r w:rsidR="00684F0B" w:rsidRPr="000C3267">
              <w:t>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004D4D85">
              <w:t>”</w:t>
            </w:r>
            <w:r w:rsidR="00684F0B" w:rsidRPr="000C3267">
              <w:t>” (turpmāk </w:t>
            </w:r>
            <w:r w:rsidR="00447C66" w:rsidRPr="000C3267">
              <w:t>–</w:t>
            </w:r>
            <w:r w:rsidR="00684F0B" w:rsidRPr="000C3267">
              <w:t> </w:t>
            </w:r>
            <w:r w:rsidR="00447C66" w:rsidRPr="000C3267">
              <w:t>Noteikumu projekts</w:t>
            </w:r>
            <w:r w:rsidR="00684F0B" w:rsidRPr="000C3267">
              <w:t>)</w:t>
            </w:r>
            <w:r w:rsidR="00E33A2C" w:rsidRPr="000C3267">
              <w:t xml:space="preserve"> </w:t>
            </w:r>
            <w:r w:rsidR="00000FC3" w:rsidRPr="000C3267">
              <w:rPr>
                <w:iCs/>
                <w:shd w:val="clear" w:color="auto" w:fill="FFFFFF"/>
              </w:rPr>
              <w:t xml:space="preserve">mērķis ir </w:t>
            </w:r>
            <w:r w:rsidR="00C25BAA" w:rsidRPr="000C3267">
              <w:rPr>
                <w:iCs/>
                <w:shd w:val="clear" w:color="auto" w:fill="FFFFFF"/>
              </w:rPr>
              <w:t xml:space="preserve">īstenot regulatīvo elastību </w:t>
            </w:r>
            <w:r w:rsidR="00D9268D" w:rsidRPr="000C3267">
              <w:rPr>
                <w:iCs/>
                <w:shd w:val="clear" w:color="auto" w:fill="FFFFFF"/>
              </w:rPr>
              <w:t>labas ražošanas prakses pārbaudē</w:t>
            </w:r>
            <w:r w:rsidR="00447C66" w:rsidRPr="000C3267">
              <w:rPr>
                <w:iCs/>
                <w:shd w:val="clear" w:color="auto" w:fill="FFFFFF"/>
              </w:rPr>
              <w:t>m</w:t>
            </w:r>
            <w:r w:rsidR="00D9268D" w:rsidRPr="000C3267">
              <w:rPr>
                <w:iCs/>
                <w:shd w:val="clear" w:color="auto" w:fill="FFFFFF"/>
              </w:rPr>
              <w:t xml:space="preserve">, </w:t>
            </w:r>
            <w:r w:rsidR="00D9268D" w:rsidRPr="000C3267">
              <w:t>tai skaitā ievie</w:t>
            </w:r>
            <w:r w:rsidR="00E33A2C" w:rsidRPr="000C3267">
              <w:t>st</w:t>
            </w:r>
            <w:r w:rsidR="00D9268D" w:rsidRPr="000C3267">
              <w:t xml:space="preserve"> attālinātās pārbaudes, </w:t>
            </w:r>
            <w:r w:rsidR="00E77C08" w:rsidRPr="000C3267">
              <w:t xml:space="preserve">ņemot vērā grūtības veikt attiecīgās pārbaudes uz vietas </w:t>
            </w:r>
            <w:r w:rsidR="00126CA5" w:rsidRPr="000C3267">
              <w:t>saistībā</w:t>
            </w:r>
            <w:r w:rsidR="00E77C08" w:rsidRPr="000C3267">
              <w:t xml:space="preserve"> ar COVID</w:t>
            </w:r>
            <w:r w:rsidR="008F7F7E" w:rsidRPr="000C3267">
              <w:t> </w:t>
            </w:r>
            <w:r w:rsidR="00E77C08" w:rsidRPr="000C3267">
              <w:t>-</w:t>
            </w:r>
            <w:r w:rsidR="008F7F7E" w:rsidRPr="000C3267">
              <w:t> </w:t>
            </w:r>
            <w:r w:rsidR="00E77C08" w:rsidRPr="000C3267">
              <w:t>19 pandēmiju</w:t>
            </w:r>
            <w:r w:rsidRPr="000C3267">
              <w:rPr>
                <w:iCs/>
                <w:shd w:val="clear" w:color="auto" w:fill="FFFFFF"/>
              </w:rPr>
              <w:t xml:space="preserve">, </w:t>
            </w:r>
            <w:r w:rsidR="00447C66" w:rsidRPr="000C3267">
              <w:t>kura ir</w:t>
            </w:r>
            <w:r w:rsidR="00C201FC" w:rsidRPr="000C3267">
              <w:t xml:space="preserve"> izraisījusi </w:t>
            </w:r>
            <w:r w:rsidR="0099487C" w:rsidRPr="000C3267">
              <w:t xml:space="preserve">arī </w:t>
            </w:r>
            <w:r w:rsidR="00C201FC" w:rsidRPr="000C3267">
              <w:t>valstu un starptautiskos ierobežojumus, kas var ietekmēt un/vai kavēt pārbaužu veikšanu uz vietas.</w:t>
            </w:r>
          </w:p>
          <w:p w14:paraId="318A8FF9" w14:textId="77777777" w:rsidR="00447C66" w:rsidRPr="000C3267" w:rsidRDefault="00447C66" w:rsidP="00E77C08">
            <w:pPr>
              <w:jc w:val="both"/>
            </w:pPr>
          </w:p>
          <w:p w14:paraId="705A3673" w14:textId="00755D57" w:rsidR="0005464C" w:rsidRPr="000C3267" w:rsidRDefault="00A74935" w:rsidP="00E77C08">
            <w:pPr>
              <w:jc w:val="both"/>
              <w:rPr>
                <w:color w:val="0070C0"/>
              </w:rPr>
            </w:pPr>
            <w:r w:rsidRPr="000C3267">
              <w:t>Projekt</w:t>
            </w:r>
            <w:r w:rsidR="00E33A2C" w:rsidRPr="000C3267">
              <w:t>s</w:t>
            </w:r>
            <w:r w:rsidRPr="000C3267">
              <w:t xml:space="preserve"> stājas spēkā parastā kārtībā.</w:t>
            </w:r>
          </w:p>
        </w:tc>
      </w:tr>
    </w:tbl>
    <w:p w14:paraId="09DF23C0" w14:textId="77777777" w:rsidR="0005464C" w:rsidRPr="000C3267" w:rsidRDefault="0005464C" w:rsidP="007520AF">
      <w:pPr>
        <w:pStyle w:val="Nosaukums"/>
        <w:jc w:val="both"/>
        <w:rPr>
          <w:sz w:val="24"/>
          <w:szCs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275"/>
        <w:gridCol w:w="7385"/>
      </w:tblGrid>
      <w:tr w:rsidR="0005464C" w:rsidRPr="000C3267" w14:paraId="38D2ED83" w14:textId="77777777" w:rsidTr="00A74935">
        <w:trPr>
          <w:cantSplit/>
        </w:trPr>
        <w:tc>
          <w:tcPr>
            <w:tcW w:w="9081" w:type="dxa"/>
            <w:gridSpan w:val="3"/>
            <w:vAlign w:val="center"/>
            <w:hideMark/>
          </w:tcPr>
          <w:p w14:paraId="506B20B7" w14:textId="77777777" w:rsidR="0005464C" w:rsidRPr="000C3267" w:rsidRDefault="0005464C" w:rsidP="00D44D6F">
            <w:pPr>
              <w:jc w:val="center"/>
              <w:rPr>
                <w:b/>
                <w:bCs/>
              </w:rPr>
            </w:pPr>
            <w:r w:rsidRPr="000C3267">
              <w:rPr>
                <w:b/>
                <w:bCs/>
              </w:rPr>
              <w:t>I. Tiesību akta projekta izstrādes nepieciešamība</w:t>
            </w:r>
          </w:p>
        </w:tc>
      </w:tr>
      <w:tr w:rsidR="0005464C" w:rsidRPr="000C3267" w14:paraId="0936F87F" w14:textId="77777777" w:rsidTr="000544E1">
        <w:trPr>
          <w:cantSplit/>
        </w:trPr>
        <w:tc>
          <w:tcPr>
            <w:tcW w:w="421" w:type="dxa"/>
            <w:hideMark/>
          </w:tcPr>
          <w:p w14:paraId="0EEE9D0D" w14:textId="77777777" w:rsidR="0005464C" w:rsidRPr="000C3267" w:rsidRDefault="0005464C" w:rsidP="00D44D6F">
            <w:pPr>
              <w:jc w:val="center"/>
            </w:pPr>
            <w:r w:rsidRPr="000C3267">
              <w:t>1.</w:t>
            </w:r>
          </w:p>
        </w:tc>
        <w:tc>
          <w:tcPr>
            <w:tcW w:w="1275" w:type="dxa"/>
            <w:hideMark/>
          </w:tcPr>
          <w:p w14:paraId="5DD47DEF" w14:textId="2D73D236" w:rsidR="0005464C" w:rsidRPr="000C3267" w:rsidRDefault="0005464C" w:rsidP="00D44D6F">
            <w:r w:rsidRPr="000C3267">
              <w:t>Pamatojums</w:t>
            </w:r>
          </w:p>
        </w:tc>
        <w:tc>
          <w:tcPr>
            <w:tcW w:w="7385" w:type="dxa"/>
            <w:hideMark/>
          </w:tcPr>
          <w:p w14:paraId="6E76874F" w14:textId="19C02B44" w:rsidR="00A74935" w:rsidRPr="000C3267" w:rsidRDefault="00A74935" w:rsidP="00092570">
            <w:pPr>
              <w:jc w:val="both"/>
              <w:rPr>
                <w:iCs/>
              </w:rPr>
            </w:pPr>
            <w:r w:rsidRPr="000C3267">
              <w:rPr>
                <w:iCs/>
              </w:rPr>
              <w:t>Projekt</w:t>
            </w:r>
            <w:r w:rsidR="00E33A2C" w:rsidRPr="000C3267">
              <w:rPr>
                <w:iCs/>
              </w:rPr>
              <w:t>s</w:t>
            </w:r>
            <w:r w:rsidRPr="000C3267">
              <w:rPr>
                <w:iCs/>
              </w:rPr>
              <w:t xml:space="preserve"> ir izstrādāt</w:t>
            </w:r>
            <w:r w:rsidR="00E33A2C" w:rsidRPr="000C3267">
              <w:rPr>
                <w:iCs/>
              </w:rPr>
              <w:t>s</w:t>
            </w:r>
            <w:r w:rsidRPr="000C3267">
              <w:rPr>
                <w:iCs/>
              </w:rPr>
              <w:t xml:space="preserve"> pēc Veselības ministrijas iniciatīvas.</w:t>
            </w:r>
          </w:p>
          <w:p w14:paraId="73F4CE37" w14:textId="1DB7F666" w:rsidR="001B52D2" w:rsidRPr="000C3267" w:rsidRDefault="009A46B5" w:rsidP="00B73659">
            <w:pPr>
              <w:jc w:val="both"/>
            </w:pPr>
            <w:r w:rsidRPr="000C3267">
              <w:t>Farmācijas likuma 5.</w:t>
            </w:r>
            <w:r w:rsidR="009C09D9" w:rsidRPr="000C3267">
              <w:t> </w:t>
            </w:r>
            <w:r w:rsidRPr="000C3267">
              <w:t>panta 3</w:t>
            </w:r>
            <w:r w:rsidR="00B45678" w:rsidRPr="000C3267">
              <w:t>.</w:t>
            </w:r>
            <w:r w:rsidR="00E33A2C" w:rsidRPr="000C3267">
              <w:t xml:space="preserve"> un</w:t>
            </w:r>
            <w:r w:rsidR="00B45678" w:rsidRPr="000C3267">
              <w:t xml:space="preserve"> 13</w:t>
            </w:r>
            <w:r w:rsidR="00E33A2C" w:rsidRPr="000C3267">
              <w:t>.</w:t>
            </w:r>
            <w:r w:rsidR="00A0788F" w:rsidRPr="000C3267">
              <w:t> </w:t>
            </w:r>
            <w:r w:rsidR="00E33A2C" w:rsidRPr="000C3267">
              <w:t xml:space="preserve">punkts </w:t>
            </w:r>
            <w:r w:rsidR="00B45678" w:rsidRPr="000C3267">
              <w:t>un 52.</w:t>
            </w:r>
            <w:r w:rsidR="00C201FC" w:rsidRPr="000C3267">
              <w:t> </w:t>
            </w:r>
            <w:r w:rsidRPr="000C3267">
              <w:t>pants.</w:t>
            </w:r>
          </w:p>
          <w:p w14:paraId="68786588" w14:textId="77777777" w:rsidR="000544E1" w:rsidRPr="000C3267" w:rsidRDefault="000544E1" w:rsidP="00B73659">
            <w:pPr>
              <w:jc w:val="both"/>
            </w:pPr>
          </w:p>
          <w:p w14:paraId="5FCBCD55" w14:textId="56A3E441" w:rsidR="009E658C" w:rsidRPr="000C3267" w:rsidRDefault="009E658C" w:rsidP="00B73659">
            <w:pPr>
              <w:jc w:val="both"/>
              <w:rPr>
                <w:shd w:val="clear" w:color="auto" w:fill="FFFFFF"/>
              </w:rPr>
            </w:pPr>
            <w:r w:rsidRPr="000C3267">
              <w:t xml:space="preserve">Eiropas Komisijas 2020. gada 8. aprīļa paziņojums “Vadlīnijas par optimālu un racionālu apgādi ar zālēm, lai novērstu zāļu deficītu </w:t>
            </w:r>
            <w:proofErr w:type="spellStart"/>
            <w:r w:rsidRPr="000C3267">
              <w:t>Covid</w:t>
            </w:r>
            <w:proofErr w:type="spellEnd"/>
            <w:r w:rsidRPr="000C3267">
              <w:t> - 19 uzliesmojuma laikā”</w:t>
            </w:r>
            <w:r w:rsidRPr="000C3267">
              <w:rPr>
                <w:shd w:val="clear" w:color="auto" w:fill="FFFFFF"/>
              </w:rPr>
              <w:t xml:space="preserve"> (2020/C 116 I/01)</w:t>
            </w:r>
            <w:r w:rsidR="00E908E8" w:rsidRPr="000C3267">
              <w:rPr>
                <w:color w:val="000000"/>
                <w:shd w:val="clear" w:color="auto" w:fill="FFFFFF"/>
              </w:rPr>
              <w:t>, jo ir jāpaātrina jaunu ražotņu apstiprināšanas vai derīguma termiņa pagarināšanas procedūras, ja vien tiek nodrošināta kvalitāte.</w:t>
            </w:r>
          </w:p>
          <w:p w14:paraId="0F14AF2F" w14:textId="77777777" w:rsidR="00D5663A" w:rsidRPr="000C3267" w:rsidRDefault="00D5663A" w:rsidP="00B73659">
            <w:pPr>
              <w:jc w:val="both"/>
              <w:rPr>
                <w:iCs/>
                <w:shd w:val="clear" w:color="auto" w:fill="FFFFFF"/>
              </w:rPr>
            </w:pPr>
          </w:p>
          <w:p w14:paraId="228913E6" w14:textId="69B26ECE" w:rsidR="003914C4" w:rsidRPr="000C3267" w:rsidRDefault="003914C4" w:rsidP="00B73659">
            <w:pPr>
              <w:jc w:val="both"/>
              <w:rPr>
                <w:iCs/>
                <w:shd w:val="clear" w:color="auto" w:fill="FFFFFF"/>
              </w:rPr>
            </w:pPr>
            <w:r w:rsidRPr="000C3267">
              <w:rPr>
                <w:iCs/>
                <w:shd w:val="clear" w:color="auto" w:fill="FFFFFF"/>
              </w:rPr>
              <w:t>Eiropas Komisijas, Eiropas Zāļu Aģentūras un Eiropas zāļu regulatīvā tīkla izstrādātais jautājumu un atbilžu (Q&amp;A) dokuments, lai sniegtu norādījumus ieinteresētajām personām par tiesiskā regulējuma pielāgošanu, lai risinātu problēmas, kas rodas COVID</w:t>
            </w:r>
            <w:r w:rsidR="00885584" w:rsidRPr="000C3267">
              <w:rPr>
                <w:iCs/>
                <w:shd w:val="clear" w:color="auto" w:fill="FFFFFF"/>
              </w:rPr>
              <w:t> </w:t>
            </w:r>
            <w:r w:rsidRPr="000C3267">
              <w:rPr>
                <w:iCs/>
                <w:shd w:val="clear" w:color="auto" w:fill="FFFFFF"/>
              </w:rPr>
              <w:t>-</w:t>
            </w:r>
            <w:r w:rsidR="00885584" w:rsidRPr="000C3267">
              <w:rPr>
                <w:iCs/>
                <w:shd w:val="clear" w:color="auto" w:fill="FFFFFF"/>
              </w:rPr>
              <w:t> </w:t>
            </w:r>
            <w:r w:rsidRPr="000C3267">
              <w:rPr>
                <w:iCs/>
                <w:shd w:val="clear" w:color="auto" w:fill="FFFFFF"/>
              </w:rPr>
              <w:t>19 pandēmijas rezultātā, īpašu uzmanību pievēršot svarīgiem zāļu lietošanas līdzekļiem COVID</w:t>
            </w:r>
            <w:r w:rsidR="00885584" w:rsidRPr="000C3267">
              <w:rPr>
                <w:iCs/>
                <w:shd w:val="clear" w:color="auto" w:fill="FFFFFF"/>
              </w:rPr>
              <w:t> </w:t>
            </w:r>
            <w:r w:rsidRPr="000C3267">
              <w:rPr>
                <w:iCs/>
                <w:shd w:val="clear" w:color="auto" w:fill="FFFFFF"/>
              </w:rPr>
              <w:t>-</w:t>
            </w:r>
            <w:r w:rsidR="00885584" w:rsidRPr="000C3267">
              <w:rPr>
                <w:iCs/>
                <w:shd w:val="clear" w:color="auto" w:fill="FFFFFF"/>
              </w:rPr>
              <w:t> </w:t>
            </w:r>
            <w:r w:rsidRPr="000C3267">
              <w:rPr>
                <w:iCs/>
                <w:shd w:val="clear" w:color="auto" w:fill="FFFFFF"/>
              </w:rPr>
              <w:t>19 pacientiem</w:t>
            </w:r>
          </w:p>
          <w:p w14:paraId="3BF0353B" w14:textId="7153AA0A" w:rsidR="00D5663A" w:rsidRPr="000C3267" w:rsidRDefault="00D5663A" w:rsidP="00B73659">
            <w:pPr>
              <w:jc w:val="both"/>
            </w:pPr>
            <w:r w:rsidRPr="000C3267">
              <w:t xml:space="preserve"> (</w:t>
            </w:r>
            <w:r w:rsidR="003914C4" w:rsidRPr="000C3267">
              <w:t>https://www.ema.europa.eu/en/news/guidance-regulatory-requirements-context-covid-19-pandemic</w:t>
            </w:r>
            <w:r w:rsidRPr="000C3267">
              <w:rPr>
                <w:rStyle w:val="Hipersaite"/>
                <w:color w:val="auto"/>
              </w:rPr>
              <w:t>)</w:t>
            </w:r>
          </w:p>
        </w:tc>
      </w:tr>
      <w:tr w:rsidR="0005464C" w:rsidRPr="000C3267" w14:paraId="37115413" w14:textId="77777777" w:rsidTr="000544E1">
        <w:trPr>
          <w:trHeight w:val="20"/>
        </w:trPr>
        <w:tc>
          <w:tcPr>
            <w:tcW w:w="421" w:type="dxa"/>
          </w:tcPr>
          <w:p w14:paraId="1CE7CE5F" w14:textId="77777777" w:rsidR="0005464C" w:rsidRPr="000C3267" w:rsidRDefault="0005464C" w:rsidP="00D44D6F">
            <w:pPr>
              <w:jc w:val="center"/>
            </w:pPr>
            <w:r w:rsidRPr="000C3267">
              <w:t>2.</w:t>
            </w:r>
          </w:p>
        </w:tc>
        <w:tc>
          <w:tcPr>
            <w:tcW w:w="1275" w:type="dxa"/>
          </w:tcPr>
          <w:p w14:paraId="03E4C8C4" w14:textId="77777777" w:rsidR="0005464C" w:rsidRPr="000C3267" w:rsidRDefault="0005464C" w:rsidP="00D44D6F">
            <w:r w:rsidRPr="000C3267">
              <w:t xml:space="preserve">Pašreizējā situācija un problēmas, kuru risināšanai tiesību akta projekts izstrādāts, tiesiskā regulējuma </w:t>
            </w:r>
            <w:r w:rsidRPr="000C3267">
              <w:lastRenderedPageBreak/>
              <w:t>mērķis un būtība</w:t>
            </w:r>
          </w:p>
        </w:tc>
        <w:tc>
          <w:tcPr>
            <w:tcW w:w="7385" w:type="dxa"/>
          </w:tcPr>
          <w:p w14:paraId="7C591688" w14:textId="254AD444" w:rsidR="00447C66" w:rsidRPr="000C3267" w:rsidRDefault="003914C4" w:rsidP="00B12D12">
            <w:pPr>
              <w:jc w:val="both"/>
            </w:pPr>
            <w:r w:rsidRPr="000C3267">
              <w:lastRenderedPageBreak/>
              <w:t xml:space="preserve">Saistībā ar </w:t>
            </w:r>
            <w:proofErr w:type="spellStart"/>
            <w:r w:rsidRPr="000C3267">
              <w:t>Covid</w:t>
            </w:r>
            <w:proofErr w:type="spellEnd"/>
            <w:r w:rsidR="00885584" w:rsidRPr="000C3267">
              <w:t> </w:t>
            </w:r>
            <w:r w:rsidRPr="000C3267">
              <w:t>-</w:t>
            </w:r>
            <w:r w:rsidR="00885584" w:rsidRPr="000C3267">
              <w:t> </w:t>
            </w:r>
            <w:r w:rsidRPr="000C3267">
              <w:t>19 pandēmiju</w:t>
            </w:r>
            <w:r w:rsidR="00B12D12" w:rsidRPr="000C3267">
              <w:t xml:space="preserve"> tā kā Eiropas Savienības dalībvalstīs, gan citās valstīs ir noteikti cilvēku pārvietošanās un pulcēšanas ierobežojumi </w:t>
            </w:r>
            <w:r w:rsidRPr="000C3267">
              <w:t xml:space="preserve">EK 2020. gada 8. aprīļa </w:t>
            </w:r>
            <w:r w:rsidR="005566C6" w:rsidRPr="000C3267">
              <w:t xml:space="preserve">savā </w:t>
            </w:r>
            <w:r w:rsidRPr="000C3267">
              <w:t xml:space="preserve">paziņojumā “Vadlīnijas par optimālu un racionālu apgādi ar zālēm, lai novērstu zāļu deficītu </w:t>
            </w:r>
            <w:proofErr w:type="spellStart"/>
            <w:r w:rsidRPr="000C3267">
              <w:t>Covid</w:t>
            </w:r>
            <w:proofErr w:type="spellEnd"/>
            <w:r w:rsidR="00885584" w:rsidRPr="000C3267">
              <w:t> </w:t>
            </w:r>
            <w:r w:rsidRPr="000C3267">
              <w:t>-</w:t>
            </w:r>
            <w:r w:rsidR="00885584" w:rsidRPr="000C3267">
              <w:t> </w:t>
            </w:r>
            <w:r w:rsidRPr="000C3267">
              <w:t xml:space="preserve">19 uzliesmojuma laikā” </w:t>
            </w:r>
            <w:r w:rsidR="005566C6" w:rsidRPr="000C3267">
              <w:t>ir uzsvērusi</w:t>
            </w:r>
            <w:r w:rsidRPr="000C3267">
              <w:t>, ka slimības uzliesmojuma bezprecedenta rakstura dēļ dalībvalstīm jāīsteno ārkārtas pasākumi, lai nodrošinātu zāļu pieejamību</w:t>
            </w:r>
            <w:r w:rsidR="00B12D12" w:rsidRPr="000C3267">
              <w:t xml:space="preserve">. Šai sakarā </w:t>
            </w:r>
            <w:r w:rsidRPr="000C3267">
              <w:rPr>
                <w:iCs/>
                <w:shd w:val="clear" w:color="auto" w:fill="FFFFFF"/>
              </w:rPr>
              <w:t>EK</w:t>
            </w:r>
            <w:r w:rsidRPr="000C3267">
              <w:t xml:space="preserve">, Eiropas Zāļu aģentūras un </w:t>
            </w:r>
            <w:r w:rsidRPr="000C3267">
              <w:rPr>
                <w:iCs/>
                <w:shd w:val="clear" w:color="auto" w:fill="FFFFFF"/>
              </w:rPr>
              <w:t xml:space="preserve">Eiropas zāļu regulatīvā tīkla </w:t>
            </w:r>
            <w:r w:rsidR="002674D2" w:rsidRPr="000C3267">
              <w:t>aktualizētajā</w:t>
            </w:r>
            <w:r w:rsidRPr="000C3267">
              <w:t xml:space="preserve"> jautājumu un atbilžu dokumentā par zāļu reglamentējuma jautājumiem COVID - 19 pandēmijas laikā ir uzsvērts, ka valstīm jāveido elastīga pieeja, novēršot zāļu pieejamības problēmas un </w:t>
            </w:r>
            <w:r w:rsidR="005566C6" w:rsidRPr="000C3267">
              <w:t>jānodrošina</w:t>
            </w:r>
            <w:r w:rsidRPr="000C3267">
              <w:t xml:space="preserve"> zāļu piegāžu nepārtrauktību </w:t>
            </w:r>
            <w:proofErr w:type="spellStart"/>
            <w:r w:rsidRPr="000C3267">
              <w:t>Covid</w:t>
            </w:r>
            <w:proofErr w:type="spellEnd"/>
            <w:r w:rsidR="00885584" w:rsidRPr="000C3267">
              <w:t> </w:t>
            </w:r>
            <w:r w:rsidRPr="000C3267">
              <w:t>-</w:t>
            </w:r>
            <w:r w:rsidR="00885584" w:rsidRPr="000C3267">
              <w:t> </w:t>
            </w:r>
            <w:r w:rsidRPr="000C3267">
              <w:t>19 pandēmijas laikā.</w:t>
            </w:r>
            <w:r w:rsidR="00B12D12" w:rsidRPr="000C3267">
              <w:t xml:space="preserve"> </w:t>
            </w:r>
            <w:r w:rsidRPr="000C3267">
              <w:t>COVID</w:t>
            </w:r>
            <w:r w:rsidR="00885584" w:rsidRPr="000C3267">
              <w:t> </w:t>
            </w:r>
            <w:r w:rsidRPr="000C3267">
              <w:t>-</w:t>
            </w:r>
            <w:r w:rsidR="00885584" w:rsidRPr="000C3267">
              <w:t> </w:t>
            </w:r>
            <w:r w:rsidRPr="000C3267">
              <w:t>19 pandēmija</w:t>
            </w:r>
            <w:r w:rsidR="00B12D12" w:rsidRPr="000C3267">
              <w:t>s</w:t>
            </w:r>
            <w:r w:rsidRPr="000C3267">
              <w:t xml:space="preserve"> </w:t>
            </w:r>
            <w:r w:rsidR="00B12D12" w:rsidRPr="000C3267">
              <w:lastRenderedPageBreak/>
              <w:t>izraisītie</w:t>
            </w:r>
            <w:r w:rsidRPr="000C3267">
              <w:t xml:space="preserve"> valstu un starptautisk</w:t>
            </w:r>
            <w:r w:rsidR="00B12D12" w:rsidRPr="000C3267">
              <w:t>ie</w:t>
            </w:r>
            <w:r w:rsidRPr="000C3267">
              <w:t xml:space="preserve"> ierobežojum</w:t>
            </w:r>
            <w:r w:rsidR="00B12D12" w:rsidRPr="000C3267">
              <w:t>i</w:t>
            </w:r>
            <w:r w:rsidR="005566C6" w:rsidRPr="000C3267">
              <w:t xml:space="preserve"> </w:t>
            </w:r>
            <w:r w:rsidRPr="000C3267">
              <w:t>var ietekmē</w:t>
            </w:r>
            <w:r w:rsidR="00B12D12" w:rsidRPr="000C3267">
              <w:t xml:space="preserve">t, kā arī </w:t>
            </w:r>
            <w:r w:rsidRPr="000C3267">
              <w:t xml:space="preserve">kavēt </w:t>
            </w:r>
            <w:r w:rsidR="00B12D12" w:rsidRPr="000C3267">
              <w:t xml:space="preserve">arī </w:t>
            </w:r>
            <w:r w:rsidRPr="000C3267">
              <w:t xml:space="preserve">konkrētu </w:t>
            </w:r>
            <w:r w:rsidR="005566C6" w:rsidRPr="000C3267">
              <w:t>ražotāju</w:t>
            </w:r>
            <w:r w:rsidRPr="000C3267">
              <w:t xml:space="preserve"> pārbaužu veikšanu uz vietas. </w:t>
            </w:r>
            <w:r w:rsidR="005566C6" w:rsidRPr="000C3267">
              <w:t>Skatoties uz p</w:t>
            </w:r>
            <w:r w:rsidRPr="000C3267">
              <w:t>ašreizēj</w:t>
            </w:r>
            <w:r w:rsidR="005566C6" w:rsidRPr="000C3267">
              <w:t xml:space="preserve">o </w:t>
            </w:r>
            <w:r w:rsidR="00B12D12" w:rsidRPr="000C3267">
              <w:t>situācij</w:t>
            </w:r>
            <w:r w:rsidR="002674D2" w:rsidRPr="000C3267">
              <w:t>u</w:t>
            </w:r>
            <w:r w:rsidR="00B12D12" w:rsidRPr="000C3267">
              <w:t xml:space="preserve">, </w:t>
            </w:r>
            <w:r w:rsidR="00C54B92" w:rsidRPr="000C3267">
              <w:t xml:space="preserve">jāparedz instrumenti, </w:t>
            </w:r>
            <w:r w:rsidR="00B12D12" w:rsidRPr="000C3267">
              <w:t xml:space="preserve">kas </w:t>
            </w:r>
            <w:r w:rsidR="00C54B92" w:rsidRPr="000C3267">
              <w:t>nodrošinātu labu ražošanas sertifikātu un zāļu ražošanas/ importēšanas licenču pieejamību</w:t>
            </w:r>
            <w:r w:rsidR="00B12D12" w:rsidRPr="000C3267">
              <w:t xml:space="preserve">. </w:t>
            </w:r>
            <w:r w:rsidRPr="000C3267">
              <w:t xml:space="preserve">Ņemot vērā </w:t>
            </w:r>
            <w:r w:rsidR="002674D2" w:rsidRPr="000C3267">
              <w:rPr>
                <w:iCs/>
                <w:shd w:val="clear" w:color="auto" w:fill="FFFFFF"/>
              </w:rPr>
              <w:t>EK</w:t>
            </w:r>
            <w:r w:rsidR="002674D2" w:rsidRPr="000C3267">
              <w:t xml:space="preserve">, Eiropas Zāļu aģentūras un </w:t>
            </w:r>
            <w:r w:rsidR="002674D2" w:rsidRPr="000C3267">
              <w:rPr>
                <w:iCs/>
                <w:shd w:val="clear" w:color="auto" w:fill="FFFFFF"/>
              </w:rPr>
              <w:t xml:space="preserve">Eiropas zāļu regulatīvā tīkla aģentūru vadītāju </w:t>
            </w:r>
            <w:r w:rsidR="002674D2" w:rsidRPr="000C3267">
              <w:t>aktualizētajā jautājumu un atbilžu dokumentā par zāļu reglamentējuma jautājumiem COVID - 19 pandēmijas laikā minēto</w:t>
            </w:r>
            <w:r w:rsidR="00B12D12" w:rsidRPr="000C3267">
              <w:t>:</w:t>
            </w:r>
          </w:p>
          <w:p w14:paraId="6111263A" w14:textId="0B93DBE5" w:rsidR="007200F0" w:rsidRPr="000C3267" w:rsidRDefault="00447C66" w:rsidP="00447C66">
            <w:pPr>
              <w:jc w:val="both"/>
              <w:rPr>
                <w:b/>
                <w:bCs/>
                <w:i/>
                <w:iCs/>
              </w:rPr>
            </w:pPr>
            <w:r w:rsidRPr="000C3267">
              <w:rPr>
                <w:b/>
                <w:bCs/>
                <w:i/>
                <w:iCs/>
              </w:rPr>
              <w:t>1. </w:t>
            </w:r>
            <w:r w:rsidR="002674D2" w:rsidRPr="000C3267">
              <w:rPr>
                <w:b/>
                <w:bCs/>
                <w:i/>
                <w:iCs/>
              </w:rPr>
              <w:t>Jāatļauj</w:t>
            </w:r>
            <w:r w:rsidR="007200F0" w:rsidRPr="000C3267">
              <w:rPr>
                <w:b/>
                <w:bCs/>
                <w:i/>
                <w:iCs/>
              </w:rPr>
              <w:t xml:space="preserve"> līdz 2021.</w:t>
            </w:r>
            <w:r w:rsidR="008F7F7E" w:rsidRPr="000C3267">
              <w:rPr>
                <w:b/>
                <w:bCs/>
                <w:i/>
                <w:iCs/>
              </w:rPr>
              <w:t> </w:t>
            </w:r>
            <w:r w:rsidR="007200F0" w:rsidRPr="000C3267">
              <w:rPr>
                <w:b/>
                <w:bCs/>
                <w:i/>
                <w:iCs/>
              </w:rPr>
              <w:t>gada 31.</w:t>
            </w:r>
            <w:r w:rsidR="008F7F7E" w:rsidRPr="000C3267">
              <w:rPr>
                <w:b/>
                <w:bCs/>
                <w:i/>
                <w:iCs/>
              </w:rPr>
              <w:t> </w:t>
            </w:r>
            <w:r w:rsidR="007200F0" w:rsidRPr="000C3267">
              <w:rPr>
                <w:b/>
                <w:bCs/>
                <w:i/>
                <w:iCs/>
              </w:rPr>
              <w:t xml:space="preserve">decembrim attālinātās zāļu un aktīvo vielu </w:t>
            </w:r>
            <w:r w:rsidR="00E159B7" w:rsidRPr="000C3267">
              <w:rPr>
                <w:b/>
                <w:bCs/>
                <w:i/>
                <w:iCs/>
              </w:rPr>
              <w:t>ražotāju un importētāju</w:t>
            </w:r>
            <w:r w:rsidR="007200F0" w:rsidRPr="000C3267">
              <w:rPr>
                <w:b/>
                <w:bCs/>
                <w:i/>
                <w:iCs/>
              </w:rPr>
              <w:t xml:space="preserve"> </w:t>
            </w:r>
            <w:r w:rsidR="00EF4237" w:rsidRPr="000C3267">
              <w:rPr>
                <w:b/>
                <w:bCs/>
                <w:i/>
                <w:iCs/>
              </w:rPr>
              <w:t xml:space="preserve">labas ražošanas prakses </w:t>
            </w:r>
            <w:r w:rsidR="007200F0" w:rsidRPr="000C3267">
              <w:rPr>
                <w:b/>
                <w:bCs/>
                <w:i/>
                <w:iCs/>
              </w:rPr>
              <w:t>pārbaudes,</w:t>
            </w:r>
            <w:r w:rsidR="00B12D12" w:rsidRPr="000C3267">
              <w:rPr>
                <w:b/>
                <w:bCs/>
                <w:i/>
                <w:iCs/>
              </w:rPr>
              <w:t xml:space="preserve"> </w:t>
            </w:r>
            <w:r w:rsidR="002674D2" w:rsidRPr="000C3267">
              <w:rPr>
                <w:b/>
                <w:bCs/>
                <w:i/>
                <w:iCs/>
              </w:rPr>
              <w:t>kā arī iespēju</w:t>
            </w:r>
            <w:r w:rsidR="00B12D12" w:rsidRPr="000C3267">
              <w:rPr>
                <w:b/>
                <w:bCs/>
                <w:i/>
                <w:iCs/>
              </w:rPr>
              <w:t xml:space="preserve"> </w:t>
            </w:r>
            <w:r w:rsidR="00EF4237" w:rsidRPr="000C3267">
              <w:rPr>
                <w:b/>
                <w:bCs/>
                <w:i/>
                <w:iCs/>
              </w:rPr>
              <w:t xml:space="preserve">atlikt pārbaudes </w:t>
            </w:r>
            <w:r w:rsidR="007A02CE" w:rsidRPr="000C3267">
              <w:rPr>
                <w:b/>
                <w:bCs/>
                <w:i/>
                <w:iCs/>
              </w:rPr>
              <w:t>un</w:t>
            </w:r>
            <w:r w:rsidR="00E159B7" w:rsidRPr="000C3267">
              <w:rPr>
                <w:b/>
                <w:bCs/>
                <w:i/>
                <w:iCs/>
              </w:rPr>
              <w:t xml:space="preserve"> </w:t>
            </w:r>
            <w:r w:rsidR="00F95E4B" w:rsidRPr="000C3267">
              <w:rPr>
                <w:b/>
                <w:bCs/>
                <w:i/>
                <w:iCs/>
              </w:rPr>
              <w:t>pagarinātu</w:t>
            </w:r>
            <w:r w:rsidR="007200F0" w:rsidRPr="000C3267">
              <w:rPr>
                <w:b/>
                <w:bCs/>
                <w:i/>
                <w:iCs/>
              </w:rPr>
              <w:t xml:space="preserve"> </w:t>
            </w:r>
            <w:r w:rsidR="00B12D12" w:rsidRPr="000C3267">
              <w:rPr>
                <w:b/>
                <w:bCs/>
                <w:i/>
                <w:iCs/>
              </w:rPr>
              <w:t xml:space="preserve">esošo </w:t>
            </w:r>
            <w:r w:rsidR="00AB6B70">
              <w:rPr>
                <w:b/>
                <w:bCs/>
                <w:i/>
                <w:iCs/>
              </w:rPr>
              <w:t>labas ražošanas prakses</w:t>
            </w:r>
            <w:r w:rsidR="00B12D12" w:rsidRPr="000C3267">
              <w:rPr>
                <w:b/>
                <w:bCs/>
                <w:i/>
                <w:iCs/>
              </w:rPr>
              <w:t xml:space="preserve"> </w:t>
            </w:r>
            <w:r w:rsidR="007200F0" w:rsidRPr="000C3267">
              <w:rPr>
                <w:b/>
                <w:bCs/>
                <w:i/>
                <w:iCs/>
              </w:rPr>
              <w:t>sertifikātu derīgum</w:t>
            </w:r>
            <w:r w:rsidR="00151501" w:rsidRPr="000C3267">
              <w:rPr>
                <w:b/>
                <w:bCs/>
                <w:i/>
                <w:iCs/>
              </w:rPr>
              <w:t>u</w:t>
            </w:r>
            <w:r w:rsidR="007200F0" w:rsidRPr="000C3267">
              <w:rPr>
                <w:b/>
                <w:bCs/>
                <w:i/>
                <w:iCs/>
              </w:rPr>
              <w:t>, lai novērstu traucējumus zāļu pieejamībai</w:t>
            </w:r>
            <w:r w:rsidR="00C524F1" w:rsidRPr="000C3267">
              <w:rPr>
                <w:b/>
                <w:bCs/>
                <w:i/>
                <w:iCs/>
              </w:rPr>
              <w:t xml:space="preserve"> un neaizkavētu zāļu reģistrācijas procesus</w:t>
            </w:r>
            <w:r w:rsidR="007200F0" w:rsidRPr="000C3267">
              <w:rPr>
                <w:b/>
                <w:bCs/>
                <w:i/>
                <w:iCs/>
              </w:rPr>
              <w:t>.</w:t>
            </w:r>
          </w:p>
          <w:p w14:paraId="25B237A3" w14:textId="0BA63132" w:rsidR="00900B03" w:rsidRPr="000C3267" w:rsidRDefault="003914C4" w:rsidP="00B10021">
            <w:pPr>
              <w:jc w:val="both"/>
            </w:pPr>
            <w:r w:rsidRPr="000C3267">
              <w:t>Pašreizējais regulējums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(turpmāk </w:t>
            </w:r>
            <w:r w:rsidR="00885584" w:rsidRPr="000C3267">
              <w:t>-</w:t>
            </w:r>
            <w:r w:rsidRPr="000C3267">
              <w:t xml:space="preserve"> MK noteikumi 304) </w:t>
            </w:r>
            <w:r w:rsidR="005566C6" w:rsidRPr="000C3267">
              <w:t>V.</w:t>
            </w:r>
            <w:r w:rsidR="000466A1" w:rsidRPr="000C3267">
              <w:t> </w:t>
            </w:r>
            <w:r w:rsidR="005566C6" w:rsidRPr="000C3267">
              <w:t xml:space="preserve">nodaļā </w:t>
            </w:r>
            <w:r w:rsidRPr="000C3267">
              <w:t xml:space="preserve">nenosaka labas ražošanas prakse pārbaužu </w:t>
            </w:r>
            <w:r w:rsidR="00B12D12" w:rsidRPr="000C3267">
              <w:t xml:space="preserve">atlikšanu vai pārbaužu </w:t>
            </w:r>
            <w:r w:rsidRPr="000C3267">
              <w:t>veikšanu</w:t>
            </w:r>
            <w:r w:rsidR="00B12D12" w:rsidRPr="000C3267">
              <w:t xml:space="preserve"> attālināti. </w:t>
            </w:r>
            <w:r w:rsidR="009E658C" w:rsidRPr="000C3267">
              <w:t>Ministru kabineta noteikum</w:t>
            </w:r>
            <w:r w:rsidR="00B12D12" w:rsidRPr="000C3267">
              <w:t>u</w:t>
            </w:r>
            <w:r w:rsidR="009E658C" w:rsidRPr="000C3267">
              <w:t xml:space="preserve"> Nr. 304 </w:t>
            </w:r>
            <w:r w:rsidR="00B10021" w:rsidRPr="000C3267">
              <w:t>32.1.</w:t>
            </w:r>
            <w:r w:rsidR="0048365C" w:rsidRPr="000C3267">
              <w:t> </w:t>
            </w:r>
            <w:r w:rsidR="00B10021" w:rsidRPr="000C3267">
              <w:t>apakšpunkt</w:t>
            </w:r>
            <w:r w:rsidRPr="000C3267">
              <w:t>a norma</w:t>
            </w:r>
            <w:r w:rsidR="00B10021" w:rsidRPr="000C3267">
              <w:t xml:space="preserve"> </w:t>
            </w:r>
            <w:r w:rsidRPr="000C3267">
              <w:t xml:space="preserve">nosaka </w:t>
            </w:r>
            <w:r w:rsidR="00B10021" w:rsidRPr="000C3267">
              <w:t>Zāļu valsts aģentūra</w:t>
            </w:r>
            <w:r w:rsidR="00B12D12" w:rsidRPr="000C3267">
              <w:t>i pienākumu</w:t>
            </w:r>
            <w:r w:rsidR="00B10021" w:rsidRPr="000C3267">
              <w:t xml:space="preserve"> </w:t>
            </w:r>
            <w:r w:rsidR="005566C6" w:rsidRPr="000C3267">
              <w:rPr>
                <w:shd w:val="clear" w:color="auto" w:fill="FFFFFF"/>
              </w:rPr>
              <w:t>labas ražošanas prakses</w:t>
            </w:r>
            <w:r w:rsidR="00EF4237" w:rsidRPr="000C3267">
              <w:rPr>
                <w:shd w:val="clear" w:color="auto" w:fill="FFFFFF"/>
              </w:rPr>
              <w:t xml:space="preserve"> </w:t>
            </w:r>
            <w:r w:rsidR="00B10021" w:rsidRPr="000C3267">
              <w:rPr>
                <w:shd w:val="clear" w:color="auto" w:fill="FFFFFF"/>
              </w:rPr>
              <w:t>pārbaudes</w:t>
            </w:r>
            <w:r w:rsidR="00EF4237" w:rsidRPr="000C3267">
              <w:rPr>
                <w:shd w:val="clear" w:color="auto" w:fill="FFFFFF"/>
              </w:rPr>
              <w:t xml:space="preserve"> </w:t>
            </w:r>
            <w:r w:rsidR="00B10021" w:rsidRPr="000C3267">
              <w:rPr>
                <w:shd w:val="clear" w:color="auto" w:fill="FFFFFF"/>
              </w:rPr>
              <w:t xml:space="preserve">(inspicēšanu) </w:t>
            </w:r>
            <w:r w:rsidR="00B12D12" w:rsidRPr="000C3267">
              <w:rPr>
                <w:shd w:val="clear" w:color="auto" w:fill="FFFFFF"/>
              </w:rPr>
              <w:t xml:space="preserve">veikt </w:t>
            </w:r>
            <w:r w:rsidR="00B10021" w:rsidRPr="000C3267">
              <w:rPr>
                <w:shd w:val="clear" w:color="auto" w:fill="FFFFFF"/>
              </w:rPr>
              <w:t>ne retāk kā reizi trijos gados zāļu ražotājiem un ne retāk kā reizi piecos gados aktīvo vielu ražotājiem.</w:t>
            </w:r>
          </w:p>
          <w:p w14:paraId="680D5145" w14:textId="4267A068" w:rsidR="0026018E" w:rsidRPr="000C3267" w:rsidRDefault="002674D2" w:rsidP="00B10021">
            <w:pPr>
              <w:jc w:val="both"/>
            </w:pPr>
            <w:r w:rsidRPr="000C3267">
              <w:t xml:space="preserve">Savukārt </w:t>
            </w:r>
            <w:r w:rsidRPr="000C3267">
              <w:rPr>
                <w:iCs/>
                <w:shd w:val="clear" w:color="auto" w:fill="FFFFFF"/>
              </w:rPr>
              <w:t>EK</w:t>
            </w:r>
            <w:r w:rsidRPr="000C3267">
              <w:t xml:space="preserve">, Eiropas Zāļu aģentūra un </w:t>
            </w:r>
            <w:r w:rsidRPr="000C3267">
              <w:rPr>
                <w:iCs/>
                <w:shd w:val="clear" w:color="auto" w:fill="FFFFFF"/>
              </w:rPr>
              <w:t xml:space="preserve">Eiropas zāļu regulatīvā tīkla aģentūru vadītāju </w:t>
            </w:r>
            <w:r w:rsidRPr="000C3267">
              <w:t>aktualizētajā jautājumu un atbilžu dokumentā par zāļu reglamentējuma jautājumiem COVID - 19 pandēmijas laikā tiek aicināts</w:t>
            </w:r>
            <w:r w:rsidR="00B10021" w:rsidRPr="000C3267">
              <w:t xml:space="preserve"> </w:t>
            </w:r>
            <w:r w:rsidR="00E159B7" w:rsidRPr="000C3267">
              <w:t xml:space="preserve">pārbaužu veikšanā </w:t>
            </w:r>
            <w:r w:rsidR="00447C66" w:rsidRPr="000C3267">
              <w:t>piemērot</w:t>
            </w:r>
            <w:r w:rsidR="00E159B7" w:rsidRPr="000C3267">
              <w:t xml:space="preserve"> atšķirīg</w:t>
            </w:r>
            <w:r w:rsidR="00447C66" w:rsidRPr="000C3267">
              <w:t>u</w:t>
            </w:r>
            <w:r w:rsidR="00E159B7" w:rsidRPr="000C3267">
              <w:t xml:space="preserve"> pieej</w:t>
            </w:r>
            <w:r w:rsidR="00447C66" w:rsidRPr="000C3267">
              <w:t xml:space="preserve">u </w:t>
            </w:r>
            <w:r w:rsidR="007200F0" w:rsidRPr="000C3267">
              <w:t xml:space="preserve">objektiem, kas atrodas Eiropas Ekonomikas zonas </w:t>
            </w:r>
            <w:r w:rsidR="0048365C" w:rsidRPr="000C3267">
              <w:t xml:space="preserve">(EEZ) </w:t>
            </w:r>
            <w:r w:rsidR="007200F0" w:rsidRPr="000C3267">
              <w:t xml:space="preserve">valstīs, un objektiem, kas atrodas ārpus </w:t>
            </w:r>
            <w:r w:rsidR="0048365C" w:rsidRPr="000C3267">
              <w:t>EEZ</w:t>
            </w:r>
            <w:r w:rsidR="007200F0" w:rsidRPr="000C3267">
              <w:t xml:space="preserve"> valstīm, </w:t>
            </w:r>
            <w:r w:rsidR="00447C66" w:rsidRPr="000C3267">
              <w:t xml:space="preserve">un </w:t>
            </w:r>
            <w:r w:rsidR="007200F0" w:rsidRPr="000C3267">
              <w:t xml:space="preserve">kuros </w:t>
            </w:r>
            <w:r w:rsidR="0048365C" w:rsidRPr="000C3267">
              <w:t>EEZ</w:t>
            </w:r>
            <w:r w:rsidR="007200F0" w:rsidRPr="000C3267">
              <w:t xml:space="preserve"> valsts kompetentās iestādes pārbaudes nav izdarījušas</w:t>
            </w:r>
            <w:r w:rsidR="0048365C" w:rsidRPr="000C3267">
              <w:t xml:space="preserve">, tai skaitā automātiski pagarināt zāļu ražotājiem izsniegto </w:t>
            </w:r>
            <w:r w:rsidRPr="000C3267">
              <w:t>labas ražošanas prakses</w:t>
            </w:r>
            <w:r w:rsidR="0048365C" w:rsidRPr="000C3267">
              <w:t xml:space="preserve"> sertifikāta derīgumu līdz 2021. gada 31. decembrim, neprasot no attiecīgā sertifikāta turētāja puses nekādas darbības, jo </w:t>
            </w:r>
            <w:r w:rsidRPr="000C3267">
              <w:t xml:space="preserve">attiecīgās </w:t>
            </w:r>
            <w:r w:rsidR="0048365C" w:rsidRPr="000C3267">
              <w:t>kontrole</w:t>
            </w:r>
            <w:r w:rsidRPr="000C3267">
              <w:t>s</w:t>
            </w:r>
            <w:r w:rsidR="0048365C" w:rsidRPr="000C3267">
              <w:t xml:space="preserve"> uz vietas </w:t>
            </w:r>
            <w:r w:rsidRPr="000C3267">
              <w:t xml:space="preserve">var būt </w:t>
            </w:r>
            <w:r w:rsidR="0048365C" w:rsidRPr="000C3267">
              <w:t>apgrūtināta</w:t>
            </w:r>
            <w:r w:rsidRPr="000C3267">
              <w:t>s</w:t>
            </w:r>
            <w:r w:rsidR="0048365C" w:rsidRPr="000C3267">
              <w:t xml:space="preserve"> valstu noteikto ierobežojumu dēļ</w:t>
            </w:r>
            <w:r w:rsidR="00B10021" w:rsidRPr="000C3267">
              <w:t>:</w:t>
            </w:r>
          </w:p>
          <w:p w14:paraId="0513ED03" w14:textId="174FEBC1" w:rsidR="00FA71BD" w:rsidRPr="000C3267" w:rsidRDefault="00845C58" w:rsidP="00447C66">
            <w:pPr>
              <w:pStyle w:val="Bezatstarpm"/>
              <w:ind w:firstLine="391"/>
              <w:jc w:val="both"/>
              <w:rPr>
                <w:rFonts w:ascii="Times New Roman" w:hAnsi="Times New Roman" w:cs="Times New Roman"/>
                <w:b/>
                <w:bCs/>
                <w:i/>
                <w:iCs/>
                <w:sz w:val="24"/>
                <w:szCs w:val="24"/>
              </w:rPr>
            </w:pPr>
            <w:r w:rsidRPr="000C3267">
              <w:rPr>
                <w:rFonts w:ascii="Times New Roman" w:hAnsi="Times New Roman" w:cs="Times New Roman"/>
                <w:sz w:val="24"/>
                <w:szCs w:val="24"/>
              </w:rPr>
              <w:t>a)</w:t>
            </w:r>
            <w:r w:rsidR="008F7F7E" w:rsidRPr="000C3267">
              <w:rPr>
                <w:rFonts w:ascii="Times New Roman" w:hAnsi="Times New Roman" w:cs="Times New Roman"/>
                <w:sz w:val="24"/>
                <w:szCs w:val="24"/>
              </w:rPr>
              <w:t> </w:t>
            </w:r>
            <w:r w:rsidR="00FA71BD" w:rsidRPr="000C3267">
              <w:rPr>
                <w:rFonts w:ascii="Times New Roman" w:hAnsi="Times New Roman" w:cs="Times New Roman"/>
                <w:i/>
                <w:iCs/>
                <w:sz w:val="24"/>
                <w:szCs w:val="24"/>
              </w:rPr>
              <w:t xml:space="preserve">Ražotnēm, kuras atrodas </w:t>
            </w:r>
            <w:r w:rsidR="0048365C" w:rsidRPr="000C3267">
              <w:rPr>
                <w:rFonts w:ascii="Times New Roman" w:hAnsi="Times New Roman" w:cs="Times New Roman"/>
                <w:i/>
                <w:iCs/>
                <w:sz w:val="24"/>
                <w:szCs w:val="24"/>
              </w:rPr>
              <w:t>EEZ</w:t>
            </w:r>
            <w:r w:rsidR="00FA71BD" w:rsidRPr="000C3267">
              <w:rPr>
                <w:rFonts w:ascii="Times New Roman" w:hAnsi="Times New Roman" w:cs="Times New Roman"/>
                <w:i/>
                <w:iCs/>
                <w:sz w:val="24"/>
                <w:szCs w:val="24"/>
              </w:rPr>
              <w:t xml:space="preserve"> valstī</w:t>
            </w:r>
            <w:r w:rsidR="00290DC2" w:rsidRPr="000C3267">
              <w:rPr>
                <w:rFonts w:ascii="Times New Roman" w:hAnsi="Times New Roman" w:cs="Times New Roman"/>
                <w:i/>
                <w:iCs/>
                <w:sz w:val="24"/>
                <w:szCs w:val="24"/>
              </w:rPr>
              <w:t>:</w:t>
            </w:r>
          </w:p>
          <w:p w14:paraId="333B4C14" w14:textId="39F2EF65" w:rsidR="00EB4BDB" w:rsidRPr="000C3267" w:rsidRDefault="003B7E26" w:rsidP="00B10021">
            <w:pPr>
              <w:jc w:val="both"/>
            </w:pPr>
            <w:r w:rsidRPr="000C3267">
              <w:t>1) </w:t>
            </w:r>
            <w:r w:rsidR="00151501" w:rsidRPr="000C3267">
              <w:t xml:space="preserve">Derīgums </w:t>
            </w:r>
            <w:r w:rsidR="002674D2" w:rsidRPr="000C3267">
              <w:t>labas ražošanas prakses</w:t>
            </w:r>
            <w:r w:rsidR="00151501" w:rsidRPr="000C3267">
              <w:t xml:space="preserve"> sertifikātiem ražotnēm gataviem produktiem un aktīvajām vielām, kas atrodas </w:t>
            </w:r>
            <w:r w:rsidR="0048365C" w:rsidRPr="000C3267">
              <w:t>EEZ</w:t>
            </w:r>
            <w:r w:rsidR="00151501" w:rsidRPr="000C3267">
              <w:t xml:space="preserve"> valstīs, ir jāpagarina līdz 2021. gada 31. decembrim, </w:t>
            </w:r>
            <w:r w:rsidR="00151501" w:rsidRPr="000C3267">
              <w:rPr>
                <w:shd w:val="clear" w:color="auto" w:fill="FFFFFF"/>
              </w:rPr>
              <w:t xml:space="preserve">bez </w:t>
            </w:r>
            <w:r w:rsidR="00290DC2" w:rsidRPr="000C3267">
              <w:rPr>
                <w:shd w:val="clear" w:color="auto" w:fill="FFFFFF"/>
              </w:rPr>
              <w:t xml:space="preserve">vajadzības </w:t>
            </w:r>
            <w:r w:rsidR="00151501" w:rsidRPr="000C3267">
              <w:rPr>
                <w:shd w:val="clear" w:color="auto" w:fill="FFFFFF"/>
              </w:rPr>
              <w:t xml:space="preserve">tālākām darbībām no </w:t>
            </w:r>
            <w:r w:rsidR="00891B07" w:rsidRPr="000C3267">
              <w:t>sertifikāta turētāja puses</w:t>
            </w:r>
            <w:r w:rsidR="00290DC2" w:rsidRPr="000C3267">
              <w:t xml:space="preserve"> </w:t>
            </w:r>
            <w:r w:rsidR="00290DC2" w:rsidRPr="000C3267">
              <w:rPr>
                <w:shd w:val="clear" w:color="auto" w:fill="FFFFFF"/>
              </w:rPr>
              <w:t xml:space="preserve">(par ko </w:t>
            </w:r>
            <w:proofErr w:type="spellStart"/>
            <w:r w:rsidR="00290DC2" w:rsidRPr="000C3267">
              <w:rPr>
                <w:i/>
                <w:iCs/>
                <w:shd w:val="clear" w:color="auto" w:fill="FFFFFF"/>
              </w:rPr>
              <w:t>EudraGMDP</w:t>
            </w:r>
            <w:proofErr w:type="spellEnd"/>
            <w:r w:rsidR="00290DC2" w:rsidRPr="000C3267">
              <w:rPr>
                <w:shd w:val="clear" w:color="auto" w:fill="FFFFFF"/>
              </w:rPr>
              <w:t xml:space="preserve"> datubāzē izdara paskaidrojošu piezīmi)</w:t>
            </w:r>
            <w:r w:rsidR="0048365C" w:rsidRPr="000C3267">
              <w:t>, bet š</w:t>
            </w:r>
            <w:r w:rsidR="00290DC2" w:rsidRPr="000C3267">
              <w:t>ī</w:t>
            </w:r>
            <w:r w:rsidR="00151501" w:rsidRPr="000C3267">
              <w:t xml:space="preserve"> automātiskā </w:t>
            </w:r>
            <w:r w:rsidR="00290DC2" w:rsidRPr="000C3267">
              <w:t xml:space="preserve">sertifikāta </w:t>
            </w:r>
            <w:r w:rsidR="000C5ED9" w:rsidRPr="000C3267">
              <w:t xml:space="preserve">pagarināšana </w:t>
            </w:r>
            <w:bookmarkStart w:id="0" w:name="_Hlk57021872"/>
            <w:r w:rsidR="005813FC" w:rsidRPr="000C3267">
              <w:t xml:space="preserve">nepārsniedz </w:t>
            </w:r>
            <w:r w:rsidR="00EB4BDB" w:rsidRPr="000C3267">
              <w:t xml:space="preserve">attiecīgā </w:t>
            </w:r>
            <w:r w:rsidR="005813FC" w:rsidRPr="000C3267">
              <w:t xml:space="preserve">pagarināmā sertifikāta </w:t>
            </w:r>
            <w:r w:rsidR="00EE1DA7" w:rsidRPr="000C3267">
              <w:t>tvērumu</w:t>
            </w:r>
            <w:r w:rsidR="00EB4BDB" w:rsidRPr="000C3267">
              <w:t>, piemēram, gadījumos, kad ir jaunas telpas, jaunas zāles</w:t>
            </w:r>
            <w:bookmarkEnd w:id="0"/>
            <w:r w:rsidR="00EB4BDB" w:rsidRPr="000C3267">
              <w:t>.</w:t>
            </w:r>
          </w:p>
          <w:p w14:paraId="0433177F" w14:textId="37D6D9DF" w:rsidR="00273F74" w:rsidRPr="000C3267" w:rsidRDefault="006B27BA" w:rsidP="00B10021">
            <w:pPr>
              <w:jc w:val="both"/>
            </w:pPr>
            <w:r w:rsidRPr="000C3267">
              <w:t>2) </w:t>
            </w:r>
            <w:r w:rsidR="00EB4BDB" w:rsidRPr="000C3267">
              <w:t xml:space="preserve">Jaunām ražotnēm un iekārtām </w:t>
            </w:r>
            <w:r w:rsidR="0048365C" w:rsidRPr="000C3267">
              <w:t>EEZ</w:t>
            </w:r>
            <w:r w:rsidR="00EB4BDB" w:rsidRPr="000C3267">
              <w:t xml:space="preserve"> valstīs, kuras nav inspicētas un licencētas, var veikt attālinātu novērtēšanu ar mērķi novērtēt vai ražotni var licencēt bez iepriekšējas apstiprināšanas pārbaudes</w:t>
            </w:r>
            <w:r w:rsidR="005813FC" w:rsidRPr="000C3267">
              <w:t xml:space="preserve"> klātienē</w:t>
            </w:r>
            <w:r w:rsidR="00EB4BDB" w:rsidRPr="000C3267">
              <w:t>. Š</w:t>
            </w:r>
            <w:r w:rsidR="003B7E26" w:rsidRPr="000C3267">
              <w:t>ajos gadījumos</w:t>
            </w:r>
            <w:r w:rsidR="00EB4BDB" w:rsidRPr="000C3267">
              <w:t xml:space="preserve"> tiek norādīts, ka </w:t>
            </w:r>
            <w:r w:rsidR="002674D2" w:rsidRPr="000C3267">
              <w:t xml:space="preserve">labas ražošanas prakses </w:t>
            </w:r>
            <w:r w:rsidR="00EB4BDB" w:rsidRPr="000C3267">
              <w:t>sertifikāts tiek piešķirts, pamatojoties uz attālinātu novērtēšanu.</w:t>
            </w:r>
            <w:r w:rsidRPr="000C3267">
              <w:t xml:space="preserve"> Turklāt pārbaude uz vietas būtu jāveic, kad apstākļi to ļauj veikt. Ja attālinātā novērtējuma rezultāti neļauj piešķirt </w:t>
            </w:r>
            <w:r w:rsidR="002674D2" w:rsidRPr="000C3267">
              <w:t>labas ražošanas prakses</w:t>
            </w:r>
            <w:r w:rsidRPr="000C3267">
              <w:t xml:space="preserve"> sertifikātu, </w:t>
            </w:r>
            <w:r w:rsidR="00B9037D" w:rsidRPr="000C3267">
              <w:t>tiek iedarbināt</w:t>
            </w:r>
            <w:r w:rsidR="005813FC" w:rsidRPr="000C3267">
              <w:t>s</w:t>
            </w:r>
            <w:r w:rsidR="00B9037D" w:rsidRPr="000C3267">
              <w:t xml:space="preserve"> pulksteņa apturēšanas (“</w:t>
            </w:r>
            <w:proofErr w:type="spellStart"/>
            <w:r w:rsidR="00B9037D" w:rsidRPr="000C3267">
              <w:rPr>
                <w:i/>
                <w:iCs/>
              </w:rPr>
              <w:t>clock</w:t>
            </w:r>
            <w:proofErr w:type="spellEnd"/>
            <w:r w:rsidR="008F7F7E" w:rsidRPr="000C3267">
              <w:rPr>
                <w:i/>
                <w:iCs/>
              </w:rPr>
              <w:t> </w:t>
            </w:r>
            <w:r w:rsidR="00B9037D" w:rsidRPr="000C3267">
              <w:rPr>
                <w:i/>
                <w:iCs/>
              </w:rPr>
              <w:t>-</w:t>
            </w:r>
            <w:r w:rsidR="008F7F7E" w:rsidRPr="000C3267">
              <w:rPr>
                <w:i/>
                <w:iCs/>
              </w:rPr>
              <w:t> </w:t>
            </w:r>
            <w:r w:rsidR="00B9037D" w:rsidRPr="000C3267">
              <w:rPr>
                <w:i/>
                <w:iCs/>
              </w:rPr>
              <w:t>stop”</w:t>
            </w:r>
            <w:r w:rsidR="00B9037D" w:rsidRPr="000C3267">
              <w:t xml:space="preserve">) mehānisms </w:t>
            </w:r>
            <w:r w:rsidRPr="000C3267">
              <w:t xml:space="preserve">līdz brīdim, kad </w:t>
            </w:r>
            <w:r w:rsidR="00B9037D" w:rsidRPr="000C3267">
              <w:t>ir</w:t>
            </w:r>
            <w:r w:rsidRPr="000C3267">
              <w:t xml:space="preserve"> iespējama pārbaude uz vietas.</w:t>
            </w:r>
          </w:p>
          <w:p w14:paraId="2D7A1775" w14:textId="14076E09" w:rsidR="006B27BA" w:rsidRPr="000C3267" w:rsidRDefault="00845C58" w:rsidP="00C51139">
            <w:pPr>
              <w:pStyle w:val="Bezatstarpm"/>
              <w:ind w:firstLine="391"/>
              <w:rPr>
                <w:rFonts w:ascii="Times New Roman" w:hAnsi="Times New Roman" w:cs="Times New Roman"/>
                <w:i/>
                <w:iCs/>
                <w:sz w:val="24"/>
                <w:szCs w:val="24"/>
              </w:rPr>
            </w:pPr>
            <w:r w:rsidRPr="000C3267">
              <w:rPr>
                <w:rFonts w:ascii="Times New Roman" w:hAnsi="Times New Roman" w:cs="Times New Roman"/>
                <w:i/>
                <w:iCs/>
                <w:sz w:val="24"/>
                <w:szCs w:val="24"/>
              </w:rPr>
              <w:t>b) </w:t>
            </w:r>
            <w:r w:rsidR="006B27BA" w:rsidRPr="000C3267">
              <w:rPr>
                <w:rFonts w:ascii="Times New Roman" w:hAnsi="Times New Roman" w:cs="Times New Roman"/>
                <w:i/>
                <w:iCs/>
                <w:sz w:val="24"/>
                <w:szCs w:val="24"/>
              </w:rPr>
              <w:t xml:space="preserve">Ražotnēm, kuras neatrodas </w:t>
            </w:r>
            <w:r w:rsidR="0048365C" w:rsidRPr="000C3267">
              <w:rPr>
                <w:rFonts w:ascii="Times New Roman" w:hAnsi="Times New Roman" w:cs="Times New Roman"/>
                <w:i/>
                <w:iCs/>
                <w:sz w:val="24"/>
                <w:szCs w:val="24"/>
              </w:rPr>
              <w:t>EEZ</w:t>
            </w:r>
            <w:r w:rsidR="006B27BA" w:rsidRPr="000C3267">
              <w:rPr>
                <w:rFonts w:ascii="Times New Roman" w:hAnsi="Times New Roman" w:cs="Times New Roman"/>
                <w:i/>
                <w:iCs/>
                <w:sz w:val="24"/>
                <w:szCs w:val="24"/>
              </w:rPr>
              <w:t xml:space="preserve"> valstī:</w:t>
            </w:r>
          </w:p>
          <w:p w14:paraId="74BB9DCE" w14:textId="1C8182CF" w:rsidR="006B27BA" w:rsidRPr="000C3267" w:rsidRDefault="00B10021" w:rsidP="00B10021">
            <w:pPr>
              <w:jc w:val="both"/>
            </w:pPr>
            <w:r w:rsidRPr="000C3267">
              <w:t>1</w:t>
            </w:r>
            <w:r w:rsidR="006B27BA" w:rsidRPr="000C3267">
              <w:t xml:space="preserve">) Derīgums </w:t>
            </w:r>
            <w:r w:rsidR="002674D2" w:rsidRPr="000C3267">
              <w:t>labas ražošanas prakses</w:t>
            </w:r>
            <w:r w:rsidR="006B27BA" w:rsidRPr="000C3267">
              <w:t xml:space="preserve"> sertifikātiem ražotnēm gataviem produktiem un aktīvajām vielām, kas atrodas </w:t>
            </w:r>
            <w:r w:rsidR="0048365C" w:rsidRPr="000C3267">
              <w:t>EEZ</w:t>
            </w:r>
            <w:r w:rsidR="006B27BA" w:rsidRPr="000C3267">
              <w:t xml:space="preserve"> valstīs, ir jāpagarina līdz 2021. gada 31. decembrim, </w:t>
            </w:r>
            <w:r w:rsidR="006B27BA" w:rsidRPr="000C3267">
              <w:rPr>
                <w:shd w:val="clear" w:color="auto" w:fill="FFFFFF"/>
              </w:rPr>
              <w:t xml:space="preserve">bez vajadzības tālākām darbībām no </w:t>
            </w:r>
            <w:r w:rsidR="006B27BA" w:rsidRPr="000C3267">
              <w:t xml:space="preserve">sertifikāta turētāja puses </w:t>
            </w:r>
            <w:r w:rsidR="006B27BA" w:rsidRPr="000C3267">
              <w:rPr>
                <w:shd w:val="clear" w:color="auto" w:fill="FFFFFF"/>
              </w:rPr>
              <w:t xml:space="preserve">(par ko </w:t>
            </w:r>
            <w:r w:rsidR="00203D97" w:rsidRPr="000C3267">
              <w:rPr>
                <w:shd w:val="clear" w:color="auto" w:fill="FFFFFF"/>
              </w:rPr>
              <w:t xml:space="preserve">Eiropas Kopienas </w:t>
            </w:r>
            <w:proofErr w:type="spellStart"/>
            <w:r w:rsidR="006B27BA" w:rsidRPr="000C3267">
              <w:rPr>
                <w:i/>
                <w:iCs/>
                <w:shd w:val="clear" w:color="auto" w:fill="FFFFFF"/>
              </w:rPr>
              <w:t>EudraGMDP</w:t>
            </w:r>
            <w:proofErr w:type="spellEnd"/>
            <w:r w:rsidR="006B27BA" w:rsidRPr="000C3267">
              <w:rPr>
                <w:shd w:val="clear" w:color="auto" w:fill="FFFFFF"/>
              </w:rPr>
              <w:t xml:space="preserve"> datubāzē izdara paskaidrojošu piezīmi)</w:t>
            </w:r>
            <w:r w:rsidR="006B27BA" w:rsidRPr="000C3267">
              <w:t xml:space="preserve">, izņemot gadījumus, kad kompetentā iestāde veic jebkādas darbības, kas ietekmē izdotā </w:t>
            </w:r>
            <w:r w:rsidR="002674D2" w:rsidRPr="000C3267">
              <w:t xml:space="preserve">labas ražošanas </w:t>
            </w:r>
            <w:r w:rsidR="006B27BA" w:rsidRPr="000C3267">
              <w:t>sertifikātu derīgumu.</w:t>
            </w:r>
            <w:r w:rsidR="00D136A4" w:rsidRPr="000C3267">
              <w:t xml:space="preserve"> Šī automātiskā sertifikāta </w:t>
            </w:r>
            <w:r w:rsidR="007C37B7" w:rsidRPr="000C3267">
              <w:t xml:space="preserve">pagarināšana </w:t>
            </w:r>
            <w:r w:rsidR="005813FC" w:rsidRPr="000C3267">
              <w:t xml:space="preserve">nepārsniedz </w:t>
            </w:r>
            <w:r w:rsidR="00D136A4" w:rsidRPr="000C3267">
              <w:t>attiecīgā</w:t>
            </w:r>
            <w:r w:rsidR="00670115" w:rsidRPr="000C3267">
              <w:t xml:space="preserve"> pagarināmā sertifikāta</w:t>
            </w:r>
            <w:r w:rsidR="00D136A4" w:rsidRPr="000C3267">
              <w:t xml:space="preserve"> tvērumu, piemēram, gadījumos, kad ir jaunas telpas, jaunas zāles.</w:t>
            </w:r>
          </w:p>
          <w:p w14:paraId="1B95A4CF" w14:textId="312F7B0F" w:rsidR="00413CB4" w:rsidRPr="000C3267" w:rsidRDefault="00B10021" w:rsidP="00F336F1">
            <w:pPr>
              <w:jc w:val="both"/>
            </w:pPr>
            <w:r w:rsidRPr="000C3267">
              <w:t>2</w:t>
            </w:r>
            <w:r w:rsidR="00D136A4" w:rsidRPr="000C3267">
              <w:t>) Jaunām ražotnēm/iekārtām trešajās valstīs, kur</w:t>
            </w:r>
            <w:r w:rsidR="00036324" w:rsidRPr="000C3267">
              <w:t>ām</w:t>
            </w:r>
            <w:r w:rsidR="00D136A4" w:rsidRPr="000C3267">
              <w:t xml:space="preserve"> nepieciešam</w:t>
            </w:r>
            <w:r w:rsidR="00B9037D" w:rsidRPr="000C3267">
              <w:t>a</w:t>
            </w:r>
            <w:r w:rsidR="00D136A4" w:rsidRPr="000C3267">
              <w:t xml:space="preserve"> </w:t>
            </w:r>
            <w:r w:rsidR="00B9037D" w:rsidRPr="000C3267">
              <w:t>inspekcija,</w:t>
            </w:r>
            <w:r w:rsidR="00D136A4" w:rsidRPr="000C3267">
              <w:t xml:space="preserve"> un kad nav spēkā </w:t>
            </w:r>
            <w:r w:rsidR="00E4334C" w:rsidRPr="000C3267">
              <w:t xml:space="preserve">savstarpējās atzīšanas līgums </w:t>
            </w:r>
            <w:r w:rsidR="00036324" w:rsidRPr="000C3267">
              <w:t xml:space="preserve">starp Eiropas Savienību un attiecīgo valsti </w:t>
            </w:r>
            <w:r w:rsidR="00E4334C" w:rsidRPr="000C3267">
              <w:t xml:space="preserve">par labu ražošanas praksi vai tā tvērums </w:t>
            </w:r>
            <w:r w:rsidR="00B9037D" w:rsidRPr="000C3267">
              <w:t xml:space="preserve">to </w:t>
            </w:r>
            <w:r w:rsidR="00E4334C" w:rsidRPr="000C3267">
              <w:t>nepārklāj</w:t>
            </w:r>
            <w:r w:rsidR="00D136A4" w:rsidRPr="000C3267">
              <w:t xml:space="preserve">, </w:t>
            </w:r>
            <w:r w:rsidR="0048365C" w:rsidRPr="000C3267">
              <w:t>EEZ</w:t>
            </w:r>
            <w:r w:rsidR="00B9037D" w:rsidRPr="000C3267">
              <w:t xml:space="preserve"> valsts attiecīgā kompetentā iestāde var veikt attālinātu  novērtēšanu</w:t>
            </w:r>
            <w:r w:rsidR="0066181C" w:rsidRPr="000C3267">
              <w:t xml:space="preserve"> ja tā nepieciešama, lai nodrošinātu būtisku zāļu pieejamību</w:t>
            </w:r>
            <w:r w:rsidR="00B9037D" w:rsidRPr="000C3267">
              <w:t xml:space="preserve">. </w:t>
            </w:r>
            <w:r w:rsidR="002674D2" w:rsidRPr="000C3267">
              <w:t>Labas ražošanas</w:t>
            </w:r>
            <w:r w:rsidR="00B9037D" w:rsidRPr="000C3267">
              <w:t xml:space="preserve"> sertifikātu var piešķirt atkarībā no novērtējum</w:t>
            </w:r>
            <w:r w:rsidR="00D01C80" w:rsidRPr="000C3267">
              <w:t>a rezultāta</w:t>
            </w:r>
            <w:r w:rsidR="00B9037D" w:rsidRPr="000C3267">
              <w:t>. Šādos gadījumos jānorāda, ka sertifikāts ir izsniegts</w:t>
            </w:r>
            <w:r w:rsidR="00AD0659" w:rsidRPr="000C3267">
              <w:t xml:space="preserve">, </w:t>
            </w:r>
            <w:r w:rsidR="00B9037D" w:rsidRPr="000C3267">
              <w:t xml:space="preserve">pamatojoties uz attālināto novērtējumu. Turklāt būtu jāveic pārbaude uz vietas, ja apstākļi to ļauj. Ja attālinātā novērtējuma rezultāts neatļauj piešķirt </w:t>
            </w:r>
            <w:r w:rsidR="002674D2" w:rsidRPr="000C3267">
              <w:t xml:space="preserve">labas ražošanas </w:t>
            </w:r>
            <w:r w:rsidR="00B9037D" w:rsidRPr="000C3267">
              <w:t xml:space="preserve">sertifikātu, tiek </w:t>
            </w:r>
            <w:proofErr w:type="spellStart"/>
            <w:r w:rsidR="00B9037D" w:rsidRPr="000C3267">
              <w:t>iedarbināt</w:t>
            </w:r>
            <w:r w:rsidR="00036324" w:rsidRPr="000C3267">
              <w:t>s</w:t>
            </w:r>
            <w:r w:rsidR="00B9037D" w:rsidRPr="000C3267">
              <w:t>pulksteņa</w:t>
            </w:r>
            <w:proofErr w:type="spellEnd"/>
            <w:r w:rsidR="00B9037D" w:rsidRPr="000C3267">
              <w:t xml:space="preserve"> apturēšanas (“</w:t>
            </w:r>
            <w:proofErr w:type="spellStart"/>
            <w:r w:rsidR="00B9037D" w:rsidRPr="000C3267">
              <w:rPr>
                <w:i/>
                <w:iCs/>
              </w:rPr>
              <w:t>clock</w:t>
            </w:r>
            <w:proofErr w:type="spellEnd"/>
            <w:r w:rsidR="00B9037D" w:rsidRPr="000C3267">
              <w:rPr>
                <w:i/>
                <w:iCs/>
              </w:rPr>
              <w:t>-stop”</w:t>
            </w:r>
            <w:r w:rsidR="00B9037D" w:rsidRPr="000C3267">
              <w:t>) mehānisms līdz brīdim, kad ir iespējama pārbaude uz vietas.</w:t>
            </w:r>
          </w:p>
          <w:p w14:paraId="7BB97B5F" w14:textId="72654944" w:rsidR="00B10021" w:rsidRPr="000C3267" w:rsidRDefault="0048365C" w:rsidP="00900B03">
            <w:pPr>
              <w:ind w:firstLine="533"/>
              <w:jc w:val="both"/>
            </w:pPr>
            <w:r w:rsidRPr="000C3267">
              <w:t>Tāpēc</w:t>
            </w:r>
            <w:r w:rsidR="00B10021" w:rsidRPr="000C3267">
              <w:t xml:space="preserve"> </w:t>
            </w:r>
            <w:r w:rsidR="00EF4237" w:rsidRPr="000C3267">
              <w:t>N</w:t>
            </w:r>
            <w:r w:rsidR="00B10021" w:rsidRPr="000C3267">
              <w:t>oteikumu projekt</w:t>
            </w:r>
            <w:r w:rsidR="005F6693" w:rsidRPr="000C3267">
              <w:t>ā ir ietvertas pārejas noteikumu normas (Noteikumu projekta</w:t>
            </w:r>
            <w:r w:rsidR="00002B4B" w:rsidRPr="000C3267">
              <w:t xml:space="preserve"> </w:t>
            </w:r>
            <w:r w:rsidR="002674D2" w:rsidRPr="000C3267">
              <w:t>1</w:t>
            </w:r>
            <w:r w:rsidR="00EA580F">
              <w:t>1</w:t>
            </w:r>
            <w:r w:rsidR="00002B4B" w:rsidRPr="000C3267">
              <w:t>.</w:t>
            </w:r>
            <w:r w:rsidR="00740CC8" w:rsidRPr="000C3267">
              <w:t> </w:t>
            </w:r>
            <w:r w:rsidR="00002B4B" w:rsidRPr="000C3267">
              <w:t>punkts</w:t>
            </w:r>
            <w:r w:rsidR="00740CC8" w:rsidRPr="000C3267">
              <w:t> </w:t>
            </w:r>
            <w:r w:rsidR="00885584" w:rsidRPr="000C3267">
              <w:t>-</w:t>
            </w:r>
            <w:r w:rsidR="00740CC8" w:rsidRPr="000C3267">
              <w:t> </w:t>
            </w:r>
            <w:r w:rsidR="00002B4B" w:rsidRPr="000C3267">
              <w:rPr>
                <w:bCs/>
              </w:rPr>
              <w:t>99.</w:t>
            </w:r>
            <w:r w:rsidR="002674D2" w:rsidRPr="000C3267">
              <w:rPr>
                <w:bCs/>
                <w:vertAlign w:val="superscript"/>
              </w:rPr>
              <w:t>5</w:t>
            </w:r>
            <w:r w:rsidR="002674D2" w:rsidRPr="000C3267">
              <w:rPr>
                <w:bCs/>
              </w:rPr>
              <w:t>, 99.</w:t>
            </w:r>
            <w:r w:rsidR="002674D2" w:rsidRPr="000C3267">
              <w:rPr>
                <w:bCs/>
                <w:vertAlign w:val="superscript"/>
              </w:rPr>
              <w:t xml:space="preserve">6 </w:t>
            </w:r>
            <w:r w:rsidR="002674D2" w:rsidRPr="000C3267">
              <w:rPr>
                <w:bCs/>
              </w:rPr>
              <w:t>un 99.</w:t>
            </w:r>
            <w:r w:rsidR="002674D2" w:rsidRPr="000C3267">
              <w:rPr>
                <w:bCs/>
                <w:vertAlign w:val="superscript"/>
              </w:rPr>
              <w:t>7</w:t>
            </w:r>
            <w:r w:rsidR="00002B4B" w:rsidRPr="000C3267">
              <w:rPr>
                <w:bCs/>
              </w:rPr>
              <w:t> punkt</w:t>
            </w:r>
            <w:r w:rsidR="00900B03" w:rsidRPr="000C3267">
              <w:rPr>
                <w:bCs/>
              </w:rPr>
              <w:t>s</w:t>
            </w:r>
            <w:r w:rsidR="005F6693" w:rsidRPr="000C3267">
              <w:t>) par attālinātām pārbaudēm</w:t>
            </w:r>
            <w:r w:rsidR="009B46F9" w:rsidRPr="000C3267">
              <w:t xml:space="preserve">, kas nozīmē, ka pārbaude var notikt attālināti vai daļēji </w:t>
            </w:r>
            <w:r w:rsidR="00832883" w:rsidRPr="000C3267">
              <w:t>attālināti</w:t>
            </w:r>
            <w:r w:rsidR="009B46F9" w:rsidRPr="000C3267">
              <w:t>,</w:t>
            </w:r>
            <w:r w:rsidR="005F6693" w:rsidRPr="000C3267">
              <w:t xml:space="preserve"> vai pārbaužu atlikšan</w:t>
            </w:r>
            <w:r w:rsidR="009B46F9" w:rsidRPr="000C3267">
              <w:t>u</w:t>
            </w:r>
            <w:r w:rsidR="005F6693" w:rsidRPr="000C3267">
              <w:t xml:space="preserve"> un </w:t>
            </w:r>
            <w:r w:rsidR="00B10021" w:rsidRPr="000C3267">
              <w:t>zāļu ražotāja</w:t>
            </w:r>
            <w:r w:rsidR="005F6693" w:rsidRPr="000C3267">
              <w:t xml:space="preserve"> </w:t>
            </w:r>
            <w:r w:rsidR="00B10021" w:rsidRPr="000C3267">
              <w:t>izsniegtā labas ražošanas prakses sertifikāta derīgum</w:t>
            </w:r>
            <w:r w:rsidR="005F6693" w:rsidRPr="000C3267">
              <w:t>a pagarinā</w:t>
            </w:r>
            <w:r w:rsidR="002674D2" w:rsidRPr="000C3267">
              <w:t>šanu</w:t>
            </w:r>
            <w:r w:rsidR="00B10021" w:rsidRPr="000C3267">
              <w:t xml:space="preserve"> līdz 2021.</w:t>
            </w:r>
            <w:r w:rsidRPr="000C3267">
              <w:t> </w:t>
            </w:r>
            <w:r w:rsidR="00B10021" w:rsidRPr="000C3267">
              <w:t>gada 31.decembrim (neprasot sertifikāta turētāja rīcību),</w:t>
            </w:r>
            <w:r w:rsidR="00B10021" w:rsidRPr="000C3267">
              <w:rPr>
                <w:lang w:eastAsia="en-US"/>
              </w:rPr>
              <w:t xml:space="preserve"> ja sertifikāta derīgums ir beidzies pirms minētā datuma </w:t>
            </w:r>
            <w:r w:rsidR="00B10021" w:rsidRPr="000C3267">
              <w:t xml:space="preserve">un ražošanas procesā nav notikušas vai nav paredzētas izmaiņas, kas norādāmas sertifikātā, </w:t>
            </w:r>
            <w:r w:rsidR="00EF4237" w:rsidRPr="000C3267">
              <w:t>tai skaitā</w:t>
            </w:r>
            <w:r w:rsidR="00B10021" w:rsidRPr="000C3267">
              <w:t xml:space="preserve"> </w:t>
            </w:r>
            <w:r w:rsidR="005B2F74" w:rsidRPr="000C3267">
              <w:t xml:space="preserve">nav </w:t>
            </w:r>
            <w:r w:rsidR="00B10021" w:rsidRPr="000C3267">
              <w:t xml:space="preserve">mainītas telpas, aprīkojums, </w:t>
            </w:r>
            <w:r w:rsidR="005B2F74" w:rsidRPr="000C3267">
              <w:t xml:space="preserve">nav </w:t>
            </w:r>
            <w:r w:rsidR="00B10021" w:rsidRPr="000C3267">
              <w:t>paredzams uzsākt jaunu zāļu ražošanu utt., kā arī ja ražotne neatrodas ārpus EEZ valsts un kompetentā iestāde neīsteno kādas darbības, kas ietekmē sertifikāta derīgumu.</w:t>
            </w:r>
            <w:r w:rsidRPr="000C3267">
              <w:t xml:space="preserve"> </w:t>
            </w:r>
            <w:r w:rsidR="00EF4237" w:rsidRPr="000C3267">
              <w:t>Zāļu valsts a</w:t>
            </w:r>
            <w:r w:rsidR="00B10021" w:rsidRPr="000C3267">
              <w:t xml:space="preserve">ģentūra lēmumu pieņem, ievērojot </w:t>
            </w:r>
            <w:r w:rsidR="005B2F74" w:rsidRPr="000C3267">
              <w:rPr>
                <w:iCs/>
                <w:shd w:val="clear" w:color="auto" w:fill="FFFFFF"/>
              </w:rPr>
              <w:t>EK</w:t>
            </w:r>
            <w:r w:rsidR="005B2F74" w:rsidRPr="000C3267">
              <w:t>, Eiropas Zāļu aģentūra</w:t>
            </w:r>
            <w:r w:rsidR="00036324" w:rsidRPr="000C3267">
              <w:t>s</w:t>
            </w:r>
            <w:r w:rsidR="005B2F74" w:rsidRPr="000C3267">
              <w:t xml:space="preserve"> un </w:t>
            </w:r>
            <w:r w:rsidR="005B2F74" w:rsidRPr="000C3267">
              <w:rPr>
                <w:iCs/>
                <w:shd w:val="clear" w:color="auto" w:fill="FFFFFF"/>
              </w:rPr>
              <w:t xml:space="preserve">Eiropas zāļu regulatīvā tīkla aģentūru vadītāju </w:t>
            </w:r>
            <w:r w:rsidR="005B2F74" w:rsidRPr="000C3267">
              <w:t>aktualizētajā jautājumu un atbilžu dokumentā par zāļu reglamentējuma jautājumiem COVID - 19 pandēmijas laikā</w:t>
            </w:r>
            <w:r w:rsidR="00B10021" w:rsidRPr="000C3267">
              <w:t xml:space="preserve">. Ja </w:t>
            </w:r>
            <w:r w:rsidR="00EF4237" w:rsidRPr="000C3267">
              <w:t>Zāļu valsts</w:t>
            </w:r>
            <w:r w:rsidR="00B10021" w:rsidRPr="000C3267">
              <w:t xml:space="preserve"> aģentūra, pamatojoties uz riska novērtējumu, </w:t>
            </w:r>
            <w:r w:rsidR="00A23E8B" w:rsidRPr="000C3267">
              <w:t>izlemj</w:t>
            </w:r>
            <w:r w:rsidR="00B10021" w:rsidRPr="000C3267">
              <w:t xml:space="preserve"> veik</w:t>
            </w:r>
            <w:r w:rsidR="00EF4237" w:rsidRPr="000C3267">
              <w:t xml:space="preserve">t MK </w:t>
            </w:r>
            <w:r w:rsidR="00B10021" w:rsidRPr="000C3267">
              <w:t xml:space="preserve">noteikumu </w:t>
            </w:r>
            <w:r w:rsidR="00EF4237" w:rsidRPr="000C3267">
              <w:t>304</w:t>
            </w:r>
            <w:r w:rsidR="00B10021" w:rsidRPr="000C3267">
              <w:t xml:space="preserve"> V</w:t>
            </w:r>
            <w:r w:rsidR="00EF4237" w:rsidRPr="000C3267">
              <w:t>. </w:t>
            </w:r>
            <w:r w:rsidR="00B10021" w:rsidRPr="000C3267">
              <w:t xml:space="preserve">nodaļā minētās pārbaudes, tad pēc to pabeigšanas </w:t>
            </w:r>
            <w:bookmarkStart w:id="1" w:name="_Hlk53399714"/>
            <w:r w:rsidR="00B10021" w:rsidRPr="000C3267">
              <w:t>attiecīgā iestāde izdod labas ražošanas prakses sertifikātu ar nosacījumiem, kas ir saskaņā ar pārbaudes norisi un rezultātiem</w:t>
            </w:r>
            <w:bookmarkEnd w:id="1"/>
            <w:r w:rsidR="00B10021" w:rsidRPr="000C3267">
              <w:t xml:space="preserve">, </w:t>
            </w:r>
            <w:r w:rsidR="00EF4237" w:rsidRPr="000C3267">
              <w:t>tai skaitā</w:t>
            </w:r>
            <w:r w:rsidR="00B10021" w:rsidRPr="000C3267">
              <w:t xml:space="preserve"> norādot, ja pārbaude notikusi attālināti.</w:t>
            </w:r>
          </w:p>
          <w:p w14:paraId="615F0AAA" w14:textId="77777777" w:rsidR="00EF4237" w:rsidRPr="000C3267" w:rsidRDefault="00EF4237" w:rsidP="00EF4237">
            <w:pPr>
              <w:pStyle w:val="Bezatstarpm"/>
              <w:jc w:val="both"/>
              <w:rPr>
                <w:rFonts w:ascii="Times New Roman" w:hAnsi="Times New Roman" w:cs="Times New Roman"/>
                <w:iCs/>
                <w:sz w:val="24"/>
                <w:szCs w:val="24"/>
                <w:shd w:val="clear" w:color="auto" w:fill="FFFFFF"/>
              </w:rPr>
            </w:pPr>
          </w:p>
          <w:p w14:paraId="67F21535" w14:textId="078CDE14" w:rsidR="006C76D7" w:rsidRPr="000C3267" w:rsidRDefault="006C76D7" w:rsidP="006C76D7">
            <w:pPr>
              <w:jc w:val="both"/>
              <w:rPr>
                <w:b/>
                <w:bCs/>
                <w:i/>
                <w:iCs/>
              </w:rPr>
            </w:pPr>
            <w:r w:rsidRPr="000C3267">
              <w:rPr>
                <w:b/>
                <w:bCs/>
                <w:i/>
                <w:iCs/>
              </w:rPr>
              <w:t>2. </w:t>
            </w:r>
            <w:r w:rsidR="005B2F74" w:rsidRPr="000C3267">
              <w:rPr>
                <w:b/>
                <w:bCs/>
                <w:i/>
                <w:iCs/>
              </w:rPr>
              <w:t>Jāatļauj</w:t>
            </w:r>
            <w:r w:rsidRPr="000C3267">
              <w:rPr>
                <w:b/>
                <w:bCs/>
                <w:i/>
                <w:iCs/>
              </w:rPr>
              <w:t xml:space="preserve"> līdz 2021. gada 31. decembrim veikt attālinātas </w:t>
            </w:r>
            <w:r w:rsidRPr="000C3267">
              <w:rPr>
                <w:b/>
                <w:bCs/>
                <w:i/>
                <w:iCs/>
                <w:shd w:val="clear" w:color="auto" w:fill="FFFFFF"/>
              </w:rPr>
              <w:t>atbilstības novērtēšanas pārbaudes</w:t>
            </w:r>
            <w:r w:rsidRPr="000C3267">
              <w:rPr>
                <w:b/>
                <w:bCs/>
                <w:i/>
                <w:iCs/>
              </w:rPr>
              <w:t xml:space="preserve"> pirms attiecīgās </w:t>
            </w:r>
            <w:r w:rsidRPr="000C3267">
              <w:rPr>
                <w:b/>
                <w:bCs/>
                <w:i/>
                <w:iCs/>
                <w:shd w:val="clear" w:color="auto" w:fill="FFFFFF"/>
              </w:rPr>
              <w:t>speciālas atļaujas (licences) zāļu ražošanai un importēšanai</w:t>
            </w:r>
            <w:r w:rsidRPr="000C3267">
              <w:rPr>
                <w:b/>
                <w:bCs/>
                <w:i/>
                <w:iCs/>
              </w:rPr>
              <w:t xml:space="preserve"> </w:t>
            </w:r>
            <w:r w:rsidR="00B26A1A" w:rsidRPr="000C3267">
              <w:rPr>
                <w:b/>
                <w:bCs/>
                <w:i/>
                <w:iCs/>
              </w:rPr>
              <w:t>izsniegšanas</w:t>
            </w:r>
            <w:r w:rsidRPr="000C3267">
              <w:rPr>
                <w:b/>
                <w:bCs/>
                <w:i/>
                <w:iCs/>
              </w:rPr>
              <w:t xml:space="preserve"> vai saistībā ar licences pārreģistrēšanu, kas noteikta normatīvajos aktos par farmaceitiskās darbības licencēšanu</w:t>
            </w:r>
            <w:r w:rsidR="00A23E8B" w:rsidRPr="000C3267">
              <w:rPr>
                <w:b/>
                <w:bCs/>
                <w:i/>
                <w:iCs/>
              </w:rPr>
              <w:t>, ja risku novērtējums to pieļauj</w:t>
            </w:r>
            <w:r w:rsidR="00AB6B70">
              <w:rPr>
                <w:b/>
                <w:bCs/>
                <w:i/>
                <w:iCs/>
              </w:rPr>
              <w:t>,</w:t>
            </w:r>
            <w:r w:rsidRPr="000C3267">
              <w:rPr>
                <w:b/>
                <w:bCs/>
                <w:i/>
                <w:iCs/>
              </w:rPr>
              <w:t xml:space="preserve"> </w:t>
            </w:r>
            <w:r w:rsidR="00900B03" w:rsidRPr="000C3267">
              <w:rPr>
                <w:b/>
                <w:bCs/>
                <w:i/>
                <w:iCs/>
              </w:rPr>
              <w:t>un licencēto farmaceitiskās darbības subjektu uzraudzībā pēc licences saņemšanas ievērot MK noteikumos 304 noteikto ar ražotāju un importētāju pārbaudes regularitāti.</w:t>
            </w:r>
          </w:p>
          <w:p w14:paraId="20AB0F97" w14:textId="7024F9AF" w:rsidR="00734CCB" w:rsidRPr="000C3267" w:rsidRDefault="00900B03" w:rsidP="0072208A">
            <w:pPr>
              <w:jc w:val="both"/>
              <w:rPr>
                <w:i/>
                <w:iCs/>
              </w:rPr>
            </w:pPr>
            <w:r w:rsidRPr="000C3267">
              <w:t>Pašreizējais regulējums Ministru kabineta noteikumos Nr. 304 V. un VII.</w:t>
            </w:r>
            <w:r w:rsidR="00F811CB" w:rsidRPr="000C3267">
              <w:t> </w:t>
            </w:r>
            <w:r w:rsidRPr="000C3267">
              <w:t xml:space="preserve">nodaļā </w:t>
            </w:r>
            <w:r w:rsidR="0079068C" w:rsidRPr="000C3267">
              <w:t>nenosaka telpu, iekārtu, personāla un dokumentu pārbaudes</w:t>
            </w:r>
            <w:r w:rsidRPr="000C3267">
              <w:t xml:space="preserve">  </w:t>
            </w:r>
            <w:r w:rsidR="0079068C" w:rsidRPr="000C3267">
              <w:t xml:space="preserve">attālināti, ar mērķi, piemēram, uzsākt ražošanu jaunā vietā vai uzsākt jaunu zāļu ražošanu, kā arī lai saņemtu jaunu licenci zāļu ražošanai/ importēšanai. Tāpēc regulējumā ir </w:t>
            </w:r>
            <w:r w:rsidR="00A848C2" w:rsidRPr="000C3267">
              <w:t xml:space="preserve">jānosaka </w:t>
            </w:r>
            <w:r w:rsidR="0079068C" w:rsidRPr="000C3267">
              <w:t xml:space="preserve">pārejas noteikumos attālinātas atbilstības novērtēšanas pārbaudes </w:t>
            </w:r>
            <w:r w:rsidR="00BE4989" w:rsidRPr="000C3267">
              <w:t xml:space="preserve">veikšanas iespēja </w:t>
            </w:r>
            <w:r w:rsidR="0079068C" w:rsidRPr="000C3267">
              <w:t>speciālās atļaujas (licences) zāļu ražošanai/importēšanai saņemšanai</w:t>
            </w:r>
            <w:r w:rsidR="00BE4989" w:rsidRPr="000C3267">
              <w:t xml:space="preserve"> </w:t>
            </w:r>
            <w:r w:rsidR="006E39CC" w:rsidRPr="000C3267">
              <w:t>un licences</w:t>
            </w:r>
            <w:r w:rsidR="0079068C" w:rsidRPr="000C3267">
              <w:t xml:space="preserve"> </w:t>
            </w:r>
            <w:proofErr w:type="spellStart"/>
            <w:r w:rsidR="0079068C" w:rsidRPr="000C3267">
              <w:t>pārreģistrācijai</w:t>
            </w:r>
            <w:proofErr w:type="spellEnd"/>
            <w:r w:rsidR="0079068C" w:rsidRPr="000C3267">
              <w:t xml:space="preserve"> (uzsākot ražošanu jaunā vietā vai uzsākt jaunu zāļu ražošanu, vai uzsākot jaunu speciālo darbību),</w:t>
            </w:r>
            <w:r w:rsidR="00CB377B" w:rsidRPr="000C3267">
              <w:t xml:space="preserve"> vai veicot citas nozīmīgas izmaiņas,</w:t>
            </w:r>
            <w:r w:rsidR="0079068C" w:rsidRPr="000C3267">
              <w:t xml:space="preserve"> </w:t>
            </w:r>
            <w:r w:rsidR="00BE4989" w:rsidRPr="000C3267">
              <w:t xml:space="preserve">kas nozīmē, ka pārbaude var notikt attālināti vai daļēji </w:t>
            </w:r>
            <w:r w:rsidR="000C5ED9" w:rsidRPr="000C3267">
              <w:t>attālināti</w:t>
            </w:r>
            <w:r w:rsidR="00BE4989" w:rsidRPr="000C3267">
              <w:t>. T</w:t>
            </w:r>
            <w:r w:rsidR="0079068C" w:rsidRPr="000C3267">
              <w:t xml:space="preserve">ādējādi </w:t>
            </w:r>
            <w:r w:rsidR="00BE4989" w:rsidRPr="000C3267">
              <w:t xml:space="preserve">tiek </w:t>
            </w:r>
            <w:r w:rsidR="0079068C" w:rsidRPr="000C3267">
              <w:t>nodrošin</w:t>
            </w:r>
            <w:r w:rsidR="00BE4989" w:rsidRPr="000C3267">
              <w:t>āta</w:t>
            </w:r>
            <w:r w:rsidR="0079068C" w:rsidRPr="000C3267">
              <w:t xml:space="preserve"> </w:t>
            </w:r>
            <w:r w:rsidRPr="000C3267">
              <w:t>zāļu ražošanas/ importēšanas licenču pieejamīb</w:t>
            </w:r>
            <w:r w:rsidR="00BE4989" w:rsidRPr="000C3267">
              <w:t>a</w:t>
            </w:r>
            <w:r w:rsidR="005B2F74" w:rsidRPr="000C3267">
              <w:t>, kas minēt</w:t>
            </w:r>
            <w:r w:rsidR="00BE4989" w:rsidRPr="000C3267">
              <w:t>a</w:t>
            </w:r>
            <w:r w:rsidR="005B2F74" w:rsidRPr="000C3267">
              <w:t xml:space="preserve"> </w:t>
            </w:r>
            <w:r w:rsidR="005B2F74" w:rsidRPr="000C3267">
              <w:rPr>
                <w:iCs/>
                <w:shd w:val="clear" w:color="auto" w:fill="FFFFFF"/>
              </w:rPr>
              <w:t>EK</w:t>
            </w:r>
            <w:r w:rsidR="005B2F74" w:rsidRPr="000C3267">
              <w:t xml:space="preserve">, Eiropas Zāļu aģentūra un </w:t>
            </w:r>
            <w:r w:rsidR="005B2F74" w:rsidRPr="000C3267">
              <w:rPr>
                <w:iCs/>
                <w:shd w:val="clear" w:color="auto" w:fill="FFFFFF"/>
              </w:rPr>
              <w:t xml:space="preserve">Eiropas zāļu regulatīvā tīkla aģentūru vadītāju </w:t>
            </w:r>
            <w:r w:rsidR="005B2F74" w:rsidRPr="000C3267">
              <w:t>aktualizētajā jautājumu un atbilžu dokumentā par zāļu reglamentējuma jautājumiem COVID - 19 pandēmijas laikā</w:t>
            </w:r>
            <w:r w:rsidRPr="000C3267">
              <w:t xml:space="preserve"> </w:t>
            </w:r>
            <w:r w:rsidR="00740CC8" w:rsidRPr="000C3267">
              <w:t xml:space="preserve">(Noteikumu projekta </w:t>
            </w:r>
            <w:r w:rsidR="005B2F74" w:rsidRPr="000C3267">
              <w:t>1</w:t>
            </w:r>
            <w:r w:rsidR="00EA580F">
              <w:t>1</w:t>
            </w:r>
            <w:r w:rsidR="00F811CB" w:rsidRPr="000C3267">
              <w:t>.</w:t>
            </w:r>
            <w:r w:rsidR="005B2F74" w:rsidRPr="000C3267">
              <w:t> </w:t>
            </w:r>
            <w:r w:rsidRPr="000C3267">
              <w:t xml:space="preserve">punkts </w:t>
            </w:r>
            <w:r w:rsidR="00F811CB" w:rsidRPr="000C3267">
              <w:t xml:space="preserve">(MK noteikumu 304 </w:t>
            </w:r>
            <w:r w:rsidR="00740CC8" w:rsidRPr="000C3267">
              <w:rPr>
                <w:bCs/>
              </w:rPr>
              <w:t>99.</w:t>
            </w:r>
            <w:r w:rsidR="005B2F74" w:rsidRPr="000C3267">
              <w:rPr>
                <w:bCs/>
                <w:vertAlign w:val="superscript"/>
              </w:rPr>
              <w:t>4</w:t>
            </w:r>
            <w:r w:rsidR="00740CC8" w:rsidRPr="000C3267">
              <w:rPr>
                <w:bCs/>
              </w:rPr>
              <w:t> punkt</w:t>
            </w:r>
            <w:r w:rsidRPr="000C3267">
              <w:rPr>
                <w:bCs/>
              </w:rPr>
              <w:t>s</w:t>
            </w:r>
            <w:r w:rsidR="00F811CB" w:rsidRPr="000C3267">
              <w:rPr>
                <w:bCs/>
              </w:rPr>
              <w:t>)</w:t>
            </w:r>
            <w:r w:rsidR="00740CC8" w:rsidRPr="000C3267">
              <w:rPr>
                <w:i/>
                <w:iCs/>
              </w:rPr>
              <w:t>.</w:t>
            </w:r>
          </w:p>
          <w:p w14:paraId="7B4F453B" w14:textId="5236D4CD" w:rsidR="00841CE1" w:rsidRPr="000C3267" w:rsidRDefault="00734CCB" w:rsidP="0072208A">
            <w:pPr>
              <w:jc w:val="both"/>
            </w:pPr>
            <w:r w:rsidRPr="000C3267">
              <w:t>Vienlaicīgi</w:t>
            </w:r>
            <w:r w:rsidR="00B802A2" w:rsidRPr="000C3267">
              <w:t>,</w:t>
            </w:r>
            <w:r w:rsidRPr="000C3267">
              <w:t xml:space="preserve"> lai MK noteikumus 304 padarītu skaidrākus</w:t>
            </w:r>
            <w:r w:rsidR="009B46F9" w:rsidRPr="000C3267">
              <w:t>,</w:t>
            </w:r>
            <w:r w:rsidR="00B91694" w:rsidRPr="000C3267">
              <w:t xml:space="preserve"> jākonkretizē, ka Zāļu valsts aģentūra:</w:t>
            </w:r>
          </w:p>
          <w:p w14:paraId="1DB18FFD" w14:textId="295BDF67" w:rsidR="00841CE1" w:rsidRPr="000C3267" w:rsidRDefault="00841CE1" w:rsidP="0072208A">
            <w:pPr>
              <w:jc w:val="both"/>
            </w:pPr>
            <w:r w:rsidRPr="000C3267">
              <w:t>a )</w:t>
            </w:r>
            <w:r w:rsidR="00B91694" w:rsidRPr="000C3267">
              <w:t> licencējamajiem farmaceitiskās darbības subjektiem veic atbilstības novērtēšanas pārbaudi pirms licences izsniegšanas</w:t>
            </w:r>
            <w:r w:rsidR="000C3267" w:rsidRPr="000C3267">
              <w:t xml:space="preserve"> </w:t>
            </w:r>
            <w:r w:rsidR="000C3267" w:rsidRPr="000C3267">
              <w:rPr>
                <w:iCs/>
              </w:rPr>
              <w:t>(Noteikumu projekta 2. punkts)</w:t>
            </w:r>
            <w:r w:rsidR="00B91694" w:rsidRPr="000C3267">
              <w:t xml:space="preserve">. </w:t>
            </w:r>
            <w:r w:rsidRPr="000C3267">
              <w:t>Tiek veikti arī tehniski grozījumi, lai padarītu skaidrāku 5. punkta normu, tuvinot to arī Direktīvas 2017/1572</w:t>
            </w:r>
            <w:r w:rsidRPr="000C3267">
              <w:rPr>
                <w:rStyle w:val="Vresatsauce"/>
                <w:color w:val="002060"/>
              </w:rPr>
              <w:footnoteReference w:id="1"/>
            </w:r>
            <w:r w:rsidRPr="000C3267">
              <w:rPr>
                <w:color w:val="002060"/>
              </w:rPr>
              <w:t xml:space="preserve"> </w:t>
            </w:r>
            <w:r w:rsidRPr="000C3267">
              <w:t>4. panta normai, kura pašreiz ir ieviesta divās noteikumu vienībās - 5. punktā un 8.7. apakšpunktā. Tā kā attiecīgās normas ir apvienotas vienā vienībā - 5. punktā</w:t>
            </w:r>
            <w:r w:rsidR="000C3267" w:rsidRPr="000C3267">
              <w:t xml:space="preserve">, </w:t>
            </w:r>
            <w:r w:rsidRPr="000C3267">
              <w:rPr>
                <w:iCs/>
              </w:rPr>
              <w:t xml:space="preserve">attiecīgi </w:t>
            </w:r>
            <w:r w:rsidRPr="000C3267">
              <w:t xml:space="preserve">8.7. apakšpunkta norma tiek svītrota (Noteikumu projekta </w:t>
            </w:r>
            <w:r w:rsidR="000C3267" w:rsidRPr="000C3267">
              <w:t xml:space="preserve">1. un </w:t>
            </w:r>
            <w:r w:rsidRPr="000C3267">
              <w:t>4. punkts).</w:t>
            </w:r>
          </w:p>
          <w:p w14:paraId="231D1530" w14:textId="1C8E975D" w:rsidR="00841CE1" w:rsidRPr="000C3267" w:rsidRDefault="00841CE1" w:rsidP="0072208A">
            <w:pPr>
              <w:jc w:val="both"/>
            </w:pPr>
            <w:r w:rsidRPr="000C3267">
              <w:t>b ) </w:t>
            </w:r>
            <w:r w:rsidR="00682401" w:rsidRPr="000C3267">
              <w:t>labas ražošanas prakses</w:t>
            </w:r>
            <w:r w:rsidR="006E39CC" w:rsidRPr="000C3267">
              <w:t xml:space="preserve"> pārbaudes</w:t>
            </w:r>
            <w:r w:rsidR="00682401" w:rsidRPr="000C3267">
              <w:t xml:space="preserve"> (inspekcijas)</w:t>
            </w:r>
            <w:r w:rsidR="00B802A2" w:rsidRPr="000C3267">
              <w:t xml:space="preserve"> veic licencētajiem farmaceitiskās darbības subjektiem pēc licences izsniegšanas</w:t>
            </w:r>
            <w:r w:rsidR="00682401" w:rsidRPr="000C3267">
              <w:t xml:space="preserve"> (Noteikumu projekta 9. punkts).</w:t>
            </w:r>
          </w:p>
          <w:p w14:paraId="6205276A" w14:textId="1FDBAADB" w:rsidR="0065569C" w:rsidRPr="000C3267" w:rsidRDefault="0065569C" w:rsidP="00734CCB">
            <w:pPr>
              <w:jc w:val="both"/>
            </w:pPr>
          </w:p>
          <w:p w14:paraId="7DB1C34B" w14:textId="7C39CCCF" w:rsidR="005F7BE0" w:rsidRPr="000C3267" w:rsidRDefault="00EF4237" w:rsidP="0072208A">
            <w:pPr>
              <w:pStyle w:val="Bezatstarpm"/>
              <w:ind w:firstLine="686"/>
              <w:jc w:val="both"/>
              <w:rPr>
                <w:rFonts w:ascii="Times New Roman" w:hAnsi="Times New Roman" w:cs="Times New Roman"/>
                <w:sz w:val="24"/>
                <w:szCs w:val="24"/>
              </w:rPr>
            </w:pPr>
            <w:r w:rsidRPr="000C3267">
              <w:rPr>
                <w:rFonts w:ascii="Times New Roman" w:hAnsi="Times New Roman" w:cs="Times New Roman"/>
                <w:iCs/>
                <w:sz w:val="24"/>
                <w:szCs w:val="24"/>
                <w:shd w:val="clear" w:color="auto" w:fill="FFFFFF"/>
              </w:rPr>
              <w:t xml:space="preserve">Kā norādīts </w:t>
            </w:r>
            <w:r w:rsidR="005B2F74" w:rsidRPr="000C3267">
              <w:rPr>
                <w:rFonts w:ascii="Times New Roman" w:hAnsi="Times New Roman" w:cs="Times New Roman"/>
                <w:iCs/>
                <w:sz w:val="24"/>
                <w:szCs w:val="24"/>
                <w:shd w:val="clear" w:color="auto" w:fill="FFFFFF"/>
              </w:rPr>
              <w:t>EK</w:t>
            </w:r>
            <w:r w:rsidR="005B2F74" w:rsidRPr="000C3267">
              <w:rPr>
                <w:rFonts w:ascii="Times New Roman" w:hAnsi="Times New Roman" w:cs="Times New Roman"/>
                <w:sz w:val="24"/>
                <w:szCs w:val="24"/>
              </w:rPr>
              <w:t xml:space="preserve">, Eiropas Zāļu aģentūra un </w:t>
            </w:r>
            <w:r w:rsidR="005B2F74" w:rsidRPr="000C3267">
              <w:rPr>
                <w:rFonts w:ascii="Times New Roman" w:hAnsi="Times New Roman" w:cs="Times New Roman"/>
                <w:iCs/>
                <w:sz w:val="24"/>
                <w:szCs w:val="24"/>
                <w:shd w:val="clear" w:color="auto" w:fill="FFFFFF"/>
              </w:rPr>
              <w:t xml:space="preserve">Eiropas zāļu regulatīvā tīkla aģentūru vadītāju </w:t>
            </w:r>
            <w:r w:rsidR="005B2F74" w:rsidRPr="000C3267">
              <w:rPr>
                <w:rFonts w:ascii="Times New Roman" w:hAnsi="Times New Roman" w:cs="Times New Roman"/>
                <w:sz w:val="24"/>
                <w:szCs w:val="24"/>
              </w:rPr>
              <w:t>aktualizētajā jautājumu un atbilžu dokumentā par zāļu reglamentējuma jautājumiem COVID - 19 pandēmijas laikā</w:t>
            </w:r>
            <w:r w:rsidR="00D12309" w:rsidRPr="000C3267">
              <w:rPr>
                <w:rFonts w:ascii="Times New Roman" w:hAnsi="Times New Roman" w:cs="Times New Roman"/>
                <w:sz w:val="24"/>
                <w:szCs w:val="24"/>
              </w:rPr>
              <w:t xml:space="preserve"> </w:t>
            </w:r>
            <w:r w:rsidR="00CB377B" w:rsidRPr="000C3267">
              <w:rPr>
                <w:rFonts w:ascii="Times New Roman" w:hAnsi="Times New Roman" w:cs="Times New Roman"/>
                <w:sz w:val="24"/>
                <w:szCs w:val="24"/>
              </w:rPr>
              <w:t>atbilstības novērtēšanas</w:t>
            </w:r>
            <w:r w:rsidR="005F7BE0" w:rsidRPr="000C3267">
              <w:rPr>
                <w:rFonts w:ascii="Times New Roman" w:hAnsi="Times New Roman" w:cs="Times New Roman"/>
                <w:sz w:val="24"/>
                <w:szCs w:val="24"/>
              </w:rPr>
              <w:t xml:space="preserve"> vai kārtējās pārbaudes uz vietas atsāksies, tiklīdz COVID</w:t>
            </w:r>
            <w:r w:rsidR="00AD0659" w:rsidRPr="000C3267">
              <w:rPr>
                <w:rFonts w:ascii="Times New Roman" w:hAnsi="Times New Roman" w:cs="Times New Roman"/>
                <w:sz w:val="24"/>
                <w:szCs w:val="24"/>
              </w:rPr>
              <w:t> </w:t>
            </w:r>
            <w:r w:rsidR="005F7BE0" w:rsidRPr="000C3267">
              <w:rPr>
                <w:rFonts w:ascii="Times New Roman" w:hAnsi="Times New Roman" w:cs="Times New Roman"/>
                <w:sz w:val="24"/>
                <w:szCs w:val="24"/>
              </w:rPr>
              <w:t>-</w:t>
            </w:r>
            <w:r w:rsidR="00AD0659" w:rsidRPr="000C3267">
              <w:rPr>
                <w:rFonts w:ascii="Times New Roman" w:hAnsi="Times New Roman" w:cs="Times New Roman"/>
                <w:sz w:val="24"/>
                <w:szCs w:val="24"/>
              </w:rPr>
              <w:t> </w:t>
            </w:r>
            <w:r w:rsidR="005F7BE0" w:rsidRPr="000C3267">
              <w:rPr>
                <w:rFonts w:ascii="Times New Roman" w:hAnsi="Times New Roman" w:cs="Times New Roman"/>
                <w:sz w:val="24"/>
                <w:szCs w:val="24"/>
              </w:rPr>
              <w:t xml:space="preserve">19 ierobežojumi tiek atcelti, saskaņā ar uz risku balstītu inspekciju plānošanu, ņemot vērā pēdējās pārbaudes datumu. Ražotāju un importētāju pienākums ievērot </w:t>
            </w:r>
            <w:r w:rsidR="005B2F74" w:rsidRPr="000C3267">
              <w:rPr>
                <w:rFonts w:ascii="Times New Roman" w:hAnsi="Times New Roman" w:cs="Times New Roman"/>
                <w:sz w:val="24"/>
                <w:szCs w:val="24"/>
              </w:rPr>
              <w:t>labu ražošanas praksi</w:t>
            </w:r>
            <w:r w:rsidR="005F7BE0" w:rsidRPr="000C3267">
              <w:rPr>
                <w:rFonts w:ascii="Times New Roman" w:hAnsi="Times New Roman" w:cs="Times New Roman"/>
                <w:sz w:val="24"/>
                <w:szCs w:val="24"/>
              </w:rPr>
              <w:t xml:space="preserve"> netiek atcelts</w:t>
            </w:r>
            <w:r w:rsidR="00203D97" w:rsidRPr="000C3267">
              <w:rPr>
                <w:rFonts w:ascii="Times New Roman" w:hAnsi="Times New Roman" w:cs="Times New Roman"/>
                <w:sz w:val="24"/>
                <w:szCs w:val="24"/>
              </w:rPr>
              <w:t xml:space="preserve">, un </w:t>
            </w:r>
            <w:r w:rsidR="00B73659" w:rsidRPr="000C3267">
              <w:rPr>
                <w:rFonts w:ascii="Times New Roman" w:hAnsi="Times New Roman" w:cs="Times New Roman"/>
                <w:sz w:val="24"/>
                <w:szCs w:val="24"/>
              </w:rPr>
              <w:t>viņiem</w:t>
            </w:r>
            <w:r w:rsidR="005F7BE0" w:rsidRPr="000C3267">
              <w:rPr>
                <w:rFonts w:ascii="Times New Roman" w:hAnsi="Times New Roman" w:cs="Times New Roman"/>
                <w:sz w:val="24"/>
                <w:szCs w:val="24"/>
              </w:rPr>
              <w:t xml:space="preserve"> ir pienākums</w:t>
            </w:r>
            <w:r w:rsidR="008C025F" w:rsidRPr="000C3267">
              <w:rPr>
                <w:rFonts w:ascii="Times New Roman" w:hAnsi="Times New Roman" w:cs="Times New Roman"/>
                <w:sz w:val="24"/>
                <w:szCs w:val="24"/>
              </w:rPr>
              <w:t xml:space="preserve"> to </w:t>
            </w:r>
            <w:r w:rsidR="005F7BE0" w:rsidRPr="000C3267">
              <w:rPr>
                <w:rFonts w:ascii="Times New Roman" w:hAnsi="Times New Roman" w:cs="Times New Roman"/>
                <w:sz w:val="24"/>
                <w:szCs w:val="24"/>
              </w:rPr>
              <w:t>turpināt</w:t>
            </w:r>
            <w:r w:rsidR="00203D97" w:rsidRPr="000C3267">
              <w:rPr>
                <w:rFonts w:ascii="Times New Roman" w:hAnsi="Times New Roman" w:cs="Times New Roman"/>
                <w:sz w:val="24"/>
                <w:szCs w:val="24"/>
              </w:rPr>
              <w:t xml:space="preserve"> </w:t>
            </w:r>
            <w:r w:rsidR="008C025F" w:rsidRPr="000C3267">
              <w:rPr>
                <w:rFonts w:ascii="Times New Roman" w:hAnsi="Times New Roman" w:cs="Times New Roman"/>
                <w:sz w:val="24"/>
                <w:szCs w:val="24"/>
              </w:rPr>
              <w:t>ievērot</w:t>
            </w:r>
            <w:r w:rsidR="005F7BE0" w:rsidRPr="000C3267">
              <w:rPr>
                <w:rFonts w:ascii="Times New Roman" w:hAnsi="Times New Roman" w:cs="Times New Roman"/>
                <w:sz w:val="24"/>
                <w:szCs w:val="24"/>
              </w:rPr>
              <w:t xml:space="preserve">. </w:t>
            </w:r>
            <w:r w:rsidR="005B2F74" w:rsidRPr="000C3267">
              <w:rPr>
                <w:rFonts w:ascii="Times New Roman" w:hAnsi="Times New Roman" w:cs="Times New Roman"/>
                <w:sz w:val="24"/>
                <w:szCs w:val="24"/>
              </w:rPr>
              <w:t>Savukārt u</w:t>
            </w:r>
            <w:r w:rsidR="005F7BE0" w:rsidRPr="000C3267">
              <w:rPr>
                <w:rFonts w:ascii="Times New Roman" w:hAnsi="Times New Roman" w:cs="Times New Roman"/>
                <w:sz w:val="24"/>
                <w:szCs w:val="24"/>
              </w:rPr>
              <w:t xml:space="preserve">zraudzības iestādes </w:t>
            </w:r>
            <w:r w:rsidR="00203D97" w:rsidRPr="000C3267">
              <w:rPr>
                <w:rFonts w:ascii="Times New Roman" w:hAnsi="Times New Roman" w:cs="Times New Roman"/>
                <w:sz w:val="24"/>
                <w:szCs w:val="24"/>
              </w:rPr>
              <w:t>p</w:t>
            </w:r>
            <w:r w:rsidR="005F7BE0" w:rsidRPr="000C3267">
              <w:rPr>
                <w:rFonts w:ascii="Times New Roman" w:hAnsi="Times New Roman" w:cs="Times New Roman"/>
                <w:sz w:val="24"/>
                <w:szCs w:val="24"/>
              </w:rPr>
              <w:t>ārbaudes</w:t>
            </w:r>
            <w:r w:rsidR="00203D97" w:rsidRPr="000C3267">
              <w:rPr>
                <w:rFonts w:ascii="Times New Roman" w:hAnsi="Times New Roman" w:cs="Times New Roman"/>
                <w:sz w:val="24"/>
                <w:szCs w:val="24"/>
              </w:rPr>
              <w:t xml:space="preserve"> </w:t>
            </w:r>
            <w:r w:rsidR="005F7BE0" w:rsidRPr="000C3267">
              <w:rPr>
                <w:rFonts w:ascii="Times New Roman" w:hAnsi="Times New Roman" w:cs="Times New Roman"/>
                <w:sz w:val="24"/>
                <w:szCs w:val="24"/>
              </w:rPr>
              <w:t>(</w:t>
            </w:r>
            <w:r w:rsidR="00203D97" w:rsidRPr="000C3267">
              <w:rPr>
                <w:rFonts w:ascii="Times New Roman" w:hAnsi="Times New Roman" w:cs="Times New Roman"/>
                <w:sz w:val="24"/>
                <w:szCs w:val="24"/>
              </w:rPr>
              <w:t>tai skaitā</w:t>
            </w:r>
            <w:r w:rsidR="005F7BE0" w:rsidRPr="000C3267">
              <w:rPr>
                <w:rFonts w:ascii="Times New Roman" w:hAnsi="Times New Roman" w:cs="Times New Roman"/>
                <w:sz w:val="24"/>
                <w:szCs w:val="24"/>
              </w:rPr>
              <w:t xml:space="preserve"> attālus novērtējumus) var uzsākt jebkurā laikā, un neatbilstības gadījumā tiks uzsāktas attiecīgas </w:t>
            </w:r>
            <w:r w:rsidR="0042435F" w:rsidRPr="000C3267">
              <w:rPr>
                <w:rFonts w:ascii="Times New Roman" w:hAnsi="Times New Roman" w:cs="Times New Roman"/>
                <w:sz w:val="24"/>
                <w:szCs w:val="24"/>
              </w:rPr>
              <w:t xml:space="preserve">administratīvas </w:t>
            </w:r>
            <w:r w:rsidR="005F7BE0" w:rsidRPr="000C3267">
              <w:rPr>
                <w:rFonts w:ascii="Times New Roman" w:hAnsi="Times New Roman" w:cs="Times New Roman"/>
                <w:sz w:val="24"/>
                <w:szCs w:val="24"/>
              </w:rPr>
              <w:t>darbības.</w:t>
            </w:r>
          </w:p>
          <w:p w14:paraId="48EF7C29" w14:textId="77777777" w:rsidR="00B10021" w:rsidRPr="000C3267" w:rsidRDefault="00B10021" w:rsidP="00B0720E">
            <w:pPr>
              <w:pStyle w:val="Bezatstarpm1"/>
              <w:jc w:val="both"/>
              <w:rPr>
                <w:rFonts w:ascii="Times New Roman" w:hAnsi="Times New Roman"/>
                <w:b/>
                <w:bCs/>
                <w:sz w:val="24"/>
                <w:szCs w:val="24"/>
                <w:lang w:val="lv-LV"/>
              </w:rPr>
            </w:pPr>
          </w:p>
          <w:p w14:paraId="262AA42F" w14:textId="25518AED" w:rsidR="007E5839" w:rsidRPr="000C3267" w:rsidRDefault="00740CC8" w:rsidP="007E5839">
            <w:pPr>
              <w:pStyle w:val="Bezatstarpm1"/>
              <w:jc w:val="both"/>
              <w:rPr>
                <w:rFonts w:ascii="Times New Roman" w:hAnsi="Times New Roman"/>
                <w:b/>
                <w:bCs/>
                <w:i/>
                <w:iCs/>
                <w:sz w:val="24"/>
                <w:szCs w:val="24"/>
                <w:lang w:val="lv-LV"/>
              </w:rPr>
            </w:pPr>
            <w:r w:rsidRPr="000C3267">
              <w:rPr>
                <w:rFonts w:ascii="Times New Roman" w:hAnsi="Times New Roman"/>
                <w:b/>
                <w:bCs/>
                <w:i/>
                <w:iCs/>
                <w:sz w:val="24"/>
                <w:szCs w:val="24"/>
                <w:lang w:val="lv-LV"/>
              </w:rPr>
              <w:t>3</w:t>
            </w:r>
            <w:r w:rsidR="00785E4D" w:rsidRPr="000C3267">
              <w:rPr>
                <w:rFonts w:ascii="Times New Roman" w:hAnsi="Times New Roman"/>
                <w:b/>
                <w:bCs/>
                <w:i/>
                <w:iCs/>
                <w:sz w:val="24"/>
                <w:szCs w:val="24"/>
                <w:lang w:val="lv-LV"/>
              </w:rPr>
              <w:t>.</w:t>
            </w:r>
            <w:r w:rsidR="00785E4D" w:rsidRPr="000C3267">
              <w:rPr>
                <w:rFonts w:ascii="Times New Roman" w:hAnsi="Times New Roman"/>
                <w:b/>
                <w:bCs/>
                <w:sz w:val="24"/>
                <w:szCs w:val="24"/>
                <w:lang w:val="lv-LV"/>
              </w:rPr>
              <w:t> </w:t>
            </w:r>
            <w:r w:rsidR="00B802A2" w:rsidRPr="000C3267">
              <w:rPr>
                <w:rFonts w:ascii="Times New Roman" w:hAnsi="Times New Roman"/>
                <w:b/>
                <w:bCs/>
                <w:i/>
                <w:iCs/>
                <w:sz w:val="24"/>
                <w:szCs w:val="24"/>
                <w:lang w:val="lv-LV"/>
              </w:rPr>
              <w:t>Jāprecizē zāļu ražotāja pienākumi, tai skaitā</w:t>
            </w:r>
            <w:r w:rsidR="00B802A2" w:rsidRPr="000C3267">
              <w:rPr>
                <w:rFonts w:ascii="Times New Roman" w:hAnsi="Times New Roman"/>
                <w:b/>
                <w:bCs/>
                <w:sz w:val="24"/>
                <w:szCs w:val="24"/>
                <w:lang w:val="lv-LV"/>
              </w:rPr>
              <w:t xml:space="preserve"> </w:t>
            </w:r>
            <w:r w:rsidR="00B802A2" w:rsidRPr="000C3267">
              <w:rPr>
                <w:rFonts w:ascii="Times New Roman" w:hAnsi="Times New Roman"/>
                <w:b/>
                <w:bCs/>
                <w:i/>
                <w:iCs/>
                <w:sz w:val="24"/>
                <w:szCs w:val="24"/>
                <w:lang w:val="lv-LV"/>
              </w:rPr>
              <w:t>j</w:t>
            </w:r>
            <w:r w:rsidR="005B2F74" w:rsidRPr="000C3267">
              <w:rPr>
                <w:rFonts w:ascii="Times New Roman" w:hAnsi="Times New Roman"/>
                <w:b/>
                <w:bCs/>
                <w:i/>
                <w:iCs/>
                <w:sz w:val="24"/>
                <w:szCs w:val="24"/>
                <w:lang w:val="lv-LV"/>
              </w:rPr>
              <w:t>āatļauj</w:t>
            </w:r>
            <w:r w:rsidR="007E5839" w:rsidRPr="000C3267">
              <w:rPr>
                <w:rFonts w:ascii="Times New Roman" w:hAnsi="Times New Roman"/>
                <w:b/>
                <w:bCs/>
                <w:i/>
                <w:iCs/>
                <w:sz w:val="24"/>
                <w:szCs w:val="24"/>
                <w:lang w:val="lv-LV"/>
              </w:rPr>
              <w:t xml:space="preserve"> </w:t>
            </w:r>
            <w:r w:rsidR="00E0226B" w:rsidRPr="000C3267">
              <w:rPr>
                <w:rFonts w:ascii="Times New Roman" w:hAnsi="Times New Roman"/>
                <w:b/>
                <w:bCs/>
                <w:i/>
                <w:iCs/>
                <w:sz w:val="24"/>
                <w:szCs w:val="24"/>
                <w:lang w:val="lv-LV"/>
              </w:rPr>
              <w:t xml:space="preserve">līdz 2021. gada 31. decembrim </w:t>
            </w:r>
            <w:r w:rsidR="007E5839" w:rsidRPr="000C3267">
              <w:rPr>
                <w:rFonts w:ascii="Times New Roman" w:hAnsi="Times New Roman"/>
                <w:b/>
                <w:bCs/>
                <w:i/>
                <w:iCs/>
                <w:sz w:val="24"/>
                <w:szCs w:val="24"/>
                <w:lang w:val="lv-LV"/>
              </w:rPr>
              <w:t>kvalificēt</w:t>
            </w:r>
            <w:r w:rsidR="00880A2A" w:rsidRPr="000C3267">
              <w:rPr>
                <w:rFonts w:ascii="Times New Roman" w:hAnsi="Times New Roman"/>
                <w:b/>
                <w:bCs/>
                <w:i/>
                <w:iCs/>
                <w:sz w:val="24"/>
                <w:szCs w:val="24"/>
                <w:lang w:val="lv-LV"/>
              </w:rPr>
              <w:t>aj</w:t>
            </w:r>
            <w:r w:rsidR="007E5839" w:rsidRPr="000C3267">
              <w:rPr>
                <w:rFonts w:ascii="Times New Roman" w:hAnsi="Times New Roman"/>
                <w:b/>
                <w:bCs/>
                <w:i/>
                <w:iCs/>
                <w:sz w:val="24"/>
                <w:szCs w:val="24"/>
                <w:lang w:val="lv-LV"/>
              </w:rPr>
              <w:t xml:space="preserve">ai personai </w:t>
            </w:r>
            <w:r w:rsidR="00E0226B" w:rsidRPr="000C3267">
              <w:rPr>
                <w:rFonts w:ascii="Times New Roman" w:hAnsi="Times New Roman"/>
                <w:b/>
                <w:bCs/>
                <w:i/>
                <w:iCs/>
                <w:sz w:val="24"/>
                <w:szCs w:val="24"/>
                <w:lang w:val="lv-LV"/>
              </w:rPr>
              <w:t xml:space="preserve">veikt </w:t>
            </w:r>
            <w:r w:rsidR="007E5839" w:rsidRPr="000C3267">
              <w:rPr>
                <w:rFonts w:ascii="Times New Roman" w:hAnsi="Times New Roman"/>
                <w:b/>
                <w:bCs/>
                <w:i/>
                <w:iCs/>
                <w:sz w:val="24"/>
                <w:szCs w:val="24"/>
                <w:lang w:val="lv-LV"/>
              </w:rPr>
              <w:t xml:space="preserve">zāļu ražošanas sēriju </w:t>
            </w:r>
            <w:r w:rsidR="00E0226B" w:rsidRPr="000C3267">
              <w:rPr>
                <w:rFonts w:ascii="Times New Roman" w:hAnsi="Times New Roman"/>
                <w:b/>
                <w:bCs/>
                <w:i/>
                <w:iCs/>
                <w:sz w:val="24"/>
                <w:szCs w:val="24"/>
                <w:lang w:val="lv-LV"/>
              </w:rPr>
              <w:t xml:space="preserve">attālinātu </w:t>
            </w:r>
            <w:r w:rsidR="007E5839" w:rsidRPr="000C3267">
              <w:rPr>
                <w:rFonts w:ascii="Times New Roman" w:hAnsi="Times New Roman"/>
                <w:b/>
                <w:bCs/>
                <w:i/>
                <w:iCs/>
                <w:sz w:val="24"/>
                <w:szCs w:val="24"/>
                <w:lang w:val="lv-LV"/>
              </w:rPr>
              <w:t>sertificēšanu un atļaut zāļu ražotājiem attālināti veikt aktīvo vielu ražotāju un izplatītāju auditus.</w:t>
            </w:r>
          </w:p>
          <w:p w14:paraId="0BE2E775" w14:textId="444B6C28" w:rsidR="00785E4D" w:rsidRPr="000C3267" w:rsidRDefault="00785E4D" w:rsidP="00785E4D">
            <w:pPr>
              <w:pStyle w:val="Bezatstarpm1"/>
              <w:jc w:val="both"/>
              <w:rPr>
                <w:rFonts w:ascii="Times New Roman" w:hAnsi="Times New Roman"/>
                <w:sz w:val="24"/>
                <w:szCs w:val="24"/>
                <w:shd w:val="clear" w:color="auto" w:fill="FFFFFF"/>
                <w:lang w:val="lv-LV"/>
              </w:rPr>
            </w:pPr>
            <w:r w:rsidRPr="000C3267">
              <w:rPr>
                <w:rFonts w:ascii="Times New Roman" w:hAnsi="Times New Roman"/>
                <w:sz w:val="24"/>
                <w:szCs w:val="24"/>
                <w:shd w:val="clear" w:color="auto" w:fill="FFFFFF"/>
                <w:lang w:val="lv-LV"/>
              </w:rPr>
              <w:t>Pašreiz regulējum</w:t>
            </w:r>
            <w:r w:rsidR="00F811CB" w:rsidRPr="000C3267">
              <w:rPr>
                <w:rFonts w:ascii="Times New Roman" w:hAnsi="Times New Roman"/>
                <w:sz w:val="24"/>
                <w:szCs w:val="24"/>
                <w:shd w:val="clear" w:color="auto" w:fill="FFFFFF"/>
                <w:lang w:val="lv-LV"/>
              </w:rPr>
              <w:t>ā</w:t>
            </w:r>
            <w:r w:rsidRPr="000C3267">
              <w:rPr>
                <w:rFonts w:ascii="Times New Roman" w:hAnsi="Times New Roman"/>
                <w:sz w:val="24"/>
                <w:szCs w:val="24"/>
                <w:shd w:val="clear" w:color="auto" w:fill="FFFFFF"/>
                <w:lang w:val="lv-LV"/>
              </w:rPr>
              <w:t xml:space="preserve"> MK noteikumos 304 </w:t>
            </w:r>
            <w:r w:rsidR="00F811CB" w:rsidRPr="000C3267">
              <w:rPr>
                <w:rFonts w:ascii="Times New Roman" w:hAnsi="Times New Roman"/>
                <w:sz w:val="24"/>
                <w:szCs w:val="24"/>
                <w:shd w:val="clear" w:color="auto" w:fill="FFFFFF"/>
                <w:lang w:val="lv-LV"/>
              </w:rPr>
              <w:t>1</w:t>
            </w:r>
            <w:r w:rsidRPr="000C3267">
              <w:rPr>
                <w:rFonts w:ascii="Times New Roman" w:hAnsi="Times New Roman"/>
                <w:sz w:val="24"/>
                <w:szCs w:val="24"/>
                <w:shd w:val="clear" w:color="auto" w:fill="FFFFFF"/>
                <w:lang w:val="lv-LV"/>
              </w:rPr>
              <w:t>1.</w:t>
            </w:r>
            <w:r w:rsidR="00F811CB" w:rsidRPr="000C3267">
              <w:rPr>
                <w:rFonts w:ascii="Times New Roman" w:hAnsi="Times New Roman"/>
                <w:sz w:val="24"/>
                <w:szCs w:val="24"/>
                <w:shd w:val="clear" w:color="auto" w:fill="FFFFFF"/>
                <w:lang w:val="lv-LV"/>
              </w:rPr>
              <w:t> </w:t>
            </w:r>
            <w:r w:rsidRPr="000C3267">
              <w:rPr>
                <w:rFonts w:ascii="Times New Roman" w:hAnsi="Times New Roman"/>
                <w:sz w:val="24"/>
                <w:szCs w:val="24"/>
                <w:shd w:val="clear" w:color="auto" w:fill="FFFFFF"/>
                <w:lang w:val="lv-LV"/>
              </w:rPr>
              <w:t>punkt</w:t>
            </w:r>
            <w:r w:rsidR="00F811CB" w:rsidRPr="000C3267">
              <w:rPr>
                <w:rFonts w:ascii="Times New Roman" w:hAnsi="Times New Roman"/>
                <w:sz w:val="24"/>
                <w:szCs w:val="24"/>
                <w:shd w:val="clear" w:color="auto" w:fill="FFFFFF"/>
                <w:lang w:val="lv-LV"/>
              </w:rPr>
              <w:t>ā norma</w:t>
            </w:r>
            <w:r w:rsidRPr="000C3267">
              <w:rPr>
                <w:rFonts w:ascii="Times New Roman" w:hAnsi="Times New Roman"/>
                <w:sz w:val="24"/>
                <w:szCs w:val="24"/>
                <w:shd w:val="clear" w:color="auto" w:fill="FFFFFF"/>
                <w:lang w:val="lv-LV"/>
              </w:rPr>
              <w:t xml:space="preserve"> nenosaka attālinātu sēriju sertificēšanu, kā arī zāļu ražotāja </w:t>
            </w:r>
            <w:r w:rsidR="00880A2A" w:rsidRPr="000C3267">
              <w:rPr>
                <w:rFonts w:ascii="Times New Roman" w:hAnsi="Times New Roman"/>
                <w:sz w:val="24"/>
                <w:szCs w:val="24"/>
                <w:shd w:val="clear" w:color="auto" w:fill="FFFFFF"/>
                <w:lang w:val="lv-LV"/>
              </w:rPr>
              <w:t xml:space="preserve">veiktus </w:t>
            </w:r>
            <w:r w:rsidRPr="000C3267">
              <w:rPr>
                <w:rFonts w:ascii="Times New Roman" w:hAnsi="Times New Roman"/>
                <w:bCs/>
                <w:sz w:val="24"/>
                <w:szCs w:val="24"/>
                <w:lang w:val="lv-LV"/>
              </w:rPr>
              <w:t>labas ražošanas prakses un labas izplatīšanas pārbaudes</w:t>
            </w:r>
            <w:r w:rsidR="00880A2A" w:rsidRPr="000C3267">
              <w:rPr>
                <w:rFonts w:ascii="Times New Roman" w:hAnsi="Times New Roman"/>
                <w:bCs/>
                <w:sz w:val="24"/>
                <w:szCs w:val="24"/>
                <w:lang w:val="lv-LV"/>
              </w:rPr>
              <w:t xml:space="preserve"> auditus</w:t>
            </w:r>
            <w:r w:rsidRPr="000C3267">
              <w:rPr>
                <w:rFonts w:ascii="Times New Roman" w:hAnsi="Times New Roman"/>
                <w:bCs/>
                <w:sz w:val="24"/>
                <w:szCs w:val="24"/>
                <w:lang w:val="lv-LV"/>
              </w:rPr>
              <w:t>,</w:t>
            </w:r>
            <w:r w:rsidR="004166A7" w:rsidRPr="000C3267">
              <w:rPr>
                <w:rFonts w:ascii="Times New Roman" w:hAnsi="Times New Roman"/>
                <w:bCs/>
                <w:sz w:val="24"/>
                <w:szCs w:val="24"/>
                <w:lang w:val="lv-LV"/>
              </w:rPr>
              <w:t xml:space="preserve"> </w:t>
            </w:r>
            <w:r w:rsidRPr="000C3267">
              <w:rPr>
                <w:rFonts w:ascii="Times New Roman" w:hAnsi="Times New Roman"/>
                <w:bCs/>
                <w:sz w:val="24"/>
                <w:szCs w:val="24"/>
                <w:lang w:val="lv-LV"/>
              </w:rPr>
              <w:t xml:space="preserve">ko veic attālināti, </w:t>
            </w:r>
            <w:r w:rsidRPr="000C3267">
              <w:rPr>
                <w:rFonts w:ascii="Times New Roman" w:hAnsi="Times New Roman"/>
                <w:sz w:val="24"/>
                <w:szCs w:val="24"/>
                <w:shd w:val="clear" w:color="auto" w:fill="FFFFFF"/>
                <w:lang w:val="lv-LV"/>
              </w:rPr>
              <w:t>auditējot aktīvo vielu ražotāja ražotnes un aktīvo vielu izplatītāja darbības vietas.</w:t>
            </w:r>
          </w:p>
          <w:p w14:paraId="6B31EB1B" w14:textId="78F8AD6A" w:rsidR="00B700EA" w:rsidRPr="000C3267" w:rsidRDefault="004166A7" w:rsidP="00926131">
            <w:pPr>
              <w:pStyle w:val="Bezatstarpm1"/>
              <w:jc w:val="both"/>
              <w:rPr>
                <w:rFonts w:ascii="Times New Roman" w:hAnsi="Times New Roman"/>
                <w:sz w:val="24"/>
                <w:szCs w:val="24"/>
                <w:lang w:val="lv-LV"/>
              </w:rPr>
            </w:pPr>
            <w:r w:rsidRPr="000C3267">
              <w:rPr>
                <w:rFonts w:ascii="Times New Roman" w:hAnsi="Times New Roman"/>
                <w:sz w:val="24"/>
                <w:szCs w:val="24"/>
                <w:lang w:val="lv-LV"/>
              </w:rPr>
              <w:t xml:space="preserve">Savukārt </w:t>
            </w:r>
            <w:r w:rsidR="005B2F74" w:rsidRPr="000C3267">
              <w:rPr>
                <w:rFonts w:ascii="Times New Roman" w:hAnsi="Times New Roman"/>
                <w:iCs/>
                <w:sz w:val="24"/>
                <w:szCs w:val="24"/>
                <w:shd w:val="clear" w:color="auto" w:fill="FFFFFF"/>
                <w:lang w:val="lv-LV"/>
              </w:rPr>
              <w:t>EK</w:t>
            </w:r>
            <w:r w:rsidR="005B2F74" w:rsidRPr="000C3267">
              <w:rPr>
                <w:rFonts w:ascii="Times New Roman" w:hAnsi="Times New Roman"/>
                <w:sz w:val="24"/>
                <w:szCs w:val="24"/>
                <w:lang w:val="lv-LV"/>
              </w:rPr>
              <w:t xml:space="preserve">, Eiropas Zāļu aģentūra un </w:t>
            </w:r>
            <w:r w:rsidR="005B2F74" w:rsidRPr="000C3267">
              <w:rPr>
                <w:rFonts w:ascii="Times New Roman" w:hAnsi="Times New Roman"/>
                <w:iCs/>
                <w:sz w:val="24"/>
                <w:szCs w:val="24"/>
                <w:shd w:val="clear" w:color="auto" w:fill="FFFFFF"/>
                <w:lang w:val="lv-LV"/>
              </w:rPr>
              <w:t xml:space="preserve">Eiropas zāļu regulatīvā tīkla aģentūru vadītāju </w:t>
            </w:r>
            <w:r w:rsidR="005B2F74" w:rsidRPr="000C3267">
              <w:rPr>
                <w:rFonts w:ascii="Times New Roman" w:hAnsi="Times New Roman"/>
                <w:sz w:val="24"/>
                <w:szCs w:val="24"/>
                <w:lang w:val="lv-LV"/>
              </w:rPr>
              <w:t>aktualizētajā jautājumu un atbilžu dokumentā par zāļu reglamentējuma jautājumiem COVID - 19 pandēmijas laikā</w:t>
            </w:r>
            <w:r w:rsidR="0079068C" w:rsidRPr="000C3267">
              <w:rPr>
                <w:rFonts w:ascii="Times New Roman" w:hAnsi="Times New Roman"/>
                <w:sz w:val="24"/>
                <w:szCs w:val="24"/>
                <w:lang w:val="lv-LV"/>
              </w:rPr>
              <w:t xml:space="preserve"> </w:t>
            </w:r>
            <w:r w:rsidR="00926131" w:rsidRPr="000C3267">
              <w:rPr>
                <w:rFonts w:ascii="Times New Roman" w:hAnsi="Times New Roman"/>
                <w:sz w:val="24"/>
                <w:szCs w:val="24"/>
                <w:lang w:val="lv-LV"/>
              </w:rPr>
              <w:t xml:space="preserve">aicina dalībvalstis </w:t>
            </w:r>
            <w:r w:rsidR="00212A54" w:rsidRPr="000C3267">
              <w:rPr>
                <w:rFonts w:ascii="Times New Roman" w:hAnsi="Times New Roman"/>
                <w:sz w:val="24"/>
                <w:szCs w:val="24"/>
                <w:lang w:val="lv-LV"/>
              </w:rPr>
              <w:t xml:space="preserve">pieļaut </w:t>
            </w:r>
            <w:r w:rsidR="00D81400" w:rsidRPr="000C3267">
              <w:rPr>
                <w:rFonts w:ascii="Times New Roman" w:hAnsi="Times New Roman"/>
                <w:sz w:val="24"/>
                <w:szCs w:val="24"/>
                <w:lang w:val="lv-LV"/>
              </w:rPr>
              <w:t>arī</w:t>
            </w:r>
            <w:r w:rsidR="00926131" w:rsidRPr="000C3267">
              <w:rPr>
                <w:rFonts w:ascii="Times New Roman" w:hAnsi="Times New Roman"/>
                <w:sz w:val="24"/>
                <w:szCs w:val="24"/>
                <w:lang w:val="lv-LV"/>
              </w:rPr>
              <w:t>:</w:t>
            </w:r>
          </w:p>
          <w:p w14:paraId="0FA531AF" w14:textId="5424B60E" w:rsidR="00D81400" w:rsidRPr="000C3267" w:rsidRDefault="005B2F74" w:rsidP="00D81400">
            <w:pPr>
              <w:pStyle w:val="Bezatstarpm1"/>
              <w:ind w:firstLine="546"/>
              <w:jc w:val="both"/>
              <w:rPr>
                <w:rFonts w:ascii="Times New Roman" w:hAnsi="Times New Roman"/>
                <w:sz w:val="24"/>
                <w:szCs w:val="24"/>
                <w:lang w:val="lv-LV"/>
              </w:rPr>
            </w:pPr>
            <w:r w:rsidRPr="000C3267">
              <w:rPr>
                <w:rFonts w:ascii="Times New Roman" w:hAnsi="Times New Roman"/>
                <w:sz w:val="24"/>
                <w:szCs w:val="24"/>
                <w:lang w:val="lv-LV"/>
              </w:rPr>
              <w:t>a</w:t>
            </w:r>
            <w:r w:rsidR="00D81400" w:rsidRPr="000C3267">
              <w:rPr>
                <w:rFonts w:ascii="Times New Roman" w:hAnsi="Times New Roman"/>
                <w:sz w:val="24"/>
                <w:szCs w:val="24"/>
                <w:lang w:val="lv-LV"/>
              </w:rPr>
              <w:t xml:space="preserve">) attālinātus zāļu ražotāja </w:t>
            </w:r>
            <w:r w:rsidR="0042435F" w:rsidRPr="000C3267">
              <w:rPr>
                <w:rFonts w:ascii="Times New Roman" w:hAnsi="Times New Roman"/>
                <w:sz w:val="24"/>
                <w:szCs w:val="24"/>
                <w:lang w:val="lv-LV"/>
              </w:rPr>
              <w:t xml:space="preserve">veiktus </w:t>
            </w:r>
            <w:r w:rsidR="00D81400" w:rsidRPr="000C3267">
              <w:rPr>
                <w:rFonts w:ascii="Times New Roman" w:hAnsi="Times New Roman"/>
                <w:sz w:val="24"/>
                <w:szCs w:val="24"/>
                <w:lang w:val="lv-LV"/>
              </w:rPr>
              <w:t xml:space="preserve">auditus, </w:t>
            </w:r>
            <w:r w:rsidR="00D81400" w:rsidRPr="000C3267">
              <w:rPr>
                <w:rFonts w:ascii="Times New Roman" w:hAnsi="Times New Roman"/>
                <w:sz w:val="24"/>
                <w:szCs w:val="24"/>
                <w:shd w:val="clear" w:color="auto" w:fill="FFFFFF"/>
                <w:lang w:val="lv-LV"/>
              </w:rPr>
              <w:t>ja auditi</w:t>
            </w:r>
            <w:r w:rsidR="00D81400" w:rsidRPr="000C3267">
              <w:rPr>
                <w:rFonts w:ascii="Times New Roman" w:hAnsi="Times New Roman"/>
                <w:sz w:val="24"/>
                <w:szCs w:val="24"/>
                <w:lang w:val="lv-LV"/>
              </w:rPr>
              <w:t xml:space="preserve"> uz vietas nav iespējami, kuros zāļu ražotājs pārbauda vai </w:t>
            </w:r>
            <w:r w:rsidR="00D81400" w:rsidRPr="000C3267">
              <w:rPr>
                <w:rFonts w:ascii="Times New Roman" w:hAnsi="Times New Roman"/>
                <w:sz w:val="24"/>
                <w:szCs w:val="24"/>
                <w:shd w:val="clear" w:color="auto" w:fill="FFFFFF"/>
                <w:lang w:val="lv-LV"/>
              </w:rPr>
              <w:t>aktīvās vielas ražotājs un izplatītājs ir ievērojis labu ražošanas praksi un labu izplatīšanas praksi</w:t>
            </w:r>
            <w:r w:rsidR="00830C2D" w:rsidRPr="000C3267">
              <w:rPr>
                <w:rFonts w:ascii="Times New Roman" w:hAnsi="Times New Roman"/>
                <w:sz w:val="24"/>
                <w:szCs w:val="24"/>
                <w:shd w:val="clear" w:color="auto" w:fill="FFFFFF"/>
                <w:lang w:val="lv-LV"/>
              </w:rPr>
              <w:t>,</w:t>
            </w:r>
            <w:r w:rsidR="00D81400" w:rsidRPr="000C3267">
              <w:rPr>
                <w:rFonts w:ascii="Times New Roman" w:hAnsi="Times New Roman"/>
                <w:sz w:val="24"/>
                <w:szCs w:val="24"/>
                <w:lang w:val="lv-LV"/>
              </w:rPr>
              <w:t xml:space="preserve"> šajā gadījumā kvalificētā persona </w:t>
            </w:r>
            <w:r w:rsidR="00830C2D" w:rsidRPr="000C3267">
              <w:rPr>
                <w:rFonts w:ascii="Times New Roman" w:hAnsi="Times New Roman"/>
                <w:sz w:val="24"/>
                <w:szCs w:val="24"/>
                <w:lang w:val="lv-LV"/>
              </w:rPr>
              <w:t>paļaujas</w:t>
            </w:r>
            <w:r w:rsidR="00D81400" w:rsidRPr="000C3267">
              <w:rPr>
                <w:rFonts w:ascii="Times New Roman" w:hAnsi="Times New Roman"/>
                <w:sz w:val="24"/>
                <w:szCs w:val="24"/>
                <w:lang w:val="lv-LV"/>
              </w:rPr>
              <w:t xml:space="preserve"> uz dokumentu auditu (“</w:t>
            </w:r>
            <w:r w:rsidR="00D81400" w:rsidRPr="000C3267">
              <w:rPr>
                <w:rFonts w:ascii="Times New Roman" w:hAnsi="Times New Roman"/>
                <w:i/>
                <w:iCs/>
                <w:sz w:val="24"/>
                <w:szCs w:val="24"/>
                <w:lang w:val="lv-LV"/>
              </w:rPr>
              <w:t>paper-</w:t>
            </w:r>
            <w:proofErr w:type="spellStart"/>
            <w:r w:rsidR="00D81400" w:rsidRPr="000C3267">
              <w:rPr>
                <w:rFonts w:ascii="Times New Roman" w:hAnsi="Times New Roman"/>
                <w:i/>
                <w:iCs/>
                <w:sz w:val="24"/>
                <w:szCs w:val="24"/>
                <w:lang w:val="lv-LV"/>
              </w:rPr>
              <w:t>based</w:t>
            </w:r>
            <w:proofErr w:type="spellEnd"/>
            <w:r w:rsidR="00D81400" w:rsidRPr="000C3267">
              <w:rPr>
                <w:rFonts w:ascii="Times New Roman" w:hAnsi="Times New Roman"/>
                <w:i/>
                <w:iCs/>
                <w:sz w:val="24"/>
                <w:szCs w:val="24"/>
                <w:lang w:val="lv-LV"/>
              </w:rPr>
              <w:t xml:space="preserve"> audits”</w:t>
            </w:r>
            <w:r w:rsidR="00D81400" w:rsidRPr="000C3267">
              <w:rPr>
                <w:rFonts w:ascii="Times New Roman" w:hAnsi="Times New Roman"/>
                <w:sz w:val="24"/>
                <w:szCs w:val="24"/>
                <w:lang w:val="lv-LV"/>
              </w:rPr>
              <w:t>), ņemot vērā arī</w:t>
            </w:r>
            <w:r w:rsidR="005A0FCB" w:rsidRPr="000C3267">
              <w:rPr>
                <w:rFonts w:ascii="Times New Roman" w:hAnsi="Times New Roman"/>
                <w:sz w:val="24"/>
                <w:szCs w:val="24"/>
                <w:lang w:val="lv-LV"/>
              </w:rPr>
              <w:t xml:space="preserve"> tam pieejamus</w:t>
            </w:r>
            <w:r w:rsidR="00D81400" w:rsidRPr="000C3267">
              <w:rPr>
                <w:rFonts w:ascii="Times New Roman" w:hAnsi="Times New Roman"/>
                <w:sz w:val="24"/>
                <w:szCs w:val="24"/>
                <w:lang w:val="lv-LV"/>
              </w:rPr>
              <w:t xml:space="preserve"> EEZ iestāžu veikto pārbaužu rezultātus. Attālinātie</w:t>
            </w:r>
            <w:r w:rsidR="0042435F" w:rsidRPr="000C3267">
              <w:rPr>
                <w:rFonts w:ascii="Times New Roman" w:hAnsi="Times New Roman"/>
                <w:sz w:val="24"/>
                <w:szCs w:val="24"/>
                <w:lang w:val="lv-LV"/>
              </w:rPr>
              <w:t>m</w:t>
            </w:r>
            <w:r w:rsidR="00D81400" w:rsidRPr="000C3267">
              <w:rPr>
                <w:rFonts w:ascii="Times New Roman" w:hAnsi="Times New Roman"/>
                <w:sz w:val="24"/>
                <w:szCs w:val="24"/>
                <w:lang w:val="lv-LV"/>
              </w:rPr>
              <w:t xml:space="preserve"> auditiem ir jāsniedz pārliecība, ka aktīvā viela ir piemērota </w:t>
            </w:r>
            <w:r w:rsidR="005A0FCB" w:rsidRPr="000C3267">
              <w:rPr>
                <w:rFonts w:ascii="Times New Roman" w:hAnsi="Times New Roman"/>
                <w:sz w:val="24"/>
                <w:szCs w:val="24"/>
                <w:lang w:val="lv-LV"/>
              </w:rPr>
              <w:t xml:space="preserve">tās izmantošanas produktā </w:t>
            </w:r>
            <w:r w:rsidR="00D81400" w:rsidRPr="000C3267">
              <w:rPr>
                <w:rFonts w:ascii="Times New Roman" w:hAnsi="Times New Roman"/>
                <w:sz w:val="24"/>
                <w:szCs w:val="24"/>
                <w:lang w:val="lv-LV"/>
              </w:rPr>
              <w:t>mērķim un negatīvi neietekmēs zāļu drošumu un efektivitāti, un kvalificētās  kontrolēm jābūt rūpīgām un uzmanīgām (tas nozīmē</w:t>
            </w:r>
            <w:r w:rsidR="00F811CB" w:rsidRPr="000C3267">
              <w:rPr>
                <w:rFonts w:ascii="Times New Roman" w:hAnsi="Times New Roman"/>
                <w:sz w:val="24"/>
                <w:szCs w:val="24"/>
                <w:lang w:val="lv-LV"/>
              </w:rPr>
              <w:t> </w:t>
            </w:r>
            <w:r w:rsidR="00D81400" w:rsidRPr="000C3267">
              <w:rPr>
                <w:rFonts w:ascii="Times New Roman" w:hAnsi="Times New Roman"/>
                <w:sz w:val="24"/>
                <w:szCs w:val="24"/>
                <w:lang w:val="lv-LV"/>
              </w:rPr>
              <w:t>-</w:t>
            </w:r>
            <w:r w:rsidR="00F811CB" w:rsidRPr="000C3267">
              <w:rPr>
                <w:rFonts w:ascii="Times New Roman" w:hAnsi="Times New Roman"/>
                <w:sz w:val="24"/>
                <w:szCs w:val="24"/>
                <w:lang w:val="lv-LV"/>
              </w:rPr>
              <w:t> </w:t>
            </w:r>
            <w:r w:rsidR="00D81400" w:rsidRPr="000C3267">
              <w:rPr>
                <w:rFonts w:ascii="Times New Roman" w:hAnsi="Times New Roman"/>
                <w:sz w:val="24"/>
                <w:szCs w:val="24"/>
                <w:lang w:val="lv-LV"/>
              </w:rPr>
              <w:t xml:space="preserve">kontroles pamato zinātniskā ceļā) un </w:t>
            </w:r>
            <w:r w:rsidR="005A0FCB" w:rsidRPr="000C3267">
              <w:rPr>
                <w:rFonts w:ascii="Times New Roman" w:hAnsi="Times New Roman"/>
                <w:sz w:val="24"/>
                <w:szCs w:val="24"/>
                <w:lang w:val="lv-LV"/>
              </w:rPr>
              <w:t xml:space="preserve">tiks reģistrēts </w:t>
            </w:r>
            <w:r w:rsidR="00D81400" w:rsidRPr="000C3267">
              <w:rPr>
                <w:rFonts w:ascii="Times New Roman" w:hAnsi="Times New Roman"/>
                <w:sz w:val="24"/>
                <w:szCs w:val="24"/>
                <w:lang w:val="lv-LV"/>
              </w:rPr>
              <w:t>riska novērtējums konkrēt</w:t>
            </w:r>
            <w:r w:rsidR="005A0FCB" w:rsidRPr="000C3267">
              <w:rPr>
                <w:rFonts w:ascii="Times New Roman" w:hAnsi="Times New Roman"/>
                <w:sz w:val="24"/>
                <w:szCs w:val="24"/>
                <w:lang w:val="lv-LV"/>
              </w:rPr>
              <w:t>ajam</w:t>
            </w:r>
            <w:r w:rsidR="00D81400" w:rsidRPr="000C3267">
              <w:rPr>
                <w:rFonts w:ascii="Times New Roman" w:hAnsi="Times New Roman"/>
                <w:sz w:val="24"/>
                <w:szCs w:val="24"/>
                <w:lang w:val="lv-LV"/>
              </w:rPr>
              <w:t xml:space="preserve"> produkt</w:t>
            </w:r>
            <w:r w:rsidR="005A0FCB" w:rsidRPr="000C3267">
              <w:rPr>
                <w:rFonts w:ascii="Times New Roman" w:hAnsi="Times New Roman"/>
                <w:sz w:val="24"/>
                <w:szCs w:val="24"/>
                <w:lang w:val="lv-LV"/>
              </w:rPr>
              <w:t>am</w:t>
            </w:r>
            <w:r w:rsidR="00D81400" w:rsidRPr="000C3267">
              <w:rPr>
                <w:rFonts w:ascii="Times New Roman" w:hAnsi="Times New Roman"/>
                <w:sz w:val="24"/>
                <w:szCs w:val="24"/>
                <w:lang w:val="lv-LV"/>
              </w:rPr>
              <w:t>.</w:t>
            </w:r>
          </w:p>
          <w:p w14:paraId="2892BAFB" w14:textId="09DA4DEC" w:rsidR="00E93781" w:rsidRPr="000C3267" w:rsidRDefault="005B2F74" w:rsidP="00032E0B">
            <w:pPr>
              <w:pStyle w:val="Bezatstarpm1"/>
              <w:ind w:firstLine="546"/>
              <w:jc w:val="both"/>
              <w:rPr>
                <w:rFonts w:ascii="Times New Roman" w:hAnsi="Times New Roman"/>
                <w:sz w:val="24"/>
                <w:szCs w:val="24"/>
                <w:lang w:val="lv-LV"/>
              </w:rPr>
            </w:pPr>
            <w:r w:rsidRPr="000C3267">
              <w:rPr>
                <w:rFonts w:ascii="Times New Roman" w:hAnsi="Times New Roman"/>
                <w:sz w:val="24"/>
                <w:szCs w:val="24"/>
                <w:lang w:val="lv-LV"/>
              </w:rPr>
              <w:t>b</w:t>
            </w:r>
            <w:r w:rsidR="00032D7D" w:rsidRPr="000C3267">
              <w:rPr>
                <w:rFonts w:ascii="Times New Roman" w:hAnsi="Times New Roman"/>
                <w:sz w:val="24"/>
                <w:szCs w:val="24"/>
                <w:lang w:val="lv-LV"/>
              </w:rPr>
              <w:t>) </w:t>
            </w:r>
            <w:r w:rsidR="00830C2D" w:rsidRPr="000C3267">
              <w:rPr>
                <w:rFonts w:ascii="Times New Roman" w:hAnsi="Times New Roman"/>
                <w:sz w:val="24"/>
                <w:szCs w:val="24"/>
                <w:lang w:val="lv-LV"/>
              </w:rPr>
              <w:t xml:space="preserve">zāļu ražošanas </w:t>
            </w:r>
            <w:r w:rsidR="00E93781" w:rsidRPr="000C3267">
              <w:rPr>
                <w:rFonts w:ascii="Times New Roman" w:hAnsi="Times New Roman"/>
                <w:sz w:val="24"/>
                <w:szCs w:val="24"/>
                <w:lang w:val="lv-LV"/>
              </w:rPr>
              <w:t xml:space="preserve">sēriju </w:t>
            </w:r>
            <w:r w:rsidR="002C52D9" w:rsidRPr="000C3267">
              <w:rPr>
                <w:rFonts w:ascii="Times New Roman" w:hAnsi="Times New Roman"/>
                <w:sz w:val="24"/>
                <w:szCs w:val="24"/>
                <w:lang w:val="lv-LV"/>
              </w:rPr>
              <w:t xml:space="preserve">attālinātu </w:t>
            </w:r>
            <w:r w:rsidR="00E93781" w:rsidRPr="000C3267">
              <w:rPr>
                <w:rFonts w:ascii="Times New Roman" w:hAnsi="Times New Roman"/>
                <w:sz w:val="24"/>
                <w:szCs w:val="24"/>
                <w:lang w:val="lv-LV"/>
              </w:rPr>
              <w:t>sertificēšan</w:t>
            </w:r>
            <w:r w:rsidR="00830C2D" w:rsidRPr="000C3267">
              <w:rPr>
                <w:rFonts w:ascii="Times New Roman" w:hAnsi="Times New Roman"/>
                <w:sz w:val="24"/>
                <w:szCs w:val="24"/>
                <w:lang w:val="lv-LV"/>
              </w:rPr>
              <w:t>u</w:t>
            </w:r>
            <w:r w:rsidR="00E93781" w:rsidRPr="000C3267">
              <w:rPr>
                <w:rFonts w:ascii="Times New Roman" w:hAnsi="Times New Roman"/>
                <w:sz w:val="24"/>
                <w:szCs w:val="24"/>
                <w:lang w:val="lv-LV"/>
              </w:rPr>
              <w:t xml:space="preserve"> saskaņā ar E</w:t>
            </w:r>
            <w:r w:rsidR="00905C91" w:rsidRPr="000C3267">
              <w:rPr>
                <w:rFonts w:ascii="Times New Roman" w:hAnsi="Times New Roman"/>
                <w:sz w:val="24"/>
                <w:szCs w:val="24"/>
                <w:lang w:val="lv-LV"/>
              </w:rPr>
              <w:t>iropas Savienības noteikumiem par labu ražošanas praksi</w:t>
            </w:r>
            <w:r w:rsidR="00830C2D" w:rsidRPr="000C3267">
              <w:rPr>
                <w:rFonts w:ascii="Times New Roman" w:hAnsi="Times New Roman"/>
                <w:sz w:val="24"/>
                <w:szCs w:val="24"/>
                <w:lang w:val="lv-LV"/>
              </w:rPr>
              <w:t>, ko veic kvalificētā persona (</w:t>
            </w:r>
            <w:r w:rsidR="00926131" w:rsidRPr="000C3267">
              <w:rPr>
                <w:rFonts w:ascii="Times New Roman" w:hAnsi="Times New Roman"/>
                <w:sz w:val="24"/>
                <w:szCs w:val="24"/>
                <w:lang w:val="lv-LV"/>
              </w:rPr>
              <w:t xml:space="preserve">Farmācijas likuma </w:t>
            </w:r>
            <w:r w:rsidR="00926131" w:rsidRPr="000C3267">
              <w:rPr>
                <w:rFonts w:ascii="Times New Roman" w:hAnsi="Times New Roman"/>
                <w:sz w:val="24"/>
                <w:szCs w:val="24"/>
                <w:shd w:val="clear" w:color="auto" w:fill="FFFFFF"/>
                <w:lang w:val="lv-LV"/>
              </w:rPr>
              <w:t>52.</w:t>
            </w:r>
            <w:r w:rsidR="005F6693" w:rsidRPr="000C3267">
              <w:rPr>
                <w:rFonts w:ascii="Times New Roman" w:hAnsi="Times New Roman"/>
                <w:sz w:val="24"/>
                <w:szCs w:val="24"/>
                <w:shd w:val="clear" w:color="auto" w:fill="FFFFFF"/>
                <w:lang w:val="lv-LV"/>
              </w:rPr>
              <w:t> </w:t>
            </w:r>
            <w:r w:rsidR="00926131" w:rsidRPr="000C3267">
              <w:rPr>
                <w:rFonts w:ascii="Times New Roman" w:hAnsi="Times New Roman"/>
                <w:sz w:val="24"/>
                <w:szCs w:val="24"/>
                <w:shd w:val="clear" w:color="auto" w:fill="FFFFFF"/>
                <w:lang w:val="lv-LV"/>
              </w:rPr>
              <w:t>pantā minētā  zāļu ražošanas uzņēmumā par zāļu ražošanu noteiktā atbildīgā amatpersona</w:t>
            </w:r>
            <w:r w:rsidR="000F0C23" w:rsidRPr="000C3267">
              <w:rPr>
                <w:rFonts w:ascii="Times New Roman" w:hAnsi="Times New Roman"/>
                <w:sz w:val="24"/>
                <w:szCs w:val="24"/>
                <w:lang w:val="lv-LV"/>
              </w:rPr>
              <w:t>)</w:t>
            </w:r>
            <w:r w:rsidR="00830C2D" w:rsidRPr="000C3267">
              <w:rPr>
                <w:rFonts w:ascii="Times New Roman" w:hAnsi="Times New Roman"/>
                <w:sz w:val="24"/>
                <w:szCs w:val="24"/>
                <w:lang w:val="lv-LV"/>
              </w:rPr>
              <w:t>, ja viņai</w:t>
            </w:r>
            <w:r w:rsidR="000F0C23" w:rsidRPr="000C3267">
              <w:rPr>
                <w:rFonts w:ascii="Times New Roman" w:hAnsi="Times New Roman"/>
                <w:sz w:val="24"/>
                <w:szCs w:val="24"/>
                <w:lang w:val="lv-LV"/>
              </w:rPr>
              <w:t xml:space="preserve"> </w:t>
            </w:r>
            <w:r w:rsidR="00E93781" w:rsidRPr="000C3267">
              <w:rPr>
                <w:rFonts w:ascii="Times New Roman" w:hAnsi="Times New Roman"/>
                <w:sz w:val="24"/>
                <w:szCs w:val="24"/>
                <w:lang w:val="lv-LV"/>
              </w:rPr>
              <w:t>ir piekļuve visai informācijai, kas nepieciešama, lai viņ</w:t>
            </w:r>
            <w:r w:rsidR="00926131" w:rsidRPr="000C3267">
              <w:rPr>
                <w:rFonts w:ascii="Times New Roman" w:hAnsi="Times New Roman"/>
                <w:sz w:val="24"/>
                <w:szCs w:val="24"/>
                <w:lang w:val="lv-LV"/>
              </w:rPr>
              <w:t>a</w:t>
            </w:r>
            <w:r w:rsidR="00E93781" w:rsidRPr="000C3267">
              <w:rPr>
                <w:rFonts w:ascii="Times New Roman" w:hAnsi="Times New Roman"/>
                <w:sz w:val="24"/>
                <w:szCs w:val="24"/>
                <w:lang w:val="lv-LV"/>
              </w:rPr>
              <w:t xml:space="preserve"> varētu sertificēt sēriju</w:t>
            </w:r>
            <w:r w:rsidR="00326622" w:rsidRPr="000C3267">
              <w:rPr>
                <w:rFonts w:ascii="Times New Roman" w:hAnsi="Times New Roman"/>
                <w:sz w:val="24"/>
                <w:szCs w:val="24"/>
                <w:lang w:val="lv-LV"/>
              </w:rPr>
              <w:t>. Ša</w:t>
            </w:r>
            <w:r w:rsidR="00926131" w:rsidRPr="000C3267">
              <w:rPr>
                <w:rFonts w:ascii="Times New Roman" w:hAnsi="Times New Roman"/>
                <w:sz w:val="24"/>
                <w:szCs w:val="24"/>
                <w:lang w:val="lv-LV"/>
              </w:rPr>
              <w:t>jā gadījum</w:t>
            </w:r>
            <w:r w:rsidR="00326622" w:rsidRPr="000C3267">
              <w:rPr>
                <w:rFonts w:ascii="Times New Roman" w:hAnsi="Times New Roman"/>
                <w:sz w:val="24"/>
                <w:szCs w:val="24"/>
                <w:lang w:val="lv-LV"/>
              </w:rPr>
              <w:t>ā</w:t>
            </w:r>
            <w:r w:rsidR="00926131" w:rsidRPr="000C3267">
              <w:rPr>
                <w:rFonts w:ascii="Times New Roman" w:hAnsi="Times New Roman"/>
                <w:sz w:val="24"/>
                <w:szCs w:val="24"/>
                <w:lang w:val="lv-LV"/>
              </w:rPr>
              <w:t xml:space="preserve"> kv</w:t>
            </w:r>
            <w:r w:rsidR="000F0C23" w:rsidRPr="000C3267">
              <w:rPr>
                <w:rFonts w:ascii="Times New Roman" w:hAnsi="Times New Roman"/>
                <w:sz w:val="24"/>
                <w:szCs w:val="24"/>
                <w:lang w:val="lv-LV"/>
              </w:rPr>
              <w:t>alificētās personas</w:t>
            </w:r>
            <w:r w:rsidR="00E93781" w:rsidRPr="000C3267">
              <w:rPr>
                <w:rFonts w:ascii="Times New Roman" w:hAnsi="Times New Roman"/>
                <w:sz w:val="24"/>
                <w:szCs w:val="24"/>
                <w:lang w:val="lv-LV"/>
              </w:rPr>
              <w:t xml:space="preserve"> pienākumi </w:t>
            </w:r>
            <w:r w:rsidR="00032D7D" w:rsidRPr="000C3267">
              <w:rPr>
                <w:rFonts w:ascii="Times New Roman" w:hAnsi="Times New Roman"/>
                <w:sz w:val="24"/>
                <w:szCs w:val="24"/>
                <w:lang w:val="lv-LV"/>
              </w:rPr>
              <w:t>un</w:t>
            </w:r>
            <w:r w:rsidR="00E93781" w:rsidRPr="000C3267">
              <w:rPr>
                <w:rFonts w:ascii="Times New Roman" w:hAnsi="Times New Roman"/>
                <w:sz w:val="24"/>
                <w:szCs w:val="24"/>
                <w:lang w:val="lv-LV"/>
              </w:rPr>
              <w:t xml:space="preserve"> atbildība paliek nemainīga</w:t>
            </w:r>
            <w:r w:rsidR="00032D7D" w:rsidRPr="000C3267">
              <w:rPr>
                <w:rFonts w:ascii="Times New Roman" w:hAnsi="Times New Roman"/>
                <w:sz w:val="24"/>
                <w:szCs w:val="24"/>
                <w:lang w:val="lv-LV"/>
              </w:rPr>
              <w:t>.</w:t>
            </w:r>
          </w:p>
          <w:p w14:paraId="354A5C81" w14:textId="1BC25D03" w:rsidR="00505F19" w:rsidRPr="000C3267" w:rsidRDefault="00F336F1" w:rsidP="00635354">
            <w:pPr>
              <w:jc w:val="both"/>
              <w:rPr>
                <w:i/>
                <w:iCs/>
              </w:rPr>
            </w:pPr>
            <w:r w:rsidRPr="000C3267">
              <w:t>Tāpēc Noteikumu projektā</w:t>
            </w:r>
            <w:r w:rsidR="005B2F74" w:rsidRPr="000C3267">
              <w:t xml:space="preserve"> </w:t>
            </w:r>
            <w:r w:rsidRPr="000C3267">
              <w:t xml:space="preserve">ir ietvertas pārejas noteikumu normas kas </w:t>
            </w:r>
            <w:r w:rsidR="002C52D9" w:rsidRPr="000C3267">
              <w:t xml:space="preserve">pieļauj iespēju </w:t>
            </w:r>
            <w:r w:rsidR="002C52D9" w:rsidRPr="000C3267">
              <w:rPr>
                <w:shd w:val="clear" w:color="auto" w:fill="FFFFFF"/>
              </w:rPr>
              <w:t xml:space="preserve">zāļu ražotājam </w:t>
            </w:r>
            <w:r w:rsidR="002C52D9" w:rsidRPr="000C3267">
              <w:t xml:space="preserve">veikt </w:t>
            </w:r>
            <w:r w:rsidR="00D81400" w:rsidRPr="000C3267">
              <w:t xml:space="preserve">attālinātus </w:t>
            </w:r>
            <w:r w:rsidR="00D81400" w:rsidRPr="000C3267">
              <w:rPr>
                <w:bCs/>
              </w:rPr>
              <w:t xml:space="preserve">auditus, </w:t>
            </w:r>
            <w:r w:rsidR="00D81400" w:rsidRPr="000C3267">
              <w:rPr>
                <w:shd w:val="clear" w:color="auto" w:fill="FFFFFF"/>
              </w:rPr>
              <w:t>auditējot aktīvo vielu ražotāja ražotnes un aktīvo vielu izplatītāja darbības vietas</w:t>
            </w:r>
            <w:r w:rsidR="005B2F74" w:rsidRPr="000C3267">
              <w:rPr>
                <w:shd w:val="clear" w:color="auto" w:fill="FFFFFF"/>
              </w:rPr>
              <w:t xml:space="preserve"> </w:t>
            </w:r>
            <w:r w:rsidR="005B2F74" w:rsidRPr="000C3267">
              <w:t>(Noteikumu projekta 1</w:t>
            </w:r>
            <w:r w:rsidR="00EA580F">
              <w:t>1</w:t>
            </w:r>
            <w:r w:rsidR="005B2F74" w:rsidRPr="000C3267">
              <w:t>.</w:t>
            </w:r>
            <w:r w:rsidR="006C3B74" w:rsidRPr="000C3267">
              <w:t> </w:t>
            </w:r>
            <w:r w:rsidR="005B2F74" w:rsidRPr="000C3267">
              <w:t>punkts</w:t>
            </w:r>
            <w:r w:rsidR="000466A1" w:rsidRPr="000C3267">
              <w:t> </w:t>
            </w:r>
            <w:r w:rsidR="00885584" w:rsidRPr="000C3267">
              <w:t>-</w:t>
            </w:r>
            <w:r w:rsidR="000466A1" w:rsidRPr="000C3267">
              <w:t> </w:t>
            </w:r>
            <w:r w:rsidR="005B2F74" w:rsidRPr="000C3267">
              <w:t xml:space="preserve">attiecībā uz MK noteikumu 304 </w:t>
            </w:r>
            <w:r w:rsidR="005B2F74" w:rsidRPr="000C3267">
              <w:rPr>
                <w:bCs/>
              </w:rPr>
              <w:t>99.</w:t>
            </w:r>
            <w:r w:rsidR="005B2F74" w:rsidRPr="000C3267">
              <w:rPr>
                <w:bCs/>
                <w:vertAlign w:val="superscript"/>
              </w:rPr>
              <w:t>8</w:t>
            </w:r>
            <w:r w:rsidR="005B2F74" w:rsidRPr="000C3267">
              <w:rPr>
                <w:bCs/>
              </w:rPr>
              <w:t> punktu</w:t>
            </w:r>
            <w:r w:rsidR="005B2F74" w:rsidRPr="000C3267">
              <w:t>)</w:t>
            </w:r>
            <w:r w:rsidR="00D81400" w:rsidRPr="000C3267">
              <w:rPr>
                <w:shd w:val="clear" w:color="auto" w:fill="FFFFFF"/>
              </w:rPr>
              <w:t xml:space="preserve">, </w:t>
            </w:r>
            <w:r w:rsidR="005B2F74" w:rsidRPr="000C3267">
              <w:rPr>
                <w:shd w:val="clear" w:color="auto" w:fill="FFFFFF"/>
              </w:rPr>
              <w:t>un</w:t>
            </w:r>
            <w:r w:rsidR="00D81400" w:rsidRPr="000C3267">
              <w:t xml:space="preserve"> zāļu sēriju </w:t>
            </w:r>
            <w:r w:rsidR="002C52D9" w:rsidRPr="000C3267">
              <w:t xml:space="preserve">attālinātu </w:t>
            </w:r>
            <w:r w:rsidR="00D81400" w:rsidRPr="000C3267">
              <w:t xml:space="preserve">sertificēšanu, ko veic kvalificētā persona. (Noteikumu projekta </w:t>
            </w:r>
            <w:r w:rsidR="00F811CB" w:rsidRPr="000C3267">
              <w:t>1</w:t>
            </w:r>
            <w:r w:rsidR="00EA580F">
              <w:t>1</w:t>
            </w:r>
            <w:r w:rsidR="00D81400" w:rsidRPr="000C3267">
              <w:t>.</w:t>
            </w:r>
            <w:r w:rsidR="006C3B74" w:rsidRPr="000C3267">
              <w:t> </w:t>
            </w:r>
            <w:r w:rsidR="00D81400" w:rsidRPr="000C3267">
              <w:t>punkts</w:t>
            </w:r>
            <w:r w:rsidR="000466A1" w:rsidRPr="000C3267">
              <w:t> </w:t>
            </w:r>
            <w:r w:rsidR="00885584" w:rsidRPr="000C3267">
              <w:t>-</w:t>
            </w:r>
            <w:r w:rsidR="000466A1" w:rsidRPr="000C3267">
              <w:t> </w:t>
            </w:r>
            <w:r w:rsidR="00D81400" w:rsidRPr="000C3267">
              <w:t xml:space="preserve">attiecībā uz MK noteikumu 304 </w:t>
            </w:r>
            <w:r w:rsidR="00D81400" w:rsidRPr="000C3267">
              <w:rPr>
                <w:bCs/>
              </w:rPr>
              <w:t>99.</w:t>
            </w:r>
            <w:r w:rsidR="005B2F74" w:rsidRPr="000C3267">
              <w:rPr>
                <w:bCs/>
                <w:vertAlign w:val="superscript"/>
              </w:rPr>
              <w:t>9</w:t>
            </w:r>
            <w:r w:rsidR="00D81400" w:rsidRPr="000C3267">
              <w:rPr>
                <w:bCs/>
              </w:rPr>
              <w:t> punktu</w:t>
            </w:r>
            <w:r w:rsidR="00D81400" w:rsidRPr="000C3267">
              <w:t>)</w:t>
            </w:r>
            <w:r w:rsidR="00830C2D" w:rsidRPr="000C3267">
              <w:rPr>
                <w:i/>
                <w:iCs/>
              </w:rPr>
              <w:t>.</w:t>
            </w:r>
          </w:p>
          <w:p w14:paraId="1E371A59" w14:textId="77777777" w:rsidR="0079068C" w:rsidRPr="000C3267" w:rsidRDefault="0079068C" w:rsidP="00635354">
            <w:pPr>
              <w:jc w:val="both"/>
              <w:rPr>
                <w:i/>
                <w:iCs/>
              </w:rPr>
            </w:pPr>
          </w:p>
          <w:p w14:paraId="77FE6F88" w14:textId="1C810E01" w:rsidR="0079068C" w:rsidRPr="000C3267" w:rsidRDefault="00E0226B" w:rsidP="00635354">
            <w:pPr>
              <w:jc w:val="both"/>
            </w:pPr>
            <w:r w:rsidRPr="000C3267">
              <w:rPr>
                <w:iCs/>
              </w:rPr>
              <w:t xml:space="preserve">Vienlaicīgi </w:t>
            </w:r>
            <w:r w:rsidR="00E46E0F" w:rsidRPr="000C3267">
              <w:rPr>
                <w:iCs/>
              </w:rPr>
              <w:t>MK noteikumu 8.3.</w:t>
            </w:r>
            <w:r w:rsidR="006C3B74" w:rsidRPr="000C3267">
              <w:rPr>
                <w:iCs/>
              </w:rPr>
              <w:t> </w:t>
            </w:r>
            <w:r w:rsidR="00E46E0F" w:rsidRPr="000C3267">
              <w:rPr>
                <w:iCs/>
              </w:rPr>
              <w:t xml:space="preserve">apakšpunktā </w:t>
            </w:r>
            <w:r w:rsidR="008C7348" w:rsidRPr="000C3267">
              <w:rPr>
                <w:iCs/>
              </w:rPr>
              <w:t>jāprecizē</w:t>
            </w:r>
            <w:r w:rsidR="0079068C" w:rsidRPr="000C3267">
              <w:rPr>
                <w:iCs/>
              </w:rPr>
              <w:t xml:space="preserve"> zāļu ražotāja pienākum</w:t>
            </w:r>
            <w:r w:rsidR="008C7348" w:rsidRPr="000C3267">
              <w:rPr>
                <w:iCs/>
              </w:rPr>
              <w:t>s</w:t>
            </w:r>
            <w:r w:rsidR="00E46E0F" w:rsidRPr="000C3267">
              <w:rPr>
                <w:iCs/>
              </w:rPr>
              <w:t xml:space="preserve"> sniegt informāciju Zāļu valsts aģentūrai par izmaiņām datos, kas iesniegti attiecīgās ražošanas licences saņemšanai, </w:t>
            </w:r>
            <w:r w:rsidR="001B710C" w:rsidRPr="000C3267">
              <w:rPr>
                <w:iCs/>
              </w:rPr>
              <w:t xml:space="preserve">pašreizējā redakcijā </w:t>
            </w:r>
            <w:r w:rsidR="00E46E0F" w:rsidRPr="000C3267">
              <w:rPr>
                <w:iCs/>
              </w:rPr>
              <w:t xml:space="preserve">8.3. apakšpunkta norma </w:t>
            </w:r>
            <w:r w:rsidR="001B710C" w:rsidRPr="000C3267">
              <w:rPr>
                <w:iCs/>
              </w:rPr>
              <w:t xml:space="preserve">nav pietiekoši skaidra vai </w:t>
            </w:r>
            <w:r w:rsidR="00E46E0F" w:rsidRPr="000C3267">
              <w:t xml:space="preserve">ražotājam informācija ir jāsniedz arī par atbildīgās amatpersonas maiņu, ja viņu </w:t>
            </w:r>
            <w:r w:rsidR="008C0719" w:rsidRPr="000C3267">
              <w:t xml:space="preserve">nepieciešams </w:t>
            </w:r>
            <w:r w:rsidR="00E46E0F" w:rsidRPr="000C3267">
              <w:t>negaidīti aizvieto</w:t>
            </w:r>
            <w:r w:rsidR="008C0719" w:rsidRPr="000C3267">
              <w:t>t</w:t>
            </w:r>
            <w:r w:rsidR="00E46E0F" w:rsidRPr="000C3267">
              <w:t>.</w:t>
            </w:r>
            <w:r w:rsidR="001B710C" w:rsidRPr="000C3267">
              <w:t xml:space="preserve"> </w:t>
            </w:r>
            <w:r w:rsidR="00E46E0F" w:rsidRPr="000C3267">
              <w:t>Direktīvas 2001/83</w:t>
            </w:r>
            <w:r w:rsidR="00E46E0F" w:rsidRPr="000C3267">
              <w:rPr>
                <w:rStyle w:val="Vresatsauce"/>
                <w:color w:val="002060"/>
              </w:rPr>
              <w:footnoteReference w:id="2"/>
            </w:r>
            <w:r w:rsidR="00E46E0F" w:rsidRPr="000C3267">
              <w:rPr>
                <w:color w:val="002060"/>
              </w:rPr>
              <w:t xml:space="preserve"> </w:t>
            </w:r>
            <w:r w:rsidR="00E46E0F" w:rsidRPr="000C3267">
              <w:t xml:space="preserve">46. panta c) punkta norma nosaka nekavējoties informēt kompetento iestādi </w:t>
            </w:r>
            <w:r w:rsidR="00B05152" w:rsidRPr="000C3267">
              <w:t xml:space="preserve">par </w:t>
            </w:r>
            <w:r w:rsidR="00E46E0F" w:rsidRPr="000C3267">
              <w:t>atbildīgās amatpersonas negaidīt</w:t>
            </w:r>
            <w:r w:rsidR="002B5482" w:rsidRPr="000C3267">
              <w:t>u</w:t>
            </w:r>
            <w:r w:rsidR="00E46E0F" w:rsidRPr="000C3267">
              <w:t xml:space="preserve"> aizvietošanu, kā arī nosaka r</w:t>
            </w:r>
            <w:r w:rsidR="00E46E0F" w:rsidRPr="000C3267">
              <w:rPr>
                <w:shd w:val="clear" w:color="auto" w:fill="FFFFFF"/>
              </w:rPr>
              <w:t xml:space="preserve">ažotāja pienākumu iepriekš ziņot kompetentajai iestādei </w:t>
            </w:r>
            <w:r w:rsidR="00E46E0F" w:rsidRPr="000C3267">
              <w:t xml:space="preserve">par visām izmaiņām, ko </w:t>
            </w:r>
            <w:r w:rsidR="00B05152" w:rsidRPr="000C3267">
              <w:t xml:space="preserve">tas </w:t>
            </w:r>
            <w:r w:rsidR="00E46E0F" w:rsidRPr="000C3267">
              <w:t>vēlas izdarīt datos, kas iesniegti zāļu ražošanas licences izsniegšanai.</w:t>
            </w:r>
            <w:r w:rsidR="001B710C" w:rsidRPr="000C3267">
              <w:t xml:space="preserve"> </w:t>
            </w:r>
            <w:r w:rsidR="0079068C" w:rsidRPr="000C3267">
              <w:t>Grozījumi (</w:t>
            </w:r>
            <w:r w:rsidR="004A70A7" w:rsidRPr="000C3267">
              <w:t>Noteikumu p</w:t>
            </w:r>
            <w:r w:rsidR="0079068C" w:rsidRPr="000C3267">
              <w:t xml:space="preserve">rojekta </w:t>
            </w:r>
            <w:r w:rsidR="00E45395" w:rsidRPr="000C3267">
              <w:t>3</w:t>
            </w:r>
            <w:r w:rsidR="004A70A7" w:rsidRPr="000C3267">
              <w:t>.</w:t>
            </w:r>
            <w:r w:rsidR="0079068C" w:rsidRPr="000C3267">
              <w:t xml:space="preserve"> punkts) novērš tiesību normas nepilnības, </w:t>
            </w:r>
            <w:r w:rsidR="004A70A7" w:rsidRPr="000C3267">
              <w:t xml:space="preserve">un </w:t>
            </w:r>
            <w:r w:rsidR="0079068C" w:rsidRPr="000C3267">
              <w:t xml:space="preserve">MK noteikumu 304 8.3. apakšpunkta norma </w:t>
            </w:r>
            <w:r w:rsidR="004A70A7" w:rsidRPr="000C3267">
              <w:t xml:space="preserve">tiek </w:t>
            </w:r>
            <w:r w:rsidR="0079068C" w:rsidRPr="000C3267">
              <w:t xml:space="preserve">tuvināta </w:t>
            </w:r>
            <w:r w:rsidR="004A70A7" w:rsidRPr="000C3267">
              <w:t xml:space="preserve">arī </w:t>
            </w:r>
            <w:r w:rsidR="0079068C" w:rsidRPr="000C3267">
              <w:t>direktīvas 2001/83 46. panta c) punkta normai, un skaidri noteikts ražotāja pienākums ziņot par visām izmaiņām, ko viņš vēlas izdarīt datos, kas iesniegti zāļu ražošanas licences izsniegšanai, tai skaitā ne tikai par atbildīgās amatpersonas maiņu, bet arī par tās negaidītu aizvietošanu.</w:t>
            </w:r>
            <w:r w:rsidR="00E46E0F" w:rsidRPr="000C3267">
              <w:t xml:space="preserve"> Tiek </w:t>
            </w:r>
            <w:r w:rsidR="00E46E0F" w:rsidRPr="000C3267">
              <w:rPr>
                <w:iCs/>
              </w:rPr>
              <w:t>veicināta arī e</w:t>
            </w:r>
            <w:r w:rsidR="00E46E0F" w:rsidRPr="000C3267">
              <w:t>lektronisku dokumentu aprite.</w:t>
            </w:r>
          </w:p>
          <w:p w14:paraId="51C34150" w14:textId="77777777" w:rsidR="00885584" w:rsidRPr="000C3267" w:rsidRDefault="00885584" w:rsidP="00635354">
            <w:pPr>
              <w:jc w:val="both"/>
              <w:rPr>
                <w:i/>
                <w:iCs/>
              </w:rPr>
            </w:pPr>
          </w:p>
          <w:p w14:paraId="5C1AA2A4" w14:textId="455D937B" w:rsidR="004A70A7" w:rsidRPr="000C3267" w:rsidRDefault="00766294" w:rsidP="004A70A7">
            <w:pPr>
              <w:shd w:val="clear" w:color="auto" w:fill="FFFFFF"/>
              <w:jc w:val="both"/>
              <w:rPr>
                <w:b/>
                <w:bCs/>
                <w:i/>
                <w:iCs/>
              </w:rPr>
            </w:pPr>
            <w:r w:rsidRPr="000C3267">
              <w:rPr>
                <w:b/>
                <w:bCs/>
                <w:i/>
                <w:iCs/>
              </w:rPr>
              <w:t>4</w:t>
            </w:r>
            <w:r w:rsidR="00E0226B" w:rsidRPr="000C3267">
              <w:rPr>
                <w:b/>
                <w:bCs/>
                <w:i/>
                <w:iCs/>
              </w:rPr>
              <w:t>.</w:t>
            </w:r>
            <w:r w:rsidR="000466A1" w:rsidRPr="000C3267">
              <w:rPr>
                <w:b/>
                <w:bCs/>
                <w:i/>
                <w:iCs/>
              </w:rPr>
              <w:t> </w:t>
            </w:r>
            <w:r w:rsidR="00885584" w:rsidRPr="000C3267">
              <w:rPr>
                <w:b/>
                <w:bCs/>
                <w:i/>
                <w:iCs/>
              </w:rPr>
              <w:t>Jāprecizē procedūras saistībā ar komentāru sniegšanu par Zāļu valsts aģentūras kontroles ziņojumu</w:t>
            </w:r>
          </w:p>
          <w:p w14:paraId="066071FB" w14:textId="7C7AA89F" w:rsidR="001B710C" w:rsidRPr="000C3267" w:rsidRDefault="001B710C" w:rsidP="001B710C">
            <w:pPr>
              <w:shd w:val="clear" w:color="auto" w:fill="FFFFFF"/>
              <w:jc w:val="both"/>
              <w:rPr>
                <w:b/>
                <w:bCs/>
                <w:i/>
                <w:iCs/>
              </w:rPr>
            </w:pPr>
            <w:r w:rsidRPr="000C3267">
              <w:t xml:space="preserve">Pašreizējais regulējums MK noteikumos 304 36. punktā nosaka, ka kontroles ziņojumu pēc tā sagatavošanas </w:t>
            </w:r>
            <w:proofErr w:type="spellStart"/>
            <w:r w:rsidRPr="000C3267">
              <w:t>nosūta</w:t>
            </w:r>
            <w:proofErr w:type="spellEnd"/>
            <w:r w:rsidRPr="000C3267">
              <w:t xml:space="preserve"> pārbaudītajai personai, kura sniedz savu komentārus par to pirms gala ziņojuma apstiprināšanas.</w:t>
            </w:r>
          </w:p>
          <w:p w14:paraId="791F664E" w14:textId="14443A3A" w:rsidR="001B710C" w:rsidRPr="000C3267" w:rsidRDefault="001B710C" w:rsidP="001B710C">
            <w:pPr>
              <w:shd w:val="clear" w:color="auto" w:fill="FFFFFF"/>
              <w:jc w:val="both"/>
              <w:rPr>
                <w:b/>
                <w:bCs/>
                <w:i/>
                <w:iCs/>
              </w:rPr>
            </w:pPr>
            <w:r w:rsidRPr="000C3267">
              <w:rPr>
                <w:iCs/>
              </w:rPr>
              <w:t xml:space="preserve">Pēc Zāļu valsts aģentūras sniegtās informācijas </w:t>
            </w:r>
            <w:r w:rsidRPr="000C3267">
              <w:t xml:space="preserve">Eiropas Savienības dalībvalstu kopīgās audita programmas (JAP) ietvaros tika pārrunāta procedūra attiecībā uz komentāru sniegšanu par kontroles ziņojumu. Aģentūra ierosināja izmantot vienkāršāku risinājumu, kas arī nodrošina regulējuma mērķa sasniegšanu, proti inspicētais komersants sniedz komentārus par gala kontroles ziņojumu, nevis pirms tā apstiprināšanas.  Aģentūras ieteiktais un izmantotais organizēto procesu un veikto praktisko darbību (inspekciju) risinājums pēc auditoru ieskata arī sasniedz regulējuma mērķi, tāpēc audita rezultātā tika secināts, ka Zāļu valsts aģentūras organizētie procesi un veiktās praktiskās darbības (inspekcijas) atbilst starptautiskajām prasībām zāļu un aktīvo vielu labas ražošanas prakses atbilstības novērtēšanā. Līdz ar to regulējums tiek precizēts, konkretizējot normu par komentāru sniegšanu par kontroles ziņojumu un vienlaicīgi izslēdzot normu par komentāru </w:t>
            </w:r>
            <w:r w:rsidR="00BA72D7">
              <w:t xml:space="preserve">sniegšanu </w:t>
            </w:r>
            <w:r w:rsidRPr="000C3267">
              <w:t>pirms kontroles ziņojuma  apstiprināšanas</w:t>
            </w:r>
            <w:r w:rsidR="00885584" w:rsidRPr="000C3267">
              <w:t>, kā arī precizējot 38 un 39. punkta normas</w:t>
            </w:r>
            <w:r w:rsidRPr="000C3267">
              <w:t>.</w:t>
            </w:r>
            <w:r w:rsidR="00885584" w:rsidRPr="000C3267">
              <w:rPr>
                <w:b/>
                <w:bCs/>
                <w:i/>
                <w:iCs/>
              </w:rPr>
              <w:t xml:space="preserve"> </w:t>
            </w:r>
            <w:r w:rsidRPr="000C3267">
              <w:t>(Noteikumu projekta</w:t>
            </w:r>
            <w:r w:rsidR="00885584" w:rsidRPr="000C3267">
              <w:t xml:space="preserve"> 6., 7</w:t>
            </w:r>
            <w:r w:rsidRPr="000C3267">
              <w:t xml:space="preserve">. un </w:t>
            </w:r>
            <w:r w:rsidR="00885584" w:rsidRPr="000C3267">
              <w:t>8</w:t>
            </w:r>
            <w:r w:rsidRPr="000C3267">
              <w:t>. punkts).</w:t>
            </w:r>
          </w:p>
          <w:p w14:paraId="4D08FA87" w14:textId="77777777" w:rsidR="00E46E0F" w:rsidRPr="000C3267" w:rsidRDefault="00E46E0F" w:rsidP="004A70A7">
            <w:pPr>
              <w:shd w:val="clear" w:color="auto" w:fill="FFFFFF"/>
              <w:jc w:val="both"/>
            </w:pPr>
          </w:p>
          <w:p w14:paraId="3C5F348E" w14:textId="2CD4E0C6" w:rsidR="00766294" w:rsidRPr="000C3267" w:rsidRDefault="00766294" w:rsidP="00766294">
            <w:pPr>
              <w:shd w:val="clear" w:color="auto" w:fill="FFFFFF"/>
              <w:jc w:val="both"/>
              <w:rPr>
                <w:b/>
                <w:bCs/>
                <w:i/>
                <w:iCs/>
              </w:rPr>
            </w:pPr>
            <w:r w:rsidRPr="000C3267">
              <w:rPr>
                <w:b/>
                <w:bCs/>
                <w:i/>
                <w:iCs/>
              </w:rPr>
              <w:t>5.</w:t>
            </w:r>
            <w:r w:rsidR="000466A1" w:rsidRPr="000C3267">
              <w:rPr>
                <w:b/>
                <w:bCs/>
                <w:i/>
                <w:iCs/>
              </w:rPr>
              <w:t> </w:t>
            </w:r>
            <w:r w:rsidRPr="000C3267">
              <w:rPr>
                <w:b/>
                <w:bCs/>
                <w:i/>
                <w:iCs/>
              </w:rPr>
              <w:t>MK noteikumi ir tehniski jāprecizē:</w:t>
            </w:r>
          </w:p>
          <w:p w14:paraId="5625F2CD" w14:textId="204B0482" w:rsidR="004A70A7" w:rsidRPr="000C3267" w:rsidRDefault="00766294" w:rsidP="004A70A7">
            <w:pPr>
              <w:shd w:val="clear" w:color="auto" w:fill="FFFFFF"/>
              <w:jc w:val="both"/>
            </w:pPr>
            <w:r w:rsidRPr="000C3267">
              <w:t>1</w:t>
            </w:r>
            <w:r w:rsidR="004A70A7" w:rsidRPr="000C3267">
              <w:t> ) MK noteikumu 304 12. un 83. punktā ir atsauce uz likumu "Par narkotisko un psihotropo vielu un zāļu likumīgās aprites kārtību"”. Sakarā ar 03.07.2019. spēkā stājušos likumu “Grozījumi likumā "Par narkotisko un psihotropo vielu un zāļu likumīgās aprites kārtību"”, kas ir izmainījis likuma nosaukumu uz "</w:t>
            </w:r>
            <w:r w:rsidR="00FC5CE0" w:rsidRPr="000C3267">
              <w:rPr>
                <w:bCs/>
              </w:rPr>
              <w:t>N</w:t>
            </w:r>
            <w:r w:rsidR="004A70A7" w:rsidRPr="000C3267">
              <w:rPr>
                <w:bCs/>
              </w:rPr>
              <w:t>arkotisko un psihotropo vielu un zāļu, kā arī prekursoru likumīg</w:t>
            </w:r>
            <w:r w:rsidR="00FC5CE0" w:rsidRPr="000C3267">
              <w:rPr>
                <w:bCs/>
              </w:rPr>
              <w:t>ās</w:t>
            </w:r>
            <w:r w:rsidR="004A70A7" w:rsidRPr="000C3267">
              <w:rPr>
                <w:bCs/>
              </w:rPr>
              <w:t xml:space="preserve"> aprit</w:t>
            </w:r>
            <w:r w:rsidR="00FC5CE0" w:rsidRPr="000C3267">
              <w:rPr>
                <w:bCs/>
              </w:rPr>
              <w:t>es likums</w:t>
            </w:r>
            <w:r w:rsidR="004A70A7" w:rsidRPr="000C3267">
              <w:t>", MK noteikumu 304 12. un 83. punktā ir izdarīts redakcionāls labojums</w:t>
            </w:r>
            <w:r w:rsidR="00F811CB" w:rsidRPr="000C3267">
              <w:t xml:space="preserve">. </w:t>
            </w:r>
            <w:r w:rsidR="004A70A7" w:rsidRPr="000C3267">
              <w:t xml:space="preserve">(Noteikumu projekta </w:t>
            </w:r>
            <w:r w:rsidR="009E5978" w:rsidRPr="000C3267">
              <w:t>5</w:t>
            </w:r>
            <w:r w:rsidR="00F811CB" w:rsidRPr="000C3267">
              <w:t>. un</w:t>
            </w:r>
            <w:r w:rsidR="00086F33" w:rsidRPr="000C3267">
              <w:t xml:space="preserve"> </w:t>
            </w:r>
            <w:r w:rsidR="009E5978" w:rsidRPr="000C3267">
              <w:t>10</w:t>
            </w:r>
            <w:r w:rsidR="004A70A7" w:rsidRPr="000C3267">
              <w:t>.</w:t>
            </w:r>
            <w:r w:rsidR="006C3B74" w:rsidRPr="000C3267">
              <w:t> </w:t>
            </w:r>
            <w:r w:rsidR="004A70A7" w:rsidRPr="000C3267">
              <w:t>punkts).</w:t>
            </w:r>
          </w:p>
          <w:p w14:paraId="0105C692" w14:textId="77777777" w:rsidR="00E46E0F" w:rsidRPr="000C3267" w:rsidRDefault="00E46E0F" w:rsidP="004A70A7">
            <w:pPr>
              <w:shd w:val="clear" w:color="auto" w:fill="FFFFFF"/>
              <w:jc w:val="both"/>
            </w:pPr>
          </w:p>
          <w:p w14:paraId="7709BB93" w14:textId="4E281096" w:rsidR="004A70A7" w:rsidRPr="000C3267" w:rsidRDefault="00766294" w:rsidP="004A70A7">
            <w:pPr>
              <w:shd w:val="clear" w:color="auto" w:fill="FFFFFF"/>
              <w:jc w:val="both"/>
            </w:pPr>
            <w:r w:rsidRPr="000C3267">
              <w:t>2 </w:t>
            </w:r>
            <w:r w:rsidR="004A70A7" w:rsidRPr="000C3267">
              <w:t xml:space="preserve">) MK noteikumu 304 83. punktā ir </w:t>
            </w:r>
            <w:r w:rsidR="00F811CB" w:rsidRPr="000C3267">
              <w:t xml:space="preserve">tehniski </w:t>
            </w:r>
            <w:r w:rsidR="004A70A7" w:rsidRPr="000C3267">
              <w:t>jāprecizē atsauce uz Komisijas regulu, jo šobrīd norma satur atsauci uz spēku zaudējušu</w:t>
            </w:r>
            <w:r w:rsidR="004A70A7" w:rsidRPr="000C3267">
              <w:rPr>
                <w:shd w:val="clear" w:color="auto" w:fill="FFFFFF"/>
              </w:rPr>
              <w:t xml:space="preserve"> Komisijas 2005. gada 27. jūlija regulu (EK) Nr. 1277/2005 par īstenošanas noteikumiem Eiropas Parlamenta un Padomes Regulai (EK) Nr. 273/2004 par narkotisko vielu prekursoriem un Padomes Regulai (EK) Nr. 111/2005, ar ko izstrādā noteikumus narkotisko vielu prekursoru tirdzniecības starp Kopienu un </w:t>
            </w:r>
            <w:proofErr w:type="spellStart"/>
            <w:r w:rsidR="004A70A7" w:rsidRPr="000C3267">
              <w:rPr>
                <w:shd w:val="clear" w:color="auto" w:fill="FFFFFF"/>
              </w:rPr>
              <w:t>trešām</w:t>
            </w:r>
            <w:proofErr w:type="spellEnd"/>
            <w:r w:rsidR="004A70A7" w:rsidRPr="000C3267">
              <w:rPr>
                <w:shd w:val="clear" w:color="auto" w:fill="FFFFFF"/>
              </w:rPr>
              <w:t xml:space="preserve"> valstīm uzraudzībai, kura ir aizstāta ar </w:t>
            </w:r>
            <w:r w:rsidR="004A70A7" w:rsidRPr="000C3267">
              <w:rPr>
                <w:iCs/>
              </w:rPr>
              <w:t xml:space="preserve">Komisijas 2015. gada 24. aprīļa deleģēto regulu (ES) Nr. 2015/1011, ar kuru papildina Eiropas Parlamenta un Padomes Regulu (EK) Nr. 273/2004 par narkotisko vielu prekursoriem un Padomes Regulu (EK) Nr. 111/2005, ar ko paredz noteikumus par uzraudzību attiecībā uz narkotisko vielu prekursoru tirdzniecību starp Savienību un </w:t>
            </w:r>
            <w:proofErr w:type="spellStart"/>
            <w:r w:rsidR="004A70A7" w:rsidRPr="000C3267">
              <w:rPr>
                <w:iCs/>
              </w:rPr>
              <w:t>trešām</w:t>
            </w:r>
            <w:proofErr w:type="spellEnd"/>
            <w:r w:rsidR="004A70A7" w:rsidRPr="000C3267">
              <w:rPr>
                <w:iCs/>
              </w:rPr>
              <w:t xml:space="preserve"> valstīm, un ar kuru atceļ Komisijas Regulu (EK) Nr. 1277/2005.</w:t>
            </w:r>
            <w:r w:rsidR="004A70A7" w:rsidRPr="000C3267">
              <w:t xml:space="preserve"> (Noteikumu projekta </w:t>
            </w:r>
            <w:r w:rsidR="009E5978" w:rsidRPr="000C3267">
              <w:t>10</w:t>
            </w:r>
            <w:r w:rsidR="004A70A7" w:rsidRPr="000C3267">
              <w:t>.</w:t>
            </w:r>
            <w:r w:rsidR="00F811CB" w:rsidRPr="000C3267">
              <w:t> </w:t>
            </w:r>
            <w:r w:rsidR="004A70A7" w:rsidRPr="000C3267">
              <w:t>punkts).</w:t>
            </w:r>
          </w:p>
          <w:p w14:paraId="4D5BA65A" w14:textId="77777777" w:rsidR="00766294" w:rsidRPr="000C3267" w:rsidRDefault="00766294" w:rsidP="00635354">
            <w:pPr>
              <w:jc w:val="both"/>
            </w:pPr>
          </w:p>
          <w:p w14:paraId="1BD78B8D" w14:textId="132718F1" w:rsidR="004A70A7" w:rsidRPr="000C3267" w:rsidRDefault="00766294" w:rsidP="00635354">
            <w:pPr>
              <w:jc w:val="both"/>
              <w:rPr>
                <w:i/>
                <w:iCs/>
              </w:rPr>
            </w:pPr>
            <w:r w:rsidRPr="000C3267">
              <w:t>3 </w:t>
            </w:r>
            <w:r w:rsidR="004A70A7" w:rsidRPr="000C3267">
              <w:t>) MK noteikumu 304 1. un 2.</w:t>
            </w:r>
            <w:r w:rsidR="00F811CB" w:rsidRPr="000C3267">
              <w:t> </w:t>
            </w:r>
            <w:r w:rsidR="004A70A7" w:rsidRPr="000C3267">
              <w:t xml:space="preserve">pielikums ir tehniski </w:t>
            </w:r>
            <w:r w:rsidRPr="000C3267">
              <w:t>jāprecizē</w:t>
            </w:r>
            <w:r w:rsidR="004A70A7" w:rsidRPr="000C3267">
              <w:t xml:space="preserve"> attiecībā uz elektroniskā dokumenta formas noformēšanu (Noteikumu projekta </w:t>
            </w:r>
            <w:r w:rsidR="00086F33" w:rsidRPr="000C3267">
              <w:t>1</w:t>
            </w:r>
            <w:r w:rsidR="00EA580F">
              <w:t>2</w:t>
            </w:r>
            <w:r w:rsidR="004A70A7" w:rsidRPr="000C3267">
              <w:t>.</w:t>
            </w:r>
            <w:r w:rsidR="006C3B74" w:rsidRPr="000C3267">
              <w:t> </w:t>
            </w:r>
            <w:r w:rsidR="004A70A7" w:rsidRPr="000C3267">
              <w:t>punkts).</w:t>
            </w:r>
          </w:p>
        </w:tc>
      </w:tr>
      <w:tr w:rsidR="0005464C" w:rsidRPr="000C3267" w14:paraId="528A141F" w14:textId="77777777" w:rsidTr="000544E1">
        <w:trPr>
          <w:cantSplit/>
        </w:trPr>
        <w:tc>
          <w:tcPr>
            <w:tcW w:w="421" w:type="dxa"/>
            <w:hideMark/>
          </w:tcPr>
          <w:p w14:paraId="2ED32B0E" w14:textId="77777777" w:rsidR="0005464C" w:rsidRPr="000C3267" w:rsidRDefault="0005464C" w:rsidP="00D44D6F">
            <w:pPr>
              <w:jc w:val="center"/>
            </w:pPr>
            <w:r w:rsidRPr="000C3267">
              <w:lastRenderedPageBreak/>
              <w:t>3.</w:t>
            </w:r>
          </w:p>
        </w:tc>
        <w:tc>
          <w:tcPr>
            <w:tcW w:w="1275" w:type="dxa"/>
            <w:hideMark/>
          </w:tcPr>
          <w:p w14:paraId="76277CDE" w14:textId="77777777" w:rsidR="0005464C" w:rsidRPr="000C3267" w:rsidRDefault="0005464C" w:rsidP="00D44D6F">
            <w:r w:rsidRPr="000C3267">
              <w:t>Projekta izstrādē iesaistītās institūcijas un publiskas personas kapitālsabiedrības</w:t>
            </w:r>
          </w:p>
          <w:p w14:paraId="63EE471C" w14:textId="77777777" w:rsidR="0005464C" w:rsidRPr="000C3267" w:rsidRDefault="0005464C" w:rsidP="00D44D6F"/>
        </w:tc>
        <w:tc>
          <w:tcPr>
            <w:tcW w:w="7385" w:type="dxa"/>
            <w:hideMark/>
          </w:tcPr>
          <w:p w14:paraId="472ADDC1" w14:textId="1CD242D5" w:rsidR="00A5089F" w:rsidRPr="000C3267" w:rsidRDefault="00523A78" w:rsidP="00D44D6F">
            <w:pPr>
              <w:jc w:val="both"/>
            </w:pPr>
            <w:r w:rsidRPr="000C3267">
              <w:t xml:space="preserve">Veselības ministrija, </w:t>
            </w:r>
            <w:r w:rsidR="00283F65" w:rsidRPr="000C3267">
              <w:t>Zāļu valsts aģentūra</w:t>
            </w:r>
            <w:r w:rsidRPr="000C3267">
              <w:t>, Veselības inspekcija</w:t>
            </w:r>
          </w:p>
        </w:tc>
      </w:tr>
      <w:tr w:rsidR="0005464C" w:rsidRPr="000C3267" w14:paraId="10E8BC5D" w14:textId="77777777" w:rsidTr="000544E1">
        <w:trPr>
          <w:cantSplit/>
        </w:trPr>
        <w:tc>
          <w:tcPr>
            <w:tcW w:w="421" w:type="dxa"/>
            <w:hideMark/>
          </w:tcPr>
          <w:p w14:paraId="1632CF64" w14:textId="77777777" w:rsidR="0005464C" w:rsidRPr="000C3267" w:rsidRDefault="0005464C" w:rsidP="00D44D6F">
            <w:pPr>
              <w:jc w:val="center"/>
            </w:pPr>
            <w:r w:rsidRPr="000C3267">
              <w:t>4.</w:t>
            </w:r>
          </w:p>
        </w:tc>
        <w:tc>
          <w:tcPr>
            <w:tcW w:w="1275" w:type="dxa"/>
            <w:hideMark/>
          </w:tcPr>
          <w:p w14:paraId="364AF8E9" w14:textId="77777777" w:rsidR="0005464C" w:rsidRPr="000C3267" w:rsidRDefault="0005464C" w:rsidP="00D44D6F">
            <w:r w:rsidRPr="000C3267">
              <w:t>Cita informācija</w:t>
            </w:r>
          </w:p>
        </w:tc>
        <w:tc>
          <w:tcPr>
            <w:tcW w:w="7385" w:type="dxa"/>
            <w:hideMark/>
          </w:tcPr>
          <w:p w14:paraId="753BC45B" w14:textId="77777777" w:rsidR="0005464C" w:rsidRPr="000C3267" w:rsidRDefault="0005464C" w:rsidP="00D44D6F">
            <w:r w:rsidRPr="000C3267">
              <w:t>Nav.</w:t>
            </w:r>
          </w:p>
        </w:tc>
      </w:tr>
    </w:tbl>
    <w:p w14:paraId="4B8F0570" w14:textId="77777777" w:rsidR="0005464C" w:rsidRPr="000C3267" w:rsidRDefault="0005464C" w:rsidP="007520AF">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410"/>
        <w:gridCol w:w="6230"/>
      </w:tblGrid>
      <w:tr w:rsidR="0005464C" w:rsidRPr="000C3267" w14:paraId="031A4F1F" w14:textId="77777777" w:rsidTr="00D44D6F">
        <w:trPr>
          <w:cantSplit/>
        </w:trPr>
        <w:tc>
          <w:tcPr>
            <w:tcW w:w="5000" w:type="pct"/>
            <w:gridSpan w:val="3"/>
            <w:vAlign w:val="center"/>
            <w:hideMark/>
          </w:tcPr>
          <w:p w14:paraId="48D088BB" w14:textId="77777777" w:rsidR="0005464C" w:rsidRPr="000C3267" w:rsidRDefault="0005464C" w:rsidP="00D44D6F">
            <w:pPr>
              <w:jc w:val="center"/>
              <w:rPr>
                <w:b/>
                <w:bCs/>
              </w:rPr>
            </w:pPr>
            <w:r w:rsidRPr="000C3267">
              <w:rPr>
                <w:b/>
                <w:bCs/>
              </w:rPr>
              <w:t>II. Tiesību akta projekta ietekme uz sabiedrību, tautsaimniecības attīstību un administratīvo slogu</w:t>
            </w:r>
          </w:p>
        </w:tc>
      </w:tr>
      <w:tr w:rsidR="0005464C" w:rsidRPr="000C3267" w14:paraId="7808A7F7" w14:textId="77777777" w:rsidTr="000544E1">
        <w:trPr>
          <w:cantSplit/>
        </w:trPr>
        <w:tc>
          <w:tcPr>
            <w:tcW w:w="232" w:type="pct"/>
            <w:hideMark/>
          </w:tcPr>
          <w:p w14:paraId="2359FBEE" w14:textId="77777777" w:rsidR="0005464C" w:rsidRPr="000C3267" w:rsidRDefault="0005464C" w:rsidP="00D44D6F">
            <w:pPr>
              <w:jc w:val="center"/>
            </w:pPr>
            <w:r w:rsidRPr="000C3267">
              <w:t>1.</w:t>
            </w:r>
          </w:p>
        </w:tc>
        <w:tc>
          <w:tcPr>
            <w:tcW w:w="1330" w:type="pct"/>
            <w:hideMark/>
          </w:tcPr>
          <w:p w14:paraId="4E229E9F" w14:textId="77777777" w:rsidR="0005464C" w:rsidRPr="000C3267" w:rsidRDefault="0005464C" w:rsidP="00D44D6F">
            <w:r w:rsidRPr="000C3267">
              <w:t xml:space="preserve">Sabiedrības </w:t>
            </w:r>
            <w:proofErr w:type="spellStart"/>
            <w:r w:rsidRPr="000C3267">
              <w:t>mērķgrupas</w:t>
            </w:r>
            <w:proofErr w:type="spellEnd"/>
            <w:r w:rsidRPr="000C3267">
              <w:t>, kuras tiesiskais regulējums ietekmē vai varētu ietekmēt</w:t>
            </w:r>
          </w:p>
        </w:tc>
        <w:tc>
          <w:tcPr>
            <w:tcW w:w="3438" w:type="pct"/>
            <w:hideMark/>
          </w:tcPr>
          <w:p w14:paraId="6E2EB81F" w14:textId="30E4359E" w:rsidR="00B73659" w:rsidRPr="000C3267" w:rsidRDefault="004417A2" w:rsidP="00D44D6F">
            <w:pPr>
              <w:jc w:val="both"/>
            </w:pPr>
            <w:r w:rsidRPr="000C3267">
              <w:t>Noteikumu projekts attiecas z</w:t>
            </w:r>
            <w:r w:rsidR="0005464C" w:rsidRPr="000C3267">
              <w:t xml:space="preserve">āļu </w:t>
            </w:r>
            <w:r w:rsidR="009D4759" w:rsidRPr="000C3267">
              <w:t xml:space="preserve">un aktīvo vielu </w:t>
            </w:r>
            <w:r w:rsidR="0005464C" w:rsidRPr="000C3267">
              <w:t>ražotāj</w:t>
            </w:r>
            <w:r w:rsidRPr="000C3267">
              <w:t>iem un</w:t>
            </w:r>
            <w:r w:rsidR="0005464C" w:rsidRPr="000C3267">
              <w:t xml:space="preserve"> importētājiem</w:t>
            </w:r>
            <w:r w:rsidRPr="000C3267">
              <w:t>.</w:t>
            </w:r>
          </w:p>
          <w:p w14:paraId="13B894AD" w14:textId="7A95F725" w:rsidR="0005464C" w:rsidRPr="00AB6B70" w:rsidRDefault="00465344" w:rsidP="00D44D6F">
            <w:pPr>
              <w:jc w:val="both"/>
            </w:pPr>
            <w:r w:rsidRPr="000C3267">
              <w:t>Pašlaik</w:t>
            </w:r>
            <w:r w:rsidR="0005464C" w:rsidRPr="000C3267">
              <w:t xml:space="preserve"> valstī ir</w:t>
            </w:r>
            <w:r w:rsidR="004417A2" w:rsidRPr="000C3267">
              <w:t xml:space="preserve"> </w:t>
            </w:r>
            <w:r w:rsidR="00670DE7" w:rsidRPr="000C3267">
              <w:t>31</w:t>
            </w:r>
            <w:r w:rsidR="0005464C" w:rsidRPr="000C3267">
              <w:t xml:space="preserve"> zāļu ražotāj</w:t>
            </w:r>
            <w:r w:rsidR="004417A2" w:rsidRPr="000C3267">
              <w:t>s</w:t>
            </w:r>
            <w:r w:rsidR="0005464C" w:rsidRPr="000C3267">
              <w:t xml:space="preserve"> un importētāj</w:t>
            </w:r>
            <w:r w:rsidR="004417A2" w:rsidRPr="000C3267">
              <w:t>s</w:t>
            </w:r>
            <w:r w:rsidR="00C25BAA" w:rsidRPr="000C3267">
              <w:t xml:space="preserve"> un 6 aktīvo vielu ražotāji</w:t>
            </w:r>
            <w:r w:rsidR="0005464C" w:rsidRPr="000C3267">
              <w:t xml:space="preserve"> (</w:t>
            </w:r>
            <w:r w:rsidR="00670DE7" w:rsidRPr="000C3267">
              <w:t xml:space="preserve">dati </w:t>
            </w:r>
            <w:r w:rsidR="00670DE7" w:rsidRPr="00AB6B70">
              <w:t xml:space="preserve">uz 25.11.2020. </w:t>
            </w:r>
            <w:r w:rsidR="0005464C" w:rsidRPr="00AB6B70">
              <w:t xml:space="preserve">no </w:t>
            </w:r>
            <w:r w:rsidR="004417A2" w:rsidRPr="00AB6B70">
              <w:t xml:space="preserve">Zāļu valsts </w:t>
            </w:r>
            <w:r w:rsidR="009D4759" w:rsidRPr="00AB6B70">
              <w:t>aģentūras</w:t>
            </w:r>
            <w:r w:rsidR="0005464C" w:rsidRPr="00AB6B70">
              <w:t xml:space="preserve"> tīmekļvietnes </w:t>
            </w:r>
            <w:hyperlink r:id="rId8" w:history="1">
              <w:r w:rsidR="00895693" w:rsidRPr="00AB6B70">
                <w:rPr>
                  <w:rStyle w:val="Hipersaite"/>
                  <w:i/>
                  <w:color w:val="auto"/>
                  <w:u w:val="none"/>
                </w:rPr>
                <w:t>www.zva.gov.lv</w:t>
              </w:r>
            </w:hyperlink>
            <w:r w:rsidR="0005464C" w:rsidRPr="00AB6B70">
              <w:t>)</w:t>
            </w:r>
            <w:r w:rsidRPr="00AB6B70">
              <w:t>.</w:t>
            </w:r>
          </w:p>
          <w:p w14:paraId="0D906894" w14:textId="07A61AA8" w:rsidR="00895693" w:rsidRPr="000C3267" w:rsidRDefault="00895693" w:rsidP="00D44D6F">
            <w:pPr>
              <w:jc w:val="both"/>
            </w:pPr>
          </w:p>
        </w:tc>
      </w:tr>
      <w:tr w:rsidR="0005464C" w:rsidRPr="000C3267" w14:paraId="2FD968CE" w14:textId="77777777" w:rsidTr="000544E1">
        <w:trPr>
          <w:cantSplit/>
        </w:trPr>
        <w:tc>
          <w:tcPr>
            <w:tcW w:w="232" w:type="pct"/>
            <w:hideMark/>
          </w:tcPr>
          <w:p w14:paraId="7F20A364" w14:textId="77777777" w:rsidR="0005464C" w:rsidRPr="000C3267" w:rsidRDefault="0005464C" w:rsidP="00D44D6F">
            <w:pPr>
              <w:jc w:val="center"/>
            </w:pPr>
            <w:r w:rsidRPr="000C3267">
              <w:t>2.</w:t>
            </w:r>
          </w:p>
        </w:tc>
        <w:tc>
          <w:tcPr>
            <w:tcW w:w="1330" w:type="pct"/>
            <w:hideMark/>
          </w:tcPr>
          <w:p w14:paraId="22292C7D" w14:textId="77777777" w:rsidR="0005464C" w:rsidRPr="000C3267" w:rsidRDefault="0005464C" w:rsidP="00D44D6F">
            <w:r w:rsidRPr="000C3267">
              <w:t>Tiesiskā regulējuma ietekme uz tautsaimniecību un administratīvo slogu</w:t>
            </w:r>
          </w:p>
        </w:tc>
        <w:tc>
          <w:tcPr>
            <w:tcW w:w="3438" w:type="pct"/>
            <w:hideMark/>
          </w:tcPr>
          <w:p w14:paraId="209C8650" w14:textId="4764B373" w:rsidR="0005464C" w:rsidRPr="000C3267" w:rsidRDefault="004417A2">
            <w:pPr>
              <w:jc w:val="both"/>
            </w:pPr>
            <w:r w:rsidRPr="000C3267">
              <w:t>Projekta ietekme uz tautsaimniecību un administratīvo slogu nemainās, jo nemainās arī noteikumu projektā paredzētās prasības salīdzinājumā ar līdz šim M</w:t>
            </w:r>
            <w:r w:rsidR="00444D3B" w:rsidRPr="000C3267">
              <w:t>K</w:t>
            </w:r>
            <w:r w:rsidRPr="000C3267">
              <w:t xml:space="preserve"> noteikumos 304 noteikto.</w:t>
            </w:r>
          </w:p>
        </w:tc>
      </w:tr>
      <w:tr w:rsidR="0005464C" w:rsidRPr="000C3267" w14:paraId="382744EA" w14:textId="77777777" w:rsidTr="000544E1">
        <w:trPr>
          <w:cantSplit/>
        </w:trPr>
        <w:tc>
          <w:tcPr>
            <w:tcW w:w="232" w:type="pct"/>
            <w:hideMark/>
          </w:tcPr>
          <w:p w14:paraId="42967416" w14:textId="77777777" w:rsidR="0005464C" w:rsidRPr="000C3267" w:rsidRDefault="0005464C" w:rsidP="00D44D6F">
            <w:pPr>
              <w:jc w:val="center"/>
            </w:pPr>
            <w:r w:rsidRPr="000C3267">
              <w:t>3.</w:t>
            </w:r>
          </w:p>
        </w:tc>
        <w:tc>
          <w:tcPr>
            <w:tcW w:w="1330" w:type="pct"/>
            <w:hideMark/>
          </w:tcPr>
          <w:p w14:paraId="20F05440" w14:textId="77777777" w:rsidR="0005464C" w:rsidRPr="000C3267" w:rsidRDefault="0005464C" w:rsidP="00D44D6F">
            <w:r w:rsidRPr="000C3267">
              <w:t>Administratīvo izmaksu monetārs novērtējums</w:t>
            </w:r>
          </w:p>
        </w:tc>
        <w:tc>
          <w:tcPr>
            <w:tcW w:w="3438" w:type="pct"/>
            <w:hideMark/>
          </w:tcPr>
          <w:p w14:paraId="3EDCD013" w14:textId="77777777" w:rsidR="0005464C" w:rsidRPr="000C3267" w:rsidRDefault="0005464C" w:rsidP="00D44D6F">
            <w:pPr>
              <w:jc w:val="both"/>
            </w:pPr>
            <w:r w:rsidRPr="000C3267">
              <w:t>Projekts šo jomu neskar.</w:t>
            </w:r>
          </w:p>
        </w:tc>
      </w:tr>
      <w:tr w:rsidR="0005464C" w:rsidRPr="000C3267" w14:paraId="7D71DB30" w14:textId="77777777" w:rsidTr="000544E1">
        <w:trPr>
          <w:cantSplit/>
        </w:trPr>
        <w:tc>
          <w:tcPr>
            <w:tcW w:w="232" w:type="pct"/>
            <w:hideMark/>
          </w:tcPr>
          <w:p w14:paraId="558BA0F2" w14:textId="77777777" w:rsidR="0005464C" w:rsidRPr="000C3267" w:rsidRDefault="0005464C" w:rsidP="00D44D6F">
            <w:pPr>
              <w:jc w:val="center"/>
            </w:pPr>
            <w:r w:rsidRPr="000C3267">
              <w:t>4.</w:t>
            </w:r>
          </w:p>
        </w:tc>
        <w:tc>
          <w:tcPr>
            <w:tcW w:w="1330" w:type="pct"/>
            <w:hideMark/>
          </w:tcPr>
          <w:p w14:paraId="68AA38E1" w14:textId="77777777" w:rsidR="0005464C" w:rsidRPr="000C3267" w:rsidRDefault="0005464C" w:rsidP="00D44D6F">
            <w:r w:rsidRPr="000C3267">
              <w:t>Atbilstības izmaksu monetārs novērtējums</w:t>
            </w:r>
          </w:p>
        </w:tc>
        <w:tc>
          <w:tcPr>
            <w:tcW w:w="3438" w:type="pct"/>
            <w:hideMark/>
          </w:tcPr>
          <w:p w14:paraId="0B34A385" w14:textId="058BC774" w:rsidR="0005464C" w:rsidRPr="000C3267" w:rsidRDefault="0005464C" w:rsidP="00D44D6F">
            <w:pPr>
              <w:jc w:val="both"/>
            </w:pPr>
            <w:r w:rsidRPr="000C3267">
              <w:t>Projekts šo jomu neskar.</w:t>
            </w:r>
          </w:p>
        </w:tc>
      </w:tr>
      <w:tr w:rsidR="0005464C" w:rsidRPr="000C3267" w14:paraId="1007B905" w14:textId="77777777" w:rsidTr="000544E1">
        <w:trPr>
          <w:cantSplit/>
        </w:trPr>
        <w:tc>
          <w:tcPr>
            <w:tcW w:w="232" w:type="pct"/>
            <w:hideMark/>
          </w:tcPr>
          <w:p w14:paraId="13F2B148" w14:textId="77777777" w:rsidR="0005464C" w:rsidRPr="000C3267" w:rsidRDefault="0005464C" w:rsidP="00D44D6F">
            <w:pPr>
              <w:jc w:val="center"/>
            </w:pPr>
            <w:r w:rsidRPr="000C3267">
              <w:t>5.</w:t>
            </w:r>
          </w:p>
        </w:tc>
        <w:tc>
          <w:tcPr>
            <w:tcW w:w="1330" w:type="pct"/>
            <w:hideMark/>
          </w:tcPr>
          <w:p w14:paraId="6087DFE9" w14:textId="77777777" w:rsidR="0005464C" w:rsidRPr="000C3267" w:rsidRDefault="0005464C" w:rsidP="00D44D6F">
            <w:r w:rsidRPr="000C3267">
              <w:t>Cita informācija</w:t>
            </w:r>
          </w:p>
        </w:tc>
        <w:tc>
          <w:tcPr>
            <w:tcW w:w="3438" w:type="pct"/>
            <w:hideMark/>
          </w:tcPr>
          <w:p w14:paraId="57A5D5CB" w14:textId="77777777" w:rsidR="0005464C" w:rsidRPr="000C3267" w:rsidRDefault="0005464C" w:rsidP="00D44D6F">
            <w:r w:rsidRPr="000C3267">
              <w:t>Nav.</w:t>
            </w:r>
          </w:p>
        </w:tc>
      </w:tr>
    </w:tbl>
    <w:p w14:paraId="1351BA5A" w14:textId="77777777" w:rsidR="0005464C" w:rsidRPr="000C3267" w:rsidRDefault="0005464C" w:rsidP="007520AF">
      <w:pPr>
        <w:pStyle w:val="Nosaukums"/>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94"/>
        <w:gridCol w:w="757"/>
        <w:gridCol w:w="1221"/>
        <w:gridCol w:w="429"/>
        <w:gridCol w:w="1987"/>
        <w:gridCol w:w="1967"/>
      </w:tblGrid>
      <w:tr w:rsidR="0005464C" w:rsidRPr="000C3267" w14:paraId="216FBE6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14:paraId="4166D7C0" w14:textId="77777777" w:rsidR="0005464C" w:rsidRPr="000C3267" w:rsidRDefault="0005464C" w:rsidP="00D44D6F">
            <w:pPr>
              <w:pStyle w:val="Paraststmeklis"/>
              <w:spacing w:before="0" w:beforeAutospacing="0" w:after="0" w:afterAutospacing="0"/>
              <w:jc w:val="center"/>
              <w:rPr>
                <w:b/>
                <w:bCs/>
                <w:lang w:val="lv-LV"/>
              </w:rPr>
            </w:pPr>
            <w:r w:rsidRPr="000C3267">
              <w:rPr>
                <w:b/>
                <w:bCs/>
                <w:lang w:val="lv-LV"/>
              </w:rPr>
              <w:t>III. Tiesību akta projekta ietekme uz valsts budžetu un pašvaldību budžetiem</w:t>
            </w:r>
          </w:p>
        </w:tc>
      </w:tr>
      <w:tr w:rsidR="0005464C" w:rsidRPr="000C3267" w14:paraId="34FFA0DB"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56E89DEE" w14:textId="77777777" w:rsidR="0005464C" w:rsidRPr="000C3267" w:rsidRDefault="0005464C" w:rsidP="00D44D6F">
            <w:pPr>
              <w:pStyle w:val="Paraststmeklis"/>
              <w:spacing w:before="0" w:beforeAutospacing="0" w:after="0" w:afterAutospacing="0"/>
              <w:jc w:val="center"/>
              <w:rPr>
                <w:bCs/>
                <w:lang w:val="lv-LV"/>
              </w:rPr>
            </w:pPr>
            <w:r w:rsidRPr="000C3267">
              <w:rPr>
                <w:bCs/>
                <w:lang w:val="lv-LV"/>
              </w:rPr>
              <w:t>Projekts šo jomu neskar.</w:t>
            </w:r>
          </w:p>
        </w:tc>
      </w:tr>
      <w:tr w:rsidR="0005464C" w:rsidRPr="000C3267" w14:paraId="79094CCA" w14:textId="77777777" w:rsidTr="00D44D6F">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4DCAD2E4" w14:textId="77777777" w:rsidR="0005464C" w:rsidRPr="000C3267" w:rsidRDefault="0005464C" w:rsidP="00D44D6F">
            <w:pPr>
              <w:pStyle w:val="Paraststmeklis"/>
              <w:spacing w:before="0" w:beforeAutospacing="0" w:after="0" w:afterAutospacing="0"/>
              <w:jc w:val="center"/>
              <w:rPr>
                <w:b/>
                <w:bCs/>
                <w:lang w:val="lv-LV"/>
              </w:rPr>
            </w:pPr>
            <w:r w:rsidRPr="000C3267">
              <w:rPr>
                <w:b/>
                <w:lang w:val="lv-LV"/>
              </w:rPr>
              <w:t>IV. Tiesību akta projekta ietekme uz spēkā esošo tiesību normu sistēmu</w:t>
            </w:r>
          </w:p>
        </w:tc>
      </w:tr>
      <w:tr w:rsidR="0005464C" w:rsidRPr="000C3267" w14:paraId="00EC38F3" w14:textId="77777777" w:rsidTr="007F301C">
        <w:tc>
          <w:tcPr>
            <w:tcW w:w="5000" w:type="pct"/>
            <w:gridSpan w:val="6"/>
            <w:tcBorders>
              <w:top w:val="outset" w:sz="6" w:space="0" w:color="000000"/>
              <w:left w:val="outset" w:sz="6" w:space="0" w:color="000000"/>
              <w:bottom w:val="single" w:sz="4" w:space="0" w:color="auto"/>
              <w:right w:val="outset" w:sz="6" w:space="0" w:color="000000"/>
            </w:tcBorders>
            <w:shd w:val="clear" w:color="auto" w:fill="auto"/>
          </w:tcPr>
          <w:p w14:paraId="74D3EB06" w14:textId="2034A93E" w:rsidR="0005464C" w:rsidRPr="000C3267" w:rsidRDefault="00B3027C" w:rsidP="00D44D6F">
            <w:pPr>
              <w:pStyle w:val="Paraststmeklis"/>
              <w:spacing w:before="0" w:beforeAutospacing="0" w:after="0" w:afterAutospacing="0"/>
              <w:jc w:val="center"/>
              <w:rPr>
                <w:bCs/>
                <w:lang w:val="lv-LV"/>
              </w:rPr>
            </w:pPr>
            <w:r w:rsidRPr="000C3267">
              <w:rPr>
                <w:bCs/>
                <w:lang w:val="lv-LV"/>
              </w:rPr>
              <w:t>Projekts šo jomu neskar.</w:t>
            </w:r>
          </w:p>
        </w:tc>
      </w:tr>
      <w:tr w:rsidR="0005464C" w:rsidRPr="000C3267" w14:paraId="2B0896D8" w14:textId="77777777" w:rsidTr="007F301C">
        <w:tc>
          <w:tcPr>
            <w:tcW w:w="5000" w:type="pct"/>
            <w:gridSpan w:val="6"/>
            <w:tcBorders>
              <w:top w:val="single" w:sz="4" w:space="0" w:color="auto"/>
              <w:left w:val="outset" w:sz="6" w:space="0" w:color="000000"/>
              <w:bottom w:val="outset" w:sz="6" w:space="0" w:color="000000"/>
              <w:right w:val="outset" w:sz="6" w:space="0" w:color="000000"/>
            </w:tcBorders>
            <w:shd w:val="clear" w:color="auto" w:fill="auto"/>
          </w:tcPr>
          <w:p w14:paraId="015167D2" w14:textId="77777777" w:rsidR="0005464C" w:rsidRPr="000C3267" w:rsidRDefault="0005464C" w:rsidP="00D44D6F">
            <w:pPr>
              <w:pStyle w:val="Paraststmeklis"/>
              <w:spacing w:before="0" w:beforeAutospacing="0" w:after="0" w:afterAutospacing="0"/>
              <w:jc w:val="center"/>
              <w:rPr>
                <w:b/>
                <w:bCs/>
                <w:lang w:val="lv-LV"/>
              </w:rPr>
            </w:pPr>
            <w:r w:rsidRPr="000C3267">
              <w:rPr>
                <w:b/>
                <w:bCs/>
                <w:lang w:val="lv-LV"/>
              </w:rPr>
              <w:t>V. Tiesību akta projekta atbilstība Latvijas Republikas starptautiskajām saistībām</w:t>
            </w:r>
          </w:p>
        </w:tc>
      </w:tr>
      <w:tr w:rsidR="0005464C" w:rsidRPr="000C3267" w14:paraId="53F232BC" w14:textId="77777777" w:rsidTr="00C9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6" w:type="pct"/>
            <w:gridSpan w:val="2"/>
          </w:tcPr>
          <w:p w14:paraId="038F9A40" w14:textId="77777777" w:rsidR="0005464C" w:rsidRPr="000C3267" w:rsidRDefault="0005464C" w:rsidP="00D44D6F">
            <w:pPr>
              <w:pStyle w:val="Paraststmeklis"/>
              <w:spacing w:before="0" w:beforeAutospacing="0" w:after="0" w:afterAutospacing="0"/>
              <w:rPr>
                <w:lang w:val="lv-LV"/>
              </w:rPr>
            </w:pPr>
            <w:r w:rsidRPr="000C3267">
              <w:rPr>
                <w:lang w:val="lv-LV"/>
              </w:rPr>
              <w:t>1. Saistības pret Eiropas Savienību</w:t>
            </w:r>
          </w:p>
        </w:tc>
        <w:tc>
          <w:tcPr>
            <w:tcW w:w="3094" w:type="pct"/>
            <w:gridSpan w:val="4"/>
          </w:tcPr>
          <w:p w14:paraId="1E3BE4E5" w14:textId="77777777" w:rsidR="00C93A87" w:rsidRPr="000C3267" w:rsidRDefault="00244A49" w:rsidP="00244A49">
            <w:pPr>
              <w:pStyle w:val="Vresteksts"/>
              <w:jc w:val="both"/>
              <w:rPr>
                <w:rFonts w:ascii="Times New Roman" w:eastAsia="Times New Roman" w:hAnsi="Times New Roman"/>
                <w:sz w:val="24"/>
                <w:szCs w:val="24"/>
                <w:shd w:val="clear" w:color="auto" w:fill="FFFFFF"/>
                <w:lang w:eastAsia="lv-LV"/>
              </w:rPr>
            </w:pPr>
            <w:r w:rsidRPr="000C3267">
              <w:rPr>
                <w:rFonts w:ascii="Times New Roman" w:eastAsia="Times New Roman" w:hAnsi="Times New Roman"/>
                <w:sz w:val="24"/>
                <w:szCs w:val="24"/>
                <w:shd w:val="clear" w:color="auto" w:fill="FFFFFF"/>
                <w:lang w:eastAsia="lv-LV"/>
              </w:rPr>
              <w:t>1) Eiropas Parlamenta un Padomes 2001. gada 6. novembra Direktīvas </w:t>
            </w:r>
            <w:hyperlink r:id="rId9" w:history="1">
              <w:r w:rsidRPr="000C3267">
                <w:rPr>
                  <w:rFonts w:ascii="Times New Roman" w:eastAsia="Times New Roman" w:hAnsi="Times New Roman"/>
                  <w:sz w:val="24"/>
                  <w:szCs w:val="24"/>
                  <w:shd w:val="clear" w:color="auto" w:fill="FFFFFF"/>
                  <w:lang w:eastAsia="lv-LV"/>
                </w:rPr>
                <w:t>2001/83/EK</w:t>
              </w:r>
            </w:hyperlink>
            <w:r w:rsidRPr="000C3267">
              <w:rPr>
                <w:rFonts w:ascii="Times New Roman" w:eastAsia="Times New Roman" w:hAnsi="Times New Roman"/>
                <w:sz w:val="24"/>
                <w:szCs w:val="24"/>
                <w:shd w:val="clear" w:color="auto" w:fill="FFFFFF"/>
                <w:lang w:eastAsia="lv-LV"/>
              </w:rPr>
              <w:t> par Kopienas kodeksu, kas attiecas uz cilvēkiem paredzētām zālēm</w:t>
            </w:r>
            <w:r w:rsidR="00C93A87" w:rsidRPr="000C3267">
              <w:rPr>
                <w:rFonts w:ascii="Times New Roman" w:eastAsia="Times New Roman" w:hAnsi="Times New Roman"/>
                <w:sz w:val="24"/>
                <w:szCs w:val="24"/>
                <w:shd w:val="clear" w:color="auto" w:fill="FFFFFF"/>
                <w:lang w:eastAsia="lv-LV"/>
              </w:rPr>
              <w:t xml:space="preserve"> (turpmāk – Direktīva 2001/83)</w:t>
            </w:r>
          </w:p>
          <w:p w14:paraId="07691B92" w14:textId="66536A1B" w:rsidR="00C93A87" w:rsidRPr="000C3267" w:rsidRDefault="00244A49" w:rsidP="00244A49">
            <w:pPr>
              <w:pStyle w:val="Vresteksts"/>
              <w:jc w:val="both"/>
              <w:rPr>
                <w:rFonts w:ascii="Times New Roman" w:eastAsia="Times New Roman" w:hAnsi="Times New Roman"/>
                <w:sz w:val="24"/>
                <w:szCs w:val="24"/>
                <w:u w:val="single"/>
                <w:shd w:val="clear" w:color="auto" w:fill="FFFFFF"/>
                <w:lang w:eastAsia="lv-LV"/>
              </w:rPr>
            </w:pPr>
            <w:r w:rsidRPr="000C3267">
              <w:rPr>
                <w:rFonts w:ascii="Times New Roman" w:eastAsia="Times New Roman" w:hAnsi="Times New Roman"/>
                <w:sz w:val="24"/>
                <w:szCs w:val="24"/>
                <w:shd w:val="clear" w:color="auto" w:fill="FFFFFF"/>
                <w:lang w:eastAsia="lv-LV"/>
              </w:rPr>
              <w:t xml:space="preserve"> </w:t>
            </w:r>
            <w:hyperlink r:id="rId10" w:history="1">
              <w:r w:rsidRPr="000C3267">
                <w:rPr>
                  <w:rStyle w:val="Hipersaite"/>
                  <w:rFonts w:ascii="Times New Roman" w:eastAsia="Times New Roman" w:hAnsi="Times New Roman"/>
                  <w:color w:val="auto"/>
                  <w:sz w:val="24"/>
                  <w:szCs w:val="24"/>
                  <w:shd w:val="clear" w:color="auto" w:fill="FFFFFF"/>
                  <w:lang w:eastAsia="lv-LV"/>
                </w:rPr>
                <w:t>https://eur-lex.europa.eu/legal-content/LV/TXT/HTML/?uri=CELEX:02001L0083-20121116&amp;from=EN</w:t>
              </w:r>
            </w:hyperlink>
          </w:p>
          <w:p w14:paraId="43FA7C6D" w14:textId="77777777" w:rsidR="00244A49" w:rsidRPr="000C3267" w:rsidRDefault="00244A49" w:rsidP="00D44D6F">
            <w:pPr>
              <w:jc w:val="both"/>
            </w:pPr>
          </w:p>
          <w:p w14:paraId="7C781196" w14:textId="03F3C8ED" w:rsidR="00C93A87" w:rsidRPr="000C3267" w:rsidRDefault="00C93A87" w:rsidP="00D44D6F">
            <w:pPr>
              <w:jc w:val="both"/>
            </w:pPr>
            <w:r w:rsidRPr="000C3267">
              <w:t>Komisijas 2017. gada 15. septembra Direktīva Nr. 2017/1572, ar ko Eiropas Parlamenta un Padomes Direktīvu </w:t>
            </w:r>
            <w:hyperlink r:id="rId11" w:tgtFrame="_blank" w:history="1">
              <w:r w:rsidRPr="000C3267">
                <w:t>2001/83/EK</w:t>
              </w:r>
            </w:hyperlink>
            <w:r w:rsidRPr="000C3267">
              <w:t xml:space="preserve"> papildina attiecībā uz cilvēkiem paredzētu zāļu labas ražošanas prakses principiem un pamatnostādnēm (turpmāk - direktīva 2017/1572) </w:t>
            </w:r>
          </w:p>
          <w:p w14:paraId="49A2C1DB" w14:textId="50ED2490" w:rsidR="00C93A87" w:rsidRPr="000C3267" w:rsidRDefault="0028436A" w:rsidP="00D44D6F">
            <w:pPr>
              <w:jc w:val="both"/>
            </w:pPr>
            <w:hyperlink r:id="rId12" w:history="1">
              <w:r w:rsidR="00C93A87" w:rsidRPr="000C3267">
                <w:rPr>
                  <w:rStyle w:val="Hipersaite"/>
                  <w:color w:val="auto"/>
                </w:rPr>
                <w:t>https://eur-lex.europa.eu/legal-content/LV/TXT/PDF/?uri=CELEX:32017L1572</w:t>
              </w:r>
            </w:hyperlink>
          </w:p>
          <w:p w14:paraId="40BD3416" w14:textId="77777777" w:rsidR="00C93A87" w:rsidRPr="000C3267" w:rsidRDefault="00C93A87" w:rsidP="00D44D6F">
            <w:pPr>
              <w:jc w:val="both"/>
            </w:pPr>
          </w:p>
          <w:p w14:paraId="313F598E" w14:textId="2547AC1E" w:rsidR="001B52D2" w:rsidRPr="000C3267" w:rsidRDefault="00244A49" w:rsidP="00D44D6F">
            <w:pPr>
              <w:jc w:val="both"/>
              <w:rPr>
                <w:shd w:val="clear" w:color="auto" w:fill="FFFFFF"/>
              </w:rPr>
            </w:pPr>
            <w:r w:rsidRPr="000C3267">
              <w:t>2</w:t>
            </w:r>
            <w:r w:rsidR="0005464C" w:rsidRPr="000C3267">
              <w:t xml:space="preserve">) </w:t>
            </w:r>
            <w:r w:rsidR="004C3F4B" w:rsidRPr="000C3267">
              <w:t>EK</w:t>
            </w:r>
            <w:r w:rsidR="0005464C" w:rsidRPr="000C3267">
              <w:t xml:space="preserve"> 2020.</w:t>
            </w:r>
            <w:r w:rsidR="00283D3D" w:rsidRPr="000C3267">
              <w:t xml:space="preserve"> </w:t>
            </w:r>
            <w:r w:rsidR="0005464C" w:rsidRPr="000C3267">
              <w:t>gada 8.</w:t>
            </w:r>
            <w:r w:rsidR="00283D3D" w:rsidRPr="000C3267">
              <w:t xml:space="preserve"> </w:t>
            </w:r>
            <w:r w:rsidR="0005464C" w:rsidRPr="000C3267">
              <w:t>aprīļa paziņojums “Vadlīnijas par optimālu un racionālu apgādi ar zālēm, lai novērstu zāļu deficītu Covid-19 uzliesmojuma laikā”</w:t>
            </w:r>
            <w:r w:rsidR="0005464C" w:rsidRPr="000C3267">
              <w:rPr>
                <w:shd w:val="clear" w:color="auto" w:fill="FFFFFF"/>
              </w:rPr>
              <w:t xml:space="preserve"> (2020/C 116 I/01)</w:t>
            </w:r>
            <w:r w:rsidR="005275DE" w:rsidRPr="000C3267">
              <w:rPr>
                <w:shd w:val="clear" w:color="auto" w:fill="FFFFFF"/>
              </w:rPr>
              <w:t xml:space="preserve"> </w:t>
            </w:r>
          </w:p>
          <w:p w14:paraId="5E427843" w14:textId="370C7A15" w:rsidR="00444D3B" w:rsidRPr="000C3267" w:rsidRDefault="0028436A" w:rsidP="00D44D6F">
            <w:pPr>
              <w:jc w:val="both"/>
              <w:rPr>
                <w:shd w:val="clear" w:color="auto" w:fill="FFFFFF"/>
              </w:rPr>
            </w:pPr>
            <w:hyperlink r:id="rId13" w:history="1">
              <w:r w:rsidR="001B52D2" w:rsidRPr="000C3267">
                <w:rPr>
                  <w:rStyle w:val="Hipersaite"/>
                  <w:color w:val="auto"/>
                  <w:u w:val="none"/>
                  <w:shd w:val="clear" w:color="auto" w:fill="FFFFFF"/>
                </w:rPr>
                <w:t>https://eur-lex.europa.eu/legal-content/LV/TXT/HTML/?uri=OJ:C:2020:116I:FULL</w:t>
              </w:r>
            </w:hyperlink>
          </w:p>
          <w:p w14:paraId="2B3465A2" w14:textId="77777777" w:rsidR="001B52D2" w:rsidRPr="000C3267" w:rsidRDefault="001B52D2" w:rsidP="00D44D6F">
            <w:pPr>
              <w:jc w:val="both"/>
              <w:rPr>
                <w:shd w:val="clear" w:color="auto" w:fill="FFFFFF"/>
              </w:rPr>
            </w:pPr>
          </w:p>
          <w:p w14:paraId="3B061296" w14:textId="0D139FE4" w:rsidR="0005464C" w:rsidRPr="000C3267" w:rsidRDefault="00244A49" w:rsidP="00D44D6F">
            <w:pPr>
              <w:jc w:val="both"/>
            </w:pPr>
            <w:r w:rsidRPr="000C3267">
              <w:t>3</w:t>
            </w:r>
            <w:r w:rsidR="0005464C" w:rsidRPr="000C3267">
              <w:t xml:space="preserve">) </w:t>
            </w:r>
            <w:r w:rsidR="00396CA5" w:rsidRPr="000C3267">
              <w:rPr>
                <w:iCs/>
                <w:shd w:val="clear" w:color="auto" w:fill="FFFFFF"/>
              </w:rPr>
              <w:t>EK</w:t>
            </w:r>
            <w:r w:rsidR="00396CA5" w:rsidRPr="000C3267">
              <w:t xml:space="preserve">, Eiropas Zāļu aģentūra un </w:t>
            </w:r>
            <w:r w:rsidR="00396CA5" w:rsidRPr="000C3267">
              <w:rPr>
                <w:iCs/>
                <w:shd w:val="clear" w:color="auto" w:fill="FFFFFF"/>
              </w:rPr>
              <w:t xml:space="preserve">Eiropas zāļu regulatīvā tīkla aģentūru vadītāju </w:t>
            </w:r>
            <w:r w:rsidR="00396CA5" w:rsidRPr="000C3267">
              <w:t>aktualizētajā jautājumu un atbilžu dokumentā par zāļu reglamentējuma jautājumiem COVID - 19 pandēmijas laikā</w:t>
            </w:r>
          </w:p>
          <w:p w14:paraId="75BFA38C" w14:textId="64842F50" w:rsidR="001B52D2" w:rsidRPr="000C3267" w:rsidRDefault="008C7348" w:rsidP="008C7348">
            <w:pPr>
              <w:jc w:val="both"/>
            </w:pPr>
            <w:r w:rsidRPr="000C3267">
              <w:t>https://www.ema.europa.eu/en/news/guidance-regulatory-requirements-context-covid-19-pandemic</w:t>
            </w:r>
          </w:p>
        </w:tc>
      </w:tr>
      <w:tr w:rsidR="0005464C" w:rsidRPr="000C3267" w14:paraId="51E387BD" w14:textId="77777777" w:rsidTr="00C9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6" w:type="pct"/>
            <w:gridSpan w:val="2"/>
          </w:tcPr>
          <w:p w14:paraId="0D914053" w14:textId="6963D487" w:rsidR="0005464C" w:rsidRPr="000C3267" w:rsidRDefault="0005464C" w:rsidP="00D44D6F">
            <w:pPr>
              <w:pStyle w:val="Paraststmeklis"/>
              <w:spacing w:before="0" w:beforeAutospacing="0" w:after="0" w:afterAutospacing="0"/>
              <w:jc w:val="both"/>
              <w:rPr>
                <w:lang w:val="lv-LV"/>
              </w:rPr>
            </w:pPr>
            <w:r w:rsidRPr="000C3267">
              <w:rPr>
                <w:lang w:val="lv-LV"/>
              </w:rPr>
              <w:t>2.</w:t>
            </w:r>
            <w:r w:rsidR="00444D3B" w:rsidRPr="000C3267">
              <w:rPr>
                <w:lang w:val="lv-LV"/>
              </w:rPr>
              <w:t> </w:t>
            </w:r>
            <w:r w:rsidRPr="000C3267">
              <w:rPr>
                <w:lang w:val="lv-LV"/>
              </w:rPr>
              <w:t>Citas starptautiskās saistības</w:t>
            </w:r>
          </w:p>
        </w:tc>
        <w:tc>
          <w:tcPr>
            <w:tcW w:w="3094" w:type="pct"/>
            <w:gridSpan w:val="4"/>
          </w:tcPr>
          <w:p w14:paraId="185D6474" w14:textId="2C2FCA55" w:rsidR="0005464C" w:rsidRPr="000C3267" w:rsidRDefault="004C3F4B" w:rsidP="00D44D6F">
            <w:r w:rsidRPr="000C3267">
              <w:rPr>
                <w:bCs/>
              </w:rPr>
              <w:t>Projekts šo jomu neskar.</w:t>
            </w:r>
          </w:p>
        </w:tc>
      </w:tr>
      <w:tr w:rsidR="0005464C" w:rsidRPr="000C3267" w14:paraId="3D31AD33" w14:textId="77777777" w:rsidTr="00C9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6" w:type="pct"/>
            <w:gridSpan w:val="2"/>
          </w:tcPr>
          <w:p w14:paraId="20DB3015" w14:textId="77777777" w:rsidR="0005464C" w:rsidRPr="000C3267" w:rsidRDefault="0005464C" w:rsidP="00D44D6F">
            <w:pPr>
              <w:pStyle w:val="Paraststmeklis"/>
              <w:spacing w:before="0" w:beforeAutospacing="0" w:after="0" w:afterAutospacing="0"/>
              <w:jc w:val="both"/>
              <w:rPr>
                <w:lang w:val="lv-LV"/>
              </w:rPr>
            </w:pPr>
            <w:r w:rsidRPr="000C3267">
              <w:rPr>
                <w:lang w:val="lv-LV"/>
              </w:rPr>
              <w:t>3. Cita informācija</w:t>
            </w:r>
          </w:p>
        </w:tc>
        <w:tc>
          <w:tcPr>
            <w:tcW w:w="3094" w:type="pct"/>
            <w:gridSpan w:val="4"/>
          </w:tcPr>
          <w:p w14:paraId="13D067FA" w14:textId="535C2926" w:rsidR="0005464C" w:rsidRPr="000C3267" w:rsidRDefault="0005464C" w:rsidP="00D44D6F">
            <w:r w:rsidRPr="000C3267">
              <w:t>Nav</w:t>
            </w:r>
            <w:r w:rsidR="00465344" w:rsidRPr="000C3267">
              <w:t>.</w:t>
            </w:r>
          </w:p>
        </w:tc>
      </w:tr>
      <w:tr w:rsidR="0005464C" w:rsidRPr="000C3267"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35CE4D07" w14:textId="77777777" w:rsidR="0005464C" w:rsidRPr="000C3267" w:rsidRDefault="0005464C" w:rsidP="00D44D6F">
            <w:pPr>
              <w:jc w:val="center"/>
              <w:rPr>
                <w:b/>
              </w:rPr>
            </w:pPr>
            <w:r w:rsidRPr="000C3267">
              <w:rPr>
                <w:b/>
              </w:rPr>
              <w:t xml:space="preserve">1.tabula </w:t>
            </w:r>
          </w:p>
          <w:p w14:paraId="466DD4AB" w14:textId="77777777" w:rsidR="0005464C" w:rsidRPr="000C3267" w:rsidRDefault="0005464C" w:rsidP="00D44D6F">
            <w:pPr>
              <w:jc w:val="center"/>
            </w:pPr>
            <w:r w:rsidRPr="000C3267">
              <w:rPr>
                <w:b/>
              </w:rPr>
              <w:t>Tiesību akta projekta atbilstība ES tiesību aktiem</w:t>
            </w:r>
          </w:p>
        </w:tc>
      </w:tr>
      <w:tr w:rsidR="0005464C" w:rsidRPr="000C3267" w14:paraId="6E558DAE" w14:textId="77777777" w:rsidTr="00C9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580" w:type="pct"/>
            <w:gridSpan w:val="3"/>
          </w:tcPr>
          <w:p w14:paraId="3ACD2474" w14:textId="77777777" w:rsidR="0005464C" w:rsidRPr="000C3267" w:rsidRDefault="0005464C" w:rsidP="00D44D6F">
            <w:pPr>
              <w:pStyle w:val="naisc"/>
              <w:spacing w:before="0" w:after="0"/>
              <w:jc w:val="both"/>
              <w:rPr>
                <w:sz w:val="24"/>
                <w:szCs w:val="24"/>
                <w:lang w:val="lv-LV"/>
              </w:rPr>
            </w:pPr>
            <w:r w:rsidRPr="000C3267">
              <w:rPr>
                <w:sz w:val="24"/>
                <w:szCs w:val="24"/>
                <w:lang w:val="lv-LV"/>
              </w:rPr>
              <w:t>Attiecīgo Eiropas Savienības tiesību aktu datums, numurs un nosaukums</w:t>
            </w:r>
          </w:p>
        </w:tc>
        <w:tc>
          <w:tcPr>
            <w:tcW w:w="2420" w:type="pct"/>
            <w:gridSpan w:val="3"/>
          </w:tcPr>
          <w:p w14:paraId="6AFC5BAB" w14:textId="4071FC77" w:rsidR="0005464C" w:rsidRPr="000C3267" w:rsidRDefault="004C3F4B" w:rsidP="00D44D6F">
            <w:pPr>
              <w:jc w:val="both"/>
            </w:pPr>
            <w:r w:rsidRPr="000C3267">
              <w:rPr>
                <w:bCs/>
              </w:rPr>
              <w:t>Projekts šo jomu neskar.</w:t>
            </w:r>
          </w:p>
        </w:tc>
      </w:tr>
      <w:tr w:rsidR="0005464C" w:rsidRPr="000C3267"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3292F0A" w14:textId="77777777" w:rsidR="0005464C" w:rsidRPr="000C3267" w:rsidRDefault="0005464C" w:rsidP="00D44D6F">
            <w:pPr>
              <w:pStyle w:val="naisc"/>
              <w:spacing w:before="0" w:after="0"/>
              <w:jc w:val="right"/>
              <w:rPr>
                <w:sz w:val="24"/>
                <w:szCs w:val="24"/>
                <w:lang w:val="lv-LV"/>
              </w:rPr>
            </w:pPr>
          </w:p>
        </w:tc>
      </w:tr>
      <w:tr w:rsidR="0005464C" w:rsidRPr="000C3267" w14:paraId="64A3A4F4" w14:textId="77777777" w:rsidTr="00F4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67F288D4" w14:textId="77777777" w:rsidR="0005464C" w:rsidRPr="000C3267" w:rsidRDefault="0005464C" w:rsidP="00D44D6F">
            <w:pPr>
              <w:pStyle w:val="naisc"/>
              <w:spacing w:before="0" w:after="0"/>
              <w:rPr>
                <w:sz w:val="24"/>
                <w:szCs w:val="24"/>
                <w:lang w:val="lv-LV"/>
              </w:rPr>
            </w:pPr>
            <w:r w:rsidRPr="000C3267">
              <w:rPr>
                <w:sz w:val="24"/>
                <w:szCs w:val="24"/>
                <w:lang w:val="lv-LV"/>
              </w:rPr>
              <w:t>A</w:t>
            </w:r>
          </w:p>
        </w:tc>
        <w:tc>
          <w:tcPr>
            <w:tcW w:w="1329" w:type="pct"/>
            <w:gridSpan w:val="3"/>
          </w:tcPr>
          <w:p w14:paraId="5E782413" w14:textId="77777777" w:rsidR="0005464C" w:rsidRPr="000C3267" w:rsidRDefault="0005464C" w:rsidP="00D44D6F">
            <w:pPr>
              <w:pStyle w:val="naisc"/>
              <w:spacing w:before="0" w:after="0"/>
              <w:rPr>
                <w:sz w:val="24"/>
                <w:szCs w:val="24"/>
                <w:lang w:val="lv-LV"/>
              </w:rPr>
            </w:pPr>
            <w:r w:rsidRPr="000C3267">
              <w:rPr>
                <w:sz w:val="24"/>
                <w:szCs w:val="24"/>
                <w:lang w:val="lv-LV"/>
              </w:rPr>
              <w:t>B</w:t>
            </w:r>
          </w:p>
        </w:tc>
        <w:tc>
          <w:tcPr>
            <w:tcW w:w="1097" w:type="pct"/>
          </w:tcPr>
          <w:p w14:paraId="420CDECB" w14:textId="77777777" w:rsidR="0005464C" w:rsidRPr="000C3267" w:rsidRDefault="0005464C" w:rsidP="00D44D6F">
            <w:pPr>
              <w:pStyle w:val="naisc"/>
              <w:spacing w:before="0" w:after="0"/>
              <w:rPr>
                <w:sz w:val="24"/>
                <w:szCs w:val="24"/>
                <w:lang w:val="lv-LV"/>
              </w:rPr>
            </w:pPr>
            <w:r w:rsidRPr="000C3267">
              <w:rPr>
                <w:sz w:val="24"/>
                <w:szCs w:val="24"/>
                <w:lang w:val="lv-LV"/>
              </w:rPr>
              <w:t>C</w:t>
            </w:r>
          </w:p>
        </w:tc>
        <w:tc>
          <w:tcPr>
            <w:tcW w:w="1086" w:type="pct"/>
          </w:tcPr>
          <w:p w14:paraId="02CBEF30" w14:textId="77777777" w:rsidR="0005464C" w:rsidRPr="000C3267" w:rsidRDefault="0005464C" w:rsidP="00D44D6F">
            <w:pPr>
              <w:pStyle w:val="naisc"/>
              <w:spacing w:before="0" w:after="0"/>
              <w:rPr>
                <w:sz w:val="24"/>
                <w:szCs w:val="24"/>
                <w:lang w:val="lv-LV"/>
              </w:rPr>
            </w:pPr>
            <w:r w:rsidRPr="000C3267">
              <w:rPr>
                <w:sz w:val="24"/>
                <w:szCs w:val="24"/>
                <w:lang w:val="lv-LV"/>
              </w:rPr>
              <w:t>D</w:t>
            </w:r>
          </w:p>
        </w:tc>
      </w:tr>
      <w:tr w:rsidR="0005464C" w:rsidRPr="000C3267" w14:paraId="04C38974" w14:textId="77777777" w:rsidTr="00F4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74FC1E66" w14:textId="77777777" w:rsidR="0005464C" w:rsidRPr="000C3267" w:rsidRDefault="0005464C" w:rsidP="00D44D6F">
            <w:pPr>
              <w:pStyle w:val="naisc"/>
              <w:spacing w:before="0" w:after="0"/>
              <w:jc w:val="both"/>
              <w:rPr>
                <w:sz w:val="24"/>
                <w:szCs w:val="24"/>
                <w:lang w:val="lv-LV"/>
              </w:rPr>
            </w:pPr>
            <w:r w:rsidRPr="000C3267">
              <w:rPr>
                <w:sz w:val="24"/>
                <w:szCs w:val="24"/>
                <w:lang w:val="lv-LV"/>
              </w:rPr>
              <w:t>Attiecīgā ES tiesību akta panta numurs (uzskaitot katru tiesību akta vienību-pantu, daļu, punktu, apakšpunktu)</w:t>
            </w:r>
          </w:p>
        </w:tc>
        <w:tc>
          <w:tcPr>
            <w:tcW w:w="1329" w:type="pct"/>
            <w:gridSpan w:val="3"/>
          </w:tcPr>
          <w:p w14:paraId="07272645" w14:textId="77777777" w:rsidR="0005464C" w:rsidRPr="000C3267" w:rsidRDefault="0005464C" w:rsidP="00D44D6F">
            <w:pPr>
              <w:pStyle w:val="naisc"/>
              <w:spacing w:before="0" w:after="0"/>
              <w:jc w:val="both"/>
              <w:rPr>
                <w:sz w:val="24"/>
                <w:szCs w:val="24"/>
                <w:lang w:val="lv-LV"/>
              </w:rPr>
            </w:pPr>
            <w:r w:rsidRPr="000C3267">
              <w:rPr>
                <w:sz w:val="24"/>
                <w:szCs w:val="24"/>
                <w:lang w:val="lv-LV"/>
              </w:rPr>
              <w:t>Projekta vienība, kas pārņem vai ievieš katru šī tabulas A ailē minēto ES tiesību akta vienību vai tiesību akts, kur attiecīgā ES tiesību akta vienība pārņemta vai ieviesta</w:t>
            </w:r>
          </w:p>
        </w:tc>
        <w:tc>
          <w:tcPr>
            <w:tcW w:w="1097" w:type="pct"/>
          </w:tcPr>
          <w:p w14:paraId="03F3D83F" w14:textId="77777777" w:rsidR="0005464C" w:rsidRPr="000C3267" w:rsidRDefault="0005464C" w:rsidP="00D44D6F">
            <w:pPr>
              <w:pStyle w:val="naisc"/>
              <w:spacing w:before="0" w:after="0"/>
              <w:jc w:val="both"/>
              <w:rPr>
                <w:sz w:val="24"/>
                <w:szCs w:val="24"/>
                <w:lang w:val="lv-LV"/>
              </w:rPr>
            </w:pPr>
            <w:r w:rsidRPr="000C3267">
              <w:rPr>
                <w:sz w:val="24"/>
                <w:szCs w:val="24"/>
                <w:lang w:val="lv-LV"/>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saistību izpildi pilnībā</w:t>
            </w:r>
          </w:p>
        </w:tc>
        <w:tc>
          <w:tcPr>
            <w:tcW w:w="1086" w:type="pct"/>
          </w:tcPr>
          <w:p w14:paraId="3CBB9EB0" w14:textId="77777777" w:rsidR="0005464C" w:rsidRPr="000C3267" w:rsidRDefault="0005464C" w:rsidP="00D44D6F">
            <w:pPr>
              <w:pStyle w:val="naisc"/>
              <w:spacing w:before="0" w:after="0"/>
              <w:jc w:val="both"/>
              <w:rPr>
                <w:sz w:val="24"/>
                <w:szCs w:val="24"/>
                <w:lang w:val="lv-LV"/>
              </w:rPr>
            </w:pPr>
            <w:r w:rsidRPr="000C3267">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C93A87" w:rsidRPr="000C3267" w14:paraId="794F330D" w14:textId="77777777" w:rsidTr="00046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27C8D052" w14:textId="1E621BB6" w:rsidR="00C93A87" w:rsidRPr="000C3267" w:rsidRDefault="00C93A87" w:rsidP="00C93A87">
            <w:pPr>
              <w:pStyle w:val="naisc"/>
              <w:spacing w:before="0" w:after="0"/>
              <w:jc w:val="both"/>
              <w:rPr>
                <w:sz w:val="24"/>
                <w:szCs w:val="24"/>
                <w:lang w:val="lv-LV"/>
              </w:rPr>
            </w:pPr>
            <w:r w:rsidRPr="000C3267">
              <w:rPr>
                <w:rFonts w:eastAsia="Times New Roman"/>
                <w:sz w:val="24"/>
                <w:szCs w:val="24"/>
                <w:lang w:val="lv-LV" w:eastAsia="lv-LV"/>
              </w:rPr>
              <w:t>Direktīvas 2017/1572) 4. pant</w:t>
            </w:r>
            <w:r w:rsidR="000C3267" w:rsidRPr="000C3267">
              <w:rPr>
                <w:rFonts w:eastAsia="Times New Roman"/>
                <w:sz w:val="24"/>
                <w:szCs w:val="24"/>
                <w:lang w:val="lv-LV" w:eastAsia="lv-LV"/>
              </w:rPr>
              <w:t>s</w:t>
            </w:r>
          </w:p>
        </w:tc>
        <w:tc>
          <w:tcPr>
            <w:tcW w:w="1329" w:type="pct"/>
            <w:gridSpan w:val="3"/>
            <w:shd w:val="clear" w:color="auto" w:fill="auto"/>
          </w:tcPr>
          <w:p w14:paraId="2DE08478" w14:textId="531543C8" w:rsidR="00C93A87" w:rsidRPr="000C3267" w:rsidRDefault="00C93A87" w:rsidP="00C93A87">
            <w:pPr>
              <w:pStyle w:val="naisc"/>
              <w:spacing w:before="0" w:after="0"/>
              <w:jc w:val="both"/>
              <w:rPr>
                <w:sz w:val="24"/>
                <w:szCs w:val="24"/>
                <w:lang w:val="lv-LV"/>
              </w:rPr>
            </w:pPr>
            <w:r w:rsidRPr="000C3267">
              <w:rPr>
                <w:sz w:val="24"/>
                <w:szCs w:val="24"/>
                <w:lang w:val="lv-LV"/>
              </w:rPr>
              <w:t>1. </w:t>
            </w:r>
            <w:r w:rsidR="000C3267" w:rsidRPr="000C3267">
              <w:rPr>
                <w:sz w:val="24"/>
                <w:szCs w:val="24"/>
                <w:lang w:val="lv-LV"/>
              </w:rPr>
              <w:t>un 4. </w:t>
            </w:r>
            <w:r w:rsidRPr="000C3267">
              <w:rPr>
                <w:sz w:val="24"/>
                <w:szCs w:val="24"/>
                <w:lang w:val="lv-LV"/>
              </w:rPr>
              <w:t>punkts</w:t>
            </w:r>
          </w:p>
          <w:p w14:paraId="5DECA0E5" w14:textId="11809C32" w:rsidR="00C93A87" w:rsidRPr="000C3267" w:rsidRDefault="00C93A87" w:rsidP="00C93A87">
            <w:pPr>
              <w:pStyle w:val="naisc"/>
              <w:spacing w:before="0" w:after="0"/>
              <w:jc w:val="both"/>
              <w:rPr>
                <w:sz w:val="24"/>
                <w:szCs w:val="24"/>
                <w:lang w:val="lv-LV"/>
              </w:rPr>
            </w:pPr>
            <w:r w:rsidRPr="000C3267">
              <w:rPr>
                <w:sz w:val="24"/>
                <w:szCs w:val="24"/>
                <w:lang w:val="lv-LV"/>
              </w:rPr>
              <w:t>MK noteikumu 304 5.</w:t>
            </w:r>
            <w:r w:rsidR="00F4669B" w:rsidRPr="000C3267">
              <w:rPr>
                <w:sz w:val="24"/>
                <w:szCs w:val="24"/>
                <w:lang w:val="lv-LV"/>
              </w:rPr>
              <w:t> </w:t>
            </w:r>
            <w:r w:rsidRPr="000C3267">
              <w:rPr>
                <w:sz w:val="24"/>
                <w:szCs w:val="24"/>
                <w:lang w:val="lv-LV"/>
              </w:rPr>
              <w:t>punkts un 8.7.</w:t>
            </w:r>
            <w:r w:rsidR="00F4669B" w:rsidRPr="000C3267">
              <w:rPr>
                <w:sz w:val="24"/>
                <w:szCs w:val="24"/>
                <w:lang w:val="lv-LV"/>
              </w:rPr>
              <w:t> </w:t>
            </w:r>
            <w:r w:rsidRPr="000C3267">
              <w:rPr>
                <w:sz w:val="24"/>
                <w:szCs w:val="24"/>
                <w:lang w:val="lv-LV"/>
              </w:rPr>
              <w:t>apakšpunkts)</w:t>
            </w:r>
          </w:p>
        </w:tc>
        <w:tc>
          <w:tcPr>
            <w:tcW w:w="1097" w:type="pct"/>
          </w:tcPr>
          <w:p w14:paraId="59E5597E" w14:textId="419D0B18" w:rsidR="00C93A87" w:rsidRPr="000C3267" w:rsidRDefault="00C93A87" w:rsidP="00C93A87">
            <w:pPr>
              <w:pStyle w:val="naisc"/>
              <w:spacing w:before="0" w:after="0"/>
              <w:jc w:val="both"/>
              <w:rPr>
                <w:sz w:val="24"/>
                <w:szCs w:val="24"/>
                <w:lang w:val="lv-LV"/>
              </w:rPr>
            </w:pPr>
            <w:r w:rsidRPr="000C3267">
              <w:rPr>
                <w:sz w:val="24"/>
                <w:szCs w:val="24"/>
                <w:lang w:val="lv-LV"/>
              </w:rPr>
              <w:t>Nav.</w:t>
            </w:r>
          </w:p>
        </w:tc>
        <w:tc>
          <w:tcPr>
            <w:tcW w:w="1086" w:type="pct"/>
          </w:tcPr>
          <w:p w14:paraId="4EA70A9E" w14:textId="40BF69D7" w:rsidR="00C93A87" w:rsidRPr="000C3267" w:rsidRDefault="00C93A87" w:rsidP="00C93A87">
            <w:pPr>
              <w:pStyle w:val="naisc"/>
              <w:spacing w:before="0" w:after="0"/>
              <w:jc w:val="both"/>
              <w:rPr>
                <w:sz w:val="24"/>
                <w:szCs w:val="24"/>
                <w:lang w:val="lv-LV"/>
              </w:rPr>
            </w:pPr>
            <w:r w:rsidRPr="000C3267">
              <w:rPr>
                <w:sz w:val="24"/>
                <w:szCs w:val="24"/>
                <w:lang w:val="lv-LV"/>
              </w:rPr>
              <w:t>Nav.</w:t>
            </w:r>
          </w:p>
        </w:tc>
      </w:tr>
      <w:tr w:rsidR="0005464C" w:rsidRPr="000C3267" w14:paraId="49052231" w14:textId="77777777" w:rsidTr="00046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5C7CCD81" w14:textId="0AAA0656" w:rsidR="0005464C" w:rsidRPr="000C3267" w:rsidRDefault="00C93A87" w:rsidP="00D44D6F">
            <w:pPr>
              <w:pStyle w:val="naisc"/>
              <w:spacing w:before="0" w:after="0"/>
              <w:jc w:val="both"/>
              <w:rPr>
                <w:sz w:val="24"/>
                <w:szCs w:val="24"/>
                <w:lang w:val="lv-LV"/>
              </w:rPr>
            </w:pPr>
            <w:r w:rsidRPr="000C3267">
              <w:rPr>
                <w:sz w:val="24"/>
                <w:szCs w:val="24"/>
                <w:lang w:val="lv-LV"/>
              </w:rPr>
              <w:t xml:space="preserve">Direktīvas </w:t>
            </w:r>
            <w:r w:rsidR="00244A49" w:rsidRPr="000C3267">
              <w:rPr>
                <w:sz w:val="24"/>
                <w:szCs w:val="24"/>
                <w:lang w:val="lv-LV"/>
              </w:rPr>
              <w:t>2001/83 46. panta c)</w:t>
            </w:r>
            <w:r w:rsidR="00244A49" w:rsidRPr="000C3267">
              <w:rPr>
                <w:lang w:val="lv-LV"/>
              </w:rPr>
              <w:t> </w:t>
            </w:r>
            <w:r w:rsidR="00244A49" w:rsidRPr="000C3267">
              <w:rPr>
                <w:sz w:val="24"/>
                <w:szCs w:val="24"/>
                <w:lang w:val="lv-LV"/>
              </w:rPr>
              <w:t>punkts</w:t>
            </w:r>
          </w:p>
        </w:tc>
        <w:tc>
          <w:tcPr>
            <w:tcW w:w="1329" w:type="pct"/>
            <w:gridSpan w:val="3"/>
            <w:shd w:val="clear" w:color="auto" w:fill="auto"/>
          </w:tcPr>
          <w:p w14:paraId="3AE4A7B4" w14:textId="54440399" w:rsidR="0005464C" w:rsidRPr="000C3267" w:rsidRDefault="00C93A87" w:rsidP="00C93A87">
            <w:pPr>
              <w:pStyle w:val="naisc"/>
              <w:spacing w:before="0" w:after="0"/>
              <w:jc w:val="both"/>
              <w:rPr>
                <w:sz w:val="24"/>
                <w:szCs w:val="24"/>
                <w:lang w:val="lv-LV"/>
              </w:rPr>
            </w:pPr>
            <w:r w:rsidRPr="000C3267">
              <w:rPr>
                <w:sz w:val="24"/>
                <w:szCs w:val="24"/>
                <w:lang w:val="lv-LV"/>
              </w:rPr>
              <w:t>3. </w:t>
            </w:r>
            <w:r w:rsidR="00244A49" w:rsidRPr="000C3267">
              <w:rPr>
                <w:sz w:val="24"/>
                <w:szCs w:val="24"/>
                <w:lang w:val="lv-LV"/>
              </w:rPr>
              <w:t>punkts</w:t>
            </w:r>
          </w:p>
        </w:tc>
        <w:tc>
          <w:tcPr>
            <w:tcW w:w="1097" w:type="pct"/>
          </w:tcPr>
          <w:p w14:paraId="7102760F" w14:textId="77777777" w:rsidR="0005464C" w:rsidRPr="000C3267" w:rsidRDefault="0005464C" w:rsidP="00D44D6F">
            <w:pPr>
              <w:pStyle w:val="naisc"/>
              <w:spacing w:before="0" w:after="0"/>
              <w:jc w:val="both"/>
              <w:rPr>
                <w:sz w:val="24"/>
                <w:szCs w:val="24"/>
                <w:lang w:val="lv-LV"/>
              </w:rPr>
            </w:pPr>
            <w:r w:rsidRPr="000C3267">
              <w:rPr>
                <w:sz w:val="24"/>
                <w:szCs w:val="24"/>
                <w:lang w:val="lv-LV"/>
              </w:rPr>
              <w:t>Nav.</w:t>
            </w:r>
          </w:p>
        </w:tc>
        <w:tc>
          <w:tcPr>
            <w:tcW w:w="1086" w:type="pct"/>
          </w:tcPr>
          <w:p w14:paraId="06781D35" w14:textId="77777777" w:rsidR="0005464C" w:rsidRPr="000C3267" w:rsidRDefault="0005464C" w:rsidP="00D44D6F">
            <w:pPr>
              <w:pStyle w:val="naisc"/>
              <w:spacing w:before="0" w:after="0"/>
              <w:jc w:val="both"/>
              <w:rPr>
                <w:sz w:val="24"/>
                <w:szCs w:val="24"/>
                <w:lang w:val="lv-LV"/>
              </w:rPr>
            </w:pPr>
            <w:r w:rsidRPr="000C3267">
              <w:rPr>
                <w:sz w:val="24"/>
                <w:szCs w:val="24"/>
                <w:lang w:val="lv-LV"/>
              </w:rPr>
              <w:t>Nav.</w:t>
            </w:r>
          </w:p>
        </w:tc>
      </w:tr>
      <w:tr w:rsidR="0005464C" w:rsidRPr="000C3267" w14:paraId="4839F907" w14:textId="77777777" w:rsidTr="00F4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64FD8485" w14:textId="77777777" w:rsidR="0005464C" w:rsidRPr="000C3267" w:rsidRDefault="0005464C" w:rsidP="00D44D6F">
            <w:pPr>
              <w:pStyle w:val="naisc"/>
              <w:spacing w:before="0" w:after="0"/>
              <w:jc w:val="both"/>
              <w:rPr>
                <w:sz w:val="24"/>
                <w:szCs w:val="24"/>
                <w:lang w:val="lv-LV"/>
              </w:rPr>
            </w:pPr>
            <w:r w:rsidRPr="000C3267">
              <w:rPr>
                <w:sz w:val="24"/>
                <w:szCs w:val="24"/>
                <w:lang w:val="lv-LV"/>
              </w:rPr>
              <w:t>Kā ir izmantota ES tiesību aktā paredzētā rīcības brīvība dalībvalstij pārņemt vai ieviest noteiktas ES tiesību akta normas. Kādēļ?</w:t>
            </w:r>
          </w:p>
        </w:tc>
        <w:tc>
          <w:tcPr>
            <w:tcW w:w="3512" w:type="pct"/>
            <w:gridSpan w:val="5"/>
          </w:tcPr>
          <w:p w14:paraId="6CD1D089" w14:textId="06ABBAAB" w:rsidR="0005464C" w:rsidRPr="000C3267" w:rsidRDefault="004C3F4B" w:rsidP="00D44D6F">
            <w:pPr>
              <w:pStyle w:val="naisc"/>
              <w:spacing w:before="0" w:beforeAutospacing="0" w:after="0" w:afterAutospacing="0"/>
              <w:jc w:val="both"/>
              <w:rPr>
                <w:sz w:val="24"/>
                <w:szCs w:val="24"/>
                <w:lang w:val="lv-LV"/>
              </w:rPr>
            </w:pPr>
            <w:r w:rsidRPr="000C3267">
              <w:rPr>
                <w:bCs/>
                <w:sz w:val="24"/>
                <w:szCs w:val="24"/>
                <w:lang w:val="lv-LV"/>
              </w:rPr>
              <w:t>Projekts šo jomu neskar.</w:t>
            </w:r>
          </w:p>
        </w:tc>
      </w:tr>
      <w:tr w:rsidR="0005464C" w:rsidRPr="000C3267" w14:paraId="1AB4ABA8" w14:textId="77777777" w:rsidTr="00F4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731352B0" w14:textId="77777777" w:rsidR="0005464C" w:rsidRPr="000C3267" w:rsidRDefault="0005464C" w:rsidP="00D44D6F">
            <w:pPr>
              <w:pStyle w:val="naisc"/>
              <w:spacing w:before="0" w:after="0"/>
              <w:jc w:val="both"/>
              <w:rPr>
                <w:sz w:val="24"/>
                <w:szCs w:val="24"/>
                <w:lang w:val="lv-LV"/>
              </w:rPr>
            </w:pPr>
            <w:r w:rsidRPr="000C3267">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12" w:type="pct"/>
            <w:gridSpan w:val="5"/>
          </w:tcPr>
          <w:p w14:paraId="47581F46" w14:textId="16DF553D" w:rsidR="0005464C" w:rsidRPr="000C3267" w:rsidRDefault="004C3F4B" w:rsidP="00D44D6F">
            <w:pPr>
              <w:pStyle w:val="naisc"/>
              <w:spacing w:before="0" w:after="0"/>
              <w:jc w:val="both"/>
              <w:rPr>
                <w:sz w:val="24"/>
                <w:szCs w:val="24"/>
                <w:lang w:val="lv-LV"/>
              </w:rPr>
            </w:pPr>
            <w:r w:rsidRPr="000C3267">
              <w:rPr>
                <w:bCs/>
                <w:sz w:val="24"/>
                <w:szCs w:val="24"/>
                <w:lang w:val="lv-LV"/>
              </w:rPr>
              <w:t>Projekts šo jomu neskar.</w:t>
            </w:r>
          </w:p>
        </w:tc>
      </w:tr>
      <w:tr w:rsidR="0005464C" w:rsidRPr="000C3267" w14:paraId="346C152E" w14:textId="77777777" w:rsidTr="00F46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488" w:type="pct"/>
          </w:tcPr>
          <w:p w14:paraId="2029FCBD" w14:textId="77777777" w:rsidR="0005464C" w:rsidRPr="000C3267" w:rsidRDefault="0005464C" w:rsidP="00D44D6F">
            <w:pPr>
              <w:pStyle w:val="naisc"/>
              <w:spacing w:before="0" w:after="0"/>
              <w:jc w:val="both"/>
              <w:rPr>
                <w:sz w:val="24"/>
                <w:szCs w:val="24"/>
                <w:lang w:val="lv-LV"/>
              </w:rPr>
            </w:pPr>
            <w:r w:rsidRPr="000C3267">
              <w:rPr>
                <w:sz w:val="24"/>
                <w:szCs w:val="24"/>
                <w:lang w:val="lv-LV"/>
              </w:rPr>
              <w:t>Cita informācija</w:t>
            </w:r>
          </w:p>
        </w:tc>
        <w:tc>
          <w:tcPr>
            <w:tcW w:w="3512" w:type="pct"/>
            <w:gridSpan w:val="5"/>
          </w:tcPr>
          <w:p w14:paraId="701D6138" w14:textId="09B53DA8" w:rsidR="00444D3B" w:rsidRPr="000C3267" w:rsidRDefault="00444D3B" w:rsidP="007966C9">
            <w:pPr>
              <w:pStyle w:val="naisc"/>
              <w:spacing w:before="0" w:beforeAutospacing="0" w:after="0" w:afterAutospacing="0"/>
              <w:jc w:val="both"/>
              <w:rPr>
                <w:sz w:val="24"/>
                <w:szCs w:val="24"/>
                <w:lang w:val="lv-LV"/>
              </w:rPr>
            </w:pPr>
            <w:r w:rsidRPr="000C3267">
              <w:rPr>
                <w:sz w:val="24"/>
                <w:szCs w:val="24"/>
                <w:lang w:val="lv-LV"/>
              </w:rPr>
              <w:t xml:space="preserve">Noteikumu projekta </w:t>
            </w:r>
            <w:r w:rsidR="00244A49" w:rsidRPr="000C3267">
              <w:rPr>
                <w:sz w:val="24"/>
                <w:szCs w:val="24"/>
                <w:lang w:val="lv-LV"/>
              </w:rPr>
              <w:t>1</w:t>
            </w:r>
            <w:r w:rsidR="00EA580F">
              <w:rPr>
                <w:sz w:val="24"/>
                <w:szCs w:val="24"/>
                <w:lang w:val="lv-LV"/>
              </w:rPr>
              <w:t>1</w:t>
            </w:r>
            <w:r w:rsidRPr="000C3267">
              <w:rPr>
                <w:sz w:val="24"/>
                <w:szCs w:val="24"/>
                <w:lang w:val="lv-LV"/>
              </w:rPr>
              <w:t>. punkts atbilst:</w:t>
            </w:r>
          </w:p>
          <w:p w14:paraId="2B924FCD" w14:textId="5DADCCD5" w:rsidR="007966C9" w:rsidRPr="000C3267" w:rsidRDefault="00444D3B" w:rsidP="00D44D6F">
            <w:pPr>
              <w:pStyle w:val="naisc"/>
              <w:spacing w:before="0" w:beforeAutospacing="0" w:after="0" w:afterAutospacing="0"/>
              <w:jc w:val="both"/>
              <w:rPr>
                <w:sz w:val="24"/>
                <w:szCs w:val="24"/>
                <w:lang w:val="lv-LV"/>
              </w:rPr>
            </w:pPr>
            <w:r w:rsidRPr="000C3267">
              <w:rPr>
                <w:sz w:val="24"/>
                <w:szCs w:val="24"/>
                <w:lang w:val="lv-LV"/>
              </w:rPr>
              <w:t>EK 2020. gada 8. aprīļa paziņojuma “Vadlīnijas par optimālu un racionālu apgādi ar zālēm, lai novērstu zāļu deficītu Covid-19 uzliesmojuma laikā”</w:t>
            </w:r>
            <w:r w:rsidRPr="000C3267">
              <w:rPr>
                <w:color w:val="444444"/>
                <w:sz w:val="24"/>
                <w:szCs w:val="24"/>
                <w:shd w:val="clear" w:color="auto" w:fill="FFFFFF"/>
                <w:lang w:val="lv-LV"/>
              </w:rPr>
              <w:t xml:space="preserve"> </w:t>
            </w:r>
            <w:r w:rsidRPr="000C3267">
              <w:rPr>
                <w:sz w:val="24"/>
                <w:szCs w:val="24"/>
                <w:shd w:val="clear" w:color="auto" w:fill="FFFFFF"/>
                <w:lang w:val="lv-LV"/>
              </w:rPr>
              <w:t>(2020/C 116 I/01) 4. punkta “c” apakšpunktam;</w:t>
            </w:r>
          </w:p>
          <w:p w14:paraId="7CBB31A2" w14:textId="7CE0DEAC" w:rsidR="00263243" w:rsidRPr="000C3267" w:rsidRDefault="000544E1" w:rsidP="00444D3B">
            <w:pPr>
              <w:pStyle w:val="naisc"/>
              <w:spacing w:before="0" w:beforeAutospacing="0" w:after="0" w:afterAutospacing="0"/>
              <w:jc w:val="both"/>
              <w:rPr>
                <w:sz w:val="24"/>
                <w:szCs w:val="24"/>
                <w:lang w:val="lv-LV"/>
              </w:rPr>
            </w:pPr>
            <w:r w:rsidRPr="000C3267">
              <w:rPr>
                <w:iCs/>
                <w:sz w:val="24"/>
                <w:szCs w:val="24"/>
                <w:shd w:val="clear" w:color="auto" w:fill="FFFFFF"/>
                <w:lang w:val="lv-LV"/>
              </w:rPr>
              <w:t>EK</w:t>
            </w:r>
            <w:r w:rsidRPr="000C3267">
              <w:rPr>
                <w:sz w:val="24"/>
                <w:szCs w:val="24"/>
                <w:lang w:val="lv-LV"/>
              </w:rPr>
              <w:t xml:space="preserve">, Eiropas Zāļu aģentūra un </w:t>
            </w:r>
            <w:r w:rsidRPr="000C3267">
              <w:rPr>
                <w:iCs/>
                <w:sz w:val="24"/>
                <w:szCs w:val="24"/>
                <w:shd w:val="clear" w:color="auto" w:fill="FFFFFF"/>
                <w:lang w:val="lv-LV"/>
              </w:rPr>
              <w:t xml:space="preserve">Eiropas zāļu regulatīvā tīkla aģentūru vadītāju </w:t>
            </w:r>
            <w:r w:rsidRPr="000C3267">
              <w:rPr>
                <w:sz w:val="24"/>
                <w:szCs w:val="24"/>
                <w:lang w:val="lv-LV"/>
              </w:rPr>
              <w:t xml:space="preserve">aktualizētajā jautājumu un atbilžu dokumentā par zāļu reglamentējuma jautājumiem COVID - 19 pandēmijas laikā </w:t>
            </w:r>
            <w:r w:rsidR="0005464C" w:rsidRPr="000C3267">
              <w:rPr>
                <w:sz w:val="24"/>
                <w:szCs w:val="24"/>
                <w:lang w:val="lv-LV"/>
              </w:rPr>
              <w:t>A sadaļas 2.</w:t>
            </w:r>
            <w:r w:rsidR="00DC7738" w:rsidRPr="000C3267">
              <w:rPr>
                <w:sz w:val="24"/>
                <w:szCs w:val="24"/>
                <w:lang w:val="lv-LV"/>
              </w:rPr>
              <w:t>2</w:t>
            </w:r>
            <w:r w:rsidR="0005464C" w:rsidRPr="000C3267">
              <w:rPr>
                <w:sz w:val="24"/>
                <w:szCs w:val="24"/>
                <w:lang w:val="lv-LV"/>
              </w:rPr>
              <w:t>.</w:t>
            </w:r>
            <w:r w:rsidR="00465344" w:rsidRPr="000C3267">
              <w:rPr>
                <w:sz w:val="24"/>
                <w:szCs w:val="24"/>
                <w:lang w:val="lv-LV"/>
              </w:rPr>
              <w:t> </w:t>
            </w:r>
            <w:r w:rsidR="00DC7738" w:rsidRPr="000C3267">
              <w:rPr>
                <w:sz w:val="24"/>
                <w:szCs w:val="24"/>
                <w:lang w:val="lv-LV"/>
              </w:rPr>
              <w:t xml:space="preserve"> </w:t>
            </w:r>
            <w:r w:rsidR="00F615FE" w:rsidRPr="000C3267">
              <w:rPr>
                <w:sz w:val="24"/>
                <w:szCs w:val="24"/>
                <w:lang w:val="lv-LV"/>
              </w:rPr>
              <w:t>un 2.</w:t>
            </w:r>
            <w:r w:rsidR="00E908E8" w:rsidRPr="000C3267">
              <w:rPr>
                <w:sz w:val="24"/>
                <w:szCs w:val="24"/>
                <w:lang w:val="lv-LV"/>
              </w:rPr>
              <w:t>5</w:t>
            </w:r>
            <w:r w:rsidR="00F615FE" w:rsidRPr="000C3267">
              <w:rPr>
                <w:sz w:val="24"/>
                <w:szCs w:val="24"/>
                <w:lang w:val="lv-LV"/>
              </w:rPr>
              <w:t>. </w:t>
            </w:r>
            <w:r w:rsidR="00E908E8" w:rsidRPr="000C3267">
              <w:rPr>
                <w:sz w:val="24"/>
                <w:szCs w:val="24"/>
                <w:lang w:val="lv-LV"/>
              </w:rPr>
              <w:t xml:space="preserve">i), ii) </w:t>
            </w:r>
            <w:r w:rsidR="00F615FE" w:rsidRPr="000C3267">
              <w:rPr>
                <w:sz w:val="24"/>
                <w:szCs w:val="24"/>
                <w:lang w:val="lv-LV"/>
              </w:rPr>
              <w:t>apakšpunktam.</w:t>
            </w:r>
          </w:p>
        </w:tc>
      </w:tr>
      <w:tr w:rsidR="0005464C" w:rsidRPr="000C3267"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098416B3" w14:textId="77777777" w:rsidR="0005464C" w:rsidRPr="000C3267" w:rsidRDefault="0005464C" w:rsidP="0019485D">
            <w:pPr>
              <w:pStyle w:val="Bezatstarpm1"/>
              <w:jc w:val="center"/>
              <w:rPr>
                <w:rFonts w:ascii="Times New Roman" w:hAnsi="Times New Roman"/>
                <w:b/>
                <w:bCs/>
                <w:sz w:val="24"/>
                <w:szCs w:val="24"/>
                <w:lang w:val="lv-LV"/>
              </w:rPr>
            </w:pPr>
            <w:r w:rsidRPr="000C3267">
              <w:rPr>
                <w:rFonts w:ascii="Times New Roman" w:hAnsi="Times New Roman"/>
                <w:b/>
                <w:bCs/>
                <w:sz w:val="24"/>
                <w:szCs w:val="24"/>
                <w:lang w:val="lv-LV"/>
              </w:rPr>
              <w:t>2.tabula</w:t>
            </w:r>
          </w:p>
          <w:p w14:paraId="2B678F25" w14:textId="77777777" w:rsidR="0005464C" w:rsidRPr="000C3267" w:rsidRDefault="0005464C" w:rsidP="0019485D">
            <w:pPr>
              <w:pStyle w:val="Bezatstarpm1"/>
              <w:jc w:val="center"/>
              <w:rPr>
                <w:rFonts w:ascii="Times New Roman" w:hAnsi="Times New Roman"/>
                <w:b/>
                <w:bCs/>
                <w:sz w:val="24"/>
                <w:szCs w:val="24"/>
                <w:lang w:val="lv-LV"/>
              </w:rPr>
            </w:pPr>
            <w:r w:rsidRPr="000C3267">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0C3267" w:rsidRDefault="0005464C" w:rsidP="00D44D6F">
            <w:pPr>
              <w:pStyle w:val="naisc"/>
              <w:spacing w:before="0" w:after="0"/>
              <w:rPr>
                <w:b/>
                <w:sz w:val="24"/>
                <w:szCs w:val="24"/>
                <w:lang w:val="lv-LV"/>
              </w:rPr>
            </w:pPr>
            <w:r w:rsidRPr="000C3267">
              <w:rPr>
                <w:b/>
                <w:sz w:val="24"/>
                <w:szCs w:val="24"/>
                <w:lang w:val="lv-LV"/>
              </w:rPr>
              <w:t>Pasākumi šo saistību izpildei</w:t>
            </w:r>
          </w:p>
        </w:tc>
      </w:tr>
      <w:tr w:rsidR="0005464C" w:rsidRPr="000C3267"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255F16EA" w14:textId="1BA30D19" w:rsidR="0005464C" w:rsidRPr="000C3267" w:rsidRDefault="00FA2EF8" w:rsidP="00A5089F">
            <w:pPr>
              <w:pStyle w:val="naisc"/>
              <w:spacing w:before="0" w:after="0"/>
              <w:rPr>
                <w:bCs/>
                <w:sz w:val="24"/>
                <w:szCs w:val="24"/>
                <w:lang w:val="lv-LV"/>
              </w:rPr>
            </w:pPr>
            <w:r w:rsidRPr="000C3267">
              <w:rPr>
                <w:bCs/>
                <w:sz w:val="24"/>
                <w:szCs w:val="24"/>
                <w:lang w:val="lv-LV"/>
              </w:rPr>
              <w:t>Projekts šo jomu neskar</w:t>
            </w:r>
            <w:r w:rsidR="0005464C" w:rsidRPr="000C3267">
              <w:rPr>
                <w:bCs/>
                <w:sz w:val="24"/>
                <w:szCs w:val="24"/>
                <w:lang w:val="lv-LV"/>
              </w:rPr>
              <w:t>.</w:t>
            </w:r>
          </w:p>
        </w:tc>
      </w:tr>
    </w:tbl>
    <w:p w14:paraId="0AE77926" w14:textId="77777777" w:rsidR="0005464C" w:rsidRPr="000C3267" w:rsidRDefault="0005464C" w:rsidP="007520AF">
      <w:pPr>
        <w:pStyle w:val="Nosaukums"/>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05464C" w:rsidRPr="000C3267" w14:paraId="6783C611" w14:textId="77777777" w:rsidTr="00D44D6F">
        <w:trPr>
          <w:cantSplit/>
        </w:trPr>
        <w:tc>
          <w:tcPr>
            <w:tcW w:w="5000" w:type="pct"/>
            <w:gridSpan w:val="3"/>
            <w:vAlign w:val="center"/>
            <w:hideMark/>
          </w:tcPr>
          <w:p w14:paraId="6D1F5EC6" w14:textId="77777777" w:rsidR="0005464C" w:rsidRPr="000C3267" w:rsidRDefault="0005464C" w:rsidP="00D44D6F">
            <w:pPr>
              <w:jc w:val="center"/>
              <w:rPr>
                <w:b/>
                <w:bCs/>
              </w:rPr>
            </w:pPr>
            <w:r w:rsidRPr="000C3267">
              <w:rPr>
                <w:b/>
                <w:bCs/>
              </w:rPr>
              <w:t>VI. Sabiedrības līdzdalība un komunikācijas aktivitātes</w:t>
            </w:r>
          </w:p>
        </w:tc>
      </w:tr>
      <w:tr w:rsidR="00AB6B70" w:rsidRPr="000C3267" w14:paraId="7AC41147" w14:textId="77777777" w:rsidTr="000544E1">
        <w:trPr>
          <w:cantSplit/>
        </w:trPr>
        <w:tc>
          <w:tcPr>
            <w:tcW w:w="311" w:type="pct"/>
            <w:hideMark/>
          </w:tcPr>
          <w:p w14:paraId="455268FF" w14:textId="77777777" w:rsidR="00AB6B70" w:rsidRPr="000C3267" w:rsidRDefault="00AB6B70" w:rsidP="00AB6B70">
            <w:pPr>
              <w:jc w:val="center"/>
            </w:pPr>
            <w:r w:rsidRPr="000C3267">
              <w:t>1.</w:t>
            </w:r>
          </w:p>
        </w:tc>
        <w:tc>
          <w:tcPr>
            <w:tcW w:w="1720" w:type="pct"/>
            <w:hideMark/>
          </w:tcPr>
          <w:p w14:paraId="0592CAEB" w14:textId="77777777" w:rsidR="00AB6B70" w:rsidRPr="000C3267" w:rsidRDefault="00AB6B70" w:rsidP="00AB6B70">
            <w:r w:rsidRPr="000C3267">
              <w:t>Plānotās sabiedrības līdzdalības un komunikācijas aktivitātes saistībā ar projektu</w:t>
            </w:r>
          </w:p>
        </w:tc>
        <w:tc>
          <w:tcPr>
            <w:tcW w:w="2969" w:type="pct"/>
            <w:hideMark/>
          </w:tcPr>
          <w:p w14:paraId="2F9AE4DC" w14:textId="77777777" w:rsidR="00AB6B70" w:rsidRPr="004F6F74" w:rsidRDefault="00AB6B70" w:rsidP="00AB6B70">
            <w:pPr>
              <w:jc w:val="both"/>
            </w:pPr>
            <w:r w:rsidRPr="004F6F74">
              <w:t>Nav attiecināms</w:t>
            </w:r>
          </w:p>
          <w:p w14:paraId="644A8EAE" w14:textId="77777777" w:rsidR="00AB6B70" w:rsidRDefault="00AB6B70" w:rsidP="00AB6B70">
            <w:pPr>
              <w:jc w:val="both"/>
            </w:pPr>
          </w:p>
          <w:p w14:paraId="0D2FB875" w14:textId="1B50A359" w:rsidR="00AB6B70" w:rsidRPr="000C3267" w:rsidRDefault="00AB6B70" w:rsidP="00AB6B70">
            <w:pPr>
              <w:jc w:val="both"/>
            </w:pPr>
            <w:r>
              <w:t>Par</w:t>
            </w:r>
            <w:r w:rsidRPr="004F6F74">
              <w:t xml:space="preserve"> </w:t>
            </w:r>
            <w:r>
              <w:t>projektu tā</w:t>
            </w:r>
            <w:r w:rsidRPr="004F6F74">
              <w:t xml:space="preserve"> virzības laikā p</w:t>
            </w:r>
            <w:r>
              <w:t>aredzēts</w:t>
            </w:r>
            <w:r w:rsidRPr="004F6F74">
              <w:t xml:space="preserve"> </w:t>
            </w:r>
            <w:r>
              <w:t>informēt</w:t>
            </w:r>
            <w:r w:rsidRPr="004F6F74">
              <w:t xml:space="preserve"> Farmācijas jomas konsultatīvās padomes locek</w:t>
            </w:r>
            <w:r>
              <w:t>ļ</w:t>
            </w:r>
            <w:r w:rsidRPr="004F6F74">
              <w:t>us.</w:t>
            </w:r>
          </w:p>
        </w:tc>
      </w:tr>
      <w:tr w:rsidR="00AB6B70" w:rsidRPr="000C3267" w14:paraId="3141261D" w14:textId="77777777" w:rsidTr="000544E1">
        <w:trPr>
          <w:cantSplit/>
        </w:trPr>
        <w:tc>
          <w:tcPr>
            <w:tcW w:w="311" w:type="pct"/>
            <w:hideMark/>
          </w:tcPr>
          <w:p w14:paraId="4ED7DA83" w14:textId="77777777" w:rsidR="00AB6B70" w:rsidRPr="000C3267" w:rsidRDefault="00AB6B70" w:rsidP="00AB6B70">
            <w:pPr>
              <w:jc w:val="center"/>
            </w:pPr>
            <w:r w:rsidRPr="000C3267">
              <w:t>2.</w:t>
            </w:r>
          </w:p>
        </w:tc>
        <w:tc>
          <w:tcPr>
            <w:tcW w:w="1720" w:type="pct"/>
            <w:hideMark/>
          </w:tcPr>
          <w:p w14:paraId="49E6A809" w14:textId="77777777" w:rsidR="00AB6B70" w:rsidRPr="000C3267" w:rsidRDefault="00AB6B70" w:rsidP="00AB6B70">
            <w:r w:rsidRPr="000C3267">
              <w:t>Sabiedrības līdzdalība projekta izstrādē</w:t>
            </w:r>
          </w:p>
        </w:tc>
        <w:tc>
          <w:tcPr>
            <w:tcW w:w="2969" w:type="pct"/>
            <w:hideMark/>
          </w:tcPr>
          <w:p w14:paraId="30C92FF2" w14:textId="690B51F4" w:rsidR="00AB6B70" w:rsidRPr="000C3267" w:rsidRDefault="00AB6B70" w:rsidP="00AB6B70">
            <w:pPr>
              <w:jc w:val="both"/>
            </w:pPr>
            <w:r w:rsidRPr="004F6F74">
              <w:t xml:space="preserve">Tā kā Projekts tiek virzīts steidzamības kārtā, sabiedrības iesaiste Projekta izstrādē </w:t>
            </w:r>
            <w:r>
              <w:t>nav</w:t>
            </w:r>
            <w:r w:rsidRPr="004F6F74">
              <w:t xml:space="preserve"> organizēta.</w:t>
            </w:r>
          </w:p>
        </w:tc>
      </w:tr>
      <w:tr w:rsidR="00AB6B70" w:rsidRPr="000C3267" w14:paraId="74934CDD" w14:textId="77777777" w:rsidTr="000544E1">
        <w:trPr>
          <w:cantSplit/>
        </w:trPr>
        <w:tc>
          <w:tcPr>
            <w:tcW w:w="311" w:type="pct"/>
            <w:hideMark/>
          </w:tcPr>
          <w:p w14:paraId="2B600027" w14:textId="77777777" w:rsidR="00AB6B70" w:rsidRPr="000C3267" w:rsidRDefault="00AB6B70" w:rsidP="00AB6B70">
            <w:pPr>
              <w:jc w:val="center"/>
            </w:pPr>
            <w:r w:rsidRPr="000C3267">
              <w:t>3.</w:t>
            </w:r>
          </w:p>
        </w:tc>
        <w:tc>
          <w:tcPr>
            <w:tcW w:w="1720" w:type="pct"/>
            <w:hideMark/>
          </w:tcPr>
          <w:p w14:paraId="1CF294F0" w14:textId="77777777" w:rsidR="00AB6B70" w:rsidRPr="000C3267" w:rsidRDefault="00AB6B70" w:rsidP="00AB6B70">
            <w:r w:rsidRPr="000C3267">
              <w:t>Sabiedrības līdzdalības rezultāti</w:t>
            </w:r>
          </w:p>
        </w:tc>
        <w:tc>
          <w:tcPr>
            <w:tcW w:w="2969" w:type="pct"/>
            <w:hideMark/>
          </w:tcPr>
          <w:p w14:paraId="21487A94" w14:textId="1AB41F5A" w:rsidR="00AB6B70" w:rsidRPr="000C3267" w:rsidRDefault="00AB6B70" w:rsidP="00AB6B70">
            <w:pPr>
              <w:jc w:val="both"/>
              <w:rPr>
                <w:i/>
                <w:iCs/>
              </w:rPr>
            </w:pPr>
            <w:r>
              <w:t>Projekts šo jomu neskar.</w:t>
            </w:r>
          </w:p>
        </w:tc>
      </w:tr>
      <w:tr w:rsidR="00AB6B70" w:rsidRPr="000C3267" w14:paraId="2E054F68" w14:textId="77777777" w:rsidTr="000544E1">
        <w:trPr>
          <w:cantSplit/>
        </w:trPr>
        <w:tc>
          <w:tcPr>
            <w:tcW w:w="311" w:type="pct"/>
            <w:hideMark/>
          </w:tcPr>
          <w:p w14:paraId="51F8B6F7" w14:textId="77777777" w:rsidR="00AB6B70" w:rsidRPr="000C3267" w:rsidRDefault="00AB6B70" w:rsidP="00AB6B70">
            <w:pPr>
              <w:jc w:val="center"/>
            </w:pPr>
            <w:r w:rsidRPr="000C3267">
              <w:t>4.</w:t>
            </w:r>
          </w:p>
        </w:tc>
        <w:tc>
          <w:tcPr>
            <w:tcW w:w="1720" w:type="pct"/>
            <w:hideMark/>
          </w:tcPr>
          <w:p w14:paraId="4D900529" w14:textId="77777777" w:rsidR="00AB6B70" w:rsidRPr="000C3267" w:rsidRDefault="00AB6B70" w:rsidP="00AB6B70">
            <w:r w:rsidRPr="000C3267">
              <w:t>Cita informācija</w:t>
            </w:r>
          </w:p>
        </w:tc>
        <w:tc>
          <w:tcPr>
            <w:tcW w:w="2969" w:type="pct"/>
            <w:hideMark/>
          </w:tcPr>
          <w:p w14:paraId="37BECE83" w14:textId="6AE0A6D3" w:rsidR="00AB6B70" w:rsidRPr="000C3267" w:rsidRDefault="00AB6B70" w:rsidP="00AB6B70">
            <w:r w:rsidRPr="007D11A9">
              <w:t>Nav</w:t>
            </w:r>
          </w:p>
        </w:tc>
      </w:tr>
    </w:tbl>
    <w:p w14:paraId="1CC41E21" w14:textId="77777777" w:rsidR="0005464C" w:rsidRPr="000C3267" w:rsidRDefault="0005464C" w:rsidP="007520AF">
      <w:pPr>
        <w:pStyle w:val="Nosaukum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5464C" w:rsidRPr="000C3267" w14:paraId="50834D46" w14:textId="77777777" w:rsidTr="000544E1">
        <w:trPr>
          <w:cantSplit/>
          <w:trHeight w:val="351"/>
        </w:trPr>
        <w:tc>
          <w:tcPr>
            <w:tcW w:w="5000" w:type="pct"/>
            <w:gridSpan w:val="3"/>
            <w:vAlign w:val="center"/>
            <w:hideMark/>
          </w:tcPr>
          <w:p w14:paraId="24C623BC" w14:textId="2AF4EE08" w:rsidR="00244A49" w:rsidRPr="000C3267" w:rsidRDefault="0005464C" w:rsidP="000544E1">
            <w:pPr>
              <w:jc w:val="center"/>
              <w:rPr>
                <w:b/>
                <w:bCs/>
              </w:rPr>
            </w:pPr>
            <w:r w:rsidRPr="000C3267">
              <w:rPr>
                <w:b/>
                <w:bCs/>
              </w:rPr>
              <w:t>VII. Tiesību akta projekta izpildes nodrošināšana un tās ietekme uz institūcijām</w:t>
            </w:r>
          </w:p>
          <w:p w14:paraId="2AC48732" w14:textId="4051FF91" w:rsidR="00244A49" w:rsidRPr="000C3267" w:rsidRDefault="00244A49" w:rsidP="00244A49"/>
        </w:tc>
      </w:tr>
      <w:tr w:rsidR="0005464C" w:rsidRPr="000C3267" w14:paraId="6B898E23" w14:textId="77777777" w:rsidTr="00F846A0">
        <w:trPr>
          <w:cantSplit/>
        </w:trPr>
        <w:tc>
          <w:tcPr>
            <w:tcW w:w="311" w:type="pct"/>
            <w:hideMark/>
          </w:tcPr>
          <w:p w14:paraId="5838548A" w14:textId="77777777" w:rsidR="0005464C" w:rsidRPr="000C3267" w:rsidRDefault="0005464C" w:rsidP="00D44D6F">
            <w:pPr>
              <w:jc w:val="center"/>
            </w:pPr>
            <w:r w:rsidRPr="000C3267">
              <w:t>1.</w:t>
            </w:r>
          </w:p>
        </w:tc>
        <w:tc>
          <w:tcPr>
            <w:tcW w:w="1485" w:type="pct"/>
            <w:hideMark/>
          </w:tcPr>
          <w:p w14:paraId="5AF843FA" w14:textId="2EFFEB5C" w:rsidR="00244A49" w:rsidRPr="000C3267" w:rsidRDefault="0005464C" w:rsidP="00244A49">
            <w:r w:rsidRPr="000C3267">
              <w:t>Projekta izpildē iesaistītās institūcijas</w:t>
            </w:r>
          </w:p>
          <w:p w14:paraId="0410115F" w14:textId="5F765DC5" w:rsidR="00244A49" w:rsidRPr="000C3267" w:rsidRDefault="00244A49" w:rsidP="00244A49"/>
        </w:tc>
        <w:tc>
          <w:tcPr>
            <w:tcW w:w="3203" w:type="pct"/>
            <w:hideMark/>
          </w:tcPr>
          <w:p w14:paraId="2ED99082" w14:textId="4C7CD179" w:rsidR="0005464C" w:rsidRPr="000C3267" w:rsidRDefault="0005464C" w:rsidP="00D44D6F">
            <w:r w:rsidRPr="000C3267">
              <w:t>Zāļu valsts aģentūra</w:t>
            </w:r>
            <w:r w:rsidR="00FC7CA6" w:rsidRPr="000C3267">
              <w:t xml:space="preserve"> un Veselības inspekcija</w:t>
            </w:r>
          </w:p>
        </w:tc>
      </w:tr>
      <w:tr w:rsidR="0005464C" w:rsidRPr="000C3267" w14:paraId="7954485E" w14:textId="77777777" w:rsidTr="00F846A0">
        <w:trPr>
          <w:cantSplit/>
        </w:trPr>
        <w:tc>
          <w:tcPr>
            <w:tcW w:w="311" w:type="pct"/>
            <w:hideMark/>
          </w:tcPr>
          <w:p w14:paraId="171EB66D" w14:textId="77777777" w:rsidR="0005464C" w:rsidRPr="000C3267" w:rsidRDefault="0005464C" w:rsidP="00D44D6F">
            <w:pPr>
              <w:jc w:val="center"/>
            </w:pPr>
            <w:r w:rsidRPr="000C3267">
              <w:t>2.</w:t>
            </w:r>
          </w:p>
        </w:tc>
        <w:tc>
          <w:tcPr>
            <w:tcW w:w="1485" w:type="pct"/>
            <w:hideMark/>
          </w:tcPr>
          <w:p w14:paraId="531F31BA" w14:textId="77777777" w:rsidR="0005464C" w:rsidRPr="000C3267" w:rsidRDefault="0005464C" w:rsidP="00D44D6F">
            <w:r w:rsidRPr="000C3267">
              <w:t>Projekta izpildes ietekme uz pārvaldes funkcijām un institucionālo struktūru.</w:t>
            </w:r>
            <w:r w:rsidRPr="000C3267">
              <w:br/>
              <w:t>Jaunu institūciju izveide, esošu institūciju likvidācija vai reorganizācija, to ietekme uz institūcijas cilvēkresursiem</w:t>
            </w:r>
          </w:p>
          <w:p w14:paraId="5E0DFB8E" w14:textId="77777777" w:rsidR="00244A49" w:rsidRPr="000C3267" w:rsidRDefault="00244A49" w:rsidP="00244A49"/>
          <w:p w14:paraId="104921AF" w14:textId="6EC3868F" w:rsidR="00244A49" w:rsidRPr="000C3267" w:rsidRDefault="00244A49" w:rsidP="00244A49"/>
        </w:tc>
        <w:tc>
          <w:tcPr>
            <w:tcW w:w="3203" w:type="pct"/>
            <w:hideMark/>
          </w:tcPr>
          <w:p w14:paraId="609DDEE2" w14:textId="5E3D2C28" w:rsidR="0005464C" w:rsidRPr="000C3267" w:rsidRDefault="0005464C" w:rsidP="00D44D6F">
            <w:pPr>
              <w:jc w:val="both"/>
              <w:rPr>
                <w:szCs w:val="22"/>
              </w:rPr>
            </w:pPr>
            <w:r w:rsidRPr="000C3267">
              <w:rPr>
                <w:szCs w:val="22"/>
              </w:rPr>
              <w:t xml:space="preserve">Noteikumu projekta izpildei nav nepieciešams paplašināt </w:t>
            </w:r>
            <w:r w:rsidR="00975D84" w:rsidRPr="000C3267">
              <w:rPr>
                <w:szCs w:val="22"/>
              </w:rPr>
              <w:t>institūciju</w:t>
            </w:r>
            <w:r w:rsidRPr="000C3267">
              <w:rPr>
                <w:szCs w:val="22"/>
              </w:rPr>
              <w:t xml:space="preserve"> funkcijas un uzdevumus.</w:t>
            </w:r>
          </w:p>
          <w:p w14:paraId="237C79AB" w14:textId="6B7CEA84" w:rsidR="0005464C" w:rsidRPr="000C3267" w:rsidRDefault="0005464C" w:rsidP="00D44D6F">
            <w:pPr>
              <w:jc w:val="both"/>
            </w:pPr>
            <w:r w:rsidRPr="000C3267">
              <w:t>Noteikumu projekta izpilde neietekmēs institūcijām pieejamos cilvēkresursus.</w:t>
            </w:r>
          </w:p>
        </w:tc>
      </w:tr>
      <w:tr w:rsidR="0005464C" w:rsidRPr="000C3267" w14:paraId="295D0665" w14:textId="77777777" w:rsidTr="00F846A0">
        <w:trPr>
          <w:cantSplit/>
        </w:trPr>
        <w:tc>
          <w:tcPr>
            <w:tcW w:w="311" w:type="pct"/>
            <w:hideMark/>
          </w:tcPr>
          <w:p w14:paraId="316947A5" w14:textId="77777777" w:rsidR="0005464C" w:rsidRPr="000C3267" w:rsidRDefault="0005464C" w:rsidP="00D44D6F">
            <w:pPr>
              <w:jc w:val="center"/>
            </w:pPr>
            <w:r w:rsidRPr="000C3267">
              <w:t>3.</w:t>
            </w:r>
          </w:p>
        </w:tc>
        <w:tc>
          <w:tcPr>
            <w:tcW w:w="1485" w:type="pct"/>
            <w:hideMark/>
          </w:tcPr>
          <w:p w14:paraId="2EEE4468" w14:textId="77777777" w:rsidR="0005464C" w:rsidRPr="000C3267" w:rsidRDefault="0005464C" w:rsidP="00D44D6F">
            <w:r w:rsidRPr="000C3267">
              <w:t>Cita informācija</w:t>
            </w:r>
          </w:p>
        </w:tc>
        <w:tc>
          <w:tcPr>
            <w:tcW w:w="3203" w:type="pct"/>
            <w:hideMark/>
          </w:tcPr>
          <w:p w14:paraId="05C31DDB" w14:textId="77777777" w:rsidR="0005464C" w:rsidRPr="000C3267" w:rsidRDefault="0005464C" w:rsidP="00D44D6F">
            <w:r w:rsidRPr="000C3267">
              <w:t>Nav.</w:t>
            </w:r>
          </w:p>
        </w:tc>
      </w:tr>
    </w:tbl>
    <w:p w14:paraId="04F8952C" w14:textId="55EAE5A1" w:rsidR="0005464C" w:rsidRPr="000C3267" w:rsidRDefault="0005464C" w:rsidP="0005464C"/>
    <w:p w14:paraId="2F7828B5" w14:textId="77777777" w:rsidR="000544E1" w:rsidRPr="000C3267" w:rsidRDefault="000544E1" w:rsidP="0005464C"/>
    <w:p w14:paraId="1FC3E0FF" w14:textId="77777777" w:rsidR="00AE5116" w:rsidRDefault="00AE5116" w:rsidP="006A07CF">
      <w:pPr>
        <w:tabs>
          <w:tab w:val="left" w:pos="7230"/>
        </w:tabs>
        <w:ind w:right="-765"/>
        <w:rPr>
          <w:rFonts w:eastAsia="Calibri"/>
          <w:sz w:val="28"/>
          <w:szCs w:val="28"/>
        </w:rPr>
      </w:pPr>
    </w:p>
    <w:p w14:paraId="7B589204" w14:textId="24F6811C" w:rsidR="006A07CF" w:rsidRPr="000C3267" w:rsidRDefault="006A07CF" w:rsidP="006A07CF">
      <w:pPr>
        <w:tabs>
          <w:tab w:val="left" w:pos="7230"/>
        </w:tabs>
        <w:ind w:right="-765"/>
        <w:rPr>
          <w:rFonts w:eastAsia="Calibri"/>
          <w:sz w:val="27"/>
          <w:szCs w:val="27"/>
        </w:rPr>
      </w:pPr>
      <w:r w:rsidRPr="000C3267">
        <w:rPr>
          <w:rFonts w:eastAsia="Calibri"/>
          <w:sz w:val="28"/>
          <w:szCs w:val="28"/>
        </w:rPr>
        <w:t>Veselības ministr</w:t>
      </w:r>
      <w:r w:rsidR="00885584" w:rsidRPr="000C3267">
        <w:rPr>
          <w:rFonts w:eastAsia="Calibri"/>
          <w:sz w:val="28"/>
          <w:szCs w:val="28"/>
        </w:rPr>
        <w:t>s</w:t>
      </w:r>
      <w:r w:rsidRPr="000C3267">
        <w:rPr>
          <w:rFonts w:eastAsia="Calibri"/>
          <w:sz w:val="28"/>
          <w:szCs w:val="28"/>
        </w:rPr>
        <w:t xml:space="preserve"> </w:t>
      </w:r>
      <w:r w:rsidRPr="000C3267">
        <w:rPr>
          <w:rFonts w:eastAsia="Calibri"/>
          <w:sz w:val="28"/>
          <w:szCs w:val="28"/>
        </w:rPr>
        <w:tab/>
      </w:r>
      <w:r w:rsidR="00885584" w:rsidRPr="000C3267">
        <w:rPr>
          <w:rFonts w:eastAsia="Calibri"/>
          <w:sz w:val="28"/>
          <w:szCs w:val="28"/>
        </w:rPr>
        <w:t>D</w:t>
      </w:r>
      <w:r w:rsidRPr="000C3267">
        <w:rPr>
          <w:rFonts w:eastAsia="Calibri"/>
          <w:sz w:val="28"/>
          <w:szCs w:val="28"/>
        </w:rPr>
        <w:t>.</w:t>
      </w:r>
      <w:r w:rsidR="00F846A0" w:rsidRPr="000C3267">
        <w:rPr>
          <w:rFonts w:eastAsia="Calibri"/>
          <w:sz w:val="28"/>
          <w:szCs w:val="28"/>
        </w:rPr>
        <w:t> </w:t>
      </w:r>
      <w:r w:rsidR="00885584" w:rsidRPr="000C3267">
        <w:rPr>
          <w:rFonts w:eastAsia="Calibri"/>
          <w:sz w:val="28"/>
          <w:szCs w:val="28"/>
        </w:rPr>
        <w:t>Pavļuts</w:t>
      </w:r>
      <w:r w:rsidRPr="000C3267">
        <w:rPr>
          <w:rFonts w:eastAsia="Calibri"/>
          <w:sz w:val="27"/>
          <w:szCs w:val="27"/>
        </w:rPr>
        <w:tab/>
      </w:r>
    </w:p>
    <w:p w14:paraId="0FE69EA3" w14:textId="77777777" w:rsidR="006A07CF" w:rsidRPr="000C3267" w:rsidRDefault="006A07CF" w:rsidP="006A07CF">
      <w:pPr>
        <w:tabs>
          <w:tab w:val="right" w:pos="9072"/>
        </w:tabs>
        <w:ind w:right="-1"/>
        <w:rPr>
          <w:rFonts w:eastAsia="Calibri"/>
          <w:sz w:val="27"/>
          <w:szCs w:val="27"/>
        </w:rPr>
      </w:pPr>
    </w:p>
    <w:p w14:paraId="1D609E5F" w14:textId="7A7C3DB5" w:rsidR="006A07CF" w:rsidRPr="000C3267" w:rsidRDefault="006A07CF" w:rsidP="006A07CF">
      <w:pPr>
        <w:tabs>
          <w:tab w:val="right" w:pos="9072"/>
        </w:tabs>
        <w:ind w:right="-1"/>
        <w:rPr>
          <w:rFonts w:eastAsia="Calibri"/>
          <w:sz w:val="27"/>
          <w:szCs w:val="27"/>
        </w:rPr>
      </w:pPr>
    </w:p>
    <w:p w14:paraId="0B584F67" w14:textId="77777777" w:rsidR="000544E1" w:rsidRPr="000C3267" w:rsidRDefault="000544E1" w:rsidP="006A07CF">
      <w:pPr>
        <w:tabs>
          <w:tab w:val="right" w:pos="9072"/>
        </w:tabs>
        <w:ind w:right="-1"/>
        <w:rPr>
          <w:rFonts w:eastAsia="Calibri"/>
          <w:sz w:val="27"/>
          <w:szCs w:val="27"/>
        </w:rPr>
      </w:pPr>
    </w:p>
    <w:p w14:paraId="1EA85D1C" w14:textId="35425035" w:rsidR="006A07CF" w:rsidRPr="000C3267" w:rsidRDefault="006A07CF" w:rsidP="006A07CF">
      <w:pPr>
        <w:tabs>
          <w:tab w:val="right" w:pos="9072"/>
        </w:tabs>
        <w:ind w:right="-1"/>
        <w:rPr>
          <w:rFonts w:eastAsia="Calibri"/>
          <w:sz w:val="28"/>
          <w:szCs w:val="28"/>
        </w:rPr>
      </w:pPr>
      <w:r w:rsidRPr="000C3267">
        <w:rPr>
          <w:rFonts w:eastAsia="Calibri"/>
          <w:sz w:val="27"/>
          <w:szCs w:val="27"/>
        </w:rPr>
        <w:t>Vīza: Valsts sekretāre                                                D.</w:t>
      </w:r>
      <w:r w:rsidR="00F846A0" w:rsidRPr="000C3267">
        <w:rPr>
          <w:rFonts w:eastAsia="Calibri"/>
          <w:sz w:val="27"/>
          <w:szCs w:val="27"/>
        </w:rPr>
        <w:t> </w:t>
      </w:r>
      <w:proofErr w:type="spellStart"/>
      <w:r w:rsidRPr="000C3267">
        <w:rPr>
          <w:rFonts w:eastAsia="Calibri"/>
          <w:sz w:val="27"/>
          <w:szCs w:val="27"/>
        </w:rPr>
        <w:t>Mūrmane</w:t>
      </w:r>
      <w:proofErr w:type="spellEnd"/>
      <w:r w:rsidR="00F846A0" w:rsidRPr="000C3267">
        <w:rPr>
          <w:rFonts w:eastAsia="Calibri"/>
          <w:sz w:val="27"/>
          <w:szCs w:val="27"/>
        </w:rPr>
        <w:t> </w:t>
      </w:r>
      <w:r w:rsidRPr="000C3267">
        <w:rPr>
          <w:rFonts w:eastAsia="Calibri"/>
          <w:sz w:val="27"/>
          <w:szCs w:val="27"/>
        </w:rPr>
        <w:t>-</w:t>
      </w:r>
      <w:r w:rsidR="00F846A0" w:rsidRPr="000C3267">
        <w:rPr>
          <w:rFonts w:eastAsia="Calibri"/>
          <w:sz w:val="27"/>
          <w:szCs w:val="27"/>
        </w:rPr>
        <w:t> </w:t>
      </w:r>
      <w:proofErr w:type="spellStart"/>
      <w:r w:rsidRPr="000C3267">
        <w:rPr>
          <w:rFonts w:eastAsia="Calibri"/>
          <w:sz w:val="27"/>
          <w:szCs w:val="27"/>
        </w:rPr>
        <w:t>Umbraško</w:t>
      </w:r>
      <w:proofErr w:type="spellEnd"/>
      <w:r w:rsidRPr="000C3267">
        <w:rPr>
          <w:rFonts w:eastAsia="Calibri"/>
          <w:sz w:val="28"/>
          <w:szCs w:val="28"/>
        </w:rPr>
        <w:t xml:space="preserve"> </w:t>
      </w:r>
    </w:p>
    <w:p w14:paraId="3C08B04C" w14:textId="77777777" w:rsidR="006A07CF" w:rsidRPr="000C3267" w:rsidRDefault="006A07CF" w:rsidP="006A07CF">
      <w:pPr>
        <w:tabs>
          <w:tab w:val="left" w:pos="6237"/>
        </w:tabs>
        <w:rPr>
          <w:rFonts w:eastAsiaTheme="minorHAnsi"/>
          <w:sz w:val="28"/>
          <w:szCs w:val="28"/>
        </w:rPr>
      </w:pPr>
    </w:p>
    <w:p w14:paraId="59CDBBE7" w14:textId="77777777" w:rsidR="006A07CF" w:rsidRPr="000C3267" w:rsidRDefault="006A07CF" w:rsidP="00FC7CA6">
      <w:pPr>
        <w:tabs>
          <w:tab w:val="left" w:pos="6237"/>
        </w:tabs>
        <w:rPr>
          <w:szCs w:val="28"/>
        </w:rPr>
      </w:pPr>
    </w:p>
    <w:p w14:paraId="4BABD6A8" w14:textId="3A7C74EE" w:rsidR="00AE5116" w:rsidRDefault="00AE5116" w:rsidP="00AE5116">
      <w:pPr>
        <w:tabs>
          <w:tab w:val="left" w:pos="3210"/>
        </w:tabs>
        <w:rPr>
          <w:szCs w:val="28"/>
        </w:rPr>
      </w:pPr>
    </w:p>
    <w:p w14:paraId="112CA9C2" w14:textId="77777777" w:rsidR="00AE5116" w:rsidRDefault="00AE5116" w:rsidP="00FC7CA6">
      <w:pPr>
        <w:tabs>
          <w:tab w:val="left" w:pos="6237"/>
        </w:tabs>
        <w:rPr>
          <w:szCs w:val="28"/>
        </w:rPr>
      </w:pPr>
    </w:p>
    <w:p w14:paraId="3C3498FD" w14:textId="77777777" w:rsidR="00AE5116" w:rsidRDefault="00AE5116" w:rsidP="00FC7CA6">
      <w:pPr>
        <w:tabs>
          <w:tab w:val="left" w:pos="6237"/>
        </w:tabs>
        <w:rPr>
          <w:szCs w:val="28"/>
        </w:rPr>
      </w:pPr>
    </w:p>
    <w:p w14:paraId="0715862B" w14:textId="77777777" w:rsidR="00AE5116" w:rsidRDefault="00AE5116" w:rsidP="00FC7CA6">
      <w:pPr>
        <w:tabs>
          <w:tab w:val="left" w:pos="6237"/>
        </w:tabs>
        <w:rPr>
          <w:szCs w:val="28"/>
        </w:rPr>
      </w:pPr>
    </w:p>
    <w:p w14:paraId="3509C6C2" w14:textId="77777777" w:rsidR="00AE5116" w:rsidRDefault="00AE5116" w:rsidP="00FC7CA6">
      <w:pPr>
        <w:tabs>
          <w:tab w:val="left" w:pos="6237"/>
        </w:tabs>
        <w:rPr>
          <w:szCs w:val="28"/>
        </w:rPr>
      </w:pPr>
    </w:p>
    <w:p w14:paraId="450B8B91" w14:textId="77777777" w:rsidR="00AE5116" w:rsidRDefault="00AE5116" w:rsidP="00FC7CA6">
      <w:pPr>
        <w:tabs>
          <w:tab w:val="left" w:pos="6237"/>
        </w:tabs>
        <w:rPr>
          <w:szCs w:val="28"/>
        </w:rPr>
      </w:pPr>
    </w:p>
    <w:p w14:paraId="0AF56E01" w14:textId="77777777" w:rsidR="00AE5116" w:rsidRDefault="00AE5116" w:rsidP="00FC7CA6">
      <w:pPr>
        <w:tabs>
          <w:tab w:val="left" w:pos="6237"/>
        </w:tabs>
        <w:rPr>
          <w:szCs w:val="28"/>
        </w:rPr>
      </w:pPr>
    </w:p>
    <w:p w14:paraId="38F3DA61" w14:textId="77777777" w:rsidR="00AE5116" w:rsidRDefault="00AE5116" w:rsidP="00FC7CA6">
      <w:pPr>
        <w:tabs>
          <w:tab w:val="left" w:pos="6237"/>
        </w:tabs>
        <w:rPr>
          <w:szCs w:val="28"/>
        </w:rPr>
      </w:pPr>
    </w:p>
    <w:p w14:paraId="66BE98BC" w14:textId="77777777" w:rsidR="00AE5116" w:rsidRDefault="00AE5116" w:rsidP="00FC7CA6">
      <w:pPr>
        <w:tabs>
          <w:tab w:val="left" w:pos="6237"/>
        </w:tabs>
        <w:rPr>
          <w:szCs w:val="28"/>
        </w:rPr>
      </w:pPr>
    </w:p>
    <w:p w14:paraId="5AFC87E7" w14:textId="77777777" w:rsidR="00AE5116" w:rsidRDefault="00AE5116" w:rsidP="00FC7CA6">
      <w:pPr>
        <w:tabs>
          <w:tab w:val="left" w:pos="6237"/>
        </w:tabs>
        <w:rPr>
          <w:szCs w:val="28"/>
        </w:rPr>
      </w:pPr>
    </w:p>
    <w:p w14:paraId="1B6D4850" w14:textId="77777777" w:rsidR="00F642B2" w:rsidRDefault="00F642B2" w:rsidP="00FC7CA6">
      <w:pPr>
        <w:tabs>
          <w:tab w:val="left" w:pos="6237"/>
        </w:tabs>
        <w:rPr>
          <w:szCs w:val="28"/>
        </w:rPr>
      </w:pPr>
    </w:p>
    <w:p w14:paraId="0DFDC2FD" w14:textId="77777777" w:rsidR="00F642B2" w:rsidRDefault="00F642B2" w:rsidP="00FC7CA6">
      <w:pPr>
        <w:tabs>
          <w:tab w:val="left" w:pos="6237"/>
        </w:tabs>
        <w:rPr>
          <w:szCs w:val="28"/>
        </w:rPr>
      </w:pPr>
    </w:p>
    <w:p w14:paraId="1080B6F2" w14:textId="77777777" w:rsidR="00F642B2" w:rsidRDefault="00F642B2" w:rsidP="00FC7CA6">
      <w:pPr>
        <w:tabs>
          <w:tab w:val="left" w:pos="6237"/>
        </w:tabs>
        <w:rPr>
          <w:szCs w:val="28"/>
        </w:rPr>
      </w:pPr>
    </w:p>
    <w:p w14:paraId="0524D8B4" w14:textId="77777777" w:rsidR="00F642B2" w:rsidRDefault="00F642B2" w:rsidP="00FC7CA6">
      <w:pPr>
        <w:tabs>
          <w:tab w:val="left" w:pos="6237"/>
        </w:tabs>
        <w:rPr>
          <w:szCs w:val="28"/>
        </w:rPr>
      </w:pPr>
    </w:p>
    <w:p w14:paraId="41C74759" w14:textId="77777777" w:rsidR="00F642B2" w:rsidRDefault="00F642B2" w:rsidP="00FC7CA6">
      <w:pPr>
        <w:tabs>
          <w:tab w:val="left" w:pos="6237"/>
        </w:tabs>
        <w:rPr>
          <w:szCs w:val="28"/>
        </w:rPr>
      </w:pPr>
    </w:p>
    <w:p w14:paraId="11D57879" w14:textId="77777777" w:rsidR="00F642B2" w:rsidRDefault="00F642B2" w:rsidP="00FC7CA6">
      <w:pPr>
        <w:tabs>
          <w:tab w:val="left" w:pos="6237"/>
        </w:tabs>
        <w:rPr>
          <w:szCs w:val="28"/>
        </w:rPr>
      </w:pPr>
    </w:p>
    <w:p w14:paraId="2D837195" w14:textId="77777777" w:rsidR="00F642B2" w:rsidRDefault="00F642B2" w:rsidP="00FC7CA6">
      <w:pPr>
        <w:tabs>
          <w:tab w:val="left" w:pos="6237"/>
        </w:tabs>
        <w:rPr>
          <w:szCs w:val="28"/>
        </w:rPr>
      </w:pPr>
    </w:p>
    <w:p w14:paraId="40C481C1" w14:textId="77777777" w:rsidR="00F642B2" w:rsidRDefault="00F642B2" w:rsidP="00FC7CA6">
      <w:pPr>
        <w:tabs>
          <w:tab w:val="left" w:pos="6237"/>
        </w:tabs>
        <w:rPr>
          <w:szCs w:val="28"/>
        </w:rPr>
      </w:pPr>
    </w:p>
    <w:p w14:paraId="5A1F30EE" w14:textId="77777777" w:rsidR="00F642B2" w:rsidRDefault="00F642B2" w:rsidP="00FC7CA6">
      <w:pPr>
        <w:tabs>
          <w:tab w:val="left" w:pos="6237"/>
        </w:tabs>
        <w:rPr>
          <w:szCs w:val="28"/>
        </w:rPr>
      </w:pPr>
    </w:p>
    <w:p w14:paraId="4B509C35" w14:textId="77777777" w:rsidR="00F642B2" w:rsidRDefault="00F642B2" w:rsidP="00FC7CA6">
      <w:pPr>
        <w:tabs>
          <w:tab w:val="left" w:pos="6237"/>
        </w:tabs>
        <w:rPr>
          <w:szCs w:val="28"/>
        </w:rPr>
      </w:pPr>
    </w:p>
    <w:p w14:paraId="0145BFF5" w14:textId="77777777" w:rsidR="00860F5A" w:rsidRDefault="00860F5A" w:rsidP="00FC7CA6">
      <w:pPr>
        <w:tabs>
          <w:tab w:val="left" w:pos="6237"/>
        </w:tabs>
        <w:rPr>
          <w:szCs w:val="28"/>
        </w:rPr>
      </w:pPr>
    </w:p>
    <w:p w14:paraId="52C82002" w14:textId="77777777" w:rsidR="00860F5A" w:rsidRDefault="00860F5A" w:rsidP="00FC7CA6">
      <w:pPr>
        <w:tabs>
          <w:tab w:val="left" w:pos="6237"/>
        </w:tabs>
        <w:rPr>
          <w:szCs w:val="28"/>
        </w:rPr>
      </w:pPr>
    </w:p>
    <w:p w14:paraId="0F610407" w14:textId="6280CF8E" w:rsidR="00FC7CA6" w:rsidRPr="000C3267" w:rsidRDefault="00FC7CA6" w:rsidP="00FC7CA6">
      <w:pPr>
        <w:tabs>
          <w:tab w:val="left" w:pos="6237"/>
        </w:tabs>
        <w:rPr>
          <w:szCs w:val="28"/>
        </w:rPr>
      </w:pPr>
      <w:r w:rsidRPr="000C3267">
        <w:rPr>
          <w:szCs w:val="28"/>
        </w:rPr>
        <w:t>Mača 67876117</w:t>
      </w:r>
    </w:p>
    <w:p w14:paraId="425CECFD" w14:textId="327CE9B0" w:rsidR="00E12C10" w:rsidRPr="00814D9B" w:rsidRDefault="00FC7CA6" w:rsidP="00814D9B">
      <w:pPr>
        <w:tabs>
          <w:tab w:val="left" w:pos="6237"/>
        </w:tabs>
        <w:rPr>
          <w:szCs w:val="28"/>
        </w:rPr>
      </w:pPr>
      <w:r w:rsidRPr="000C3267">
        <w:rPr>
          <w:szCs w:val="28"/>
        </w:rPr>
        <w:t>inguna.maca@vm.gov.lv</w:t>
      </w:r>
    </w:p>
    <w:sectPr w:rsidR="00E12C10" w:rsidRPr="00814D9B" w:rsidSect="0026524D">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5F2F" w14:textId="77777777" w:rsidR="0028436A" w:rsidRDefault="0028436A">
      <w:r>
        <w:separator/>
      </w:r>
    </w:p>
  </w:endnote>
  <w:endnote w:type="continuationSeparator" w:id="0">
    <w:p w14:paraId="601868C4" w14:textId="77777777" w:rsidR="0028436A" w:rsidRDefault="0028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8877" w14:textId="77777777" w:rsidR="004C2AEA" w:rsidRDefault="004C2AEA" w:rsidP="002E4735">
    <w:pPr>
      <w:pStyle w:val="Kjene"/>
      <w:rPr>
        <w:sz w:val="20"/>
        <w:szCs w:val="20"/>
      </w:rPr>
    </w:pPr>
  </w:p>
  <w:p w14:paraId="4361E720" w14:textId="101E8992" w:rsidR="004C2AEA" w:rsidRPr="002E4735" w:rsidRDefault="004C2AEA" w:rsidP="002E4735">
    <w:pPr>
      <w:pStyle w:val="Kjene"/>
    </w:pPr>
    <w:r>
      <w:rPr>
        <w:sz w:val="20"/>
        <w:szCs w:val="20"/>
      </w:rPr>
      <w:t>V</w:t>
    </w:r>
    <w:r w:rsidRPr="00E12C10">
      <w:rPr>
        <w:sz w:val="20"/>
        <w:szCs w:val="20"/>
      </w:rPr>
      <w:t>Manot_</w:t>
    </w:r>
    <w:r w:rsidR="00E26416">
      <w:rPr>
        <w:sz w:val="20"/>
        <w:szCs w:val="20"/>
      </w:rPr>
      <w:t>1</w:t>
    </w:r>
    <w:r w:rsidR="00860F5A">
      <w:rPr>
        <w:sz w:val="20"/>
        <w:szCs w:val="20"/>
      </w:rPr>
      <w:t>3</w:t>
    </w:r>
    <w:r w:rsidR="00196195">
      <w:rPr>
        <w:sz w:val="20"/>
        <w:szCs w:val="20"/>
      </w:rPr>
      <w:t>0121</w:t>
    </w:r>
    <w:r w:rsidRPr="00E12C10">
      <w:rPr>
        <w:sz w:val="20"/>
        <w:szCs w:val="20"/>
      </w:rPr>
      <w:t>_</w:t>
    </w:r>
    <w:r w:rsidR="00F846A0">
      <w:rPr>
        <w:sz w:val="20"/>
        <w:szCs w:val="20"/>
      </w:rPr>
      <w:t>mk304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C522" w14:textId="6AACA8E5" w:rsidR="004C2AEA" w:rsidRPr="00E12C10" w:rsidRDefault="004C2AEA" w:rsidP="00E12C10">
    <w:pPr>
      <w:pStyle w:val="Kjene"/>
    </w:pPr>
    <w:bookmarkStart w:id="2" w:name="_Hlk56771658"/>
    <w:bookmarkStart w:id="3" w:name="_Hlk56771659"/>
    <w:r>
      <w:rPr>
        <w:sz w:val="20"/>
        <w:szCs w:val="20"/>
      </w:rPr>
      <w:t>V</w:t>
    </w:r>
    <w:r w:rsidRPr="00E12C10">
      <w:rPr>
        <w:sz w:val="20"/>
        <w:szCs w:val="20"/>
      </w:rPr>
      <w:t>Manot_</w:t>
    </w:r>
    <w:bookmarkEnd w:id="2"/>
    <w:bookmarkEnd w:id="3"/>
    <w:r w:rsidR="00E26416">
      <w:rPr>
        <w:sz w:val="20"/>
        <w:szCs w:val="20"/>
      </w:rPr>
      <w:t>1</w:t>
    </w:r>
    <w:r w:rsidR="00860F5A">
      <w:rPr>
        <w:sz w:val="20"/>
        <w:szCs w:val="20"/>
      </w:rPr>
      <w:t>3</w:t>
    </w:r>
    <w:r w:rsidR="00196195">
      <w:rPr>
        <w:sz w:val="20"/>
        <w:szCs w:val="20"/>
      </w:rPr>
      <w:t>0121</w:t>
    </w:r>
    <w:r w:rsidR="00244A49">
      <w:rPr>
        <w:sz w:val="20"/>
        <w:szCs w:val="20"/>
      </w:rPr>
      <w:t>_mk304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8198" w14:textId="77777777" w:rsidR="0028436A" w:rsidRDefault="0028436A">
      <w:r>
        <w:separator/>
      </w:r>
    </w:p>
  </w:footnote>
  <w:footnote w:type="continuationSeparator" w:id="0">
    <w:p w14:paraId="19DEEC06" w14:textId="77777777" w:rsidR="0028436A" w:rsidRDefault="0028436A">
      <w:r>
        <w:continuationSeparator/>
      </w:r>
    </w:p>
  </w:footnote>
  <w:footnote w:id="1">
    <w:p w14:paraId="69B3019D" w14:textId="77777777" w:rsidR="00841CE1" w:rsidRPr="00C93A87" w:rsidRDefault="00841CE1" w:rsidP="00841CE1">
      <w:pPr>
        <w:jc w:val="both"/>
      </w:pPr>
      <w:r>
        <w:rPr>
          <w:rStyle w:val="Vresatsauce"/>
        </w:rPr>
        <w:footnoteRef/>
      </w:r>
      <w:r>
        <w:t xml:space="preserve"> </w:t>
      </w:r>
      <w:r w:rsidRPr="000466A1">
        <w:rPr>
          <w:sz w:val="20"/>
          <w:szCs w:val="20"/>
        </w:rPr>
        <w:t>Komisijas 2017. gada 15. septembra Direktīvas Nr. 2017/1572, ar ko Eiropas Parlamenta un Padomes Direktīvu </w:t>
      </w:r>
      <w:hyperlink r:id="rId1" w:tgtFrame="_blank" w:history="1">
        <w:r w:rsidRPr="000466A1">
          <w:rPr>
            <w:sz w:val="20"/>
            <w:szCs w:val="20"/>
          </w:rPr>
          <w:t>2001/83/EK</w:t>
        </w:r>
      </w:hyperlink>
      <w:r w:rsidRPr="000466A1">
        <w:rPr>
          <w:sz w:val="20"/>
          <w:szCs w:val="20"/>
        </w:rPr>
        <w:t xml:space="preserve"> papildina attiecībā uz cilvēkiem paredzētu zāļu labas ražošanas prakses principiem un pamatnostādnēm </w:t>
      </w:r>
      <w:hyperlink r:id="rId2" w:history="1">
        <w:r w:rsidRPr="000466A1">
          <w:rPr>
            <w:rStyle w:val="Hipersaite"/>
            <w:color w:val="auto"/>
            <w:sz w:val="20"/>
            <w:szCs w:val="20"/>
          </w:rPr>
          <w:t>https://eur-lex.europa.eu/legal-content/LV/TXT/PDF/?uri=CELEX:32017L1572</w:t>
        </w:r>
      </w:hyperlink>
    </w:p>
    <w:p w14:paraId="1351D15C" w14:textId="77777777" w:rsidR="00841CE1" w:rsidRPr="000466A1" w:rsidRDefault="00841CE1" w:rsidP="00841CE1">
      <w:pPr>
        <w:pStyle w:val="Vresteksts"/>
        <w:jc w:val="both"/>
        <w:rPr>
          <w:rFonts w:ascii="Times New Roman" w:hAnsi="Times New Roman"/>
        </w:rPr>
      </w:pPr>
    </w:p>
  </w:footnote>
  <w:footnote w:id="2">
    <w:p w14:paraId="698BE1B7" w14:textId="77777777" w:rsidR="00E46E0F" w:rsidRPr="006E6E19" w:rsidRDefault="00E46E0F" w:rsidP="00E46E0F">
      <w:pPr>
        <w:pStyle w:val="Vresteksts"/>
        <w:jc w:val="both"/>
        <w:rPr>
          <w:rFonts w:ascii="Times New Roman" w:eastAsia="Times New Roman" w:hAnsi="Times New Roman"/>
          <w:shd w:val="clear" w:color="auto" w:fill="FFFFFF"/>
          <w:lang w:eastAsia="lv-LV"/>
        </w:rPr>
      </w:pPr>
      <w:r>
        <w:rPr>
          <w:rStyle w:val="Vresatsauce"/>
        </w:rPr>
        <w:footnoteRef/>
      </w:r>
      <w:r>
        <w:t xml:space="preserve"> </w:t>
      </w:r>
      <w:r w:rsidRPr="006E6E19">
        <w:rPr>
          <w:rFonts w:ascii="Times New Roman" w:eastAsia="Times New Roman" w:hAnsi="Times New Roman"/>
          <w:shd w:val="clear" w:color="auto" w:fill="FFFFFF"/>
          <w:lang w:eastAsia="lv-LV"/>
        </w:rPr>
        <w:t>Eiropas Parlamenta un Padomes 2001. gada 6. novembra Direktīvas </w:t>
      </w:r>
      <w:hyperlink r:id="rId3" w:history="1">
        <w:r w:rsidRPr="006E6E19">
          <w:rPr>
            <w:rFonts w:ascii="Times New Roman" w:eastAsia="Times New Roman" w:hAnsi="Times New Roman"/>
            <w:shd w:val="clear" w:color="auto" w:fill="FFFFFF"/>
            <w:lang w:eastAsia="lv-LV"/>
          </w:rPr>
          <w:t>2001/83/EK</w:t>
        </w:r>
      </w:hyperlink>
      <w:r w:rsidRPr="006E6E19">
        <w:rPr>
          <w:rFonts w:ascii="Times New Roman" w:eastAsia="Times New Roman" w:hAnsi="Times New Roman"/>
          <w:shd w:val="clear" w:color="auto" w:fill="FFFFFF"/>
          <w:lang w:eastAsia="lv-LV"/>
        </w:rPr>
        <w:t xml:space="preserve"> par Kopienas kodeksu, kas attiecas uz cilvēkiem paredzētām zālēm </w:t>
      </w:r>
      <w:hyperlink r:id="rId4" w:history="1">
        <w:r w:rsidRPr="006E6E19">
          <w:rPr>
            <w:rStyle w:val="Hipersaite"/>
            <w:rFonts w:ascii="Times New Roman" w:eastAsia="Times New Roman" w:hAnsi="Times New Roman"/>
            <w:color w:val="auto"/>
            <w:shd w:val="clear" w:color="auto" w:fill="FFFFFF"/>
            <w:lang w:eastAsia="lv-LV"/>
          </w:rPr>
          <w:t>https://eur-lex.europa.eu/legal-content/LV/TXT/HTML/?uri=CELEX:02001L0083-20121116&amp;from=EN</w:t>
        </w:r>
      </w:hyperlink>
    </w:p>
    <w:p w14:paraId="365F1082" w14:textId="77777777" w:rsidR="00E46E0F" w:rsidRPr="002E498B" w:rsidRDefault="00E46E0F" w:rsidP="00E46E0F">
      <w:pPr>
        <w:pStyle w:val="Vresteksts"/>
        <w:jc w:val="both"/>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73333"/>
      <w:docPartObj>
        <w:docPartGallery w:val="Page Numbers (Top of Page)"/>
        <w:docPartUnique/>
      </w:docPartObj>
    </w:sdtPr>
    <w:sdtEndPr>
      <w:rPr>
        <w:noProof/>
      </w:rPr>
    </w:sdtEndPr>
    <w:sdtContent>
      <w:p w14:paraId="677B4D7C" w14:textId="7A3E677A" w:rsidR="004C2AEA" w:rsidRDefault="004C2AEA">
        <w:pPr>
          <w:pStyle w:val="Galvene"/>
          <w:jc w:val="center"/>
        </w:pPr>
        <w:r>
          <w:fldChar w:fldCharType="begin"/>
        </w:r>
        <w:r>
          <w:instrText xml:space="preserve"> PAGE   \* MERGEFORMAT </w:instrText>
        </w:r>
        <w:r>
          <w:fldChar w:fldCharType="separate"/>
        </w:r>
        <w:r>
          <w:rPr>
            <w:noProof/>
          </w:rPr>
          <w:t>6</w:t>
        </w:r>
        <w:r>
          <w:rPr>
            <w:noProof/>
          </w:rPr>
          <w:fldChar w:fldCharType="end"/>
        </w:r>
      </w:p>
    </w:sdtContent>
  </w:sdt>
  <w:p w14:paraId="00586D5C" w14:textId="77777777" w:rsidR="004C2AEA" w:rsidRDefault="004C2A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A98"/>
    <w:multiLevelType w:val="hybridMultilevel"/>
    <w:tmpl w:val="CC9C0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A45276"/>
    <w:multiLevelType w:val="hybridMultilevel"/>
    <w:tmpl w:val="B1081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485B0A"/>
    <w:multiLevelType w:val="hybridMultilevel"/>
    <w:tmpl w:val="FFCCC978"/>
    <w:lvl w:ilvl="0" w:tplc="0C5098C4">
      <w:numFmt w:val="bullet"/>
      <w:lvlText w:val="-"/>
      <w:lvlJc w:val="left"/>
      <w:pPr>
        <w:ind w:left="509" w:hanging="360"/>
      </w:pPr>
      <w:rPr>
        <w:rFonts w:ascii="Calibri" w:eastAsiaTheme="minorHAnsi" w:hAnsi="Calibri" w:cs="Calibri" w:hint="default"/>
        <w:sz w:val="22"/>
      </w:rPr>
    </w:lvl>
    <w:lvl w:ilvl="1" w:tplc="04260003" w:tentative="1">
      <w:start w:val="1"/>
      <w:numFmt w:val="bullet"/>
      <w:lvlText w:val="o"/>
      <w:lvlJc w:val="left"/>
      <w:pPr>
        <w:ind w:left="1229" w:hanging="360"/>
      </w:pPr>
      <w:rPr>
        <w:rFonts w:ascii="Courier New" w:hAnsi="Courier New" w:cs="Courier New" w:hint="default"/>
      </w:rPr>
    </w:lvl>
    <w:lvl w:ilvl="2" w:tplc="04260005" w:tentative="1">
      <w:start w:val="1"/>
      <w:numFmt w:val="bullet"/>
      <w:lvlText w:val=""/>
      <w:lvlJc w:val="left"/>
      <w:pPr>
        <w:ind w:left="1949" w:hanging="360"/>
      </w:pPr>
      <w:rPr>
        <w:rFonts w:ascii="Wingdings" w:hAnsi="Wingdings" w:hint="default"/>
      </w:rPr>
    </w:lvl>
    <w:lvl w:ilvl="3" w:tplc="04260001" w:tentative="1">
      <w:start w:val="1"/>
      <w:numFmt w:val="bullet"/>
      <w:lvlText w:val=""/>
      <w:lvlJc w:val="left"/>
      <w:pPr>
        <w:ind w:left="2669" w:hanging="360"/>
      </w:pPr>
      <w:rPr>
        <w:rFonts w:ascii="Symbol" w:hAnsi="Symbol" w:hint="default"/>
      </w:rPr>
    </w:lvl>
    <w:lvl w:ilvl="4" w:tplc="04260003" w:tentative="1">
      <w:start w:val="1"/>
      <w:numFmt w:val="bullet"/>
      <w:lvlText w:val="o"/>
      <w:lvlJc w:val="left"/>
      <w:pPr>
        <w:ind w:left="3389" w:hanging="360"/>
      </w:pPr>
      <w:rPr>
        <w:rFonts w:ascii="Courier New" w:hAnsi="Courier New" w:cs="Courier New" w:hint="default"/>
      </w:rPr>
    </w:lvl>
    <w:lvl w:ilvl="5" w:tplc="04260005" w:tentative="1">
      <w:start w:val="1"/>
      <w:numFmt w:val="bullet"/>
      <w:lvlText w:val=""/>
      <w:lvlJc w:val="left"/>
      <w:pPr>
        <w:ind w:left="4109" w:hanging="360"/>
      </w:pPr>
      <w:rPr>
        <w:rFonts w:ascii="Wingdings" w:hAnsi="Wingdings" w:hint="default"/>
      </w:rPr>
    </w:lvl>
    <w:lvl w:ilvl="6" w:tplc="04260001" w:tentative="1">
      <w:start w:val="1"/>
      <w:numFmt w:val="bullet"/>
      <w:lvlText w:val=""/>
      <w:lvlJc w:val="left"/>
      <w:pPr>
        <w:ind w:left="4829" w:hanging="360"/>
      </w:pPr>
      <w:rPr>
        <w:rFonts w:ascii="Symbol" w:hAnsi="Symbol" w:hint="default"/>
      </w:rPr>
    </w:lvl>
    <w:lvl w:ilvl="7" w:tplc="04260003" w:tentative="1">
      <w:start w:val="1"/>
      <w:numFmt w:val="bullet"/>
      <w:lvlText w:val="o"/>
      <w:lvlJc w:val="left"/>
      <w:pPr>
        <w:ind w:left="5549" w:hanging="360"/>
      </w:pPr>
      <w:rPr>
        <w:rFonts w:ascii="Courier New" w:hAnsi="Courier New" w:cs="Courier New" w:hint="default"/>
      </w:rPr>
    </w:lvl>
    <w:lvl w:ilvl="8" w:tplc="04260005" w:tentative="1">
      <w:start w:val="1"/>
      <w:numFmt w:val="bullet"/>
      <w:lvlText w:val=""/>
      <w:lvlJc w:val="left"/>
      <w:pPr>
        <w:ind w:left="6269" w:hanging="360"/>
      </w:pPr>
      <w:rPr>
        <w:rFonts w:ascii="Wingdings" w:hAnsi="Wingdings" w:hint="default"/>
      </w:rPr>
    </w:lvl>
  </w:abstractNum>
  <w:abstractNum w:abstractNumId="8"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031E9E"/>
    <w:multiLevelType w:val="hybridMultilevel"/>
    <w:tmpl w:val="86B8A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9501C"/>
    <w:multiLevelType w:val="hybridMultilevel"/>
    <w:tmpl w:val="16144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8"/>
  </w:num>
  <w:num w:numId="6">
    <w:abstractNumId w:val="12"/>
  </w:num>
  <w:num w:numId="7">
    <w:abstractNumId w:val="11"/>
  </w:num>
  <w:num w:numId="8">
    <w:abstractNumId w:val="5"/>
  </w:num>
  <w:num w:numId="9">
    <w:abstractNumId w:val="7"/>
  </w:num>
  <w:num w:numId="10">
    <w:abstractNumId w:val="0"/>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4C"/>
    <w:rsid w:val="00000FC3"/>
    <w:rsid w:val="00002B4B"/>
    <w:rsid w:val="00011F30"/>
    <w:rsid w:val="00012F0A"/>
    <w:rsid w:val="00015E54"/>
    <w:rsid w:val="00020304"/>
    <w:rsid w:val="0002283A"/>
    <w:rsid w:val="000251E6"/>
    <w:rsid w:val="00026BEF"/>
    <w:rsid w:val="00032D77"/>
    <w:rsid w:val="00032D7D"/>
    <w:rsid w:val="00032E0B"/>
    <w:rsid w:val="00036324"/>
    <w:rsid w:val="0004024C"/>
    <w:rsid w:val="00045949"/>
    <w:rsid w:val="000466A1"/>
    <w:rsid w:val="000544E1"/>
    <w:rsid w:val="0005464C"/>
    <w:rsid w:val="00061ED3"/>
    <w:rsid w:val="00063F13"/>
    <w:rsid w:val="00086F33"/>
    <w:rsid w:val="00087B92"/>
    <w:rsid w:val="00092570"/>
    <w:rsid w:val="000A4A37"/>
    <w:rsid w:val="000C3267"/>
    <w:rsid w:val="000C5ED9"/>
    <w:rsid w:val="000D6C2D"/>
    <w:rsid w:val="000E2F8D"/>
    <w:rsid w:val="000F0C23"/>
    <w:rsid w:val="000F3C3E"/>
    <w:rsid w:val="000F5AB0"/>
    <w:rsid w:val="0012389D"/>
    <w:rsid w:val="00126CA5"/>
    <w:rsid w:val="00127C5A"/>
    <w:rsid w:val="00131A78"/>
    <w:rsid w:val="001324FD"/>
    <w:rsid w:val="00143ADD"/>
    <w:rsid w:val="00146494"/>
    <w:rsid w:val="00151501"/>
    <w:rsid w:val="001541D0"/>
    <w:rsid w:val="0015445E"/>
    <w:rsid w:val="00164627"/>
    <w:rsid w:val="001730EB"/>
    <w:rsid w:val="001732A2"/>
    <w:rsid w:val="00174D3B"/>
    <w:rsid w:val="00176787"/>
    <w:rsid w:val="0017772F"/>
    <w:rsid w:val="001820F4"/>
    <w:rsid w:val="0019485D"/>
    <w:rsid w:val="00196195"/>
    <w:rsid w:val="001B2EDF"/>
    <w:rsid w:val="001B52D2"/>
    <w:rsid w:val="001B710C"/>
    <w:rsid w:val="001C43FE"/>
    <w:rsid w:val="001C7E2C"/>
    <w:rsid w:val="001D2374"/>
    <w:rsid w:val="001D7921"/>
    <w:rsid w:val="001E0ED3"/>
    <w:rsid w:val="001F1506"/>
    <w:rsid w:val="001F3CAE"/>
    <w:rsid w:val="00203608"/>
    <w:rsid w:val="00203D97"/>
    <w:rsid w:val="00204EC7"/>
    <w:rsid w:val="002077BF"/>
    <w:rsid w:val="002102A2"/>
    <w:rsid w:val="002102C7"/>
    <w:rsid w:val="00212A54"/>
    <w:rsid w:val="00214B56"/>
    <w:rsid w:val="00222BF0"/>
    <w:rsid w:val="00230606"/>
    <w:rsid w:val="00230BB7"/>
    <w:rsid w:val="002344E9"/>
    <w:rsid w:val="00240E22"/>
    <w:rsid w:val="002412A1"/>
    <w:rsid w:val="00244A49"/>
    <w:rsid w:val="00245C85"/>
    <w:rsid w:val="00253DC0"/>
    <w:rsid w:val="00254F5E"/>
    <w:rsid w:val="002570F3"/>
    <w:rsid w:val="0026018E"/>
    <w:rsid w:val="00263243"/>
    <w:rsid w:val="0026524D"/>
    <w:rsid w:val="002674D2"/>
    <w:rsid w:val="00273F74"/>
    <w:rsid w:val="002747E4"/>
    <w:rsid w:val="00276E22"/>
    <w:rsid w:val="00282FEA"/>
    <w:rsid w:val="00283D3D"/>
    <w:rsid w:val="00283F65"/>
    <w:rsid w:val="0028436A"/>
    <w:rsid w:val="00290DC2"/>
    <w:rsid w:val="002B06A7"/>
    <w:rsid w:val="002B1C2E"/>
    <w:rsid w:val="002B5482"/>
    <w:rsid w:val="002C0612"/>
    <w:rsid w:val="002C3E19"/>
    <w:rsid w:val="002C52D9"/>
    <w:rsid w:val="002D2C73"/>
    <w:rsid w:val="002D4BF8"/>
    <w:rsid w:val="002E2679"/>
    <w:rsid w:val="002E4735"/>
    <w:rsid w:val="002F2F22"/>
    <w:rsid w:val="003014BB"/>
    <w:rsid w:val="00304858"/>
    <w:rsid w:val="00304C6C"/>
    <w:rsid w:val="003078CC"/>
    <w:rsid w:val="00315CDB"/>
    <w:rsid w:val="003225F0"/>
    <w:rsid w:val="00322C88"/>
    <w:rsid w:val="00326622"/>
    <w:rsid w:val="00341FE9"/>
    <w:rsid w:val="00343D8E"/>
    <w:rsid w:val="00351853"/>
    <w:rsid w:val="00354808"/>
    <w:rsid w:val="00357493"/>
    <w:rsid w:val="003651A0"/>
    <w:rsid w:val="00376603"/>
    <w:rsid w:val="0037798B"/>
    <w:rsid w:val="0038073F"/>
    <w:rsid w:val="00380E81"/>
    <w:rsid w:val="003830DA"/>
    <w:rsid w:val="00387020"/>
    <w:rsid w:val="003914C4"/>
    <w:rsid w:val="00396CA5"/>
    <w:rsid w:val="00397250"/>
    <w:rsid w:val="003A0FB2"/>
    <w:rsid w:val="003B562D"/>
    <w:rsid w:val="003B7E26"/>
    <w:rsid w:val="003C2747"/>
    <w:rsid w:val="003C4D1F"/>
    <w:rsid w:val="003D0D4D"/>
    <w:rsid w:val="003D315C"/>
    <w:rsid w:val="003D55AA"/>
    <w:rsid w:val="003D658C"/>
    <w:rsid w:val="003E03DE"/>
    <w:rsid w:val="003E23FF"/>
    <w:rsid w:val="003E4557"/>
    <w:rsid w:val="003F4C25"/>
    <w:rsid w:val="00403ECC"/>
    <w:rsid w:val="00413818"/>
    <w:rsid w:val="00413CB4"/>
    <w:rsid w:val="004166A7"/>
    <w:rsid w:val="0042435F"/>
    <w:rsid w:val="00426724"/>
    <w:rsid w:val="004417A2"/>
    <w:rsid w:val="00444D3B"/>
    <w:rsid w:val="00445EF9"/>
    <w:rsid w:val="00447C66"/>
    <w:rsid w:val="00455AB3"/>
    <w:rsid w:val="00463686"/>
    <w:rsid w:val="00465344"/>
    <w:rsid w:val="00467E09"/>
    <w:rsid w:val="004760F3"/>
    <w:rsid w:val="0047755E"/>
    <w:rsid w:val="0048365C"/>
    <w:rsid w:val="0049481D"/>
    <w:rsid w:val="00496F1E"/>
    <w:rsid w:val="004A2871"/>
    <w:rsid w:val="004A70A7"/>
    <w:rsid w:val="004B1414"/>
    <w:rsid w:val="004B5F0A"/>
    <w:rsid w:val="004B713D"/>
    <w:rsid w:val="004C2AEA"/>
    <w:rsid w:val="004C38A6"/>
    <w:rsid w:val="004C3F4B"/>
    <w:rsid w:val="004C4613"/>
    <w:rsid w:val="004C48BF"/>
    <w:rsid w:val="004D0A12"/>
    <w:rsid w:val="004D4D85"/>
    <w:rsid w:val="004D602B"/>
    <w:rsid w:val="004E234E"/>
    <w:rsid w:val="004E65E3"/>
    <w:rsid w:val="004F0483"/>
    <w:rsid w:val="004F7512"/>
    <w:rsid w:val="005026B8"/>
    <w:rsid w:val="005041F2"/>
    <w:rsid w:val="0050593D"/>
    <w:rsid w:val="00505F19"/>
    <w:rsid w:val="0052008B"/>
    <w:rsid w:val="0052040B"/>
    <w:rsid w:val="00520459"/>
    <w:rsid w:val="00520844"/>
    <w:rsid w:val="00521A86"/>
    <w:rsid w:val="00523486"/>
    <w:rsid w:val="00523A55"/>
    <w:rsid w:val="00523A78"/>
    <w:rsid w:val="005275DE"/>
    <w:rsid w:val="00544754"/>
    <w:rsid w:val="00552715"/>
    <w:rsid w:val="00552B64"/>
    <w:rsid w:val="00552D84"/>
    <w:rsid w:val="005539B3"/>
    <w:rsid w:val="005566C6"/>
    <w:rsid w:val="00563073"/>
    <w:rsid w:val="00565FB2"/>
    <w:rsid w:val="00577264"/>
    <w:rsid w:val="00577322"/>
    <w:rsid w:val="005813FC"/>
    <w:rsid w:val="0058483D"/>
    <w:rsid w:val="00587A49"/>
    <w:rsid w:val="0059190F"/>
    <w:rsid w:val="005A0FCB"/>
    <w:rsid w:val="005A3DA3"/>
    <w:rsid w:val="005A58C8"/>
    <w:rsid w:val="005B2F74"/>
    <w:rsid w:val="005C35BA"/>
    <w:rsid w:val="005E5B54"/>
    <w:rsid w:val="005E63E9"/>
    <w:rsid w:val="005E6674"/>
    <w:rsid w:val="005F1E13"/>
    <w:rsid w:val="005F1ED2"/>
    <w:rsid w:val="005F29B7"/>
    <w:rsid w:val="005F6693"/>
    <w:rsid w:val="005F74B4"/>
    <w:rsid w:val="005F7662"/>
    <w:rsid w:val="005F7BE0"/>
    <w:rsid w:val="006111EA"/>
    <w:rsid w:val="0061270F"/>
    <w:rsid w:val="006127CF"/>
    <w:rsid w:val="00616248"/>
    <w:rsid w:val="00620B4F"/>
    <w:rsid w:val="00635354"/>
    <w:rsid w:val="00635C24"/>
    <w:rsid w:val="00635F1A"/>
    <w:rsid w:val="00644558"/>
    <w:rsid w:val="006466EA"/>
    <w:rsid w:val="00654FA9"/>
    <w:rsid w:val="0065569C"/>
    <w:rsid w:val="0065626A"/>
    <w:rsid w:val="0066181C"/>
    <w:rsid w:val="006641A1"/>
    <w:rsid w:val="00670115"/>
    <w:rsid w:val="00670DE7"/>
    <w:rsid w:val="006739AD"/>
    <w:rsid w:val="00682401"/>
    <w:rsid w:val="00684F0B"/>
    <w:rsid w:val="00684FCF"/>
    <w:rsid w:val="006964B5"/>
    <w:rsid w:val="006A0014"/>
    <w:rsid w:val="006A07CF"/>
    <w:rsid w:val="006A198D"/>
    <w:rsid w:val="006A3EF8"/>
    <w:rsid w:val="006A5147"/>
    <w:rsid w:val="006B27BA"/>
    <w:rsid w:val="006C3B74"/>
    <w:rsid w:val="006C3EB6"/>
    <w:rsid w:val="006C76D7"/>
    <w:rsid w:val="006E39CC"/>
    <w:rsid w:val="006F2B86"/>
    <w:rsid w:val="006F4BE0"/>
    <w:rsid w:val="007029D0"/>
    <w:rsid w:val="00706BDA"/>
    <w:rsid w:val="00713F46"/>
    <w:rsid w:val="0071414D"/>
    <w:rsid w:val="00716120"/>
    <w:rsid w:val="007200F0"/>
    <w:rsid w:val="0072208A"/>
    <w:rsid w:val="007233DB"/>
    <w:rsid w:val="007234C4"/>
    <w:rsid w:val="00733F8D"/>
    <w:rsid w:val="00734CCB"/>
    <w:rsid w:val="00740CC8"/>
    <w:rsid w:val="00743E09"/>
    <w:rsid w:val="007520AF"/>
    <w:rsid w:val="00754740"/>
    <w:rsid w:val="0076100D"/>
    <w:rsid w:val="007631CF"/>
    <w:rsid w:val="00766294"/>
    <w:rsid w:val="00766BF2"/>
    <w:rsid w:val="007716F6"/>
    <w:rsid w:val="007735DB"/>
    <w:rsid w:val="00775E0C"/>
    <w:rsid w:val="0077733A"/>
    <w:rsid w:val="00782A54"/>
    <w:rsid w:val="00785E4D"/>
    <w:rsid w:val="00787F2C"/>
    <w:rsid w:val="00790425"/>
    <w:rsid w:val="0079068C"/>
    <w:rsid w:val="007945E2"/>
    <w:rsid w:val="00795180"/>
    <w:rsid w:val="007966C9"/>
    <w:rsid w:val="007A02CE"/>
    <w:rsid w:val="007A1EE6"/>
    <w:rsid w:val="007A5F53"/>
    <w:rsid w:val="007B01D5"/>
    <w:rsid w:val="007B65DC"/>
    <w:rsid w:val="007B76A6"/>
    <w:rsid w:val="007C0436"/>
    <w:rsid w:val="007C37B7"/>
    <w:rsid w:val="007C5B5D"/>
    <w:rsid w:val="007C649B"/>
    <w:rsid w:val="007D7DA3"/>
    <w:rsid w:val="007E5839"/>
    <w:rsid w:val="007F13E0"/>
    <w:rsid w:val="007F301C"/>
    <w:rsid w:val="00814D9B"/>
    <w:rsid w:val="00816B3F"/>
    <w:rsid w:val="00823370"/>
    <w:rsid w:val="008236F5"/>
    <w:rsid w:val="00824C98"/>
    <w:rsid w:val="00830C2D"/>
    <w:rsid w:val="00831AEB"/>
    <w:rsid w:val="00832883"/>
    <w:rsid w:val="00841CE1"/>
    <w:rsid w:val="0084583F"/>
    <w:rsid w:val="00845C58"/>
    <w:rsid w:val="00860F5A"/>
    <w:rsid w:val="00871117"/>
    <w:rsid w:val="00874201"/>
    <w:rsid w:val="0087564B"/>
    <w:rsid w:val="00880A2A"/>
    <w:rsid w:val="00885584"/>
    <w:rsid w:val="00886DBA"/>
    <w:rsid w:val="00891B07"/>
    <w:rsid w:val="00895591"/>
    <w:rsid w:val="00895693"/>
    <w:rsid w:val="00896BCE"/>
    <w:rsid w:val="008A3484"/>
    <w:rsid w:val="008B2058"/>
    <w:rsid w:val="008C025F"/>
    <w:rsid w:val="008C0719"/>
    <w:rsid w:val="008C22BB"/>
    <w:rsid w:val="008C7348"/>
    <w:rsid w:val="008E6E52"/>
    <w:rsid w:val="008F7F7E"/>
    <w:rsid w:val="00900B03"/>
    <w:rsid w:val="00905C91"/>
    <w:rsid w:val="00912CBF"/>
    <w:rsid w:val="0092008E"/>
    <w:rsid w:val="00926131"/>
    <w:rsid w:val="0093031D"/>
    <w:rsid w:val="00932464"/>
    <w:rsid w:val="00932AC7"/>
    <w:rsid w:val="00956857"/>
    <w:rsid w:val="0096079B"/>
    <w:rsid w:val="009640C0"/>
    <w:rsid w:val="00964944"/>
    <w:rsid w:val="00975D84"/>
    <w:rsid w:val="0099487C"/>
    <w:rsid w:val="009A46B5"/>
    <w:rsid w:val="009B46F9"/>
    <w:rsid w:val="009C09D9"/>
    <w:rsid w:val="009C2C96"/>
    <w:rsid w:val="009D2F0E"/>
    <w:rsid w:val="009D4759"/>
    <w:rsid w:val="009E45EB"/>
    <w:rsid w:val="009E4E45"/>
    <w:rsid w:val="009E5978"/>
    <w:rsid w:val="009E658C"/>
    <w:rsid w:val="009F2C81"/>
    <w:rsid w:val="009F3E35"/>
    <w:rsid w:val="009F603C"/>
    <w:rsid w:val="009F6916"/>
    <w:rsid w:val="00A01A36"/>
    <w:rsid w:val="00A055C1"/>
    <w:rsid w:val="00A0788F"/>
    <w:rsid w:val="00A1683C"/>
    <w:rsid w:val="00A21DB5"/>
    <w:rsid w:val="00A23E8B"/>
    <w:rsid w:val="00A25B9A"/>
    <w:rsid w:val="00A40E35"/>
    <w:rsid w:val="00A5089F"/>
    <w:rsid w:val="00A51642"/>
    <w:rsid w:val="00A52AF7"/>
    <w:rsid w:val="00A5331E"/>
    <w:rsid w:val="00A54FD4"/>
    <w:rsid w:val="00A64018"/>
    <w:rsid w:val="00A657D7"/>
    <w:rsid w:val="00A720C7"/>
    <w:rsid w:val="00A734BE"/>
    <w:rsid w:val="00A74935"/>
    <w:rsid w:val="00A830B4"/>
    <w:rsid w:val="00A848C2"/>
    <w:rsid w:val="00A86F94"/>
    <w:rsid w:val="00A95A08"/>
    <w:rsid w:val="00AA530D"/>
    <w:rsid w:val="00AA55F1"/>
    <w:rsid w:val="00AA6E4C"/>
    <w:rsid w:val="00AA7AE0"/>
    <w:rsid w:val="00AB054B"/>
    <w:rsid w:val="00AB0722"/>
    <w:rsid w:val="00AB0FF6"/>
    <w:rsid w:val="00AB2D6E"/>
    <w:rsid w:val="00AB6B70"/>
    <w:rsid w:val="00AC1395"/>
    <w:rsid w:val="00AC3EE3"/>
    <w:rsid w:val="00AC495D"/>
    <w:rsid w:val="00AC79FC"/>
    <w:rsid w:val="00AD0628"/>
    <w:rsid w:val="00AD0659"/>
    <w:rsid w:val="00AD6C78"/>
    <w:rsid w:val="00AE5116"/>
    <w:rsid w:val="00B0021F"/>
    <w:rsid w:val="00B0160E"/>
    <w:rsid w:val="00B0289F"/>
    <w:rsid w:val="00B05152"/>
    <w:rsid w:val="00B058AB"/>
    <w:rsid w:val="00B0720E"/>
    <w:rsid w:val="00B10021"/>
    <w:rsid w:val="00B12D12"/>
    <w:rsid w:val="00B2222B"/>
    <w:rsid w:val="00B26A1A"/>
    <w:rsid w:val="00B3027C"/>
    <w:rsid w:val="00B45678"/>
    <w:rsid w:val="00B50CBF"/>
    <w:rsid w:val="00B52F6E"/>
    <w:rsid w:val="00B57692"/>
    <w:rsid w:val="00B6076B"/>
    <w:rsid w:val="00B66AB2"/>
    <w:rsid w:val="00B67717"/>
    <w:rsid w:val="00B700EA"/>
    <w:rsid w:val="00B73659"/>
    <w:rsid w:val="00B802A2"/>
    <w:rsid w:val="00B9037D"/>
    <w:rsid w:val="00B91694"/>
    <w:rsid w:val="00B962E2"/>
    <w:rsid w:val="00BA3C0C"/>
    <w:rsid w:val="00BA51CB"/>
    <w:rsid w:val="00BA72D7"/>
    <w:rsid w:val="00BB1EF5"/>
    <w:rsid w:val="00BB2733"/>
    <w:rsid w:val="00BB27CE"/>
    <w:rsid w:val="00BB6FD8"/>
    <w:rsid w:val="00BC2D9B"/>
    <w:rsid w:val="00BC7C8C"/>
    <w:rsid w:val="00BD16A6"/>
    <w:rsid w:val="00BE4989"/>
    <w:rsid w:val="00BE7BB4"/>
    <w:rsid w:val="00BF49E0"/>
    <w:rsid w:val="00C01AC2"/>
    <w:rsid w:val="00C01EDE"/>
    <w:rsid w:val="00C03709"/>
    <w:rsid w:val="00C072D5"/>
    <w:rsid w:val="00C13BA2"/>
    <w:rsid w:val="00C1527B"/>
    <w:rsid w:val="00C201FC"/>
    <w:rsid w:val="00C2106B"/>
    <w:rsid w:val="00C230BC"/>
    <w:rsid w:val="00C25BAA"/>
    <w:rsid w:val="00C30680"/>
    <w:rsid w:val="00C3172A"/>
    <w:rsid w:val="00C34CF6"/>
    <w:rsid w:val="00C51139"/>
    <w:rsid w:val="00C524F1"/>
    <w:rsid w:val="00C54B92"/>
    <w:rsid w:val="00C60DD9"/>
    <w:rsid w:val="00C63440"/>
    <w:rsid w:val="00C7361B"/>
    <w:rsid w:val="00C86279"/>
    <w:rsid w:val="00C86DD1"/>
    <w:rsid w:val="00C93A87"/>
    <w:rsid w:val="00C94977"/>
    <w:rsid w:val="00C951A8"/>
    <w:rsid w:val="00C966B6"/>
    <w:rsid w:val="00CA0046"/>
    <w:rsid w:val="00CA15C3"/>
    <w:rsid w:val="00CA3FC4"/>
    <w:rsid w:val="00CB0DA9"/>
    <w:rsid w:val="00CB2450"/>
    <w:rsid w:val="00CB377B"/>
    <w:rsid w:val="00CC5931"/>
    <w:rsid w:val="00CD3348"/>
    <w:rsid w:val="00CE3D93"/>
    <w:rsid w:val="00CE5C88"/>
    <w:rsid w:val="00CE7CF7"/>
    <w:rsid w:val="00CE7EB3"/>
    <w:rsid w:val="00D01C80"/>
    <w:rsid w:val="00D030BC"/>
    <w:rsid w:val="00D07A43"/>
    <w:rsid w:val="00D12309"/>
    <w:rsid w:val="00D136A4"/>
    <w:rsid w:val="00D22BB5"/>
    <w:rsid w:val="00D24864"/>
    <w:rsid w:val="00D269E2"/>
    <w:rsid w:val="00D3014E"/>
    <w:rsid w:val="00D32B94"/>
    <w:rsid w:val="00D32F05"/>
    <w:rsid w:val="00D3578A"/>
    <w:rsid w:val="00D37D51"/>
    <w:rsid w:val="00D40104"/>
    <w:rsid w:val="00D44D6F"/>
    <w:rsid w:val="00D56559"/>
    <w:rsid w:val="00D5663A"/>
    <w:rsid w:val="00D568B1"/>
    <w:rsid w:val="00D616EF"/>
    <w:rsid w:val="00D778FB"/>
    <w:rsid w:val="00D77C81"/>
    <w:rsid w:val="00D77FD4"/>
    <w:rsid w:val="00D8130D"/>
    <w:rsid w:val="00D81400"/>
    <w:rsid w:val="00D86417"/>
    <w:rsid w:val="00D864E0"/>
    <w:rsid w:val="00D9268D"/>
    <w:rsid w:val="00D943F0"/>
    <w:rsid w:val="00D9696E"/>
    <w:rsid w:val="00DB0E9C"/>
    <w:rsid w:val="00DB3393"/>
    <w:rsid w:val="00DC124B"/>
    <w:rsid w:val="00DC7069"/>
    <w:rsid w:val="00DC7738"/>
    <w:rsid w:val="00DD6F2B"/>
    <w:rsid w:val="00E0226B"/>
    <w:rsid w:val="00E12C10"/>
    <w:rsid w:val="00E159B7"/>
    <w:rsid w:val="00E15BFC"/>
    <w:rsid w:val="00E2320F"/>
    <w:rsid w:val="00E26416"/>
    <w:rsid w:val="00E31FCF"/>
    <w:rsid w:val="00E330F2"/>
    <w:rsid w:val="00E33A2C"/>
    <w:rsid w:val="00E4334C"/>
    <w:rsid w:val="00E45395"/>
    <w:rsid w:val="00E46E0F"/>
    <w:rsid w:val="00E52C62"/>
    <w:rsid w:val="00E54111"/>
    <w:rsid w:val="00E77C08"/>
    <w:rsid w:val="00E827C0"/>
    <w:rsid w:val="00E908E8"/>
    <w:rsid w:val="00E90926"/>
    <w:rsid w:val="00E93781"/>
    <w:rsid w:val="00E958C8"/>
    <w:rsid w:val="00EA076F"/>
    <w:rsid w:val="00EA1274"/>
    <w:rsid w:val="00EA1AEA"/>
    <w:rsid w:val="00EA580F"/>
    <w:rsid w:val="00EB2AB6"/>
    <w:rsid w:val="00EB4BDB"/>
    <w:rsid w:val="00ED32CE"/>
    <w:rsid w:val="00ED3D4D"/>
    <w:rsid w:val="00EE0194"/>
    <w:rsid w:val="00EE12CA"/>
    <w:rsid w:val="00EE1DA7"/>
    <w:rsid w:val="00EF4237"/>
    <w:rsid w:val="00F07F47"/>
    <w:rsid w:val="00F15519"/>
    <w:rsid w:val="00F336F1"/>
    <w:rsid w:val="00F41123"/>
    <w:rsid w:val="00F4282B"/>
    <w:rsid w:val="00F434DB"/>
    <w:rsid w:val="00F4669B"/>
    <w:rsid w:val="00F47CEA"/>
    <w:rsid w:val="00F57216"/>
    <w:rsid w:val="00F615FE"/>
    <w:rsid w:val="00F642B2"/>
    <w:rsid w:val="00F811CB"/>
    <w:rsid w:val="00F8377E"/>
    <w:rsid w:val="00F84431"/>
    <w:rsid w:val="00F846A0"/>
    <w:rsid w:val="00F95E4B"/>
    <w:rsid w:val="00F962D0"/>
    <w:rsid w:val="00F97B62"/>
    <w:rsid w:val="00F97E2A"/>
    <w:rsid w:val="00FA0130"/>
    <w:rsid w:val="00FA2EF8"/>
    <w:rsid w:val="00FA5A45"/>
    <w:rsid w:val="00FA5B48"/>
    <w:rsid w:val="00FA70F8"/>
    <w:rsid w:val="00FA71BD"/>
    <w:rsid w:val="00FC5CE0"/>
    <w:rsid w:val="00FC7CA6"/>
    <w:rsid w:val="00FD34DE"/>
    <w:rsid w:val="00FE001C"/>
    <w:rsid w:val="00FE0191"/>
    <w:rsid w:val="00FF5FE6"/>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578B"/>
  <w15:chartTrackingRefBased/>
  <w15:docId w15:val="{7C1FD270-9044-4C60-9717-1929F64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64C"/>
    <w:pPr>
      <w:ind w:firstLine="0"/>
      <w:jc w:val="left"/>
    </w:pPr>
    <w:rPr>
      <w:rFonts w:eastAsia="Times New Roman"/>
      <w:szCs w:val="24"/>
      <w:lang w:eastAsia="lv-LV"/>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Nosaukums">
    <w:name w:val="Title"/>
    <w:basedOn w:val="Parasts"/>
    <w:link w:val="NosaukumsRakstz"/>
    <w:qFormat/>
    <w:rsid w:val="0005464C"/>
    <w:pPr>
      <w:jc w:val="center"/>
    </w:pPr>
    <w:rPr>
      <w:sz w:val="28"/>
      <w:szCs w:val="20"/>
      <w:lang w:eastAsia="en-US"/>
    </w:rPr>
  </w:style>
  <w:style w:type="character" w:customStyle="1" w:styleId="NosaukumsRakstz">
    <w:name w:val="Nosaukums Rakstz."/>
    <w:basedOn w:val="Noklusjumarindkopasfonts"/>
    <w:link w:val="Nosaukums"/>
    <w:rsid w:val="0005464C"/>
    <w:rPr>
      <w:rFonts w:eastAsia="Times New Roman"/>
      <w:sz w:val="28"/>
      <w:szCs w:val="20"/>
    </w:rPr>
  </w:style>
  <w:style w:type="character" w:styleId="Hipersaite">
    <w:name w:val="Hyperlink"/>
    <w:basedOn w:val="Noklusjumarindkopasfonts"/>
    <w:uiPriority w:val="99"/>
    <w:unhideWhenUsed/>
    <w:rsid w:val="0005464C"/>
    <w:rPr>
      <w:color w:val="0000FF"/>
      <w:u w:val="single"/>
    </w:rPr>
  </w:style>
  <w:style w:type="paragraph" w:styleId="Galvene">
    <w:name w:val="header"/>
    <w:basedOn w:val="Parasts"/>
    <w:link w:val="GalveneRakstz"/>
    <w:uiPriority w:val="99"/>
    <w:unhideWhenUsed/>
    <w:rsid w:val="0005464C"/>
    <w:pPr>
      <w:tabs>
        <w:tab w:val="center" w:pos="4153"/>
        <w:tab w:val="right" w:pos="8306"/>
      </w:tabs>
    </w:pPr>
  </w:style>
  <w:style w:type="character" w:customStyle="1" w:styleId="GalveneRakstz">
    <w:name w:val="Galvene Rakstz."/>
    <w:basedOn w:val="Noklusjumarindkopasfonts"/>
    <w:link w:val="Galvene"/>
    <w:uiPriority w:val="99"/>
    <w:rsid w:val="0005464C"/>
    <w:rPr>
      <w:rFonts w:eastAsia="Times New Roman"/>
      <w:szCs w:val="24"/>
      <w:lang w:eastAsia="lv-LV"/>
    </w:rPr>
  </w:style>
  <w:style w:type="paragraph" w:styleId="Kjene">
    <w:name w:val="footer"/>
    <w:basedOn w:val="Parasts"/>
    <w:link w:val="KjeneRakstz"/>
    <w:uiPriority w:val="99"/>
    <w:unhideWhenUsed/>
    <w:rsid w:val="0005464C"/>
    <w:pPr>
      <w:tabs>
        <w:tab w:val="center" w:pos="4153"/>
        <w:tab w:val="right" w:pos="8306"/>
      </w:tabs>
    </w:pPr>
  </w:style>
  <w:style w:type="character" w:customStyle="1" w:styleId="KjeneRakstz">
    <w:name w:val="Kājene Rakstz."/>
    <w:basedOn w:val="Noklusjumarindkopasfonts"/>
    <w:link w:val="Kjene"/>
    <w:uiPriority w:val="99"/>
    <w:rsid w:val="0005464C"/>
    <w:rPr>
      <w:rFonts w:eastAsia="Times New Roman"/>
      <w:szCs w:val="24"/>
      <w:lang w:eastAsia="lv-LV"/>
    </w:rPr>
  </w:style>
  <w:style w:type="paragraph" w:styleId="Paraststmeklis">
    <w:name w:val="Normal (Web)"/>
    <w:basedOn w:val="Parasts"/>
    <w:link w:val="ParaststmeklisRakstz"/>
    <w:rsid w:val="0005464C"/>
    <w:pPr>
      <w:spacing w:before="100" w:beforeAutospacing="1" w:after="100" w:afterAutospacing="1"/>
    </w:pPr>
    <w:rPr>
      <w:rFonts w:eastAsia="Arial Unicode MS"/>
      <w:lang w:val="en-GB" w:eastAsia="en-US"/>
    </w:rPr>
  </w:style>
  <w:style w:type="paragraph" w:customStyle="1" w:styleId="naisc">
    <w:name w:val="naisc"/>
    <w:basedOn w:val="Parasts"/>
    <w:rsid w:val="0005464C"/>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05464C"/>
    <w:rPr>
      <w:rFonts w:eastAsia="Arial Unicode MS"/>
      <w:szCs w:val="24"/>
      <w:lang w:val="en-GB"/>
    </w:rPr>
  </w:style>
  <w:style w:type="paragraph" w:styleId="Balonteksts">
    <w:name w:val="Balloon Text"/>
    <w:basedOn w:val="Parasts"/>
    <w:link w:val="BalontekstsRakstz"/>
    <w:uiPriority w:val="99"/>
    <w:semiHidden/>
    <w:unhideWhenUsed/>
    <w:rsid w:val="00975D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5D8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C3F4B"/>
    <w:rPr>
      <w:sz w:val="16"/>
      <w:szCs w:val="16"/>
    </w:rPr>
  </w:style>
  <w:style w:type="paragraph" w:styleId="Komentrateksts">
    <w:name w:val="annotation text"/>
    <w:basedOn w:val="Parasts"/>
    <w:link w:val="KomentratekstsRakstz"/>
    <w:uiPriority w:val="99"/>
    <w:semiHidden/>
    <w:unhideWhenUsed/>
    <w:rsid w:val="004C3F4B"/>
    <w:rPr>
      <w:sz w:val="20"/>
      <w:szCs w:val="20"/>
    </w:rPr>
  </w:style>
  <w:style w:type="character" w:customStyle="1" w:styleId="KomentratekstsRakstz">
    <w:name w:val="Komentāra teksts Rakstz."/>
    <w:basedOn w:val="Noklusjumarindkopasfonts"/>
    <w:link w:val="Komentrateksts"/>
    <w:uiPriority w:val="99"/>
    <w:semiHidden/>
    <w:rsid w:val="004C3F4B"/>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3F4B"/>
    <w:rPr>
      <w:b/>
      <w:bCs/>
    </w:rPr>
  </w:style>
  <w:style w:type="character" w:customStyle="1" w:styleId="KomentratmaRakstz">
    <w:name w:val="Komentāra tēma Rakstz."/>
    <w:basedOn w:val="KomentratekstsRakstz"/>
    <w:link w:val="Komentratma"/>
    <w:uiPriority w:val="99"/>
    <w:semiHidden/>
    <w:rsid w:val="004C3F4B"/>
    <w:rPr>
      <w:rFonts w:eastAsia="Times New Roman"/>
      <w:b/>
      <w:bCs/>
      <w:sz w:val="20"/>
      <w:szCs w:val="20"/>
      <w:lang w:eastAsia="lv-LV"/>
    </w:rPr>
  </w:style>
  <w:style w:type="character" w:styleId="Izmantotahipersaite">
    <w:name w:val="FollowedHyperlink"/>
    <w:basedOn w:val="Noklusjumarindkopasfonts"/>
    <w:uiPriority w:val="99"/>
    <w:semiHidden/>
    <w:unhideWhenUsed/>
    <w:rsid w:val="00283D3D"/>
    <w:rPr>
      <w:color w:val="954F72" w:themeColor="followedHyperlink"/>
      <w:u w:val="single"/>
    </w:rPr>
  </w:style>
  <w:style w:type="character" w:customStyle="1" w:styleId="UnresolvedMention1">
    <w:name w:val="Unresolved Mention1"/>
    <w:basedOn w:val="Noklusjumarindkopasfonts"/>
    <w:uiPriority w:val="99"/>
    <w:semiHidden/>
    <w:unhideWhenUsed/>
    <w:rsid w:val="00874201"/>
    <w:rPr>
      <w:color w:val="605E5C"/>
      <w:shd w:val="clear" w:color="auto" w:fill="E1DFDD"/>
    </w:rPr>
  </w:style>
  <w:style w:type="paragraph" w:styleId="Bezatstarpm">
    <w:name w:val="No Spacing"/>
    <w:link w:val="BezatstarpmRakstz"/>
    <w:uiPriority w:val="1"/>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BezatstarpmRakstz">
    <w:name w:val="Bez atstarpēm Rakstz."/>
    <w:link w:val="Bezatstarpm"/>
    <w:uiPriority w:val="1"/>
    <w:rsid w:val="00B45678"/>
    <w:rPr>
      <w:rFonts w:asciiTheme="minorHAnsi" w:hAnsiTheme="minorHAnsi" w:cstheme="minorBidi"/>
      <w:sz w:val="22"/>
    </w:rPr>
  </w:style>
  <w:style w:type="character" w:styleId="Neatrisintapieminana">
    <w:name w:val="Unresolved Mention"/>
    <w:basedOn w:val="Noklusjumarindkopasfonts"/>
    <w:uiPriority w:val="99"/>
    <w:semiHidden/>
    <w:unhideWhenUsed/>
    <w:rsid w:val="005275DE"/>
    <w:rPr>
      <w:color w:val="605E5C"/>
      <w:shd w:val="clear" w:color="auto" w:fill="E1DFDD"/>
    </w:rPr>
  </w:style>
  <w:style w:type="paragraph" w:styleId="Sarakstarindkopa">
    <w:name w:val="List Paragraph"/>
    <w:basedOn w:val="Parasts"/>
    <w:uiPriority w:val="34"/>
    <w:qFormat/>
    <w:rsid w:val="001732A2"/>
    <w:pPr>
      <w:ind w:left="720"/>
      <w:contextualSpacing/>
    </w:pPr>
  </w:style>
  <w:style w:type="paragraph" w:styleId="Vresteksts">
    <w:name w:val="footnote text"/>
    <w:basedOn w:val="Parasts"/>
    <w:link w:val="VrestekstsRakstz"/>
    <w:uiPriority w:val="99"/>
    <w:semiHidden/>
    <w:unhideWhenUsed/>
    <w:rsid w:val="001C43FE"/>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1C43FE"/>
    <w:rPr>
      <w:rFonts w:ascii="Calibri" w:eastAsia="Calibri" w:hAnsi="Calibri"/>
      <w:sz w:val="20"/>
      <w:szCs w:val="20"/>
    </w:rPr>
  </w:style>
  <w:style w:type="character" w:styleId="Vresatsauce">
    <w:name w:val="footnote reference"/>
    <w:basedOn w:val="Noklusjumarindkopasfonts"/>
    <w:uiPriority w:val="99"/>
    <w:semiHidden/>
    <w:unhideWhenUsed/>
    <w:rsid w:val="001C43FE"/>
    <w:rPr>
      <w:vertAlign w:val="superscript"/>
    </w:rPr>
  </w:style>
  <w:style w:type="character" w:customStyle="1" w:styleId="Bodytext">
    <w:name w:val="Body text_"/>
    <w:basedOn w:val="Noklusjumarindkopasfonts"/>
    <w:link w:val="BodyText1"/>
    <w:rsid w:val="00FA70F8"/>
    <w:rPr>
      <w:rFonts w:eastAsia="Times New Roman"/>
      <w:sz w:val="19"/>
      <w:szCs w:val="19"/>
      <w:shd w:val="clear" w:color="auto" w:fill="FFFFFF"/>
    </w:rPr>
  </w:style>
  <w:style w:type="paragraph" w:customStyle="1" w:styleId="BodyText1">
    <w:name w:val="Body Text1"/>
    <w:basedOn w:val="Parasts"/>
    <w:link w:val="Bodytext"/>
    <w:rsid w:val="00FA70F8"/>
    <w:pPr>
      <w:widowControl w:val="0"/>
      <w:shd w:val="clear" w:color="auto" w:fill="FFFFFF"/>
      <w:spacing w:after="180" w:line="0" w:lineRule="atLeast"/>
      <w:ind w:hanging="980"/>
      <w:jc w:val="both"/>
    </w:pPr>
    <w:rPr>
      <w:sz w:val="19"/>
      <w:szCs w:val="19"/>
      <w:lang w:eastAsia="en-US"/>
    </w:rPr>
  </w:style>
  <w:style w:type="paragraph" w:styleId="HTMLiepriekformattais">
    <w:name w:val="HTML Preformatted"/>
    <w:basedOn w:val="Parasts"/>
    <w:link w:val="HTMLiepriekformattaisRakstz"/>
    <w:uiPriority w:val="99"/>
    <w:semiHidden/>
    <w:unhideWhenUsed/>
    <w:rsid w:val="00E7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E77C08"/>
    <w:rPr>
      <w:rFonts w:ascii="Courier New" w:eastAsia="Times New Roman" w:hAnsi="Courier New" w:cs="Courier New"/>
      <w:sz w:val="20"/>
      <w:szCs w:val="20"/>
      <w:lang w:eastAsia="lv-LV"/>
    </w:rPr>
  </w:style>
  <w:style w:type="paragraph" w:customStyle="1" w:styleId="tv213">
    <w:name w:val="tv213"/>
    <w:basedOn w:val="Parasts"/>
    <w:rsid w:val="00CE3D93"/>
    <w:pPr>
      <w:spacing w:before="100" w:beforeAutospacing="1" w:after="100" w:afterAutospacing="1"/>
    </w:pPr>
    <w:rPr>
      <w:lang w:bidi="hi-IN"/>
    </w:rPr>
  </w:style>
  <w:style w:type="paragraph" w:customStyle="1" w:styleId="ti-grseq-1">
    <w:name w:val="ti-grseq-1"/>
    <w:basedOn w:val="Parasts"/>
    <w:rsid w:val="00C25BAA"/>
    <w:pPr>
      <w:spacing w:before="100" w:beforeAutospacing="1" w:after="100" w:afterAutospacing="1"/>
    </w:pPr>
    <w:rPr>
      <w:lang w:bidi="hi-IN"/>
    </w:rPr>
  </w:style>
  <w:style w:type="character" w:customStyle="1" w:styleId="italic">
    <w:name w:val="italic"/>
    <w:basedOn w:val="Noklusjumarindkopasfonts"/>
    <w:rsid w:val="00C25BAA"/>
  </w:style>
  <w:style w:type="paragraph" w:customStyle="1" w:styleId="Parasts1">
    <w:name w:val="Parasts1"/>
    <w:basedOn w:val="Parasts"/>
    <w:rsid w:val="00C25BAA"/>
    <w:pPr>
      <w:spacing w:before="100" w:beforeAutospacing="1" w:after="100" w:afterAutospacing="1"/>
    </w:pPr>
    <w:rPr>
      <w:lang w:bidi="hi-IN"/>
    </w:rPr>
  </w:style>
  <w:style w:type="paragraph" w:customStyle="1" w:styleId="doc-ti">
    <w:name w:val="doc-ti"/>
    <w:basedOn w:val="Parasts"/>
    <w:rsid w:val="00C25BAA"/>
    <w:pPr>
      <w:spacing w:before="100" w:beforeAutospacing="1" w:after="100" w:afterAutospacing="1"/>
    </w:pPr>
    <w:rPr>
      <w:lang w:bidi="hi-IN"/>
    </w:rPr>
  </w:style>
  <w:style w:type="paragraph" w:customStyle="1" w:styleId="no-doc-c">
    <w:name w:val="no-doc-c"/>
    <w:basedOn w:val="Parasts"/>
    <w:rsid w:val="00C25BA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602">
      <w:bodyDiv w:val="1"/>
      <w:marLeft w:val="0"/>
      <w:marRight w:val="0"/>
      <w:marTop w:val="0"/>
      <w:marBottom w:val="0"/>
      <w:divBdr>
        <w:top w:val="none" w:sz="0" w:space="0" w:color="auto"/>
        <w:left w:val="none" w:sz="0" w:space="0" w:color="auto"/>
        <w:bottom w:val="none" w:sz="0" w:space="0" w:color="auto"/>
        <w:right w:val="none" w:sz="0" w:space="0" w:color="auto"/>
      </w:divBdr>
    </w:div>
    <w:div w:id="235676204">
      <w:bodyDiv w:val="1"/>
      <w:marLeft w:val="0"/>
      <w:marRight w:val="0"/>
      <w:marTop w:val="0"/>
      <w:marBottom w:val="0"/>
      <w:divBdr>
        <w:top w:val="none" w:sz="0" w:space="0" w:color="auto"/>
        <w:left w:val="none" w:sz="0" w:space="0" w:color="auto"/>
        <w:bottom w:val="none" w:sz="0" w:space="0" w:color="auto"/>
        <w:right w:val="none" w:sz="0" w:space="0" w:color="auto"/>
      </w:divBdr>
    </w:div>
    <w:div w:id="670989665">
      <w:bodyDiv w:val="1"/>
      <w:marLeft w:val="0"/>
      <w:marRight w:val="0"/>
      <w:marTop w:val="0"/>
      <w:marBottom w:val="0"/>
      <w:divBdr>
        <w:top w:val="none" w:sz="0" w:space="0" w:color="auto"/>
        <w:left w:val="none" w:sz="0" w:space="0" w:color="auto"/>
        <w:bottom w:val="none" w:sz="0" w:space="0" w:color="auto"/>
        <w:right w:val="none" w:sz="0" w:space="0" w:color="auto"/>
      </w:divBdr>
    </w:div>
    <w:div w:id="837768203">
      <w:bodyDiv w:val="1"/>
      <w:marLeft w:val="0"/>
      <w:marRight w:val="0"/>
      <w:marTop w:val="0"/>
      <w:marBottom w:val="0"/>
      <w:divBdr>
        <w:top w:val="none" w:sz="0" w:space="0" w:color="auto"/>
        <w:left w:val="none" w:sz="0" w:space="0" w:color="auto"/>
        <w:bottom w:val="none" w:sz="0" w:space="0" w:color="auto"/>
        <w:right w:val="none" w:sz="0" w:space="0" w:color="auto"/>
      </w:divBdr>
    </w:div>
    <w:div w:id="984361590">
      <w:bodyDiv w:val="1"/>
      <w:marLeft w:val="0"/>
      <w:marRight w:val="0"/>
      <w:marTop w:val="0"/>
      <w:marBottom w:val="0"/>
      <w:divBdr>
        <w:top w:val="none" w:sz="0" w:space="0" w:color="auto"/>
        <w:left w:val="none" w:sz="0" w:space="0" w:color="auto"/>
        <w:bottom w:val="none" w:sz="0" w:space="0" w:color="auto"/>
        <w:right w:val="none" w:sz="0" w:space="0" w:color="auto"/>
      </w:divBdr>
    </w:div>
    <w:div w:id="1098716666">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716663020">
      <w:bodyDiv w:val="1"/>
      <w:marLeft w:val="0"/>
      <w:marRight w:val="0"/>
      <w:marTop w:val="0"/>
      <w:marBottom w:val="0"/>
      <w:divBdr>
        <w:top w:val="none" w:sz="0" w:space="0" w:color="auto"/>
        <w:left w:val="none" w:sz="0" w:space="0" w:color="auto"/>
        <w:bottom w:val="none" w:sz="0" w:space="0" w:color="auto"/>
        <w:right w:val="none" w:sz="0" w:space="0" w:color="auto"/>
      </w:divBdr>
    </w:div>
    <w:div w:id="2096318527">
      <w:bodyDiv w:val="1"/>
      <w:marLeft w:val="0"/>
      <w:marRight w:val="0"/>
      <w:marTop w:val="0"/>
      <w:marBottom w:val="0"/>
      <w:divBdr>
        <w:top w:val="none" w:sz="0" w:space="0" w:color="auto"/>
        <w:left w:val="none" w:sz="0" w:space="0" w:color="auto"/>
        <w:bottom w:val="none" w:sz="0" w:space="0" w:color="auto"/>
        <w:right w:val="none" w:sz="0" w:space="0" w:color="auto"/>
      </w:divBdr>
    </w:div>
    <w:div w:id="2116095141">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s://eur-lex.europa.eu/legal-content/LV/TXT/HTML/?uri=OJ:C:2020:116I:F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V/TXT/PDF/?uri=CELEX:32017L15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1/83/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LV/TXT/HTML/?uri=CELEX:02001L0083-20121116&amp;from=EN" TargetMode="External"/><Relationship Id="rId4" Type="http://schemas.openxmlformats.org/officeDocument/2006/relationships/settings" Target="settings.xml"/><Relationship Id="rId9" Type="http://schemas.openxmlformats.org/officeDocument/2006/relationships/hyperlink" Target="http://eur-lex.europa.eu/eli/dir/2001/83/oj/?locale=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dir/2001/83/oj/?locale=LV" TargetMode="External"/><Relationship Id="rId2" Type="http://schemas.openxmlformats.org/officeDocument/2006/relationships/hyperlink" Target="https://eur-lex.europa.eu/legal-content/LV/TXT/PDF/?uri=CELEX:32017L1572" TargetMode="External"/><Relationship Id="rId1" Type="http://schemas.openxmlformats.org/officeDocument/2006/relationships/hyperlink" Target="http://eur-lex.europa.eu/eli/dir/2001/83/oj/?locale=LV" TargetMode="External"/><Relationship Id="rId4" Type="http://schemas.openxmlformats.org/officeDocument/2006/relationships/hyperlink" Target="https://eur-lex.europa.eu/legal-content/LV/TXT/HTML/?uri=CELEX:02001L0083-20121116&amp;from=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1CDA-CA26-492E-A4CA-77038E9A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16328</Words>
  <Characters>9307</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sākotnējās ietekmes novērtējuma ziņojums (anotācija)</vt:lpstr>
      <vt:lpstr>Ministru kabineta noteikumu projekta sākotnējās ietekmes novērtējuma ziņojums (anotācija)</vt:lpstr>
    </vt:vector>
  </TitlesOfParts>
  <Company>Veselības Ministrija</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Ingūna Mača</dc:creator>
  <cp:keywords/>
  <dc:description>inguna.maca@vm.gov.lv, 67876117</dc:description>
  <cp:lastModifiedBy>Inguna Maca</cp:lastModifiedBy>
  <cp:revision>14</cp:revision>
  <dcterms:created xsi:type="dcterms:W3CDTF">2021-01-11T09:49:00Z</dcterms:created>
  <dcterms:modified xsi:type="dcterms:W3CDTF">2021-01-13T09:38:00Z</dcterms:modified>
</cp:coreProperties>
</file>