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57D6" w14:textId="77777777" w:rsidR="006978DF" w:rsidRDefault="0005464C" w:rsidP="00E33A2C">
      <w:pPr>
        <w:pStyle w:val="NoSpacing"/>
        <w:jc w:val="center"/>
        <w:rPr>
          <w:rFonts w:ascii="Times New Roman" w:hAnsi="Times New Roman" w:cs="Times New Roman"/>
          <w:b/>
          <w:sz w:val="28"/>
          <w:szCs w:val="28"/>
        </w:rPr>
      </w:pPr>
      <w:r w:rsidRPr="00577264">
        <w:rPr>
          <w:rFonts w:ascii="Times New Roman" w:hAnsi="Times New Roman" w:cs="Times New Roman"/>
          <w:b/>
          <w:sz w:val="28"/>
          <w:szCs w:val="28"/>
        </w:rPr>
        <w:t>Ministru kabineta noteikumu projekt</w:t>
      </w:r>
      <w:r w:rsidR="00E33A2C">
        <w:rPr>
          <w:rFonts w:ascii="Times New Roman" w:hAnsi="Times New Roman" w:cs="Times New Roman"/>
          <w:b/>
          <w:sz w:val="28"/>
          <w:szCs w:val="28"/>
        </w:rPr>
        <w:t>a</w:t>
      </w:r>
      <w:r w:rsidRPr="00577264">
        <w:rPr>
          <w:rFonts w:ascii="Times New Roman" w:hAnsi="Times New Roman" w:cs="Times New Roman"/>
          <w:b/>
          <w:sz w:val="28"/>
          <w:szCs w:val="28"/>
        </w:rPr>
        <w:t xml:space="preserve"> </w:t>
      </w:r>
    </w:p>
    <w:p w14:paraId="0637A093" w14:textId="77090C6C" w:rsidR="00E33A2C" w:rsidRPr="00577264" w:rsidRDefault="007C6CD4" w:rsidP="00E33A2C">
      <w:pPr>
        <w:pStyle w:val="NoSpacing"/>
        <w:jc w:val="center"/>
        <w:rPr>
          <w:rFonts w:ascii="Times New Roman" w:hAnsi="Times New Roman" w:cs="Times New Roman"/>
          <w:b/>
          <w:sz w:val="28"/>
          <w:szCs w:val="28"/>
        </w:rPr>
      </w:pPr>
      <w:r w:rsidRPr="00EE2CC2">
        <w:rPr>
          <w:b/>
          <w:bCs/>
          <w:sz w:val="28"/>
          <w:szCs w:val="28"/>
        </w:rPr>
        <w:t>"</w:t>
      </w:r>
      <w:r w:rsidR="00E330F2" w:rsidRPr="00577264">
        <w:rPr>
          <w:rFonts w:ascii="Times New Roman" w:hAnsi="Times New Roman" w:cs="Times New Roman"/>
          <w:b/>
          <w:sz w:val="28"/>
          <w:szCs w:val="28"/>
        </w:rPr>
        <w:t>Grozījumi Ministru kabineta 200</w:t>
      </w:r>
      <w:r w:rsidR="006978DF">
        <w:rPr>
          <w:rFonts w:ascii="Times New Roman" w:hAnsi="Times New Roman" w:cs="Times New Roman"/>
          <w:b/>
          <w:sz w:val="28"/>
          <w:szCs w:val="28"/>
        </w:rPr>
        <w:t>7.</w:t>
      </w:r>
      <w:r w:rsidR="00E330F2" w:rsidRPr="00577264">
        <w:rPr>
          <w:rFonts w:ascii="Times New Roman" w:hAnsi="Times New Roman" w:cs="Times New Roman"/>
          <w:b/>
          <w:sz w:val="28"/>
          <w:szCs w:val="28"/>
        </w:rPr>
        <w:t xml:space="preserve"> gada </w:t>
      </w:r>
      <w:r w:rsidR="006978DF">
        <w:rPr>
          <w:rFonts w:ascii="Times New Roman" w:hAnsi="Times New Roman" w:cs="Times New Roman"/>
          <w:b/>
          <w:sz w:val="28"/>
          <w:szCs w:val="28"/>
        </w:rPr>
        <w:t>26</w:t>
      </w:r>
      <w:r w:rsidR="00E330F2" w:rsidRPr="00577264">
        <w:rPr>
          <w:rFonts w:ascii="Times New Roman" w:hAnsi="Times New Roman" w:cs="Times New Roman"/>
          <w:b/>
          <w:sz w:val="28"/>
          <w:szCs w:val="28"/>
        </w:rPr>
        <w:t>. </w:t>
      </w:r>
      <w:r w:rsidR="006978DF">
        <w:rPr>
          <w:rFonts w:ascii="Times New Roman" w:hAnsi="Times New Roman" w:cs="Times New Roman"/>
          <w:b/>
          <w:sz w:val="28"/>
          <w:szCs w:val="28"/>
        </w:rPr>
        <w:t>jūnija</w:t>
      </w:r>
      <w:r w:rsidR="00E330F2" w:rsidRPr="00577264">
        <w:rPr>
          <w:rFonts w:ascii="Times New Roman" w:hAnsi="Times New Roman" w:cs="Times New Roman"/>
          <w:b/>
          <w:sz w:val="28"/>
          <w:szCs w:val="28"/>
        </w:rPr>
        <w:t xml:space="preserve"> noteikumos Nr. </w:t>
      </w:r>
      <w:r w:rsidR="006978DF">
        <w:rPr>
          <w:rFonts w:ascii="Times New Roman" w:hAnsi="Times New Roman" w:cs="Times New Roman"/>
          <w:b/>
          <w:sz w:val="28"/>
          <w:szCs w:val="28"/>
        </w:rPr>
        <w:t xml:space="preserve">416 </w:t>
      </w:r>
      <w:r w:rsidR="006978DF">
        <w:rPr>
          <w:rFonts w:ascii="Times New Roman" w:hAnsi="Times New Roman" w:cs="Times New Roman"/>
          <w:b/>
          <w:sz w:val="28"/>
          <w:szCs w:val="28"/>
        </w:rPr>
        <w:tab/>
      </w:r>
      <w:r w:rsidRPr="00EE2CC2">
        <w:rPr>
          <w:b/>
          <w:bCs/>
          <w:sz w:val="28"/>
          <w:szCs w:val="28"/>
        </w:rPr>
        <w:t>"</w:t>
      </w:r>
      <w:r w:rsidR="003C5543">
        <w:rPr>
          <w:rFonts w:ascii="Times New Roman" w:hAnsi="Times New Roman" w:cs="Times New Roman"/>
          <w:b/>
          <w:sz w:val="28"/>
          <w:szCs w:val="28"/>
        </w:rPr>
        <w:t>Z</w:t>
      </w:r>
      <w:r w:rsidR="00E330F2" w:rsidRPr="00577264">
        <w:rPr>
          <w:rFonts w:ascii="Times New Roman" w:hAnsi="Times New Roman" w:cs="Times New Roman"/>
          <w:b/>
          <w:sz w:val="28"/>
          <w:szCs w:val="28"/>
        </w:rPr>
        <w:t xml:space="preserve">āļu </w:t>
      </w:r>
      <w:r w:rsidR="006978DF">
        <w:rPr>
          <w:rFonts w:ascii="Times New Roman" w:hAnsi="Times New Roman" w:cs="Times New Roman"/>
          <w:b/>
          <w:sz w:val="28"/>
          <w:szCs w:val="28"/>
        </w:rPr>
        <w:t>izplatīšanas un kvalitātes kontroles kārtību</w:t>
      </w:r>
      <w:r w:rsidRPr="00EE2CC2">
        <w:rPr>
          <w:b/>
          <w:bCs/>
          <w:sz w:val="28"/>
          <w:szCs w:val="28"/>
        </w:rPr>
        <w:t>""</w:t>
      </w:r>
    </w:p>
    <w:p w14:paraId="4360F71F" w14:textId="17F107E7" w:rsidR="0005464C" w:rsidRPr="00577264" w:rsidRDefault="00E330F2" w:rsidP="00E330F2">
      <w:pPr>
        <w:pStyle w:val="NoSpacing"/>
        <w:jc w:val="center"/>
        <w:rPr>
          <w:rFonts w:ascii="Times New Roman" w:hAnsi="Times New Roman" w:cs="Times New Roman"/>
          <w:b/>
          <w:sz w:val="28"/>
          <w:szCs w:val="28"/>
        </w:rPr>
      </w:pPr>
      <w:r w:rsidRPr="00577264">
        <w:rPr>
          <w:rFonts w:ascii="Times New Roman" w:hAnsi="Times New Roman" w:cs="Times New Roman"/>
          <w:b/>
          <w:sz w:val="28"/>
          <w:szCs w:val="28"/>
        </w:rPr>
        <w:t xml:space="preserve"> </w:t>
      </w:r>
      <w:r w:rsidR="0005464C" w:rsidRPr="00577264">
        <w:rPr>
          <w:rFonts w:ascii="Times New Roman" w:hAnsi="Times New Roman" w:cs="Times New Roman"/>
          <w:b/>
          <w:sz w:val="28"/>
          <w:szCs w:val="28"/>
        </w:rPr>
        <w:t>sākotnējās ietekmes novērtējuma ziņojums (anotācija)</w:t>
      </w:r>
    </w:p>
    <w:p w14:paraId="79F52857" w14:textId="77777777" w:rsidR="0005464C" w:rsidRPr="001A5641" w:rsidRDefault="0005464C" w:rsidP="00B45678">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980"/>
        <w:gridCol w:w="7081"/>
      </w:tblGrid>
      <w:tr w:rsidR="0005464C" w:rsidRPr="001A5641" w14:paraId="677A5546" w14:textId="77777777" w:rsidTr="00E33A2C">
        <w:trPr>
          <w:cantSplit/>
        </w:trPr>
        <w:tc>
          <w:tcPr>
            <w:tcW w:w="9061" w:type="dxa"/>
            <w:gridSpan w:val="2"/>
            <w:shd w:val="clear" w:color="auto" w:fill="FFFFFF"/>
            <w:vAlign w:val="center"/>
            <w:hideMark/>
          </w:tcPr>
          <w:p w14:paraId="4D1987C4" w14:textId="77777777" w:rsidR="0005464C" w:rsidRPr="001A5641" w:rsidRDefault="0005464C" w:rsidP="00D44D6F">
            <w:pPr>
              <w:jc w:val="center"/>
              <w:rPr>
                <w:b/>
                <w:iCs/>
                <w:lang w:eastAsia="en-US"/>
              </w:rPr>
            </w:pPr>
            <w:r w:rsidRPr="001A5641">
              <w:rPr>
                <w:b/>
                <w:iCs/>
                <w:lang w:eastAsia="en-US"/>
              </w:rPr>
              <w:t>Tiesību akta projekta anotācijas kopsavilkums</w:t>
            </w:r>
          </w:p>
        </w:tc>
      </w:tr>
      <w:tr w:rsidR="001B52D2" w:rsidRPr="001A5641" w14:paraId="4FE7C78C" w14:textId="77777777" w:rsidTr="00814D9B">
        <w:trPr>
          <w:cantSplit/>
        </w:trPr>
        <w:tc>
          <w:tcPr>
            <w:tcW w:w="1980" w:type="dxa"/>
            <w:shd w:val="clear" w:color="auto" w:fill="FFFFFF"/>
            <w:hideMark/>
          </w:tcPr>
          <w:p w14:paraId="5B264DEC" w14:textId="77777777" w:rsidR="0005464C" w:rsidRPr="001A5641" w:rsidRDefault="0005464C" w:rsidP="00D44D6F">
            <w:pPr>
              <w:rPr>
                <w:iCs/>
                <w:lang w:eastAsia="en-US"/>
              </w:rPr>
            </w:pPr>
            <w:r w:rsidRPr="001A5641">
              <w:rPr>
                <w:iCs/>
                <w:lang w:eastAsia="en-US"/>
              </w:rPr>
              <w:t>Mērķis, risinājums un projekta spēkā stāšanās laiks (500 zīmes bez atstarpēm)</w:t>
            </w:r>
          </w:p>
        </w:tc>
        <w:tc>
          <w:tcPr>
            <w:tcW w:w="7081" w:type="dxa"/>
            <w:shd w:val="clear" w:color="auto" w:fill="FFFFFF"/>
            <w:hideMark/>
          </w:tcPr>
          <w:p w14:paraId="52BBF01D" w14:textId="6706A78A" w:rsidR="00C25BAA" w:rsidRPr="00E33A2C" w:rsidRDefault="00A74935" w:rsidP="00E33A2C">
            <w:pPr>
              <w:jc w:val="both"/>
              <w:rPr>
                <w:iCs/>
                <w:shd w:val="clear" w:color="auto" w:fill="FFFFFF"/>
              </w:rPr>
            </w:pPr>
            <w:r w:rsidRPr="00684F0B">
              <w:rPr>
                <w:iCs/>
                <w:shd w:val="clear" w:color="auto" w:fill="FFFFFF"/>
              </w:rPr>
              <w:t>Ministru kabineta noteikumu projekt</w:t>
            </w:r>
            <w:r w:rsidR="00E33A2C">
              <w:rPr>
                <w:iCs/>
                <w:shd w:val="clear" w:color="auto" w:fill="FFFFFF"/>
              </w:rPr>
              <w:t xml:space="preserve">a </w:t>
            </w:r>
            <w:r w:rsidR="007C6CD4" w:rsidRPr="007C6CD4">
              <w:t>"</w:t>
            </w:r>
            <w:r w:rsidR="00684F0B" w:rsidRPr="007C6CD4">
              <w:t>Grozījumi</w:t>
            </w:r>
            <w:r w:rsidR="00684F0B" w:rsidRPr="00684F0B">
              <w:t xml:space="preserve"> Ministru kabineta 200</w:t>
            </w:r>
            <w:r w:rsidR="003C5543">
              <w:t>7</w:t>
            </w:r>
            <w:r w:rsidR="00684F0B" w:rsidRPr="00684F0B">
              <w:t xml:space="preserve">. gada </w:t>
            </w:r>
            <w:r w:rsidR="003C5543">
              <w:t>26</w:t>
            </w:r>
            <w:r w:rsidR="00684F0B" w:rsidRPr="00684F0B">
              <w:t>. </w:t>
            </w:r>
            <w:r w:rsidR="003C5543">
              <w:t>jūnija</w:t>
            </w:r>
            <w:r w:rsidR="00684F0B" w:rsidRPr="00684F0B">
              <w:t xml:space="preserve"> noteikumos Nr. </w:t>
            </w:r>
            <w:r w:rsidR="003C5543">
              <w:t>416</w:t>
            </w:r>
            <w:r w:rsidR="00684F0B" w:rsidRPr="00684F0B">
              <w:t xml:space="preserve"> </w:t>
            </w:r>
            <w:r w:rsidR="007C6CD4" w:rsidRPr="007C6CD4">
              <w:t>"</w:t>
            </w:r>
            <w:r w:rsidR="003C5543">
              <w:t>Zāļu izplatīšanas un kvalitātes kontroles kārtība</w:t>
            </w:r>
            <w:r w:rsidR="007C6CD4" w:rsidRPr="007C6CD4">
              <w:t>""</w:t>
            </w:r>
            <w:r w:rsidR="00684F0B" w:rsidRPr="00684F0B">
              <w:t xml:space="preserve"> (turpmāk</w:t>
            </w:r>
            <w:r w:rsidR="00684F0B">
              <w:t> </w:t>
            </w:r>
            <w:r w:rsidR="00486EF6">
              <w:t>-</w:t>
            </w:r>
            <w:r w:rsidR="00684F0B">
              <w:t> </w:t>
            </w:r>
            <w:r w:rsidR="00447C66">
              <w:t>Noteikumu projekts</w:t>
            </w:r>
            <w:r w:rsidR="00684F0B" w:rsidRPr="00684F0B">
              <w:t>)</w:t>
            </w:r>
            <w:r w:rsidR="00E33A2C">
              <w:t xml:space="preserve"> </w:t>
            </w:r>
            <w:r w:rsidR="00000FC3" w:rsidRPr="008F7F7E">
              <w:rPr>
                <w:iCs/>
                <w:shd w:val="clear" w:color="auto" w:fill="FFFFFF"/>
              </w:rPr>
              <w:t xml:space="preserve">mērķis ir </w:t>
            </w:r>
            <w:r w:rsidR="00C25BAA">
              <w:rPr>
                <w:iCs/>
                <w:shd w:val="clear" w:color="auto" w:fill="FFFFFF"/>
              </w:rPr>
              <w:t xml:space="preserve">īstenot regulatīvo elastību </w:t>
            </w:r>
            <w:r w:rsidR="003C5543">
              <w:rPr>
                <w:iCs/>
                <w:shd w:val="clear" w:color="auto" w:fill="FFFFFF"/>
              </w:rPr>
              <w:t xml:space="preserve">zāļu </w:t>
            </w:r>
            <w:r w:rsidR="00D9268D">
              <w:rPr>
                <w:iCs/>
                <w:shd w:val="clear" w:color="auto" w:fill="FFFFFF"/>
              </w:rPr>
              <w:t xml:space="preserve">labas </w:t>
            </w:r>
            <w:r w:rsidR="003C5543">
              <w:rPr>
                <w:iCs/>
                <w:shd w:val="clear" w:color="auto" w:fill="FFFFFF"/>
              </w:rPr>
              <w:t>izplatīšanas</w:t>
            </w:r>
            <w:r w:rsidR="00D9268D">
              <w:rPr>
                <w:iCs/>
                <w:shd w:val="clear" w:color="auto" w:fill="FFFFFF"/>
              </w:rPr>
              <w:t xml:space="preserve"> prakses </w:t>
            </w:r>
            <w:r w:rsidR="00E33A2C">
              <w:rPr>
                <w:iCs/>
                <w:shd w:val="clear" w:color="auto" w:fill="FFFFFF"/>
              </w:rPr>
              <w:t xml:space="preserve">atbilstības novērtēšanas </w:t>
            </w:r>
            <w:r w:rsidR="00D9268D">
              <w:rPr>
                <w:iCs/>
                <w:shd w:val="clear" w:color="auto" w:fill="FFFFFF"/>
              </w:rPr>
              <w:t>pārbaudē</w:t>
            </w:r>
            <w:r w:rsidR="00447C66">
              <w:rPr>
                <w:iCs/>
                <w:shd w:val="clear" w:color="auto" w:fill="FFFFFF"/>
              </w:rPr>
              <w:t>m</w:t>
            </w:r>
            <w:r w:rsidR="00D9268D">
              <w:rPr>
                <w:iCs/>
                <w:shd w:val="clear" w:color="auto" w:fill="FFFFFF"/>
              </w:rPr>
              <w:t xml:space="preserve">, </w:t>
            </w:r>
            <w:r w:rsidR="00D9268D">
              <w:t>tai skaitā ievie</w:t>
            </w:r>
            <w:r w:rsidR="00E33A2C">
              <w:t>st</w:t>
            </w:r>
            <w:r w:rsidR="00D9268D">
              <w:t xml:space="preserve"> attālinātās pārbaudes, </w:t>
            </w:r>
            <w:r w:rsidR="00E77C08" w:rsidRPr="00B700EA">
              <w:t xml:space="preserve">ņemot vērā grūtības veikt attiecīgās pārbaudes uz vietas </w:t>
            </w:r>
            <w:r w:rsidR="00126CA5">
              <w:t>saistībā</w:t>
            </w:r>
            <w:r w:rsidR="00E77C08" w:rsidRPr="00B700EA">
              <w:t xml:space="preserve"> ar COVID</w:t>
            </w:r>
            <w:r w:rsidR="008F7F7E" w:rsidRPr="00B700EA">
              <w:t> </w:t>
            </w:r>
            <w:r w:rsidR="00E77C08" w:rsidRPr="00B700EA">
              <w:t>-</w:t>
            </w:r>
            <w:r w:rsidR="008F7F7E" w:rsidRPr="00B700EA">
              <w:t> </w:t>
            </w:r>
            <w:r w:rsidR="00E77C08" w:rsidRPr="00B700EA">
              <w:t xml:space="preserve">19 </w:t>
            </w:r>
            <w:r w:rsidR="003C5543">
              <w:t>uzliesmojumu</w:t>
            </w:r>
            <w:r w:rsidRPr="00B700EA">
              <w:rPr>
                <w:iCs/>
                <w:shd w:val="clear" w:color="auto" w:fill="FFFFFF"/>
              </w:rPr>
              <w:t xml:space="preserve">, </w:t>
            </w:r>
            <w:r w:rsidR="003C5543">
              <w:t>kas</w:t>
            </w:r>
            <w:r w:rsidR="00447C66">
              <w:t xml:space="preserve"> ir</w:t>
            </w:r>
            <w:r w:rsidR="00C201FC" w:rsidRPr="00B700EA">
              <w:t xml:space="preserve"> izrais</w:t>
            </w:r>
            <w:r w:rsidR="003C5543">
              <w:t>ījis</w:t>
            </w:r>
            <w:r w:rsidR="00C201FC" w:rsidRPr="00B700EA">
              <w:t xml:space="preserve"> </w:t>
            </w:r>
            <w:r w:rsidR="0099487C">
              <w:t xml:space="preserve">arī </w:t>
            </w:r>
            <w:r w:rsidR="00C201FC" w:rsidRPr="00B700EA">
              <w:t xml:space="preserve">valstu un starptautiskos ierobežojumus, </w:t>
            </w:r>
            <w:r w:rsidR="003C5543">
              <w:t xml:space="preserve">un </w:t>
            </w:r>
            <w:r w:rsidR="00C201FC" w:rsidRPr="00B700EA">
              <w:t>var ietekmēt un/vai kavēt pārbaužu veikšanu uz vietas.</w:t>
            </w:r>
          </w:p>
          <w:p w14:paraId="318A8FF9" w14:textId="77777777" w:rsidR="00447C66" w:rsidRDefault="00447C66" w:rsidP="00E77C08">
            <w:pPr>
              <w:jc w:val="both"/>
            </w:pPr>
          </w:p>
          <w:p w14:paraId="705A3673" w14:textId="00755D57" w:rsidR="0005464C" w:rsidRPr="00E77C08" w:rsidRDefault="00A74935" w:rsidP="00E77C08">
            <w:pPr>
              <w:jc w:val="both"/>
              <w:rPr>
                <w:color w:val="0070C0"/>
              </w:rPr>
            </w:pPr>
            <w:r w:rsidRPr="00684F0B">
              <w:t>Projekt</w:t>
            </w:r>
            <w:r w:rsidR="00E33A2C">
              <w:t>s</w:t>
            </w:r>
            <w:r w:rsidRPr="00684F0B">
              <w:t xml:space="preserve"> stājas spēkā parastā kārtībā.</w:t>
            </w:r>
          </w:p>
        </w:tc>
      </w:tr>
    </w:tbl>
    <w:p w14:paraId="09DF23C0" w14:textId="77777777" w:rsidR="0005464C" w:rsidRPr="001A5641" w:rsidRDefault="0005464C" w:rsidP="007520AF">
      <w:pPr>
        <w:pStyle w:val="Title"/>
        <w:jc w:val="both"/>
        <w:rPr>
          <w:sz w:val="24"/>
          <w:szCs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842"/>
        <w:gridCol w:w="6818"/>
      </w:tblGrid>
      <w:tr w:rsidR="0005464C" w:rsidRPr="001A5641" w14:paraId="38D2ED83" w14:textId="77777777" w:rsidTr="00A74935">
        <w:trPr>
          <w:cantSplit/>
        </w:trPr>
        <w:tc>
          <w:tcPr>
            <w:tcW w:w="9081" w:type="dxa"/>
            <w:gridSpan w:val="3"/>
            <w:vAlign w:val="center"/>
            <w:hideMark/>
          </w:tcPr>
          <w:p w14:paraId="506B20B7" w14:textId="77777777" w:rsidR="0005464C" w:rsidRPr="00370B7B" w:rsidRDefault="0005464C" w:rsidP="00D44D6F">
            <w:pPr>
              <w:jc w:val="center"/>
              <w:rPr>
                <w:b/>
                <w:bCs/>
              </w:rPr>
            </w:pPr>
            <w:r w:rsidRPr="001A5641">
              <w:rPr>
                <w:b/>
                <w:bCs/>
              </w:rPr>
              <w:t>I. Tiesību akta projekta izstrādes nepieciešamība</w:t>
            </w:r>
          </w:p>
        </w:tc>
      </w:tr>
      <w:tr w:rsidR="0005464C" w:rsidRPr="001A5641" w14:paraId="0936F87F" w14:textId="77777777" w:rsidTr="00481290">
        <w:trPr>
          <w:cantSplit/>
        </w:trPr>
        <w:tc>
          <w:tcPr>
            <w:tcW w:w="421" w:type="dxa"/>
            <w:hideMark/>
          </w:tcPr>
          <w:p w14:paraId="0EEE9D0D" w14:textId="77777777" w:rsidR="0005464C" w:rsidRPr="001A5641" w:rsidRDefault="0005464C" w:rsidP="00D44D6F">
            <w:pPr>
              <w:jc w:val="center"/>
            </w:pPr>
            <w:r w:rsidRPr="001A5641">
              <w:t>1.</w:t>
            </w:r>
          </w:p>
        </w:tc>
        <w:tc>
          <w:tcPr>
            <w:tcW w:w="1842" w:type="dxa"/>
            <w:hideMark/>
          </w:tcPr>
          <w:p w14:paraId="0829083E" w14:textId="77777777" w:rsidR="0005464C" w:rsidRDefault="0005464C" w:rsidP="00D44D6F">
            <w:r w:rsidRPr="001A5641">
              <w:t>Pamatojums</w:t>
            </w:r>
          </w:p>
          <w:p w14:paraId="5FAF8D40" w14:textId="77777777" w:rsidR="00E6418B" w:rsidRPr="00E6418B" w:rsidRDefault="00E6418B" w:rsidP="00E6418B"/>
          <w:p w14:paraId="3775D44F" w14:textId="77777777" w:rsidR="00E6418B" w:rsidRPr="00E6418B" w:rsidRDefault="00E6418B" w:rsidP="00E6418B"/>
          <w:p w14:paraId="53D351B3" w14:textId="77777777" w:rsidR="00E6418B" w:rsidRPr="00E6418B" w:rsidRDefault="00E6418B" w:rsidP="00E6418B"/>
          <w:p w14:paraId="1E8C6EAF" w14:textId="77777777" w:rsidR="00E6418B" w:rsidRDefault="00E6418B" w:rsidP="00E6418B"/>
          <w:p w14:paraId="7F5707A9" w14:textId="77777777" w:rsidR="00E6418B" w:rsidRDefault="00E6418B" w:rsidP="00E6418B"/>
          <w:p w14:paraId="5DD47DEF" w14:textId="0C7F0106" w:rsidR="00E6418B" w:rsidRPr="00E6418B" w:rsidRDefault="00E6418B" w:rsidP="00E6418B">
            <w:pPr>
              <w:jc w:val="center"/>
            </w:pPr>
          </w:p>
        </w:tc>
        <w:tc>
          <w:tcPr>
            <w:tcW w:w="6818" w:type="dxa"/>
            <w:hideMark/>
          </w:tcPr>
          <w:p w14:paraId="6E76874F" w14:textId="19C02B44" w:rsidR="00A74935" w:rsidRPr="007D11A9" w:rsidRDefault="00A74935" w:rsidP="00092570">
            <w:pPr>
              <w:jc w:val="both"/>
              <w:rPr>
                <w:iCs/>
              </w:rPr>
            </w:pPr>
            <w:r w:rsidRPr="007D11A9">
              <w:rPr>
                <w:iCs/>
              </w:rPr>
              <w:t>Projekt</w:t>
            </w:r>
            <w:r w:rsidR="00E33A2C">
              <w:rPr>
                <w:iCs/>
              </w:rPr>
              <w:t>s</w:t>
            </w:r>
            <w:r w:rsidRPr="007D11A9">
              <w:rPr>
                <w:iCs/>
              </w:rPr>
              <w:t xml:space="preserve"> ir izstrādāt</w:t>
            </w:r>
            <w:r w:rsidR="00E33A2C">
              <w:rPr>
                <w:iCs/>
              </w:rPr>
              <w:t>s</w:t>
            </w:r>
            <w:r w:rsidRPr="007D11A9">
              <w:rPr>
                <w:iCs/>
              </w:rPr>
              <w:t xml:space="preserve"> pēc Veselības ministrijas iniciatīvas.</w:t>
            </w:r>
          </w:p>
          <w:p w14:paraId="73F4CE37" w14:textId="5DDE6A4F" w:rsidR="001B52D2" w:rsidRPr="00E908E8" w:rsidRDefault="009A46B5" w:rsidP="00B73659">
            <w:pPr>
              <w:jc w:val="both"/>
            </w:pPr>
            <w:r w:rsidRPr="00E908E8">
              <w:t>Farmācijas likuma 5.</w:t>
            </w:r>
            <w:r w:rsidR="009C09D9" w:rsidRPr="00E908E8">
              <w:t> </w:t>
            </w:r>
            <w:r w:rsidRPr="00E908E8">
              <w:t>panta 3</w:t>
            </w:r>
            <w:r w:rsidR="00B45678" w:rsidRPr="00E908E8">
              <w:t>.</w:t>
            </w:r>
            <w:r w:rsidR="00E33A2C" w:rsidRPr="00E908E8">
              <w:t xml:space="preserve"> un</w:t>
            </w:r>
            <w:r w:rsidR="00B45678" w:rsidRPr="00E908E8">
              <w:t xml:space="preserve"> </w:t>
            </w:r>
            <w:r w:rsidR="00625D7C">
              <w:t>25</w:t>
            </w:r>
            <w:r w:rsidR="00E33A2C" w:rsidRPr="00E908E8">
              <w:t>.</w:t>
            </w:r>
            <w:r w:rsidR="00A0788F" w:rsidRPr="00E908E8">
              <w:t> </w:t>
            </w:r>
            <w:r w:rsidR="00E33A2C" w:rsidRPr="00E908E8">
              <w:t xml:space="preserve">punkts </w:t>
            </w:r>
            <w:r w:rsidR="00B45678" w:rsidRPr="00E908E8">
              <w:t xml:space="preserve">un </w:t>
            </w:r>
            <w:r w:rsidR="00625D7C">
              <w:t>19</w:t>
            </w:r>
            <w:r w:rsidR="00B45678" w:rsidRPr="00E908E8">
              <w:t>.</w:t>
            </w:r>
            <w:r w:rsidR="00C201FC" w:rsidRPr="00E908E8">
              <w:t> </w:t>
            </w:r>
            <w:r w:rsidRPr="00E908E8">
              <w:t>pants.</w:t>
            </w:r>
          </w:p>
          <w:p w14:paraId="241D6500" w14:textId="77777777" w:rsidR="00486EF6" w:rsidRDefault="00486EF6" w:rsidP="00B73659">
            <w:pPr>
              <w:jc w:val="both"/>
            </w:pPr>
          </w:p>
          <w:p w14:paraId="5FCBCD55" w14:textId="03AF5ACD" w:rsidR="009E658C" w:rsidRDefault="009E658C" w:rsidP="00B73659">
            <w:pPr>
              <w:jc w:val="both"/>
              <w:rPr>
                <w:shd w:val="clear" w:color="auto" w:fill="FFFFFF"/>
              </w:rPr>
            </w:pPr>
            <w:r w:rsidRPr="00E908E8">
              <w:t xml:space="preserve">Eiropas Komisijas 2020. gada 8. aprīļa paziņojums </w:t>
            </w:r>
            <w:r w:rsidR="007C6CD4" w:rsidRPr="007C6CD4">
              <w:t>"</w:t>
            </w:r>
            <w:r w:rsidRPr="00E908E8">
              <w:t>Vadlīnijas par optimālu un racionālu apgādi ar zālēm, lai novērstu zāļu deficītu Covid - 19 uzliesmojuma laikā</w:t>
            </w:r>
            <w:r w:rsidR="007C6CD4" w:rsidRPr="007C6CD4">
              <w:t>"</w:t>
            </w:r>
            <w:r w:rsidRPr="00E908E8">
              <w:rPr>
                <w:shd w:val="clear" w:color="auto" w:fill="FFFFFF"/>
              </w:rPr>
              <w:t xml:space="preserve"> (2020/C 116 I/01</w:t>
            </w:r>
            <w:r w:rsidR="00625D7C">
              <w:rPr>
                <w:shd w:val="clear" w:color="auto" w:fill="FFFFFF"/>
              </w:rPr>
              <w:t xml:space="preserve">), </w:t>
            </w:r>
            <w:r w:rsidR="00F5759D">
              <w:rPr>
                <w:shd w:val="clear" w:color="auto" w:fill="FFFFFF"/>
              </w:rPr>
              <w:t>lai atbalstītu zāļu vairumtirdzniecības sektoru</w:t>
            </w:r>
            <w:r w:rsidR="00650EFE">
              <w:rPr>
                <w:shd w:val="clear" w:color="auto" w:fill="FFFFFF"/>
              </w:rPr>
              <w:t>.</w:t>
            </w:r>
          </w:p>
          <w:p w14:paraId="0F14AF2F" w14:textId="77777777" w:rsidR="00D5663A" w:rsidRDefault="00D5663A" w:rsidP="00B73659">
            <w:pPr>
              <w:jc w:val="both"/>
              <w:rPr>
                <w:iCs/>
                <w:shd w:val="clear" w:color="auto" w:fill="FFFFFF"/>
              </w:rPr>
            </w:pPr>
          </w:p>
          <w:p w14:paraId="228913E6" w14:textId="42D3D206" w:rsidR="003914C4" w:rsidRDefault="003914C4" w:rsidP="00B73659">
            <w:pPr>
              <w:jc w:val="both"/>
              <w:rPr>
                <w:iCs/>
                <w:shd w:val="clear" w:color="auto" w:fill="FFFFFF"/>
              </w:rPr>
            </w:pPr>
            <w:r w:rsidRPr="003914C4">
              <w:rPr>
                <w:iCs/>
                <w:shd w:val="clear" w:color="auto" w:fill="FFFFFF"/>
              </w:rPr>
              <w:t>Eiropas Komisija</w:t>
            </w:r>
            <w:r>
              <w:rPr>
                <w:iCs/>
                <w:shd w:val="clear" w:color="auto" w:fill="FFFFFF"/>
              </w:rPr>
              <w:t>s</w:t>
            </w:r>
            <w:r w:rsidRPr="003914C4">
              <w:rPr>
                <w:iCs/>
                <w:shd w:val="clear" w:color="auto" w:fill="FFFFFF"/>
              </w:rPr>
              <w:t>, E</w:t>
            </w:r>
            <w:r>
              <w:rPr>
                <w:iCs/>
                <w:shd w:val="clear" w:color="auto" w:fill="FFFFFF"/>
              </w:rPr>
              <w:t>iropas Zāļu Aģentūras</w:t>
            </w:r>
            <w:r w:rsidRPr="003914C4">
              <w:rPr>
                <w:iCs/>
                <w:shd w:val="clear" w:color="auto" w:fill="FFFFFF"/>
              </w:rPr>
              <w:t xml:space="preserve"> un Eiropas zāļu regulatīv</w:t>
            </w:r>
            <w:r>
              <w:rPr>
                <w:iCs/>
                <w:shd w:val="clear" w:color="auto" w:fill="FFFFFF"/>
              </w:rPr>
              <w:t>ā</w:t>
            </w:r>
            <w:r w:rsidRPr="003914C4">
              <w:rPr>
                <w:iCs/>
                <w:shd w:val="clear" w:color="auto" w:fill="FFFFFF"/>
              </w:rPr>
              <w:t xml:space="preserve"> tīkl</w:t>
            </w:r>
            <w:r>
              <w:rPr>
                <w:iCs/>
                <w:shd w:val="clear" w:color="auto" w:fill="FFFFFF"/>
              </w:rPr>
              <w:t>a</w:t>
            </w:r>
            <w:r w:rsidRPr="003914C4">
              <w:rPr>
                <w:iCs/>
                <w:shd w:val="clear" w:color="auto" w:fill="FFFFFF"/>
              </w:rPr>
              <w:t xml:space="preserve"> </w:t>
            </w:r>
            <w:r w:rsidR="00F9640F">
              <w:rPr>
                <w:iCs/>
                <w:shd w:val="clear" w:color="auto" w:fill="FFFFFF"/>
              </w:rPr>
              <w:t xml:space="preserve">aģentūru vadītāju </w:t>
            </w:r>
            <w:r>
              <w:rPr>
                <w:iCs/>
                <w:shd w:val="clear" w:color="auto" w:fill="FFFFFF"/>
              </w:rPr>
              <w:t>izstrādātais</w:t>
            </w:r>
            <w:r w:rsidRPr="003914C4">
              <w:rPr>
                <w:iCs/>
                <w:shd w:val="clear" w:color="auto" w:fill="FFFFFF"/>
              </w:rPr>
              <w:t xml:space="preserve"> jautājumu un atbilžu (Q&amp;A) dokument</w:t>
            </w:r>
            <w:r>
              <w:rPr>
                <w:iCs/>
                <w:shd w:val="clear" w:color="auto" w:fill="FFFFFF"/>
              </w:rPr>
              <w:t>s</w:t>
            </w:r>
            <w:r w:rsidRPr="003914C4">
              <w:rPr>
                <w:iCs/>
                <w:shd w:val="clear" w:color="auto" w:fill="FFFFFF"/>
              </w:rPr>
              <w:t>, lai sniegtu norādījumus ieinteresētajām personām par tiesiskā regulējuma pielāgošanu</w:t>
            </w:r>
            <w:r w:rsidR="00ED3BA3">
              <w:rPr>
                <w:iCs/>
                <w:shd w:val="clear" w:color="auto" w:fill="FFFFFF"/>
              </w:rPr>
              <w:t xml:space="preserve"> un</w:t>
            </w:r>
            <w:r w:rsidRPr="003914C4">
              <w:rPr>
                <w:iCs/>
                <w:shd w:val="clear" w:color="auto" w:fill="FFFFFF"/>
              </w:rPr>
              <w:t xml:space="preserve"> risinātu problēmas, kas rodas COVID</w:t>
            </w:r>
            <w:r w:rsidR="00F4320A">
              <w:rPr>
                <w:iCs/>
                <w:shd w:val="clear" w:color="auto" w:fill="FFFFFF"/>
              </w:rPr>
              <w:t> </w:t>
            </w:r>
            <w:r w:rsidRPr="003914C4">
              <w:rPr>
                <w:iCs/>
                <w:shd w:val="clear" w:color="auto" w:fill="FFFFFF"/>
              </w:rPr>
              <w:t>-</w:t>
            </w:r>
            <w:r w:rsidR="00F4320A">
              <w:rPr>
                <w:iCs/>
                <w:shd w:val="clear" w:color="auto" w:fill="FFFFFF"/>
              </w:rPr>
              <w:t> </w:t>
            </w:r>
            <w:r w:rsidRPr="003914C4">
              <w:rPr>
                <w:iCs/>
                <w:shd w:val="clear" w:color="auto" w:fill="FFFFFF"/>
              </w:rPr>
              <w:t>19 pandēmijas rezultātā, īpašu uzmanību pievēršot svarīgiem zāļu lietošanas līdzekļiem COVID</w:t>
            </w:r>
            <w:r w:rsidR="00F4320A">
              <w:rPr>
                <w:iCs/>
                <w:shd w:val="clear" w:color="auto" w:fill="FFFFFF"/>
              </w:rPr>
              <w:t> </w:t>
            </w:r>
            <w:r w:rsidRPr="003914C4">
              <w:rPr>
                <w:iCs/>
                <w:shd w:val="clear" w:color="auto" w:fill="FFFFFF"/>
              </w:rPr>
              <w:t>-</w:t>
            </w:r>
            <w:r w:rsidR="00F4320A">
              <w:rPr>
                <w:iCs/>
                <w:shd w:val="clear" w:color="auto" w:fill="FFFFFF"/>
              </w:rPr>
              <w:t> </w:t>
            </w:r>
            <w:r w:rsidRPr="003914C4">
              <w:rPr>
                <w:iCs/>
                <w:shd w:val="clear" w:color="auto" w:fill="FFFFFF"/>
              </w:rPr>
              <w:t>19 pacientiem</w:t>
            </w:r>
            <w:r w:rsidR="00650EFE">
              <w:rPr>
                <w:iCs/>
                <w:shd w:val="clear" w:color="auto" w:fill="FFFFFF"/>
              </w:rPr>
              <w:t>.</w:t>
            </w:r>
          </w:p>
          <w:p w14:paraId="3BF0353B" w14:textId="7153AA0A" w:rsidR="00D5663A" w:rsidRPr="009E658C" w:rsidRDefault="00D5663A" w:rsidP="00B73659">
            <w:pPr>
              <w:jc w:val="both"/>
            </w:pPr>
            <w:r w:rsidRPr="00B10021">
              <w:t xml:space="preserve"> (</w:t>
            </w:r>
            <w:r w:rsidR="003914C4" w:rsidRPr="003914C4">
              <w:t>https://www.ema.europa.eu/en/news/guidance-regulatory-requirements-context-covid-19-pandemic</w:t>
            </w:r>
            <w:r w:rsidRPr="001E602F">
              <w:rPr>
                <w:rStyle w:val="Hyperlink"/>
                <w:color w:val="auto"/>
                <w:u w:val="none"/>
              </w:rPr>
              <w:t>)</w:t>
            </w:r>
          </w:p>
        </w:tc>
      </w:tr>
      <w:tr w:rsidR="00105ABA" w:rsidRPr="00105ABA" w14:paraId="37115413" w14:textId="77777777" w:rsidTr="00481290">
        <w:trPr>
          <w:trHeight w:val="20"/>
        </w:trPr>
        <w:tc>
          <w:tcPr>
            <w:tcW w:w="421" w:type="dxa"/>
          </w:tcPr>
          <w:p w14:paraId="1CE7CE5F" w14:textId="77777777" w:rsidR="0005464C" w:rsidRPr="00105ABA" w:rsidRDefault="0005464C" w:rsidP="00D44D6F">
            <w:pPr>
              <w:jc w:val="center"/>
            </w:pPr>
            <w:r w:rsidRPr="00105ABA">
              <w:t>2.</w:t>
            </w:r>
          </w:p>
        </w:tc>
        <w:tc>
          <w:tcPr>
            <w:tcW w:w="1842" w:type="dxa"/>
          </w:tcPr>
          <w:p w14:paraId="03E4C8C4" w14:textId="77777777" w:rsidR="0005464C" w:rsidRPr="00105ABA" w:rsidRDefault="0005464C" w:rsidP="00D44D6F">
            <w:r w:rsidRPr="00105ABA">
              <w:t>Pašreizējā situācija un problēmas, kuru risināšanai tiesību akta projekts izstrādāts, tiesiskā regulējuma mērķis un būtība</w:t>
            </w:r>
          </w:p>
        </w:tc>
        <w:tc>
          <w:tcPr>
            <w:tcW w:w="6818" w:type="dxa"/>
          </w:tcPr>
          <w:p w14:paraId="7C591688" w14:textId="0D082CB9" w:rsidR="00447C66" w:rsidRPr="00105ABA" w:rsidRDefault="003914C4" w:rsidP="00B12D12">
            <w:pPr>
              <w:jc w:val="both"/>
            </w:pPr>
            <w:r w:rsidRPr="00105ABA">
              <w:t>Saistībā ar Covid</w:t>
            </w:r>
            <w:r w:rsidR="00F4320A" w:rsidRPr="00105ABA">
              <w:t> </w:t>
            </w:r>
            <w:r w:rsidRPr="00105ABA">
              <w:t>-</w:t>
            </w:r>
            <w:r w:rsidR="00F4320A" w:rsidRPr="00105ABA">
              <w:t> </w:t>
            </w:r>
            <w:r w:rsidRPr="00105ABA">
              <w:t>19 pandēmiju</w:t>
            </w:r>
            <w:r w:rsidR="00B12D12" w:rsidRPr="00105ABA">
              <w:t xml:space="preserve"> tā kā Eiropas Savienības dalībvalstīs, gan citās valstīs ir noteikti cilvēku pārvietošanās un pulcēšanas ierobežojumi </w:t>
            </w:r>
            <w:r w:rsidRPr="00105ABA">
              <w:t xml:space="preserve">EK 2020. gada 8. aprīļa </w:t>
            </w:r>
            <w:r w:rsidR="005566C6" w:rsidRPr="00105ABA">
              <w:t xml:space="preserve">savā </w:t>
            </w:r>
            <w:r w:rsidRPr="00105ABA">
              <w:t>paziņojumā “Vadlīnijas par optimālu un racionālu apgādi ar zālēm, lai novērstu zāļu deficītu Covid</w:t>
            </w:r>
            <w:r w:rsidR="00CB018E" w:rsidRPr="00105ABA">
              <w:t> </w:t>
            </w:r>
            <w:r w:rsidRPr="00105ABA">
              <w:t>-</w:t>
            </w:r>
            <w:r w:rsidR="00CB018E" w:rsidRPr="00105ABA">
              <w:t> </w:t>
            </w:r>
            <w:r w:rsidRPr="00105ABA">
              <w:t xml:space="preserve">19 uzliesmojuma laikā” </w:t>
            </w:r>
            <w:r w:rsidR="005566C6" w:rsidRPr="00105ABA">
              <w:t>ir uzsvērusi</w:t>
            </w:r>
            <w:r w:rsidRPr="00105ABA">
              <w:t>, ka slimības uzliesmojuma bezprecedenta rakstura dēļ dalībvalstīm jāīsteno ārkārtas pasākumi, lai nodrošinātu zāļu pieejamību</w:t>
            </w:r>
            <w:r w:rsidR="00B12D12" w:rsidRPr="00105ABA">
              <w:t xml:space="preserve">. Šai sakarā </w:t>
            </w:r>
            <w:r w:rsidRPr="00105ABA">
              <w:rPr>
                <w:iCs/>
                <w:shd w:val="clear" w:color="auto" w:fill="FFFFFF"/>
              </w:rPr>
              <w:t>EK</w:t>
            </w:r>
            <w:r w:rsidRPr="00105ABA">
              <w:t xml:space="preserve">, Eiropas Zāļu aģentūras un </w:t>
            </w:r>
            <w:r w:rsidRPr="00105ABA">
              <w:rPr>
                <w:iCs/>
                <w:shd w:val="clear" w:color="auto" w:fill="FFFFFF"/>
              </w:rPr>
              <w:t xml:space="preserve">Eiropas zāļu regulatīvā tīkla </w:t>
            </w:r>
            <w:r w:rsidR="00F9640F" w:rsidRPr="00105ABA">
              <w:t>aktualizētajā</w:t>
            </w:r>
            <w:r w:rsidRPr="00105ABA">
              <w:t xml:space="preserve"> izstrādātajā jautājumu un atbilžu dokumentā par zāļu reglamentējuma jautājumiem COVID - 19 pandēmijas laikā ir uzsvērts, ka valstīm jāveido elastīga pieeja, novēršot zāļu pieejamības problēmas un </w:t>
            </w:r>
            <w:r w:rsidR="005566C6" w:rsidRPr="00105ABA">
              <w:t>jānodrošina</w:t>
            </w:r>
            <w:r w:rsidRPr="00105ABA">
              <w:t xml:space="preserve"> zāļu piegāžu nepārtrauktību Covid</w:t>
            </w:r>
            <w:r w:rsidR="003A2965" w:rsidRPr="00105ABA">
              <w:t> </w:t>
            </w:r>
            <w:r w:rsidRPr="00105ABA">
              <w:t>-</w:t>
            </w:r>
            <w:r w:rsidR="003A2965" w:rsidRPr="00105ABA">
              <w:t> </w:t>
            </w:r>
            <w:r w:rsidRPr="00105ABA">
              <w:t>19 pandēmijas laikā.</w:t>
            </w:r>
            <w:r w:rsidR="00B12D12" w:rsidRPr="00105ABA">
              <w:t xml:space="preserve"> </w:t>
            </w:r>
            <w:r w:rsidRPr="00105ABA">
              <w:t>COVID</w:t>
            </w:r>
            <w:r w:rsidR="003A2965" w:rsidRPr="00105ABA">
              <w:t> </w:t>
            </w:r>
            <w:r w:rsidRPr="00105ABA">
              <w:t>-</w:t>
            </w:r>
            <w:r w:rsidR="003A2965" w:rsidRPr="00105ABA">
              <w:t> </w:t>
            </w:r>
            <w:r w:rsidRPr="00105ABA">
              <w:t>19 pandēmija</w:t>
            </w:r>
            <w:r w:rsidR="00B12D12" w:rsidRPr="00105ABA">
              <w:t>s</w:t>
            </w:r>
            <w:r w:rsidRPr="00105ABA">
              <w:t xml:space="preserve"> </w:t>
            </w:r>
            <w:r w:rsidR="00B12D12" w:rsidRPr="00105ABA">
              <w:t>izraisītie</w:t>
            </w:r>
            <w:r w:rsidRPr="00105ABA">
              <w:t xml:space="preserve"> valstu un starptautisk</w:t>
            </w:r>
            <w:r w:rsidR="00B12D12" w:rsidRPr="00105ABA">
              <w:t>ie</w:t>
            </w:r>
            <w:r w:rsidRPr="00105ABA">
              <w:t xml:space="preserve"> ierobežojum</w:t>
            </w:r>
            <w:r w:rsidR="00B12D12" w:rsidRPr="00105ABA">
              <w:t>i</w:t>
            </w:r>
            <w:r w:rsidR="005566C6" w:rsidRPr="00105ABA">
              <w:t xml:space="preserve"> </w:t>
            </w:r>
            <w:r w:rsidRPr="00105ABA">
              <w:t>var ietekmē</w:t>
            </w:r>
            <w:r w:rsidR="00B12D12" w:rsidRPr="00105ABA">
              <w:t xml:space="preserve">t, kā arī </w:t>
            </w:r>
            <w:r w:rsidRPr="00105ABA">
              <w:t xml:space="preserve">kavēt </w:t>
            </w:r>
            <w:r w:rsidR="00B12D12" w:rsidRPr="00105ABA">
              <w:t xml:space="preserve">arī </w:t>
            </w:r>
            <w:r w:rsidRPr="00105ABA">
              <w:t>konkrētu</w:t>
            </w:r>
            <w:r w:rsidR="000C5FED" w:rsidRPr="00105ABA">
              <w:t xml:space="preserve"> zāļu vairumtirgotāju</w:t>
            </w:r>
            <w:r w:rsidRPr="00105ABA">
              <w:t xml:space="preserve"> pārbaužu veikšanu uz vietas. </w:t>
            </w:r>
            <w:r w:rsidR="005566C6" w:rsidRPr="00105ABA">
              <w:t>Skatoties uz p</w:t>
            </w:r>
            <w:r w:rsidRPr="00105ABA">
              <w:t>ašreizēj</w:t>
            </w:r>
            <w:r w:rsidR="005566C6" w:rsidRPr="00105ABA">
              <w:t xml:space="preserve">o </w:t>
            </w:r>
            <w:r w:rsidR="00B12D12" w:rsidRPr="00105ABA">
              <w:t xml:space="preserve">situācijas nopietnību, </w:t>
            </w:r>
            <w:r w:rsidR="00C54B92" w:rsidRPr="00105ABA">
              <w:t xml:space="preserve">jāparedz instrumenti, </w:t>
            </w:r>
            <w:r w:rsidR="00B12D12" w:rsidRPr="00105ABA">
              <w:t xml:space="preserve">kas </w:t>
            </w:r>
            <w:r w:rsidR="00C54B92" w:rsidRPr="00105ABA">
              <w:lastRenderedPageBreak/>
              <w:t xml:space="preserve">nodrošinātu </w:t>
            </w:r>
            <w:r w:rsidR="000C5FED" w:rsidRPr="00105ABA">
              <w:t xml:space="preserve">zāļu </w:t>
            </w:r>
            <w:r w:rsidR="00C54B92" w:rsidRPr="00105ABA">
              <w:t xml:space="preserve">labu </w:t>
            </w:r>
            <w:r w:rsidR="000C5FED" w:rsidRPr="00105ABA">
              <w:t>izplatīšanas</w:t>
            </w:r>
            <w:r w:rsidR="00C54B92" w:rsidRPr="00105ABA">
              <w:t xml:space="preserve"> sertifikātu un zāļu </w:t>
            </w:r>
            <w:r w:rsidR="000C5FED" w:rsidRPr="00105ABA">
              <w:t xml:space="preserve">vairumtirgotāju (zāļu lieltirgotavas, zāļu importētāji un arī zāļu ražotāji, kuri paši izplata vairumtirdzniecībā savas saražotās zāles) </w:t>
            </w:r>
            <w:r w:rsidR="00C54B92" w:rsidRPr="00105ABA">
              <w:t>licenču pieejamību</w:t>
            </w:r>
            <w:r w:rsidR="00B12D12" w:rsidRPr="00105ABA">
              <w:t>.</w:t>
            </w:r>
            <w:r w:rsidR="00F9640F" w:rsidRPr="00105ABA">
              <w:t xml:space="preserve"> </w:t>
            </w:r>
            <w:r w:rsidR="00624713" w:rsidRPr="00105ABA">
              <w:t xml:space="preserve">Ņemot vērā </w:t>
            </w:r>
            <w:r w:rsidR="00624713" w:rsidRPr="00105ABA">
              <w:rPr>
                <w:iCs/>
                <w:shd w:val="clear" w:color="auto" w:fill="FFFFFF"/>
              </w:rPr>
              <w:t>EK</w:t>
            </w:r>
            <w:r w:rsidR="00624713" w:rsidRPr="00105ABA">
              <w:t xml:space="preserve">, Eiropas Zāļu aģentūras un </w:t>
            </w:r>
            <w:r w:rsidR="00624713" w:rsidRPr="00105ABA">
              <w:rPr>
                <w:iCs/>
                <w:shd w:val="clear" w:color="auto" w:fill="FFFFFF"/>
              </w:rPr>
              <w:t xml:space="preserve">Eiropas zāļu regulatīvā tīkla aģentūru vadītāju </w:t>
            </w:r>
            <w:r w:rsidR="00624713" w:rsidRPr="00105ABA">
              <w:t>aktualizētajā jautājumu un atbilžu dokumentā par zāļu reglamentējuma jautājumiem COVID - 19 pandēmijas laikā minēto:</w:t>
            </w:r>
          </w:p>
          <w:p w14:paraId="6111263A" w14:textId="115D9C3B" w:rsidR="007200F0" w:rsidRPr="00105ABA" w:rsidRDefault="009E305A" w:rsidP="00DE20C5">
            <w:pPr>
              <w:jc w:val="both"/>
              <w:rPr>
                <w:b/>
                <w:bCs/>
                <w:i/>
                <w:iCs/>
              </w:rPr>
            </w:pPr>
            <w:r w:rsidRPr="00105ABA">
              <w:rPr>
                <w:b/>
                <w:bCs/>
                <w:i/>
                <w:iCs/>
              </w:rPr>
              <w:t>1. </w:t>
            </w:r>
            <w:r w:rsidR="00F9640F" w:rsidRPr="00105ABA">
              <w:rPr>
                <w:b/>
                <w:bCs/>
                <w:i/>
                <w:iCs/>
              </w:rPr>
              <w:t>Jāatļauj</w:t>
            </w:r>
            <w:r w:rsidR="007200F0" w:rsidRPr="00105ABA">
              <w:rPr>
                <w:b/>
                <w:bCs/>
                <w:i/>
                <w:iCs/>
              </w:rPr>
              <w:t xml:space="preserve"> līdz 2021.</w:t>
            </w:r>
            <w:r w:rsidR="008F7F7E" w:rsidRPr="00105ABA">
              <w:rPr>
                <w:b/>
                <w:bCs/>
                <w:i/>
                <w:iCs/>
              </w:rPr>
              <w:t> </w:t>
            </w:r>
            <w:r w:rsidR="007200F0" w:rsidRPr="00105ABA">
              <w:rPr>
                <w:b/>
                <w:bCs/>
                <w:i/>
                <w:iCs/>
              </w:rPr>
              <w:t>gada 31.</w:t>
            </w:r>
            <w:r w:rsidR="008F7F7E" w:rsidRPr="00105ABA">
              <w:rPr>
                <w:b/>
                <w:bCs/>
                <w:i/>
                <w:iCs/>
              </w:rPr>
              <w:t> </w:t>
            </w:r>
            <w:r w:rsidR="007200F0" w:rsidRPr="00105ABA">
              <w:rPr>
                <w:b/>
                <w:bCs/>
                <w:i/>
                <w:iCs/>
              </w:rPr>
              <w:t>decembrim</w:t>
            </w:r>
            <w:r w:rsidRPr="00105ABA">
              <w:rPr>
                <w:b/>
                <w:bCs/>
                <w:i/>
                <w:iCs/>
              </w:rPr>
              <w:t xml:space="preserve"> </w:t>
            </w:r>
            <w:r w:rsidR="007200F0" w:rsidRPr="00105ABA">
              <w:rPr>
                <w:b/>
                <w:bCs/>
                <w:i/>
                <w:iCs/>
              </w:rPr>
              <w:t xml:space="preserve">attālinātās zāļu </w:t>
            </w:r>
            <w:r w:rsidR="000C5FED" w:rsidRPr="00105ABA">
              <w:rPr>
                <w:b/>
                <w:bCs/>
                <w:i/>
                <w:iCs/>
              </w:rPr>
              <w:t>vairumtirgotāju</w:t>
            </w:r>
            <w:r w:rsidR="00047996" w:rsidRPr="00105ABA">
              <w:rPr>
                <w:b/>
                <w:bCs/>
                <w:i/>
                <w:iCs/>
              </w:rPr>
              <w:t xml:space="preserve"> </w:t>
            </w:r>
            <w:r w:rsidR="000C5FED" w:rsidRPr="00105ABA">
              <w:rPr>
                <w:b/>
                <w:bCs/>
                <w:i/>
                <w:iCs/>
              </w:rPr>
              <w:t>labas</w:t>
            </w:r>
            <w:r w:rsidR="007200F0" w:rsidRPr="00105ABA">
              <w:rPr>
                <w:b/>
                <w:bCs/>
                <w:i/>
                <w:iCs/>
              </w:rPr>
              <w:t xml:space="preserve"> </w:t>
            </w:r>
            <w:r w:rsidR="000C5FED" w:rsidRPr="00105ABA">
              <w:rPr>
                <w:b/>
                <w:bCs/>
                <w:i/>
                <w:iCs/>
              </w:rPr>
              <w:t>izplatīšanas</w:t>
            </w:r>
            <w:r w:rsidR="00EF4237" w:rsidRPr="00105ABA">
              <w:rPr>
                <w:b/>
                <w:bCs/>
                <w:i/>
                <w:iCs/>
              </w:rPr>
              <w:t xml:space="preserve"> prakses </w:t>
            </w:r>
            <w:r w:rsidR="007A02CE" w:rsidRPr="00105ABA">
              <w:rPr>
                <w:b/>
                <w:bCs/>
                <w:i/>
                <w:iCs/>
              </w:rPr>
              <w:t xml:space="preserve">atbilstības novērtēšanas </w:t>
            </w:r>
            <w:r w:rsidR="007200F0" w:rsidRPr="00105ABA">
              <w:rPr>
                <w:b/>
                <w:bCs/>
                <w:i/>
                <w:iCs/>
              </w:rPr>
              <w:t>pārbaudes</w:t>
            </w:r>
            <w:r w:rsidR="003D0C65" w:rsidRPr="00105ABA">
              <w:rPr>
                <w:b/>
                <w:bCs/>
                <w:i/>
                <w:iCs/>
              </w:rPr>
              <w:t xml:space="preserve"> pēc licences saņemšanas,</w:t>
            </w:r>
            <w:r w:rsidR="00B12D12" w:rsidRPr="00105ABA">
              <w:rPr>
                <w:b/>
                <w:bCs/>
                <w:i/>
                <w:iCs/>
              </w:rPr>
              <w:t xml:space="preserve"> </w:t>
            </w:r>
            <w:r w:rsidR="003D0C65" w:rsidRPr="00105ABA">
              <w:rPr>
                <w:b/>
                <w:bCs/>
                <w:i/>
                <w:iCs/>
              </w:rPr>
              <w:t>ievēro</w:t>
            </w:r>
            <w:r w:rsidR="00F9640F" w:rsidRPr="00105ABA">
              <w:rPr>
                <w:b/>
                <w:bCs/>
                <w:i/>
                <w:iCs/>
              </w:rPr>
              <w:t>jot</w:t>
            </w:r>
            <w:r w:rsidR="003D0C65" w:rsidRPr="00105ABA">
              <w:rPr>
                <w:b/>
                <w:bCs/>
                <w:i/>
                <w:iCs/>
              </w:rPr>
              <w:t xml:space="preserve"> MK noteikumos 416 noteikto </w:t>
            </w:r>
            <w:r w:rsidR="00F9640F" w:rsidRPr="00105ABA">
              <w:rPr>
                <w:b/>
                <w:bCs/>
                <w:i/>
                <w:iCs/>
              </w:rPr>
              <w:t>zāļu vairumtirgotāju</w:t>
            </w:r>
            <w:r w:rsidR="003D0C65" w:rsidRPr="00105ABA">
              <w:rPr>
                <w:b/>
                <w:bCs/>
                <w:i/>
                <w:iCs/>
              </w:rPr>
              <w:t xml:space="preserve"> pārbaudes regularitāti</w:t>
            </w:r>
            <w:r w:rsidR="00624713" w:rsidRPr="00105ABA">
              <w:rPr>
                <w:b/>
                <w:bCs/>
                <w:i/>
                <w:iCs/>
              </w:rPr>
              <w:t>. J</w:t>
            </w:r>
            <w:r w:rsidR="00F9640F" w:rsidRPr="00105ABA">
              <w:rPr>
                <w:b/>
                <w:bCs/>
                <w:i/>
                <w:iCs/>
              </w:rPr>
              <w:t>ādod iespēja</w:t>
            </w:r>
            <w:r w:rsidR="00EF4237" w:rsidRPr="00105ABA">
              <w:rPr>
                <w:b/>
                <w:bCs/>
                <w:i/>
                <w:iCs/>
              </w:rPr>
              <w:t xml:space="preserve"> </w:t>
            </w:r>
            <w:r w:rsidR="00624713" w:rsidRPr="00105ABA">
              <w:rPr>
                <w:b/>
                <w:bCs/>
                <w:i/>
                <w:iCs/>
              </w:rPr>
              <w:t xml:space="preserve">arī </w:t>
            </w:r>
            <w:r w:rsidR="00EF4237" w:rsidRPr="00105ABA">
              <w:rPr>
                <w:b/>
                <w:bCs/>
                <w:i/>
                <w:iCs/>
              </w:rPr>
              <w:t xml:space="preserve">atlikt </w:t>
            </w:r>
            <w:r w:rsidR="00DE20C5" w:rsidRPr="00105ABA">
              <w:rPr>
                <w:b/>
                <w:bCs/>
                <w:i/>
                <w:iCs/>
              </w:rPr>
              <w:t xml:space="preserve">šīs </w:t>
            </w:r>
            <w:r w:rsidR="00EF4237" w:rsidRPr="00105ABA">
              <w:rPr>
                <w:b/>
                <w:bCs/>
                <w:i/>
                <w:iCs/>
              </w:rPr>
              <w:t xml:space="preserve">pārbaudes </w:t>
            </w:r>
            <w:r w:rsidR="007A02CE" w:rsidRPr="00105ABA">
              <w:rPr>
                <w:b/>
                <w:bCs/>
                <w:i/>
                <w:iCs/>
              </w:rPr>
              <w:t>un</w:t>
            </w:r>
            <w:r w:rsidR="00E159B7" w:rsidRPr="00105ABA">
              <w:rPr>
                <w:b/>
                <w:bCs/>
                <w:i/>
                <w:iCs/>
              </w:rPr>
              <w:t xml:space="preserve"> </w:t>
            </w:r>
            <w:r w:rsidR="003B338A" w:rsidRPr="00105ABA">
              <w:rPr>
                <w:b/>
                <w:bCs/>
                <w:i/>
                <w:iCs/>
              </w:rPr>
              <w:t xml:space="preserve">pagarināt </w:t>
            </w:r>
            <w:r w:rsidR="00B12D12" w:rsidRPr="00105ABA">
              <w:rPr>
                <w:b/>
                <w:bCs/>
                <w:i/>
                <w:iCs/>
              </w:rPr>
              <w:t xml:space="preserve">esošo </w:t>
            </w:r>
            <w:r w:rsidR="00F9640F" w:rsidRPr="00105ABA">
              <w:rPr>
                <w:b/>
                <w:bCs/>
                <w:i/>
                <w:iCs/>
              </w:rPr>
              <w:t xml:space="preserve">labas izplatīšanas prakses </w:t>
            </w:r>
            <w:r w:rsidR="007200F0" w:rsidRPr="00105ABA">
              <w:rPr>
                <w:b/>
                <w:bCs/>
                <w:i/>
                <w:iCs/>
              </w:rPr>
              <w:t>sertifikātu derīgum</w:t>
            </w:r>
            <w:r w:rsidR="00151501" w:rsidRPr="00105ABA">
              <w:rPr>
                <w:b/>
                <w:bCs/>
                <w:i/>
                <w:iCs/>
              </w:rPr>
              <w:t>u</w:t>
            </w:r>
            <w:r w:rsidR="007200F0" w:rsidRPr="00105ABA">
              <w:rPr>
                <w:b/>
                <w:bCs/>
                <w:i/>
                <w:iCs/>
              </w:rPr>
              <w:t>, lai novērstu traucējumus zāļu pieejamībai.</w:t>
            </w:r>
          </w:p>
          <w:p w14:paraId="25B237A3" w14:textId="709C0158" w:rsidR="00900B03" w:rsidRPr="00105ABA" w:rsidRDefault="003914C4" w:rsidP="00B10021">
            <w:pPr>
              <w:jc w:val="both"/>
            </w:pPr>
            <w:r w:rsidRPr="00105ABA">
              <w:t>Pašreizējais regulējums Ministru kabineta 200</w:t>
            </w:r>
            <w:r w:rsidR="000C5FED" w:rsidRPr="00105ABA">
              <w:t>7</w:t>
            </w:r>
            <w:r w:rsidRPr="00105ABA">
              <w:t xml:space="preserve">. gada </w:t>
            </w:r>
            <w:r w:rsidR="000C5FED" w:rsidRPr="00105ABA">
              <w:t>26</w:t>
            </w:r>
            <w:r w:rsidRPr="00105ABA">
              <w:t>. </w:t>
            </w:r>
            <w:r w:rsidR="000C5FED" w:rsidRPr="00105ABA">
              <w:t>jūnija</w:t>
            </w:r>
            <w:r w:rsidRPr="00105ABA">
              <w:t xml:space="preserve"> noteikumos Nr. </w:t>
            </w:r>
            <w:r w:rsidR="000C5FED" w:rsidRPr="00105ABA">
              <w:t>416</w:t>
            </w:r>
            <w:r w:rsidRPr="00105ABA">
              <w:t xml:space="preserve"> </w:t>
            </w:r>
            <w:r w:rsidR="007C6CD4" w:rsidRPr="00105ABA">
              <w:t>"</w:t>
            </w:r>
            <w:r w:rsidR="000C5FED" w:rsidRPr="00105ABA">
              <w:t>Z</w:t>
            </w:r>
            <w:r w:rsidRPr="00105ABA">
              <w:t xml:space="preserve">āļu </w:t>
            </w:r>
            <w:r w:rsidR="000C5FED" w:rsidRPr="00105ABA">
              <w:t>izplatīšanas un kvalitātes kontroles</w:t>
            </w:r>
            <w:r w:rsidRPr="00105ABA">
              <w:t xml:space="preserve"> kārtīb</w:t>
            </w:r>
            <w:r w:rsidR="000C5FED" w:rsidRPr="00105ABA">
              <w:t>a</w:t>
            </w:r>
            <w:r w:rsidR="007C6CD4" w:rsidRPr="00105ABA">
              <w:t>"</w:t>
            </w:r>
            <w:r w:rsidRPr="00105ABA">
              <w:t xml:space="preserve"> (turpmāk </w:t>
            </w:r>
            <w:r w:rsidR="00263DF5" w:rsidRPr="00105ABA">
              <w:t>-</w:t>
            </w:r>
            <w:r w:rsidRPr="00105ABA">
              <w:t xml:space="preserve"> MK noteikumi </w:t>
            </w:r>
            <w:r w:rsidR="000C5FED" w:rsidRPr="00105ABA">
              <w:t>416</w:t>
            </w:r>
            <w:r w:rsidRPr="00105ABA">
              <w:t xml:space="preserve">) </w:t>
            </w:r>
            <w:r w:rsidR="000C5FED" w:rsidRPr="00105ABA">
              <w:t>XIII</w:t>
            </w:r>
            <w:r w:rsidR="005566C6" w:rsidRPr="00105ABA">
              <w:t>.</w:t>
            </w:r>
            <w:r w:rsidR="00D16E7D" w:rsidRPr="00105ABA">
              <w:t> </w:t>
            </w:r>
            <w:r w:rsidR="005566C6" w:rsidRPr="00105ABA">
              <w:t xml:space="preserve">nodaļā </w:t>
            </w:r>
            <w:r w:rsidRPr="00105ABA">
              <w:t xml:space="preserve">nenosaka labas </w:t>
            </w:r>
            <w:r w:rsidR="000C5FED" w:rsidRPr="00105ABA">
              <w:t>izplatīšanas</w:t>
            </w:r>
            <w:r w:rsidRPr="00105ABA">
              <w:t xml:space="preserve"> prakse pārbaužu </w:t>
            </w:r>
            <w:r w:rsidR="00B12D12" w:rsidRPr="00105ABA">
              <w:t xml:space="preserve">atlikšanu vai pārbaužu </w:t>
            </w:r>
            <w:r w:rsidRPr="00105ABA">
              <w:t>veikšanu</w:t>
            </w:r>
            <w:r w:rsidR="00B12D12" w:rsidRPr="00105ABA">
              <w:t xml:space="preserve"> attālināti. </w:t>
            </w:r>
            <w:r w:rsidR="009E658C" w:rsidRPr="00105ABA">
              <w:t>Ministru kabineta noteikum</w:t>
            </w:r>
            <w:r w:rsidR="00B12D12" w:rsidRPr="00105ABA">
              <w:t>u</w:t>
            </w:r>
            <w:r w:rsidR="009E658C" w:rsidRPr="00105ABA">
              <w:t xml:space="preserve"> Nr. </w:t>
            </w:r>
            <w:r w:rsidR="000C5FED" w:rsidRPr="00105ABA">
              <w:t>416</w:t>
            </w:r>
            <w:r w:rsidR="009E658C" w:rsidRPr="00105ABA">
              <w:t xml:space="preserve"> </w:t>
            </w:r>
            <w:r w:rsidR="000C5FED" w:rsidRPr="00105ABA">
              <w:t>146</w:t>
            </w:r>
            <w:r w:rsidR="00B10021" w:rsidRPr="00105ABA">
              <w:t>.</w:t>
            </w:r>
            <w:r w:rsidR="000C5FED" w:rsidRPr="00105ABA">
              <w:t>7</w:t>
            </w:r>
            <w:r w:rsidR="00B10021" w:rsidRPr="00105ABA">
              <w:t>.</w:t>
            </w:r>
            <w:r w:rsidR="0048365C" w:rsidRPr="00105ABA">
              <w:t> </w:t>
            </w:r>
            <w:r w:rsidR="00B10021" w:rsidRPr="00105ABA">
              <w:t>apakšpunkt</w:t>
            </w:r>
            <w:r w:rsidRPr="00105ABA">
              <w:t>a norma</w:t>
            </w:r>
            <w:r w:rsidR="00B10021" w:rsidRPr="00105ABA">
              <w:t xml:space="preserve"> </w:t>
            </w:r>
            <w:r w:rsidRPr="00105ABA">
              <w:t xml:space="preserve">nosaka </w:t>
            </w:r>
            <w:r w:rsidR="00B10021" w:rsidRPr="00105ABA">
              <w:t>Zāļu valsts aģentūra</w:t>
            </w:r>
            <w:r w:rsidR="00B12D12" w:rsidRPr="00105ABA">
              <w:t>i pienākumu</w:t>
            </w:r>
            <w:r w:rsidR="00B10021" w:rsidRPr="00105ABA">
              <w:t xml:space="preserve"> </w:t>
            </w:r>
            <w:r w:rsidR="005566C6" w:rsidRPr="00105ABA">
              <w:rPr>
                <w:shd w:val="clear" w:color="auto" w:fill="FFFFFF"/>
              </w:rPr>
              <w:t xml:space="preserve">labas </w:t>
            </w:r>
            <w:r w:rsidR="000C5FED" w:rsidRPr="00105ABA">
              <w:rPr>
                <w:shd w:val="clear" w:color="auto" w:fill="FFFFFF"/>
              </w:rPr>
              <w:t>izplatīšanas</w:t>
            </w:r>
            <w:r w:rsidR="005566C6" w:rsidRPr="00105ABA">
              <w:rPr>
                <w:shd w:val="clear" w:color="auto" w:fill="FFFFFF"/>
              </w:rPr>
              <w:t xml:space="preserve"> prakses</w:t>
            </w:r>
            <w:r w:rsidR="00EF4237" w:rsidRPr="00105ABA">
              <w:rPr>
                <w:shd w:val="clear" w:color="auto" w:fill="FFFFFF"/>
              </w:rPr>
              <w:t xml:space="preserve"> </w:t>
            </w:r>
            <w:r w:rsidR="00B10021" w:rsidRPr="00105ABA">
              <w:rPr>
                <w:shd w:val="clear" w:color="auto" w:fill="FFFFFF"/>
              </w:rPr>
              <w:t>pārbaudes</w:t>
            </w:r>
            <w:r w:rsidR="00EF4237" w:rsidRPr="00105ABA">
              <w:rPr>
                <w:shd w:val="clear" w:color="auto" w:fill="FFFFFF"/>
              </w:rPr>
              <w:t xml:space="preserve"> </w:t>
            </w:r>
            <w:r w:rsidR="00B12D12" w:rsidRPr="00105ABA">
              <w:rPr>
                <w:shd w:val="clear" w:color="auto" w:fill="FFFFFF"/>
              </w:rPr>
              <w:t xml:space="preserve">veikt </w:t>
            </w:r>
            <w:r w:rsidR="00B10021" w:rsidRPr="00105ABA">
              <w:rPr>
                <w:shd w:val="clear" w:color="auto" w:fill="FFFFFF"/>
              </w:rPr>
              <w:t xml:space="preserve">ne retāk kā reizi </w:t>
            </w:r>
            <w:r w:rsidR="000C5FED" w:rsidRPr="00105ABA">
              <w:rPr>
                <w:shd w:val="clear" w:color="auto" w:fill="FFFFFF"/>
              </w:rPr>
              <w:t>piecos</w:t>
            </w:r>
            <w:r w:rsidR="00B10021" w:rsidRPr="00105ABA">
              <w:rPr>
                <w:shd w:val="clear" w:color="auto" w:fill="FFFFFF"/>
              </w:rPr>
              <w:t xml:space="preserve"> gados</w:t>
            </w:r>
            <w:r w:rsidR="000C5FED" w:rsidRPr="00105ABA">
              <w:rPr>
                <w:shd w:val="clear" w:color="auto" w:fill="FFFFFF"/>
              </w:rPr>
              <w:t>.</w:t>
            </w:r>
          </w:p>
          <w:p w14:paraId="19052BCA" w14:textId="05C6A5BA" w:rsidR="000C5FED" w:rsidRPr="00105ABA" w:rsidRDefault="00F9640F" w:rsidP="00B10021">
            <w:pPr>
              <w:jc w:val="both"/>
            </w:pPr>
            <w:r w:rsidRPr="00105ABA">
              <w:rPr>
                <w:iCs/>
                <w:shd w:val="clear" w:color="auto" w:fill="FFFFFF"/>
              </w:rPr>
              <w:t xml:space="preserve">Savukārt </w:t>
            </w:r>
            <w:r w:rsidR="000C5FED" w:rsidRPr="00105ABA">
              <w:rPr>
                <w:iCs/>
                <w:shd w:val="clear" w:color="auto" w:fill="FFFFFF"/>
              </w:rPr>
              <w:t>EK</w:t>
            </w:r>
            <w:r w:rsidR="000C5FED" w:rsidRPr="00105ABA">
              <w:t xml:space="preserve">, Eiropas Zāļu aģentūras un </w:t>
            </w:r>
            <w:r w:rsidR="000C5FED" w:rsidRPr="00105ABA">
              <w:rPr>
                <w:iCs/>
                <w:shd w:val="clear" w:color="auto" w:fill="FFFFFF"/>
              </w:rPr>
              <w:t xml:space="preserve">Eiropas zāļu regulatīvā tīkla </w:t>
            </w:r>
            <w:r w:rsidRPr="00105ABA">
              <w:t>vadītāju izstrādātajā un aktualizētajā</w:t>
            </w:r>
            <w:r w:rsidR="000C5FED" w:rsidRPr="00105ABA">
              <w:t xml:space="preserve"> jautājumu un atbilžu dokumentā par zāļu reglamentējuma jautājumiem COVID - 19 pandēmijas laikā ir uzsvērts, ka </w:t>
            </w:r>
            <w:r w:rsidR="00FF6844" w:rsidRPr="00105ABA">
              <w:t xml:space="preserve">labas izplatīšanas prakses </w:t>
            </w:r>
            <w:r w:rsidR="0048365C" w:rsidRPr="00105ABA">
              <w:t>sertifikāta derīgumu</w:t>
            </w:r>
            <w:r w:rsidR="000C5FED" w:rsidRPr="00105ABA">
              <w:t xml:space="preserve"> vajadzētu pagarināt</w:t>
            </w:r>
            <w:r w:rsidR="0048365C" w:rsidRPr="00105ABA">
              <w:t xml:space="preserve"> līdz 2021. gada </w:t>
            </w:r>
            <w:r w:rsidR="000C5FED" w:rsidRPr="00105ABA">
              <w:t>beigām</w:t>
            </w:r>
            <w:r w:rsidR="0048365C" w:rsidRPr="00105ABA">
              <w:t>, neprasot no attiecīgā sertifikāta turētāja puses nekādas darbības, j</w:t>
            </w:r>
            <w:r w:rsidR="00FF6844" w:rsidRPr="00105ABA">
              <w:t>a</w:t>
            </w:r>
            <w:r w:rsidR="0048365C" w:rsidRPr="00105ABA">
              <w:t xml:space="preserve"> </w:t>
            </w:r>
            <w:r w:rsidR="00FF6844" w:rsidRPr="00105ABA">
              <w:t xml:space="preserve">labas izplatīšanas prakses </w:t>
            </w:r>
            <w:r w:rsidR="0048365C" w:rsidRPr="00105ABA">
              <w:t>kontrole uz vietas ir apgrūtināta valstu noteikto ierobežojumu dēļ</w:t>
            </w:r>
            <w:r w:rsidR="000C5FED" w:rsidRPr="00105ABA">
              <w:t>.</w:t>
            </w:r>
          </w:p>
          <w:p w14:paraId="7BB97B5F" w14:textId="30A930C3" w:rsidR="00B10021" w:rsidRPr="00105ABA" w:rsidRDefault="0048365C" w:rsidP="00242151">
            <w:pPr>
              <w:jc w:val="both"/>
            </w:pPr>
            <w:r w:rsidRPr="00105ABA">
              <w:t>Tāpēc</w:t>
            </w:r>
            <w:r w:rsidR="00B10021" w:rsidRPr="00105ABA">
              <w:t xml:space="preserve"> </w:t>
            </w:r>
            <w:r w:rsidR="00EF4237" w:rsidRPr="00105ABA">
              <w:t>N</w:t>
            </w:r>
            <w:r w:rsidR="00B10021" w:rsidRPr="00105ABA">
              <w:t>oteikumu projekt</w:t>
            </w:r>
            <w:r w:rsidR="005F6693" w:rsidRPr="00105ABA">
              <w:t>ā ir ietvertas pārejas noteikumu normas (Noteikumu projekta</w:t>
            </w:r>
            <w:r w:rsidR="00002B4B" w:rsidRPr="00105ABA">
              <w:t xml:space="preserve"> </w:t>
            </w:r>
            <w:r w:rsidR="000B2F27" w:rsidRPr="00105ABA">
              <w:t>6</w:t>
            </w:r>
            <w:r w:rsidR="00002B4B" w:rsidRPr="00105ABA">
              <w:t>.</w:t>
            </w:r>
            <w:r w:rsidR="00740CC8" w:rsidRPr="00105ABA">
              <w:t> </w:t>
            </w:r>
            <w:r w:rsidR="00002B4B" w:rsidRPr="00105ABA">
              <w:t>punkts</w:t>
            </w:r>
            <w:r w:rsidR="00740CC8" w:rsidRPr="00105ABA">
              <w:t> </w:t>
            </w:r>
            <w:r w:rsidR="008A3419" w:rsidRPr="00105ABA">
              <w:t>-</w:t>
            </w:r>
            <w:r w:rsidR="00740CC8" w:rsidRPr="00105ABA">
              <w:t> </w:t>
            </w:r>
            <w:r w:rsidR="00FF6844" w:rsidRPr="00105ABA">
              <w:rPr>
                <w:bCs/>
              </w:rPr>
              <w:t>171</w:t>
            </w:r>
            <w:r w:rsidR="00FF6844" w:rsidRPr="00105ABA">
              <w:rPr>
                <w:bCs/>
                <w:vertAlign w:val="superscript"/>
              </w:rPr>
              <w:t>21</w:t>
            </w:r>
            <w:r w:rsidR="00002B4B" w:rsidRPr="00105ABA">
              <w:rPr>
                <w:bCs/>
              </w:rPr>
              <w:t> </w:t>
            </w:r>
            <w:r w:rsidR="002D4FD0" w:rsidRPr="00105ABA">
              <w:rPr>
                <w:bCs/>
              </w:rPr>
              <w:t>, 171.</w:t>
            </w:r>
            <w:r w:rsidR="002D4FD0" w:rsidRPr="00105ABA">
              <w:rPr>
                <w:bCs/>
                <w:vertAlign w:val="superscript"/>
              </w:rPr>
              <w:t xml:space="preserve">23 </w:t>
            </w:r>
            <w:r w:rsidR="00FF6844" w:rsidRPr="00105ABA">
              <w:rPr>
                <w:bCs/>
              </w:rPr>
              <w:t>un 171.</w:t>
            </w:r>
            <w:r w:rsidR="00FF6844" w:rsidRPr="00105ABA">
              <w:rPr>
                <w:bCs/>
                <w:vertAlign w:val="superscript"/>
              </w:rPr>
              <w:t>2</w:t>
            </w:r>
            <w:r w:rsidR="002D4FD0" w:rsidRPr="00105ABA">
              <w:rPr>
                <w:bCs/>
                <w:vertAlign w:val="superscript"/>
              </w:rPr>
              <w:t>4</w:t>
            </w:r>
            <w:r w:rsidR="00FF6844" w:rsidRPr="00105ABA">
              <w:rPr>
                <w:bCs/>
                <w:vertAlign w:val="superscript"/>
              </w:rPr>
              <w:t> </w:t>
            </w:r>
            <w:r w:rsidR="00002B4B" w:rsidRPr="00105ABA">
              <w:rPr>
                <w:bCs/>
              </w:rPr>
              <w:t>punkt</w:t>
            </w:r>
            <w:r w:rsidR="00900B03" w:rsidRPr="00105ABA">
              <w:rPr>
                <w:bCs/>
              </w:rPr>
              <w:t>s</w:t>
            </w:r>
            <w:r w:rsidR="005F6693" w:rsidRPr="00105ABA">
              <w:t>)</w:t>
            </w:r>
            <w:r w:rsidR="005A7201" w:rsidRPr="00105ABA">
              <w:t xml:space="preserve"> </w:t>
            </w:r>
            <w:r w:rsidR="005F6693" w:rsidRPr="00105ABA">
              <w:t>par attālinātām pārbaudēm</w:t>
            </w:r>
            <w:r w:rsidR="000B2F27" w:rsidRPr="00105ABA">
              <w:t xml:space="preserve">, kas nozīmē, ka pārbaude var notikt attālināti vai daļēji </w:t>
            </w:r>
            <w:r w:rsidR="000E3936" w:rsidRPr="00105ABA">
              <w:t>attālināti</w:t>
            </w:r>
            <w:r w:rsidR="00FA5E48" w:rsidRPr="00105ABA">
              <w:t xml:space="preserve">, </w:t>
            </w:r>
            <w:r w:rsidR="005F6693" w:rsidRPr="00105ABA">
              <w:t xml:space="preserve">vai pārbaužu atlikšanu un </w:t>
            </w:r>
            <w:r w:rsidR="00B10021" w:rsidRPr="00105ABA">
              <w:t xml:space="preserve">zāļu </w:t>
            </w:r>
            <w:r w:rsidR="005A0732" w:rsidRPr="00105ABA">
              <w:t>vairumtirgotājam</w:t>
            </w:r>
            <w:r w:rsidR="005F6693" w:rsidRPr="00105ABA">
              <w:t xml:space="preserve"> </w:t>
            </w:r>
            <w:r w:rsidR="00B10021" w:rsidRPr="00105ABA">
              <w:t xml:space="preserve">izsniegtā labas </w:t>
            </w:r>
            <w:r w:rsidR="005A0732" w:rsidRPr="00105ABA">
              <w:t>izplatīšanas</w:t>
            </w:r>
            <w:r w:rsidR="00B10021" w:rsidRPr="00105ABA">
              <w:t xml:space="preserve"> prakses sertifikāta derīgum</w:t>
            </w:r>
            <w:r w:rsidR="005F6693" w:rsidRPr="00105ABA">
              <w:t xml:space="preserve">a </w:t>
            </w:r>
            <w:r w:rsidR="00D468E2" w:rsidRPr="00105ABA">
              <w:t>pagarināšanu</w:t>
            </w:r>
            <w:r w:rsidR="00B10021" w:rsidRPr="00105ABA">
              <w:t xml:space="preserve"> līdz 2021.</w:t>
            </w:r>
            <w:r w:rsidRPr="00105ABA">
              <w:t> </w:t>
            </w:r>
            <w:r w:rsidR="00B10021" w:rsidRPr="00105ABA">
              <w:t>gada 31.</w:t>
            </w:r>
            <w:r w:rsidR="00DE20C5" w:rsidRPr="00105ABA">
              <w:t> </w:t>
            </w:r>
            <w:r w:rsidR="00B10021" w:rsidRPr="00105ABA">
              <w:t>decembrim,</w:t>
            </w:r>
            <w:r w:rsidR="00B10021" w:rsidRPr="00105ABA">
              <w:rPr>
                <w:lang w:eastAsia="en-US"/>
              </w:rPr>
              <w:t xml:space="preserve"> ja sertifikāta derīgums ir beidzies pirms minētā datuma </w:t>
            </w:r>
            <w:r w:rsidR="00B10021" w:rsidRPr="00105ABA">
              <w:t xml:space="preserve">un nav notikušas vai nav paredzētas izmaiņas, kas norādāmas sertifikātā, </w:t>
            </w:r>
            <w:r w:rsidR="00EF4237" w:rsidRPr="00105ABA">
              <w:t>tai skaitā</w:t>
            </w:r>
            <w:r w:rsidR="00B10021" w:rsidRPr="00105ABA">
              <w:t xml:space="preserve"> </w:t>
            </w:r>
            <w:r w:rsidR="00D468E2" w:rsidRPr="00105ABA">
              <w:t xml:space="preserve">netiek </w:t>
            </w:r>
            <w:r w:rsidR="00B10021" w:rsidRPr="00105ABA">
              <w:t xml:space="preserve">mainītas telpas, aprīkojums, </w:t>
            </w:r>
            <w:r w:rsidR="00D468E2" w:rsidRPr="00105ABA">
              <w:t xml:space="preserve">nav </w:t>
            </w:r>
            <w:r w:rsidR="00B10021" w:rsidRPr="00105ABA">
              <w:t>paredzams uzsākt jaun</w:t>
            </w:r>
            <w:r w:rsidR="009C43A0" w:rsidRPr="00105ABA">
              <w:t>a</w:t>
            </w:r>
            <w:r w:rsidR="00B10021" w:rsidRPr="00105ABA">
              <w:t xml:space="preserve"> zāļu</w:t>
            </w:r>
            <w:r w:rsidR="009C43A0" w:rsidRPr="00105ABA">
              <w:t xml:space="preserve"> veida </w:t>
            </w:r>
            <w:r w:rsidR="00D468E2" w:rsidRPr="00105ABA">
              <w:t>izplatīšanu</w:t>
            </w:r>
            <w:r w:rsidR="00B10021" w:rsidRPr="00105ABA">
              <w:t xml:space="preserve"> utt., kā arī </w:t>
            </w:r>
            <w:r w:rsidR="00D468E2" w:rsidRPr="00105ABA">
              <w:t xml:space="preserve">ārpus EEZ valsts esošam vairumtirgotājam kompetentā uzraudzības iestāde nav īstenojusi </w:t>
            </w:r>
            <w:r w:rsidR="00B10021" w:rsidRPr="00105ABA">
              <w:t>kādas darbības, kas ietekmē sertifikāta derīgumu.</w:t>
            </w:r>
            <w:r w:rsidRPr="00105ABA">
              <w:t xml:space="preserve"> </w:t>
            </w:r>
            <w:r w:rsidR="00B10021" w:rsidRPr="00105ABA">
              <w:t xml:space="preserve">Ja </w:t>
            </w:r>
            <w:r w:rsidR="00EF4237" w:rsidRPr="00105ABA">
              <w:t>Zāļu valsts</w:t>
            </w:r>
            <w:r w:rsidR="00B10021" w:rsidRPr="00105ABA">
              <w:t xml:space="preserve"> aģentūra, pamatojoties uz riska novērtējumu, </w:t>
            </w:r>
            <w:r w:rsidR="009C43A0" w:rsidRPr="00105ABA">
              <w:t>ņolemj</w:t>
            </w:r>
            <w:r w:rsidR="00B10021" w:rsidRPr="00105ABA">
              <w:t xml:space="preserve"> veik</w:t>
            </w:r>
            <w:r w:rsidR="00EF4237" w:rsidRPr="00105ABA">
              <w:t xml:space="preserve">t MK </w:t>
            </w:r>
            <w:r w:rsidR="00B10021" w:rsidRPr="00105ABA">
              <w:t xml:space="preserve">noteikumu </w:t>
            </w:r>
            <w:r w:rsidR="005A0732" w:rsidRPr="00105ABA">
              <w:t>416</w:t>
            </w:r>
            <w:r w:rsidR="00B10021" w:rsidRPr="00105ABA">
              <w:t xml:space="preserve"> </w:t>
            </w:r>
            <w:r w:rsidR="005A0732" w:rsidRPr="00105ABA">
              <w:t>XIII</w:t>
            </w:r>
            <w:r w:rsidR="00EF4237" w:rsidRPr="00105ABA">
              <w:t>. </w:t>
            </w:r>
            <w:r w:rsidR="00B10021" w:rsidRPr="00105ABA">
              <w:t xml:space="preserve">nodaļā minētās pārbaudes, tad pēc to pabeigšanas </w:t>
            </w:r>
            <w:bookmarkStart w:id="0" w:name="_Hlk53399714"/>
            <w:r w:rsidR="00B10021" w:rsidRPr="00105ABA">
              <w:t xml:space="preserve">attiecīgā iestāde izdod labas </w:t>
            </w:r>
            <w:r w:rsidR="005A0732" w:rsidRPr="00105ABA">
              <w:t>izplatīšanas</w:t>
            </w:r>
            <w:r w:rsidR="00B10021" w:rsidRPr="00105ABA">
              <w:t xml:space="preserve"> prakses sertifikātu ar nosacījumiem, kas ir saskaņā ar pārbaudes norisi un rezultātiem</w:t>
            </w:r>
            <w:bookmarkEnd w:id="0"/>
            <w:r w:rsidR="00B10021" w:rsidRPr="00105ABA">
              <w:t xml:space="preserve">, </w:t>
            </w:r>
            <w:r w:rsidR="00EF4237" w:rsidRPr="00105ABA">
              <w:t>tai skaitā</w:t>
            </w:r>
            <w:r w:rsidR="00B10021" w:rsidRPr="00105ABA">
              <w:t xml:space="preserve"> norādot, ja pārbaude notikusi attālināti.</w:t>
            </w:r>
          </w:p>
          <w:p w14:paraId="615F0AAA" w14:textId="77777777" w:rsidR="00EF4237" w:rsidRPr="00105ABA" w:rsidRDefault="00EF4237" w:rsidP="00EF4237">
            <w:pPr>
              <w:pStyle w:val="NoSpacing"/>
              <w:jc w:val="both"/>
              <w:rPr>
                <w:rFonts w:ascii="Times New Roman" w:hAnsi="Times New Roman" w:cs="Times New Roman"/>
                <w:iCs/>
                <w:sz w:val="24"/>
                <w:szCs w:val="24"/>
                <w:shd w:val="clear" w:color="auto" w:fill="FFFFFF"/>
              </w:rPr>
            </w:pPr>
          </w:p>
          <w:p w14:paraId="008AAE22" w14:textId="61690911" w:rsidR="009E305A" w:rsidRPr="00105ABA" w:rsidRDefault="009E305A" w:rsidP="009E305A">
            <w:pPr>
              <w:jc w:val="both"/>
              <w:rPr>
                <w:b/>
                <w:bCs/>
                <w:i/>
                <w:iCs/>
              </w:rPr>
            </w:pPr>
            <w:r w:rsidRPr="00105ABA">
              <w:rPr>
                <w:b/>
                <w:bCs/>
                <w:i/>
                <w:iCs/>
              </w:rPr>
              <w:t>2. </w:t>
            </w:r>
            <w:r w:rsidR="00FF6844" w:rsidRPr="00105ABA">
              <w:rPr>
                <w:b/>
                <w:bCs/>
                <w:i/>
                <w:iCs/>
              </w:rPr>
              <w:t>Jāatļauj</w:t>
            </w:r>
            <w:r w:rsidRPr="00105ABA">
              <w:rPr>
                <w:b/>
                <w:bCs/>
                <w:i/>
                <w:iCs/>
              </w:rPr>
              <w:t xml:space="preserve"> līdz 2021. gada 31. decembrim </w:t>
            </w:r>
            <w:r w:rsidR="00624713" w:rsidRPr="00105ABA">
              <w:rPr>
                <w:b/>
                <w:bCs/>
                <w:i/>
                <w:iCs/>
              </w:rPr>
              <w:t xml:space="preserve">veikt </w:t>
            </w:r>
            <w:r w:rsidRPr="00105ABA">
              <w:rPr>
                <w:b/>
                <w:bCs/>
                <w:i/>
                <w:iCs/>
              </w:rPr>
              <w:t xml:space="preserve">attālinātas </w:t>
            </w:r>
            <w:r w:rsidR="00FF6844" w:rsidRPr="00105ABA">
              <w:rPr>
                <w:b/>
                <w:bCs/>
                <w:i/>
                <w:iCs/>
              </w:rPr>
              <w:t xml:space="preserve">zāļu lieltirgotavas </w:t>
            </w:r>
            <w:r w:rsidRPr="00105ABA">
              <w:rPr>
                <w:b/>
                <w:bCs/>
                <w:i/>
                <w:iCs/>
                <w:shd w:val="clear" w:color="auto" w:fill="FFFFFF"/>
              </w:rPr>
              <w:t>atbilstības novērtēšanas pārbaudes</w:t>
            </w:r>
            <w:r w:rsidRPr="00105ABA">
              <w:rPr>
                <w:b/>
                <w:bCs/>
                <w:i/>
                <w:iCs/>
              </w:rPr>
              <w:t xml:space="preserve"> pirms attiecīgās </w:t>
            </w:r>
            <w:r w:rsidRPr="00105ABA">
              <w:rPr>
                <w:b/>
                <w:bCs/>
                <w:i/>
                <w:iCs/>
                <w:shd w:val="clear" w:color="auto" w:fill="FFFFFF"/>
              </w:rPr>
              <w:t>speciālas atļaujas (licences) saņemšanas</w:t>
            </w:r>
            <w:r w:rsidRPr="00105ABA">
              <w:rPr>
                <w:b/>
                <w:bCs/>
                <w:i/>
                <w:iCs/>
              </w:rPr>
              <w:t xml:space="preserve"> vai saistībā ar </w:t>
            </w:r>
            <w:r w:rsidR="00FF6844" w:rsidRPr="00105ABA">
              <w:rPr>
                <w:b/>
                <w:bCs/>
                <w:i/>
                <w:iCs/>
              </w:rPr>
              <w:t xml:space="preserve">tās </w:t>
            </w:r>
            <w:r w:rsidRPr="00105ABA">
              <w:rPr>
                <w:b/>
                <w:bCs/>
                <w:i/>
                <w:iCs/>
              </w:rPr>
              <w:t>pārreģistrēšanu, kas noteikta normatīvajos aktos par farmaceitiskās darbības licencēšanu.</w:t>
            </w:r>
          </w:p>
          <w:p w14:paraId="5B29E89F" w14:textId="63BAC9B5" w:rsidR="00740CC8" w:rsidRPr="00105ABA" w:rsidRDefault="00900B03" w:rsidP="006E39CC">
            <w:pPr>
              <w:jc w:val="both"/>
            </w:pPr>
            <w:r w:rsidRPr="00105ABA">
              <w:t xml:space="preserve">Pašreizējais regulējums </w:t>
            </w:r>
            <w:r w:rsidR="00D0581A" w:rsidRPr="00105ABA">
              <w:t>MK</w:t>
            </w:r>
            <w:r w:rsidRPr="00105ABA">
              <w:t xml:space="preserve"> noteikumos</w:t>
            </w:r>
            <w:r w:rsidR="007D1378" w:rsidRPr="00105ABA">
              <w:t xml:space="preserve"> </w:t>
            </w:r>
            <w:r w:rsidR="000C5FED" w:rsidRPr="00105ABA">
              <w:t>416</w:t>
            </w:r>
            <w:r w:rsidRPr="00105ABA">
              <w:t xml:space="preserve"> </w:t>
            </w:r>
            <w:r w:rsidR="000C5FED" w:rsidRPr="00105ABA">
              <w:t>XI</w:t>
            </w:r>
            <w:r w:rsidRPr="00105ABA">
              <w:t>II.</w:t>
            </w:r>
            <w:r w:rsidR="00F811CB" w:rsidRPr="00105ABA">
              <w:t> </w:t>
            </w:r>
            <w:r w:rsidRPr="00105ABA">
              <w:t xml:space="preserve">nodaļā </w:t>
            </w:r>
            <w:r w:rsidR="0079068C" w:rsidRPr="00105ABA">
              <w:t xml:space="preserve">nenosaka telpu, iekārtu, personāla un dokumentu </w:t>
            </w:r>
            <w:r w:rsidR="007F0BC7" w:rsidRPr="00105ABA">
              <w:t xml:space="preserve">attālinātas </w:t>
            </w:r>
            <w:r w:rsidR="0079068C" w:rsidRPr="00105ABA">
              <w:t>pārbaudes</w:t>
            </w:r>
            <w:r w:rsidRPr="00105ABA">
              <w:t xml:space="preserve"> </w:t>
            </w:r>
            <w:r w:rsidR="0079068C" w:rsidRPr="00105ABA">
              <w:t xml:space="preserve">ar mērķi, </w:t>
            </w:r>
            <w:r w:rsidR="0079068C" w:rsidRPr="00105ABA">
              <w:lastRenderedPageBreak/>
              <w:t xml:space="preserve">piemēram, uzsākt </w:t>
            </w:r>
            <w:r w:rsidR="00FF6844" w:rsidRPr="00105ABA">
              <w:t xml:space="preserve">vairumtirdzniecību, piemēram, jaunā vietā. </w:t>
            </w:r>
            <w:r w:rsidR="0079068C" w:rsidRPr="00105ABA">
              <w:t xml:space="preserve">Tāpēc regulējumā ir </w:t>
            </w:r>
            <w:r w:rsidR="00A848C2" w:rsidRPr="00105ABA">
              <w:t xml:space="preserve">jānosaka </w:t>
            </w:r>
            <w:r w:rsidR="0079068C" w:rsidRPr="00105ABA">
              <w:t xml:space="preserve">pārejas noteikumos attālinātas atbilstības novērtēšanas pārbaudes speciālās atļaujas (licences) zāļu </w:t>
            </w:r>
            <w:r w:rsidR="00F34A00" w:rsidRPr="00105ABA">
              <w:t xml:space="preserve">lieltirgotavas atvēršanai (darbībai) </w:t>
            </w:r>
            <w:r w:rsidR="0079068C" w:rsidRPr="00105ABA">
              <w:t xml:space="preserve">saņemšanai, </w:t>
            </w:r>
            <w:r w:rsidR="006E39CC" w:rsidRPr="00105ABA">
              <w:t xml:space="preserve">un </w:t>
            </w:r>
            <w:r w:rsidR="00F34A00" w:rsidRPr="00105ABA">
              <w:t>speciālās atļaujas (</w:t>
            </w:r>
            <w:r w:rsidR="006E39CC" w:rsidRPr="00105ABA">
              <w:t>licences</w:t>
            </w:r>
            <w:r w:rsidR="00F34A00" w:rsidRPr="00105ABA">
              <w:t>)</w:t>
            </w:r>
            <w:r w:rsidR="0079068C" w:rsidRPr="00105ABA">
              <w:t xml:space="preserve"> pārreģistrācijai</w:t>
            </w:r>
            <w:r w:rsidR="00F34A00" w:rsidRPr="00105ABA">
              <w:t xml:space="preserve">, zāļu lieltirgotavai </w:t>
            </w:r>
            <w:r w:rsidR="0079068C" w:rsidRPr="00105ABA">
              <w:t xml:space="preserve">uzsākot </w:t>
            </w:r>
            <w:r w:rsidR="00F34A00" w:rsidRPr="00105ABA">
              <w:t>darbību</w:t>
            </w:r>
            <w:r w:rsidR="0079068C" w:rsidRPr="00105ABA">
              <w:t xml:space="preserve"> jaunā vietā vai uzsāk</w:t>
            </w:r>
            <w:r w:rsidR="00F34A00" w:rsidRPr="00105ABA">
              <w:t>ot</w:t>
            </w:r>
            <w:r w:rsidR="0079068C" w:rsidRPr="00105ABA">
              <w:t xml:space="preserve"> jaunu zāļu </w:t>
            </w:r>
            <w:r w:rsidR="00F34A00" w:rsidRPr="00105ABA">
              <w:t>izplatīšanu</w:t>
            </w:r>
            <w:r w:rsidR="0079068C" w:rsidRPr="00105ABA">
              <w:t xml:space="preserve"> vai jaunu speciālo darbību, </w:t>
            </w:r>
            <w:r w:rsidR="000B2F27" w:rsidRPr="00105ABA">
              <w:t xml:space="preserve">kas nozīmē, ka pārbaude var notikt attālināti vai daļēji </w:t>
            </w:r>
            <w:r w:rsidR="009C43A0" w:rsidRPr="00105ABA">
              <w:t>attālināti</w:t>
            </w:r>
            <w:r w:rsidR="000B2F27" w:rsidRPr="00105ABA">
              <w:t>. T</w:t>
            </w:r>
            <w:r w:rsidR="0079068C" w:rsidRPr="00105ABA">
              <w:t xml:space="preserve">ādējādi </w:t>
            </w:r>
            <w:r w:rsidR="000B2F27" w:rsidRPr="00105ABA">
              <w:t xml:space="preserve">tiek </w:t>
            </w:r>
            <w:r w:rsidR="0079068C" w:rsidRPr="00105ABA">
              <w:t>nodrošin</w:t>
            </w:r>
            <w:r w:rsidR="000B2F27" w:rsidRPr="00105ABA">
              <w:t>āta</w:t>
            </w:r>
            <w:r w:rsidR="0079068C" w:rsidRPr="00105ABA">
              <w:t xml:space="preserve"> </w:t>
            </w:r>
            <w:r w:rsidR="00F34A00" w:rsidRPr="00105ABA">
              <w:t xml:space="preserve">zāļu </w:t>
            </w:r>
            <w:r w:rsidRPr="00105ABA">
              <w:t xml:space="preserve">labu </w:t>
            </w:r>
            <w:r w:rsidR="00F34A00" w:rsidRPr="00105ABA">
              <w:t>izplatīšanas</w:t>
            </w:r>
            <w:r w:rsidRPr="00105ABA">
              <w:t xml:space="preserve"> </w:t>
            </w:r>
            <w:r w:rsidR="00F34A00" w:rsidRPr="00105ABA">
              <w:t xml:space="preserve">prakses </w:t>
            </w:r>
            <w:r w:rsidRPr="00105ABA">
              <w:t xml:space="preserve">sertifikātu un </w:t>
            </w:r>
            <w:r w:rsidR="00F34A00" w:rsidRPr="00105ABA">
              <w:t>attiecīgo</w:t>
            </w:r>
            <w:r w:rsidRPr="00105ABA">
              <w:t xml:space="preserve"> licenču pieejamību</w:t>
            </w:r>
            <w:r w:rsidR="000B2F27" w:rsidRPr="00105ABA">
              <w:t xml:space="preserve">, kas minēta </w:t>
            </w:r>
            <w:r w:rsidR="000B2F27" w:rsidRPr="00105ABA">
              <w:rPr>
                <w:iCs/>
                <w:shd w:val="clear" w:color="auto" w:fill="FFFFFF"/>
              </w:rPr>
              <w:t>EK</w:t>
            </w:r>
            <w:r w:rsidR="000B2F27" w:rsidRPr="00105ABA">
              <w:t>, Eiropas Zāļu aģentūra</w:t>
            </w:r>
            <w:r w:rsidR="009C43A0" w:rsidRPr="00105ABA">
              <w:t>s</w:t>
            </w:r>
            <w:r w:rsidR="000B2F27" w:rsidRPr="00105ABA">
              <w:t xml:space="preserve"> un </w:t>
            </w:r>
            <w:r w:rsidR="000B2F27" w:rsidRPr="00105ABA">
              <w:rPr>
                <w:iCs/>
                <w:shd w:val="clear" w:color="auto" w:fill="FFFFFF"/>
              </w:rPr>
              <w:t xml:space="preserve">Eiropas zāļu regulatīvā tīkla aģentūru vadītāju </w:t>
            </w:r>
            <w:r w:rsidR="000B2F27" w:rsidRPr="00105ABA">
              <w:t>aktualizētajā jautājumu un atbilžu dokumentā par zāļu reglamentējuma jautājumiem COVID - 19 pandēmijas laikā</w:t>
            </w:r>
            <w:r w:rsidRPr="00105ABA">
              <w:t xml:space="preserve"> </w:t>
            </w:r>
            <w:r w:rsidR="00740CC8" w:rsidRPr="00105ABA">
              <w:t xml:space="preserve">(Noteikumu projekta </w:t>
            </w:r>
            <w:r w:rsidR="000B2F27" w:rsidRPr="00105ABA">
              <w:t>6</w:t>
            </w:r>
            <w:r w:rsidR="00F811CB" w:rsidRPr="00105ABA">
              <w:t>. </w:t>
            </w:r>
            <w:r w:rsidRPr="00105ABA">
              <w:t xml:space="preserve">punkts </w:t>
            </w:r>
            <w:r w:rsidR="00F811CB" w:rsidRPr="00105ABA">
              <w:t xml:space="preserve">(MK noteikumu </w:t>
            </w:r>
            <w:r w:rsidR="00F34A00" w:rsidRPr="00105ABA">
              <w:t>416</w:t>
            </w:r>
            <w:r w:rsidR="00F811CB" w:rsidRPr="00105ABA">
              <w:t xml:space="preserve"> </w:t>
            </w:r>
            <w:r w:rsidR="001617F4" w:rsidRPr="00105ABA">
              <w:rPr>
                <w:bCs/>
              </w:rPr>
              <w:t>171.</w:t>
            </w:r>
            <w:r w:rsidR="00622323" w:rsidRPr="00105ABA">
              <w:rPr>
                <w:bCs/>
                <w:vertAlign w:val="superscript"/>
              </w:rPr>
              <w:t>24</w:t>
            </w:r>
            <w:r w:rsidR="00B17F11" w:rsidRPr="00105ABA">
              <w:rPr>
                <w:bCs/>
                <w:vertAlign w:val="superscript"/>
              </w:rPr>
              <w:t> </w:t>
            </w:r>
            <w:r w:rsidR="00FF6844" w:rsidRPr="00105ABA">
              <w:rPr>
                <w:bCs/>
              </w:rPr>
              <w:t>punkts)</w:t>
            </w:r>
            <w:r w:rsidR="00740CC8" w:rsidRPr="00105ABA">
              <w:rPr>
                <w:i/>
                <w:iCs/>
              </w:rPr>
              <w:t>.</w:t>
            </w:r>
          </w:p>
          <w:p w14:paraId="2CAC096D" w14:textId="69367611" w:rsidR="000B2F27" w:rsidRPr="00105ABA" w:rsidRDefault="000B2F27" w:rsidP="000B2F27">
            <w:pPr>
              <w:jc w:val="both"/>
            </w:pPr>
            <w:r w:rsidRPr="00105ABA">
              <w:t xml:space="preserve">Vienlaicīgi, lai MK noteikumus 416 padarītu skaidrākus, jākonkretizē, ka Zāļu valsts aģentūra: </w:t>
            </w:r>
          </w:p>
          <w:p w14:paraId="5EF2630D" w14:textId="21F7E352" w:rsidR="000B2F27" w:rsidRPr="00105ABA" w:rsidRDefault="000B2F27" w:rsidP="000B2F27">
            <w:pPr>
              <w:jc w:val="both"/>
            </w:pPr>
            <w:r w:rsidRPr="00105ABA">
              <w:t xml:space="preserve">a ) licencējamajiem farmaceitiskās darbības subjektiem veic atbilstības novērtēšanas pārbaudi pirms licences izsniegšanas (Noteikumu projekta </w:t>
            </w:r>
            <w:r w:rsidR="00BE76CE" w:rsidRPr="00105ABA">
              <w:t>3</w:t>
            </w:r>
            <w:r w:rsidRPr="00105ABA">
              <w:t>. punkts).</w:t>
            </w:r>
          </w:p>
          <w:p w14:paraId="13CEDC5E" w14:textId="490DA18D" w:rsidR="000B2F27" w:rsidRPr="00105ABA" w:rsidRDefault="000B2F27" w:rsidP="000B2F27">
            <w:pPr>
              <w:jc w:val="both"/>
            </w:pPr>
            <w:r w:rsidRPr="00105ABA">
              <w:t>b ) labas izplatīšanas prakses pārbaudes (inspekcijas) veic licencētajiem farmaceitiskās darbības subjektiem pēc licences izsniegšanas (Noteikumu projekta 4. punkts).</w:t>
            </w:r>
          </w:p>
          <w:p w14:paraId="34E94A81" w14:textId="77777777" w:rsidR="007F22A7" w:rsidRPr="00105ABA" w:rsidRDefault="007F22A7" w:rsidP="00EF4237">
            <w:pPr>
              <w:pStyle w:val="NoSpacing"/>
              <w:jc w:val="both"/>
              <w:rPr>
                <w:rFonts w:ascii="Times New Roman" w:hAnsi="Times New Roman" w:cs="Times New Roman"/>
                <w:iCs/>
                <w:sz w:val="24"/>
                <w:szCs w:val="24"/>
                <w:shd w:val="clear" w:color="auto" w:fill="FFFFFF"/>
              </w:rPr>
            </w:pPr>
          </w:p>
          <w:p w14:paraId="48E5CCAB" w14:textId="42CEA33A" w:rsidR="00847B63" w:rsidRPr="00105ABA" w:rsidRDefault="00D16E7D" w:rsidP="00D0581A">
            <w:pPr>
              <w:pStyle w:val="NoSpacing"/>
              <w:jc w:val="both"/>
              <w:rPr>
                <w:rFonts w:ascii="Times New Roman" w:hAnsi="Times New Roman" w:cs="Times New Roman"/>
                <w:sz w:val="24"/>
                <w:szCs w:val="24"/>
              </w:rPr>
            </w:pPr>
            <w:r w:rsidRPr="00105ABA">
              <w:rPr>
                <w:rFonts w:ascii="Times New Roman" w:hAnsi="Times New Roman" w:cs="Times New Roman"/>
                <w:sz w:val="24"/>
                <w:szCs w:val="24"/>
              </w:rPr>
              <w:t xml:space="preserve">Savukārt </w:t>
            </w:r>
            <w:r w:rsidR="009C43A0" w:rsidRPr="00105ABA">
              <w:rPr>
                <w:rFonts w:ascii="Times New Roman" w:hAnsi="Times New Roman" w:cs="Times New Roman"/>
                <w:sz w:val="24"/>
                <w:szCs w:val="24"/>
              </w:rPr>
              <w:t xml:space="preserve">atbilstības novērtēšanas </w:t>
            </w:r>
            <w:r w:rsidR="00FF6844" w:rsidRPr="00105ABA">
              <w:rPr>
                <w:rFonts w:ascii="Times New Roman" w:hAnsi="Times New Roman" w:cs="Times New Roman"/>
                <w:sz w:val="24"/>
                <w:szCs w:val="24"/>
              </w:rPr>
              <w:t>un</w:t>
            </w:r>
            <w:r w:rsidR="005F7BE0" w:rsidRPr="00105ABA">
              <w:rPr>
                <w:rFonts w:ascii="Times New Roman" w:hAnsi="Times New Roman" w:cs="Times New Roman"/>
                <w:sz w:val="24"/>
                <w:szCs w:val="24"/>
              </w:rPr>
              <w:t xml:space="preserve"> kārtējās pārbaudes</w:t>
            </w:r>
            <w:r w:rsidR="00847B63" w:rsidRPr="00105ABA">
              <w:rPr>
                <w:rFonts w:ascii="Times New Roman" w:hAnsi="Times New Roman" w:cs="Times New Roman"/>
                <w:sz w:val="24"/>
                <w:szCs w:val="24"/>
              </w:rPr>
              <w:t xml:space="preserve"> uz vietas, k</w:t>
            </w:r>
            <w:r w:rsidRPr="00105ABA">
              <w:rPr>
                <w:rFonts w:ascii="Times New Roman" w:hAnsi="Times New Roman" w:cs="Times New Roman"/>
                <w:iCs/>
                <w:sz w:val="24"/>
                <w:szCs w:val="24"/>
                <w:shd w:val="clear" w:color="auto" w:fill="FFFFFF"/>
              </w:rPr>
              <w:t xml:space="preserve">ā norādīts </w:t>
            </w:r>
            <w:r w:rsidR="00FF6844" w:rsidRPr="00105ABA">
              <w:rPr>
                <w:rFonts w:ascii="Times New Roman" w:hAnsi="Times New Roman" w:cs="Times New Roman"/>
                <w:iCs/>
                <w:sz w:val="24"/>
                <w:szCs w:val="24"/>
                <w:shd w:val="clear" w:color="auto" w:fill="FFFFFF"/>
              </w:rPr>
              <w:t>EK</w:t>
            </w:r>
            <w:r w:rsidR="00FF6844" w:rsidRPr="00105ABA">
              <w:rPr>
                <w:rFonts w:ascii="Times New Roman" w:hAnsi="Times New Roman" w:cs="Times New Roman"/>
                <w:sz w:val="24"/>
                <w:szCs w:val="24"/>
              </w:rPr>
              <w:t xml:space="preserve">, Eiropas Zāļu aģentūras un </w:t>
            </w:r>
            <w:r w:rsidR="00FF6844" w:rsidRPr="00105ABA">
              <w:rPr>
                <w:rFonts w:ascii="Times New Roman" w:hAnsi="Times New Roman" w:cs="Times New Roman"/>
                <w:iCs/>
                <w:sz w:val="24"/>
                <w:szCs w:val="24"/>
                <w:shd w:val="clear" w:color="auto" w:fill="FFFFFF"/>
              </w:rPr>
              <w:t xml:space="preserve">Eiropas zāļu regulatīvā tīkla </w:t>
            </w:r>
            <w:r w:rsidR="00FF6844" w:rsidRPr="00105ABA">
              <w:rPr>
                <w:rFonts w:ascii="Times New Roman" w:hAnsi="Times New Roman" w:cs="Times New Roman"/>
                <w:sz w:val="24"/>
                <w:szCs w:val="24"/>
              </w:rPr>
              <w:t>vadītāju izstrādātajā un aktualizētajā jautājumu un atbilžu dokumentā par zāļu reglamentējuma jautājumiem COVID - 19 pandēmijas laikā</w:t>
            </w:r>
            <w:r w:rsidR="00AE506B" w:rsidRPr="00105ABA">
              <w:rPr>
                <w:rFonts w:ascii="Times New Roman" w:hAnsi="Times New Roman" w:cs="Times New Roman"/>
                <w:sz w:val="24"/>
                <w:szCs w:val="24"/>
              </w:rPr>
              <w:t>,</w:t>
            </w:r>
            <w:r w:rsidR="00FF6844" w:rsidRPr="00105ABA">
              <w:rPr>
                <w:rFonts w:ascii="Times New Roman" w:hAnsi="Times New Roman" w:cs="Times New Roman"/>
                <w:sz w:val="24"/>
                <w:szCs w:val="24"/>
              </w:rPr>
              <w:t xml:space="preserve"> </w:t>
            </w:r>
            <w:r w:rsidR="005F7BE0" w:rsidRPr="00105ABA">
              <w:rPr>
                <w:rFonts w:ascii="Times New Roman" w:hAnsi="Times New Roman" w:cs="Times New Roman"/>
                <w:sz w:val="24"/>
                <w:szCs w:val="24"/>
              </w:rPr>
              <w:t>atsāksies tiklīdz COVID</w:t>
            </w:r>
            <w:r w:rsidR="00AD0659" w:rsidRPr="00105ABA">
              <w:rPr>
                <w:rFonts w:ascii="Times New Roman" w:hAnsi="Times New Roman" w:cs="Times New Roman"/>
                <w:sz w:val="24"/>
                <w:szCs w:val="24"/>
              </w:rPr>
              <w:t> </w:t>
            </w:r>
            <w:r w:rsidR="005F7BE0" w:rsidRPr="00105ABA">
              <w:rPr>
                <w:rFonts w:ascii="Times New Roman" w:hAnsi="Times New Roman" w:cs="Times New Roman"/>
                <w:sz w:val="24"/>
                <w:szCs w:val="24"/>
              </w:rPr>
              <w:t>-</w:t>
            </w:r>
            <w:r w:rsidR="00AD0659" w:rsidRPr="00105ABA">
              <w:rPr>
                <w:rFonts w:ascii="Times New Roman" w:hAnsi="Times New Roman" w:cs="Times New Roman"/>
                <w:sz w:val="24"/>
                <w:szCs w:val="24"/>
              </w:rPr>
              <w:t> </w:t>
            </w:r>
            <w:r w:rsidR="005F7BE0" w:rsidRPr="00105ABA">
              <w:rPr>
                <w:rFonts w:ascii="Times New Roman" w:hAnsi="Times New Roman" w:cs="Times New Roman"/>
                <w:sz w:val="24"/>
                <w:szCs w:val="24"/>
              </w:rPr>
              <w:t>19 ierobežojumi tiek atcelti, saskaņā ar uz risku balstītu inspekciju plānošanu, ņemot vērā pēdējās pārbaudes datumu.</w:t>
            </w:r>
            <w:r w:rsidR="00650EFE" w:rsidRPr="00105ABA">
              <w:rPr>
                <w:rFonts w:ascii="Times New Roman" w:hAnsi="Times New Roman" w:cs="Times New Roman"/>
                <w:sz w:val="24"/>
                <w:szCs w:val="24"/>
              </w:rPr>
              <w:t xml:space="preserve"> </w:t>
            </w:r>
            <w:r w:rsidR="00E96D25" w:rsidRPr="00105ABA">
              <w:rPr>
                <w:rFonts w:ascii="Times New Roman" w:hAnsi="Times New Roman" w:cs="Times New Roman"/>
                <w:sz w:val="24"/>
                <w:szCs w:val="24"/>
              </w:rPr>
              <w:t>Vairumtirgotāju</w:t>
            </w:r>
            <w:r w:rsidR="005F7BE0" w:rsidRPr="00105ABA">
              <w:rPr>
                <w:rFonts w:ascii="Times New Roman" w:hAnsi="Times New Roman" w:cs="Times New Roman"/>
                <w:sz w:val="24"/>
                <w:szCs w:val="24"/>
              </w:rPr>
              <w:t xml:space="preserve"> pienākums ievērot </w:t>
            </w:r>
            <w:r w:rsidR="00FF6844" w:rsidRPr="00105ABA">
              <w:rPr>
                <w:rFonts w:ascii="Times New Roman" w:hAnsi="Times New Roman" w:cs="Times New Roman"/>
                <w:sz w:val="24"/>
                <w:szCs w:val="24"/>
              </w:rPr>
              <w:t>labu izplatīšanas praksi</w:t>
            </w:r>
            <w:r w:rsidR="005F7BE0" w:rsidRPr="00105ABA">
              <w:rPr>
                <w:rFonts w:ascii="Times New Roman" w:hAnsi="Times New Roman" w:cs="Times New Roman"/>
                <w:sz w:val="24"/>
                <w:szCs w:val="24"/>
              </w:rPr>
              <w:t xml:space="preserve"> netiek atcelts</w:t>
            </w:r>
            <w:r w:rsidR="00203D97" w:rsidRPr="00105ABA">
              <w:rPr>
                <w:rFonts w:ascii="Times New Roman" w:hAnsi="Times New Roman" w:cs="Times New Roman"/>
                <w:sz w:val="24"/>
                <w:szCs w:val="24"/>
              </w:rPr>
              <w:t xml:space="preserve">, un </w:t>
            </w:r>
            <w:r w:rsidR="00B73659" w:rsidRPr="00105ABA">
              <w:rPr>
                <w:rFonts w:ascii="Times New Roman" w:hAnsi="Times New Roman" w:cs="Times New Roman"/>
                <w:sz w:val="24"/>
                <w:szCs w:val="24"/>
              </w:rPr>
              <w:t>viņiem</w:t>
            </w:r>
            <w:r w:rsidR="005F7BE0" w:rsidRPr="00105ABA">
              <w:rPr>
                <w:rFonts w:ascii="Times New Roman" w:hAnsi="Times New Roman" w:cs="Times New Roman"/>
                <w:sz w:val="24"/>
                <w:szCs w:val="24"/>
              </w:rPr>
              <w:t xml:space="preserve"> ir pienākums</w:t>
            </w:r>
            <w:r w:rsidR="008C025F" w:rsidRPr="00105ABA">
              <w:rPr>
                <w:rFonts w:ascii="Times New Roman" w:hAnsi="Times New Roman" w:cs="Times New Roman"/>
                <w:sz w:val="24"/>
                <w:szCs w:val="24"/>
              </w:rPr>
              <w:t xml:space="preserve"> to </w:t>
            </w:r>
            <w:r w:rsidR="005F7BE0" w:rsidRPr="00105ABA">
              <w:rPr>
                <w:rFonts w:ascii="Times New Roman" w:hAnsi="Times New Roman" w:cs="Times New Roman"/>
                <w:sz w:val="24"/>
                <w:szCs w:val="24"/>
              </w:rPr>
              <w:t>turpināt</w:t>
            </w:r>
            <w:r w:rsidR="00203D97" w:rsidRPr="00105ABA">
              <w:rPr>
                <w:rFonts w:ascii="Times New Roman" w:hAnsi="Times New Roman" w:cs="Times New Roman"/>
                <w:sz w:val="24"/>
                <w:szCs w:val="24"/>
              </w:rPr>
              <w:t xml:space="preserve"> </w:t>
            </w:r>
            <w:r w:rsidR="008C025F" w:rsidRPr="00105ABA">
              <w:rPr>
                <w:rFonts w:ascii="Times New Roman" w:hAnsi="Times New Roman" w:cs="Times New Roman"/>
                <w:sz w:val="24"/>
                <w:szCs w:val="24"/>
              </w:rPr>
              <w:t>ievērot</w:t>
            </w:r>
            <w:r w:rsidR="005F7BE0" w:rsidRPr="00105ABA">
              <w:rPr>
                <w:rFonts w:ascii="Times New Roman" w:hAnsi="Times New Roman" w:cs="Times New Roman"/>
                <w:sz w:val="24"/>
                <w:szCs w:val="24"/>
              </w:rPr>
              <w:t xml:space="preserve">. Uzraudzības iestādes </w:t>
            </w:r>
            <w:r w:rsidR="00203D97" w:rsidRPr="00105ABA">
              <w:rPr>
                <w:rFonts w:ascii="Times New Roman" w:hAnsi="Times New Roman" w:cs="Times New Roman"/>
                <w:sz w:val="24"/>
                <w:szCs w:val="24"/>
              </w:rPr>
              <w:t>p</w:t>
            </w:r>
            <w:r w:rsidR="005F7BE0" w:rsidRPr="00105ABA">
              <w:rPr>
                <w:rFonts w:ascii="Times New Roman" w:hAnsi="Times New Roman" w:cs="Times New Roman"/>
                <w:sz w:val="24"/>
                <w:szCs w:val="24"/>
              </w:rPr>
              <w:t>ārbaudes</w:t>
            </w:r>
            <w:r w:rsidR="00203D97" w:rsidRPr="00105ABA">
              <w:rPr>
                <w:rFonts w:ascii="Times New Roman" w:hAnsi="Times New Roman" w:cs="Times New Roman"/>
                <w:sz w:val="24"/>
                <w:szCs w:val="24"/>
              </w:rPr>
              <w:t xml:space="preserve"> </w:t>
            </w:r>
            <w:r w:rsidR="005F7BE0" w:rsidRPr="00105ABA">
              <w:rPr>
                <w:rFonts w:ascii="Times New Roman" w:hAnsi="Times New Roman" w:cs="Times New Roman"/>
                <w:sz w:val="24"/>
                <w:szCs w:val="24"/>
              </w:rPr>
              <w:t>(</w:t>
            </w:r>
            <w:r w:rsidR="00203D97" w:rsidRPr="00105ABA">
              <w:rPr>
                <w:rFonts w:ascii="Times New Roman" w:hAnsi="Times New Roman" w:cs="Times New Roman"/>
                <w:sz w:val="24"/>
                <w:szCs w:val="24"/>
              </w:rPr>
              <w:t>tai skaitā</w:t>
            </w:r>
            <w:r w:rsidR="005F7BE0" w:rsidRPr="00105ABA">
              <w:rPr>
                <w:rFonts w:ascii="Times New Roman" w:hAnsi="Times New Roman" w:cs="Times New Roman"/>
                <w:sz w:val="24"/>
                <w:szCs w:val="24"/>
              </w:rPr>
              <w:t xml:space="preserve"> attāl</w:t>
            </w:r>
            <w:r w:rsidR="009C43A0" w:rsidRPr="00105ABA">
              <w:rPr>
                <w:rFonts w:ascii="Times New Roman" w:hAnsi="Times New Roman" w:cs="Times New Roman"/>
                <w:sz w:val="24"/>
                <w:szCs w:val="24"/>
              </w:rPr>
              <w:t>ināt</w:t>
            </w:r>
            <w:r w:rsidR="005F7BE0" w:rsidRPr="00105ABA">
              <w:rPr>
                <w:rFonts w:ascii="Times New Roman" w:hAnsi="Times New Roman" w:cs="Times New Roman"/>
                <w:sz w:val="24"/>
                <w:szCs w:val="24"/>
              </w:rPr>
              <w:t xml:space="preserve">us novērtējumus) var uzsākt jebkurā laikā, un neatbilstības gadījumā tiks uzsāktas attiecīgas </w:t>
            </w:r>
            <w:r w:rsidR="005D0C7A" w:rsidRPr="00105ABA">
              <w:rPr>
                <w:rFonts w:ascii="Times New Roman" w:hAnsi="Times New Roman" w:cs="Times New Roman"/>
                <w:sz w:val="24"/>
                <w:szCs w:val="24"/>
              </w:rPr>
              <w:t xml:space="preserve">administratīvas </w:t>
            </w:r>
            <w:r w:rsidR="005F7BE0" w:rsidRPr="00105ABA">
              <w:rPr>
                <w:rFonts w:ascii="Times New Roman" w:hAnsi="Times New Roman" w:cs="Times New Roman"/>
                <w:sz w:val="24"/>
                <w:szCs w:val="24"/>
              </w:rPr>
              <w:t>darbības.</w:t>
            </w:r>
          </w:p>
          <w:p w14:paraId="48EF7C29" w14:textId="77777777" w:rsidR="00B10021" w:rsidRPr="00105ABA" w:rsidRDefault="00B10021" w:rsidP="00B0720E">
            <w:pPr>
              <w:pStyle w:val="Bezatstarpm1"/>
              <w:jc w:val="both"/>
              <w:rPr>
                <w:rFonts w:ascii="Times New Roman" w:hAnsi="Times New Roman"/>
                <w:b/>
                <w:bCs/>
                <w:sz w:val="24"/>
                <w:szCs w:val="24"/>
                <w:lang w:val="lv-LV"/>
              </w:rPr>
            </w:pPr>
          </w:p>
          <w:p w14:paraId="76AC557B" w14:textId="42B3DBC3" w:rsidR="00481290" w:rsidRPr="00105ABA" w:rsidRDefault="009E305A" w:rsidP="00481290">
            <w:pPr>
              <w:pStyle w:val="NoSpacing"/>
              <w:jc w:val="both"/>
              <w:rPr>
                <w:rFonts w:ascii="Times New Roman" w:hAnsi="Times New Roman" w:cs="Times New Roman"/>
                <w:b/>
                <w:bCs/>
                <w:i/>
                <w:iCs/>
                <w:sz w:val="24"/>
                <w:szCs w:val="24"/>
              </w:rPr>
            </w:pPr>
            <w:r w:rsidRPr="00105ABA">
              <w:rPr>
                <w:rFonts w:ascii="Times New Roman" w:hAnsi="Times New Roman"/>
                <w:b/>
                <w:bCs/>
                <w:i/>
                <w:iCs/>
                <w:sz w:val="24"/>
                <w:szCs w:val="24"/>
              </w:rPr>
              <w:t>3</w:t>
            </w:r>
            <w:r w:rsidR="00785E4D" w:rsidRPr="00105ABA">
              <w:rPr>
                <w:rFonts w:ascii="Times New Roman" w:hAnsi="Times New Roman"/>
                <w:b/>
                <w:bCs/>
                <w:i/>
                <w:iCs/>
                <w:sz w:val="24"/>
                <w:szCs w:val="24"/>
              </w:rPr>
              <w:t>.</w:t>
            </w:r>
            <w:r w:rsidR="00785E4D" w:rsidRPr="00105ABA">
              <w:rPr>
                <w:rFonts w:ascii="Times New Roman" w:hAnsi="Times New Roman"/>
                <w:b/>
                <w:bCs/>
                <w:sz w:val="24"/>
                <w:szCs w:val="24"/>
              </w:rPr>
              <w:t> </w:t>
            </w:r>
            <w:r w:rsidR="00FF6844" w:rsidRPr="00105ABA">
              <w:rPr>
                <w:rFonts w:ascii="Times New Roman" w:hAnsi="Times New Roman"/>
                <w:b/>
                <w:bCs/>
                <w:i/>
                <w:iCs/>
                <w:sz w:val="24"/>
                <w:szCs w:val="24"/>
              </w:rPr>
              <w:t>Jāatļauj</w:t>
            </w:r>
            <w:r w:rsidR="007E5839" w:rsidRPr="00105ABA">
              <w:rPr>
                <w:rFonts w:ascii="Times New Roman" w:hAnsi="Times New Roman"/>
                <w:b/>
                <w:bCs/>
                <w:i/>
                <w:iCs/>
                <w:sz w:val="24"/>
                <w:szCs w:val="24"/>
              </w:rPr>
              <w:t xml:space="preserve"> </w:t>
            </w:r>
            <w:r w:rsidR="00E0226B" w:rsidRPr="00105ABA">
              <w:rPr>
                <w:rFonts w:ascii="Times New Roman" w:hAnsi="Times New Roman"/>
                <w:b/>
                <w:bCs/>
                <w:i/>
                <w:iCs/>
                <w:sz w:val="24"/>
                <w:szCs w:val="24"/>
              </w:rPr>
              <w:t xml:space="preserve">līdz 2021. gada 31. decembrim </w:t>
            </w:r>
            <w:r w:rsidR="00481290" w:rsidRPr="00105ABA">
              <w:rPr>
                <w:rFonts w:ascii="Times New Roman" w:hAnsi="Times New Roman" w:cs="Times New Roman"/>
                <w:b/>
                <w:bCs/>
                <w:i/>
                <w:iCs/>
                <w:sz w:val="24"/>
                <w:szCs w:val="24"/>
              </w:rPr>
              <w:t>aizstāt par labas izplatīšanas prakses ievērošanu atbildīgo amatpersonu īslaicīgi ar citu darbinieku, ja atbildīgā amatpersona ir karantīnā vai  prombūtnē COVID </w:t>
            </w:r>
            <w:r w:rsidR="008A3419" w:rsidRPr="00105ABA">
              <w:rPr>
                <w:rFonts w:ascii="Times New Roman" w:hAnsi="Times New Roman" w:cs="Times New Roman"/>
                <w:b/>
                <w:bCs/>
                <w:i/>
                <w:iCs/>
                <w:sz w:val="24"/>
                <w:szCs w:val="24"/>
              </w:rPr>
              <w:t>-</w:t>
            </w:r>
            <w:r w:rsidR="00481290" w:rsidRPr="00105ABA">
              <w:rPr>
                <w:rFonts w:ascii="Times New Roman" w:hAnsi="Times New Roman" w:cs="Times New Roman"/>
                <w:b/>
                <w:bCs/>
                <w:i/>
                <w:iCs/>
                <w:sz w:val="24"/>
                <w:szCs w:val="24"/>
              </w:rPr>
              <w:t> 19 slimības vai pašizolācijas dēļ, un ja attiecīgajam darbiniekam ir atbilstošas kompetences, pieredze un zināšanas un viņš ir apmācīts</w:t>
            </w:r>
            <w:r w:rsidR="00682000" w:rsidRPr="00105ABA">
              <w:rPr>
                <w:rFonts w:ascii="Times New Roman" w:hAnsi="Times New Roman" w:cs="Times New Roman"/>
                <w:b/>
                <w:bCs/>
                <w:i/>
                <w:iCs/>
                <w:sz w:val="24"/>
                <w:szCs w:val="24"/>
              </w:rPr>
              <w:t xml:space="preserve"> par </w:t>
            </w:r>
            <w:r w:rsidR="00481290" w:rsidRPr="00105ABA">
              <w:rPr>
                <w:rFonts w:ascii="Times New Roman" w:hAnsi="Times New Roman" w:cs="Times New Roman"/>
                <w:b/>
                <w:bCs/>
                <w:i/>
                <w:iCs/>
                <w:sz w:val="24"/>
                <w:szCs w:val="24"/>
              </w:rPr>
              <w:t>lab</w:t>
            </w:r>
            <w:r w:rsidR="00682000" w:rsidRPr="00105ABA">
              <w:rPr>
                <w:rFonts w:ascii="Times New Roman" w:hAnsi="Times New Roman" w:cs="Times New Roman"/>
                <w:b/>
                <w:bCs/>
                <w:i/>
                <w:iCs/>
                <w:sz w:val="24"/>
                <w:szCs w:val="24"/>
              </w:rPr>
              <w:t>u</w:t>
            </w:r>
            <w:r w:rsidR="00481290" w:rsidRPr="00105ABA">
              <w:rPr>
                <w:rFonts w:ascii="Times New Roman" w:hAnsi="Times New Roman" w:cs="Times New Roman"/>
                <w:b/>
                <w:bCs/>
                <w:i/>
                <w:iCs/>
                <w:sz w:val="24"/>
                <w:szCs w:val="24"/>
              </w:rPr>
              <w:t xml:space="preserve"> izplatīšanas praks</w:t>
            </w:r>
            <w:r w:rsidR="00682000" w:rsidRPr="00105ABA">
              <w:rPr>
                <w:rFonts w:ascii="Times New Roman" w:hAnsi="Times New Roman" w:cs="Times New Roman"/>
                <w:b/>
                <w:bCs/>
                <w:i/>
                <w:iCs/>
                <w:sz w:val="24"/>
                <w:szCs w:val="24"/>
              </w:rPr>
              <w:t>i</w:t>
            </w:r>
            <w:r w:rsidR="00481290" w:rsidRPr="00105ABA">
              <w:rPr>
                <w:rFonts w:ascii="Times New Roman" w:hAnsi="Times New Roman" w:cs="Times New Roman"/>
                <w:b/>
                <w:bCs/>
                <w:i/>
                <w:iCs/>
                <w:sz w:val="24"/>
                <w:szCs w:val="24"/>
              </w:rPr>
              <w:t>.</w:t>
            </w:r>
          </w:p>
          <w:p w14:paraId="53EF599A" w14:textId="2CEFED8F" w:rsidR="00481290" w:rsidRPr="00105ABA" w:rsidRDefault="00D0581A" w:rsidP="00206CBA">
            <w:pPr>
              <w:pStyle w:val="NoSpacing"/>
              <w:jc w:val="both"/>
              <w:rPr>
                <w:rFonts w:ascii="Times New Roman" w:hAnsi="Times New Roman" w:cs="Times New Roman"/>
                <w:sz w:val="24"/>
                <w:szCs w:val="24"/>
                <w:shd w:val="clear" w:color="auto" w:fill="FFFFFF"/>
              </w:rPr>
            </w:pPr>
            <w:r w:rsidRPr="00105ABA">
              <w:rPr>
                <w:rFonts w:ascii="Times New Roman" w:hAnsi="Times New Roman" w:cs="Times New Roman"/>
                <w:sz w:val="24"/>
                <w:szCs w:val="24"/>
              </w:rPr>
              <w:t>Pašreizējais regulējums MK noteikumos 416 nedod iespēju</w:t>
            </w:r>
            <w:r w:rsidR="00481290" w:rsidRPr="00105ABA">
              <w:rPr>
                <w:rFonts w:ascii="Times New Roman" w:hAnsi="Times New Roman" w:cs="Times New Roman"/>
                <w:sz w:val="24"/>
                <w:szCs w:val="24"/>
              </w:rPr>
              <w:t xml:space="preserve"> </w:t>
            </w:r>
            <w:r w:rsidR="00481290" w:rsidRPr="00105ABA">
              <w:rPr>
                <w:rFonts w:ascii="Times New Roman" w:hAnsi="Times New Roman" w:cs="Times New Roman"/>
                <w:sz w:val="24"/>
                <w:szCs w:val="24"/>
                <w:shd w:val="clear" w:color="auto" w:fill="FFFFFF"/>
              </w:rPr>
              <w:t>par labas izplatīšanas prakses ievērošanu</w:t>
            </w:r>
            <w:r w:rsidR="00F53DB9" w:rsidRPr="00105ABA">
              <w:rPr>
                <w:rFonts w:ascii="Times New Roman" w:hAnsi="Times New Roman" w:cs="Times New Roman"/>
                <w:sz w:val="24"/>
                <w:szCs w:val="24"/>
              </w:rPr>
              <w:t xml:space="preserve"> </w:t>
            </w:r>
            <w:r w:rsidR="00481290" w:rsidRPr="00105ABA">
              <w:rPr>
                <w:rFonts w:ascii="Times New Roman" w:hAnsi="Times New Roman" w:cs="Times New Roman"/>
                <w:sz w:val="24"/>
                <w:szCs w:val="24"/>
              </w:rPr>
              <w:t xml:space="preserve">atbildīgo amatpersonu īslaicīgi aizstāt ar citu </w:t>
            </w:r>
            <w:r w:rsidR="0079469E" w:rsidRPr="00105ABA">
              <w:rPr>
                <w:rFonts w:ascii="Times New Roman" w:hAnsi="Times New Roman" w:cs="Times New Roman"/>
                <w:sz w:val="24"/>
                <w:szCs w:val="24"/>
              </w:rPr>
              <w:t>personu</w:t>
            </w:r>
            <w:r w:rsidR="00481290" w:rsidRPr="00105ABA">
              <w:rPr>
                <w:rFonts w:ascii="Times New Roman" w:hAnsi="Times New Roman" w:cs="Times New Roman"/>
                <w:sz w:val="24"/>
                <w:szCs w:val="24"/>
              </w:rPr>
              <w:t>.</w:t>
            </w:r>
          </w:p>
          <w:p w14:paraId="742B3DEC" w14:textId="77777777" w:rsidR="00206CBA" w:rsidRPr="00105ABA" w:rsidRDefault="00D0581A" w:rsidP="00206CBA">
            <w:pPr>
              <w:pStyle w:val="NoSpacing"/>
              <w:jc w:val="both"/>
              <w:rPr>
                <w:rFonts w:ascii="Times New Roman" w:hAnsi="Times New Roman" w:cs="Times New Roman"/>
                <w:sz w:val="24"/>
                <w:szCs w:val="24"/>
              </w:rPr>
            </w:pPr>
            <w:r w:rsidRPr="00105ABA">
              <w:rPr>
                <w:rFonts w:ascii="Times New Roman" w:hAnsi="Times New Roman" w:cs="Times New Roman"/>
                <w:sz w:val="24"/>
                <w:szCs w:val="24"/>
                <w:shd w:val="clear" w:color="auto" w:fill="FFFFFF"/>
              </w:rPr>
              <w:t xml:space="preserve">Savukārt </w:t>
            </w:r>
            <w:r w:rsidRPr="00105ABA">
              <w:rPr>
                <w:rFonts w:ascii="Times New Roman" w:hAnsi="Times New Roman" w:cs="Times New Roman"/>
                <w:iCs/>
                <w:sz w:val="24"/>
                <w:szCs w:val="24"/>
                <w:shd w:val="clear" w:color="auto" w:fill="FFFFFF"/>
              </w:rPr>
              <w:t>EK</w:t>
            </w:r>
            <w:r w:rsidRPr="00105ABA">
              <w:rPr>
                <w:rFonts w:ascii="Times New Roman" w:hAnsi="Times New Roman" w:cs="Times New Roman"/>
                <w:sz w:val="24"/>
                <w:szCs w:val="24"/>
              </w:rPr>
              <w:t xml:space="preserve">, Eiropas Zāļu aģentūras un </w:t>
            </w:r>
            <w:r w:rsidRPr="00105ABA">
              <w:rPr>
                <w:rFonts w:ascii="Times New Roman" w:hAnsi="Times New Roman" w:cs="Times New Roman"/>
                <w:iCs/>
                <w:sz w:val="24"/>
                <w:szCs w:val="24"/>
                <w:shd w:val="clear" w:color="auto" w:fill="FFFFFF"/>
              </w:rPr>
              <w:t xml:space="preserve">Eiropas zāļu regulatīvā tīkla </w:t>
            </w:r>
            <w:r w:rsidRPr="00105ABA">
              <w:rPr>
                <w:rFonts w:ascii="Times New Roman" w:hAnsi="Times New Roman" w:cs="Times New Roman"/>
                <w:sz w:val="24"/>
                <w:szCs w:val="24"/>
              </w:rPr>
              <w:t xml:space="preserve">vadītāju izstrādātajā un aktualizētajā jautājumu un atbilžu dokumentā par zāļu reglamentējuma jautājumiem COVID - 19 pandēmijas laikā ir </w:t>
            </w:r>
            <w:r w:rsidR="00481290" w:rsidRPr="00105ABA">
              <w:rPr>
                <w:rFonts w:ascii="Times New Roman" w:hAnsi="Times New Roman" w:cs="Times New Roman"/>
                <w:sz w:val="24"/>
                <w:szCs w:val="24"/>
              </w:rPr>
              <w:t>akcentēti iespējamie pielāgojumi atbildīgās personas darbā, ņemot vērā ceļošanas, darba kavējumus un citus ierobežojumus, kas izriet no COVID</w:t>
            </w:r>
            <w:r w:rsidR="00447366" w:rsidRPr="00105ABA">
              <w:rPr>
                <w:rFonts w:ascii="Times New Roman" w:hAnsi="Times New Roman" w:cs="Times New Roman"/>
                <w:sz w:val="24"/>
                <w:szCs w:val="24"/>
              </w:rPr>
              <w:t> - </w:t>
            </w:r>
            <w:r w:rsidR="00481290" w:rsidRPr="00105ABA">
              <w:rPr>
                <w:rFonts w:ascii="Times New Roman" w:hAnsi="Times New Roman" w:cs="Times New Roman"/>
                <w:sz w:val="24"/>
                <w:szCs w:val="24"/>
              </w:rPr>
              <w:t>19 pandēmijas.</w:t>
            </w:r>
            <w:r w:rsidR="00206CBA" w:rsidRPr="00105ABA">
              <w:rPr>
                <w:rFonts w:ascii="Times New Roman" w:hAnsi="Times New Roman" w:cs="Times New Roman"/>
                <w:sz w:val="24"/>
                <w:szCs w:val="24"/>
              </w:rPr>
              <w:t xml:space="preserve"> </w:t>
            </w:r>
          </w:p>
          <w:p w14:paraId="4C9B2D62" w14:textId="77777777" w:rsidR="00206CBA" w:rsidRPr="00105ABA" w:rsidRDefault="00206CBA" w:rsidP="00206CBA">
            <w:pPr>
              <w:pStyle w:val="NoSpacing"/>
              <w:jc w:val="both"/>
              <w:rPr>
                <w:rFonts w:ascii="Times New Roman" w:hAnsi="Times New Roman" w:cs="Times New Roman"/>
                <w:sz w:val="24"/>
                <w:szCs w:val="24"/>
              </w:rPr>
            </w:pPr>
          </w:p>
          <w:p w14:paraId="359B012D" w14:textId="6F46E55A" w:rsidR="00B43570" w:rsidRPr="00105ABA" w:rsidRDefault="00206CBA" w:rsidP="0079469E">
            <w:pPr>
              <w:pStyle w:val="NoSpacing"/>
              <w:jc w:val="both"/>
              <w:rPr>
                <w:rFonts w:ascii="Times New Roman" w:hAnsi="Times New Roman" w:cs="Times New Roman"/>
                <w:sz w:val="24"/>
                <w:szCs w:val="24"/>
              </w:rPr>
            </w:pPr>
            <w:r w:rsidRPr="00105ABA">
              <w:rPr>
                <w:rFonts w:ascii="Times New Roman" w:hAnsi="Times New Roman" w:cs="Times New Roman"/>
                <w:sz w:val="24"/>
                <w:szCs w:val="24"/>
              </w:rPr>
              <w:lastRenderedPageBreak/>
              <w:t xml:space="preserve">Kā norādīts </w:t>
            </w:r>
            <w:r w:rsidRPr="00105ABA">
              <w:rPr>
                <w:rFonts w:ascii="Times New Roman" w:hAnsi="Times New Roman" w:cs="Times New Roman"/>
                <w:iCs/>
                <w:sz w:val="24"/>
                <w:szCs w:val="24"/>
                <w:shd w:val="clear" w:color="auto" w:fill="FFFFFF"/>
              </w:rPr>
              <w:t>EK</w:t>
            </w:r>
            <w:r w:rsidRPr="00105ABA">
              <w:rPr>
                <w:rFonts w:ascii="Times New Roman" w:hAnsi="Times New Roman" w:cs="Times New Roman"/>
                <w:sz w:val="24"/>
                <w:szCs w:val="24"/>
              </w:rPr>
              <w:t xml:space="preserve">, Eiropas Zāļu aģentūras un </w:t>
            </w:r>
            <w:r w:rsidRPr="00105ABA">
              <w:rPr>
                <w:rFonts w:ascii="Times New Roman" w:hAnsi="Times New Roman" w:cs="Times New Roman"/>
                <w:iCs/>
                <w:sz w:val="24"/>
                <w:szCs w:val="24"/>
                <w:shd w:val="clear" w:color="auto" w:fill="FFFFFF"/>
              </w:rPr>
              <w:t xml:space="preserve">Eiropas zāļu regulatīvā tīkla </w:t>
            </w:r>
            <w:r w:rsidRPr="00105ABA">
              <w:rPr>
                <w:rFonts w:ascii="Times New Roman" w:hAnsi="Times New Roman" w:cs="Times New Roman"/>
                <w:sz w:val="24"/>
                <w:szCs w:val="24"/>
              </w:rPr>
              <w:t>aktualizētajā izstrādātajā jautājumu un atbilžu dokumentā par zāļu reglamentējuma jautājumiem COVID - 19 pandēmijas laikā, ir atzīts, ka ārkārtas apstākļos, piemēram, karantīnas pasākumi, ceļojuma ierobežojumi vai ilgāka prombūtne slimības dēļ, var būt nepieciešams nomain</w:t>
            </w:r>
            <w:r w:rsidR="00D27B98" w:rsidRPr="00105ABA">
              <w:rPr>
                <w:rFonts w:ascii="Times New Roman" w:hAnsi="Times New Roman" w:cs="Times New Roman"/>
                <w:sz w:val="24"/>
                <w:szCs w:val="24"/>
              </w:rPr>
              <w:t>īt</w:t>
            </w:r>
            <w:r w:rsidRPr="00105ABA">
              <w:rPr>
                <w:rFonts w:ascii="Times New Roman" w:hAnsi="Times New Roman" w:cs="Times New Roman"/>
                <w:sz w:val="24"/>
                <w:szCs w:val="24"/>
              </w:rPr>
              <w:t xml:space="preserve"> par zāļu labu izplatīšanas praksi atbildīgo </w:t>
            </w:r>
            <w:r w:rsidR="00D27B98" w:rsidRPr="00105ABA">
              <w:rPr>
                <w:rFonts w:ascii="Times New Roman" w:hAnsi="Times New Roman" w:cs="Times New Roman"/>
                <w:sz w:val="24"/>
                <w:szCs w:val="24"/>
              </w:rPr>
              <w:t>amatpersonu</w:t>
            </w:r>
            <w:r w:rsidRPr="00105ABA">
              <w:rPr>
                <w:rFonts w:ascii="Times New Roman" w:hAnsi="Times New Roman" w:cs="Times New Roman"/>
                <w:sz w:val="24"/>
                <w:szCs w:val="24"/>
              </w:rPr>
              <w:t xml:space="preserve"> </w:t>
            </w:r>
            <w:r w:rsidR="00AF5463">
              <w:rPr>
                <w:rFonts w:ascii="Times New Roman" w:hAnsi="Times New Roman" w:cs="Times New Roman"/>
                <w:sz w:val="24"/>
                <w:szCs w:val="24"/>
              </w:rPr>
              <w:t>a</w:t>
            </w:r>
            <w:r w:rsidR="00D27B98" w:rsidRPr="00105ABA">
              <w:rPr>
                <w:rFonts w:ascii="Times New Roman" w:hAnsi="Times New Roman" w:cs="Times New Roman"/>
                <w:sz w:val="24"/>
                <w:szCs w:val="24"/>
              </w:rPr>
              <w:t xml:space="preserve">r personu </w:t>
            </w:r>
            <w:r w:rsidRPr="00105ABA">
              <w:rPr>
                <w:rFonts w:ascii="Times New Roman" w:hAnsi="Times New Roman" w:cs="Times New Roman"/>
                <w:sz w:val="24"/>
                <w:szCs w:val="24"/>
              </w:rPr>
              <w:t xml:space="preserve">ar atbilstošu kompetenci, pieredzi, zināšanām un apmācību </w:t>
            </w:r>
            <w:r w:rsidR="00D27B98" w:rsidRPr="00105ABA">
              <w:rPr>
                <w:rFonts w:ascii="Times New Roman" w:hAnsi="Times New Roman" w:cs="Times New Roman"/>
                <w:sz w:val="24"/>
                <w:szCs w:val="24"/>
              </w:rPr>
              <w:t>labā izplatīšanas praksē</w:t>
            </w:r>
            <w:r w:rsidR="00B43570" w:rsidRPr="00105ABA">
              <w:rPr>
                <w:rFonts w:ascii="Times New Roman" w:hAnsi="Times New Roman" w:cs="Times New Roman"/>
                <w:sz w:val="24"/>
                <w:szCs w:val="24"/>
              </w:rPr>
              <w:t xml:space="preserve">, un šī </w:t>
            </w:r>
            <w:r w:rsidR="00D27B98" w:rsidRPr="00105ABA">
              <w:rPr>
                <w:rFonts w:ascii="Times New Roman" w:hAnsi="Times New Roman" w:cs="Times New Roman"/>
                <w:sz w:val="24"/>
                <w:szCs w:val="24"/>
              </w:rPr>
              <w:t>persona</w:t>
            </w:r>
            <w:r w:rsidR="00AF5463">
              <w:rPr>
                <w:rFonts w:ascii="Times New Roman" w:hAnsi="Times New Roman" w:cs="Times New Roman"/>
                <w:sz w:val="24"/>
                <w:szCs w:val="24"/>
              </w:rPr>
              <w:t xml:space="preserve"> </w:t>
            </w:r>
            <w:r w:rsidR="00B43570" w:rsidRPr="00105ABA">
              <w:rPr>
                <w:rFonts w:ascii="Times New Roman" w:hAnsi="Times New Roman" w:cs="Times New Roman"/>
                <w:sz w:val="24"/>
                <w:szCs w:val="24"/>
              </w:rPr>
              <w:t>var</w:t>
            </w:r>
            <w:r w:rsidRPr="00105ABA">
              <w:rPr>
                <w:rFonts w:ascii="Times New Roman" w:hAnsi="Times New Roman" w:cs="Times New Roman"/>
                <w:sz w:val="24"/>
                <w:szCs w:val="24"/>
              </w:rPr>
              <w:t xml:space="preserve"> </w:t>
            </w:r>
            <w:r w:rsidR="00D27B98" w:rsidRPr="00105ABA">
              <w:rPr>
                <w:rFonts w:ascii="Times New Roman" w:hAnsi="Times New Roman" w:cs="Times New Roman"/>
                <w:sz w:val="24"/>
                <w:szCs w:val="24"/>
              </w:rPr>
              <w:t>neatbilst visām kvalifikācijas un pieredzes prasībām, kād</w:t>
            </w:r>
            <w:r w:rsidR="00B43570" w:rsidRPr="00105ABA">
              <w:rPr>
                <w:rFonts w:ascii="Times New Roman" w:hAnsi="Times New Roman" w:cs="Times New Roman"/>
                <w:sz w:val="24"/>
                <w:szCs w:val="24"/>
              </w:rPr>
              <w:t xml:space="preserve">as nacionālā regulējumā </w:t>
            </w:r>
            <w:r w:rsidR="00D27B98" w:rsidRPr="00105ABA">
              <w:rPr>
                <w:rFonts w:ascii="Times New Roman" w:hAnsi="Times New Roman" w:cs="Times New Roman"/>
                <w:sz w:val="24"/>
                <w:szCs w:val="24"/>
              </w:rPr>
              <w:t xml:space="preserve"> noteikt</w:t>
            </w:r>
            <w:r w:rsidR="00B43570" w:rsidRPr="00105ABA">
              <w:rPr>
                <w:rFonts w:ascii="Times New Roman" w:hAnsi="Times New Roman" w:cs="Times New Roman"/>
                <w:sz w:val="24"/>
                <w:szCs w:val="24"/>
              </w:rPr>
              <w:t>as</w:t>
            </w:r>
            <w:r w:rsidR="00D27B98" w:rsidRPr="00105ABA">
              <w:rPr>
                <w:rFonts w:ascii="Times New Roman" w:hAnsi="Times New Roman" w:cs="Times New Roman"/>
                <w:sz w:val="24"/>
                <w:szCs w:val="24"/>
              </w:rPr>
              <w:t xml:space="preserve"> atbildīgajai amatpersonai par zāļu labu izplatīšanas praksi (MK noteikumu Nr.</w:t>
            </w:r>
            <w:r w:rsidR="00590AB4" w:rsidRPr="00105ABA">
              <w:rPr>
                <w:rFonts w:ascii="Times New Roman" w:hAnsi="Times New Roman" w:cs="Times New Roman"/>
                <w:sz w:val="24"/>
                <w:szCs w:val="24"/>
              </w:rPr>
              <w:t> </w:t>
            </w:r>
            <w:r w:rsidR="00D27B98" w:rsidRPr="00105ABA">
              <w:rPr>
                <w:rFonts w:ascii="Times New Roman" w:hAnsi="Times New Roman" w:cs="Times New Roman"/>
                <w:sz w:val="24"/>
                <w:szCs w:val="24"/>
              </w:rPr>
              <w:t>416 12.14. apakšpunkts; Farmācijas likuma 46.</w:t>
            </w:r>
            <w:r w:rsidR="00D27B98" w:rsidRPr="00105ABA">
              <w:rPr>
                <w:rFonts w:ascii="Times New Roman" w:hAnsi="Times New Roman" w:cs="Times New Roman"/>
                <w:sz w:val="24"/>
                <w:szCs w:val="24"/>
                <w:vertAlign w:val="superscript"/>
              </w:rPr>
              <w:t>1</w:t>
            </w:r>
            <w:r w:rsidR="00D27B98" w:rsidRPr="00105ABA">
              <w:rPr>
                <w:rFonts w:ascii="Times New Roman" w:hAnsi="Times New Roman" w:cs="Times New Roman"/>
                <w:sz w:val="28"/>
                <w:szCs w:val="28"/>
                <w:vertAlign w:val="superscript"/>
              </w:rPr>
              <w:t> </w:t>
            </w:r>
            <w:r w:rsidR="00D27B98" w:rsidRPr="00105ABA">
              <w:rPr>
                <w:rFonts w:ascii="Times New Roman" w:hAnsi="Times New Roman" w:cs="Times New Roman"/>
                <w:sz w:val="24"/>
                <w:szCs w:val="24"/>
              </w:rPr>
              <w:t>pants 1.</w:t>
            </w:r>
            <w:r w:rsidR="00D27B98" w:rsidRPr="00105ABA">
              <w:rPr>
                <w:rFonts w:ascii="Times New Roman" w:hAnsi="Times New Roman" w:cs="Times New Roman"/>
                <w:sz w:val="28"/>
                <w:szCs w:val="28"/>
                <w:vertAlign w:val="superscript"/>
              </w:rPr>
              <w:t> </w:t>
            </w:r>
            <w:r w:rsidR="00D27B98" w:rsidRPr="00105ABA">
              <w:rPr>
                <w:rFonts w:ascii="Times New Roman" w:hAnsi="Times New Roman" w:cs="Times New Roman"/>
                <w:sz w:val="24"/>
                <w:szCs w:val="24"/>
              </w:rPr>
              <w:t xml:space="preserve">punkts), </w:t>
            </w:r>
            <w:r w:rsidR="00B43570" w:rsidRPr="00105ABA">
              <w:rPr>
                <w:rFonts w:ascii="Times New Roman" w:hAnsi="Times New Roman" w:cs="Times New Roman"/>
                <w:sz w:val="24"/>
                <w:szCs w:val="24"/>
              </w:rPr>
              <w:t>be</w:t>
            </w:r>
            <w:r w:rsidR="00FD145D">
              <w:rPr>
                <w:rFonts w:ascii="Times New Roman" w:hAnsi="Times New Roman" w:cs="Times New Roman"/>
                <w:sz w:val="24"/>
                <w:szCs w:val="24"/>
              </w:rPr>
              <w:t>t</w:t>
            </w:r>
            <w:r w:rsidR="00B43570" w:rsidRPr="00105ABA">
              <w:rPr>
                <w:rFonts w:ascii="Times New Roman" w:hAnsi="Times New Roman" w:cs="Times New Roman"/>
                <w:sz w:val="24"/>
                <w:szCs w:val="24"/>
              </w:rPr>
              <w:t xml:space="preserve"> </w:t>
            </w:r>
            <w:r w:rsidR="00D27B98" w:rsidRPr="00105ABA">
              <w:rPr>
                <w:rFonts w:ascii="Times New Roman" w:hAnsi="Times New Roman" w:cs="Times New Roman"/>
                <w:sz w:val="24"/>
                <w:szCs w:val="24"/>
              </w:rPr>
              <w:t>viņai jābūt vismaz ar atbilstoš</w:t>
            </w:r>
            <w:r w:rsidR="00B43570" w:rsidRPr="00105ABA">
              <w:rPr>
                <w:rFonts w:ascii="Times New Roman" w:hAnsi="Times New Roman" w:cs="Times New Roman"/>
                <w:sz w:val="24"/>
                <w:szCs w:val="24"/>
              </w:rPr>
              <w:t>ām</w:t>
            </w:r>
            <w:r w:rsidR="00D27B98" w:rsidRPr="00105ABA">
              <w:rPr>
                <w:rFonts w:ascii="Times New Roman" w:hAnsi="Times New Roman" w:cs="Times New Roman"/>
                <w:sz w:val="24"/>
                <w:szCs w:val="24"/>
              </w:rPr>
              <w:t xml:space="preserve"> kompetenc</w:t>
            </w:r>
            <w:r w:rsidR="00B43570" w:rsidRPr="00105ABA">
              <w:rPr>
                <w:rFonts w:ascii="Times New Roman" w:hAnsi="Times New Roman" w:cs="Times New Roman"/>
                <w:sz w:val="24"/>
                <w:szCs w:val="24"/>
              </w:rPr>
              <w:t>ēm</w:t>
            </w:r>
            <w:r w:rsidR="00D27B98" w:rsidRPr="00105ABA">
              <w:rPr>
                <w:rFonts w:ascii="Times New Roman" w:hAnsi="Times New Roman" w:cs="Times New Roman"/>
                <w:sz w:val="24"/>
                <w:szCs w:val="24"/>
              </w:rPr>
              <w:t xml:space="preserve"> un pieredz</w:t>
            </w:r>
            <w:r w:rsidR="00701801" w:rsidRPr="00105ABA">
              <w:rPr>
                <w:rFonts w:ascii="Times New Roman" w:hAnsi="Times New Roman" w:cs="Times New Roman"/>
                <w:sz w:val="24"/>
                <w:szCs w:val="24"/>
              </w:rPr>
              <w:t>i</w:t>
            </w:r>
            <w:r w:rsidR="00D27B98" w:rsidRPr="00105ABA">
              <w:rPr>
                <w:rFonts w:ascii="Times New Roman" w:hAnsi="Times New Roman" w:cs="Times New Roman"/>
                <w:sz w:val="24"/>
                <w:szCs w:val="24"/>
              </w:rPr>
              <w:t xml:space="preserve">, kā arī zināšanām un </w:t>
            </w:r>
            <w:r w:rsidR="00B43570" w:rsidRPr="00105ABA">
              <w:rPr>
                <w:rFonts w:ascii="Times New Roman" w:hAnsi="Times New Roman" w:cs="Times New Roman"/>
                <w:sz w:val="24"/>
                <w:szCs w:val="24"/>
              </w:rPr>
              <w:t xml:space="preserve">jābūt </w:t>
            </w:r>
            <w:r w:rsidR="00D27B98" w:rsidRPr="00105ABA">
              <w:rPr>
                <w:rFonts w:ascii="Times New Roman" w:hAnsi="Times New Roman" w:cs="Times New Roman"/>
                <w:sz w:val="24"/>
                <w:szCs w:val="24"/>
              </w:rPr>
              <w:t>apmācī</w:t>
            </w:r>
            <w:r w:rsidR="00701801" w:rsidRPr="00105ABA">
              <w:rPr>
                <w:rFonts w:ascii="Times New Roman" w:hAnsi="Times New Roman" w:cs="Times New Roman"/>
                <w:sz w:val="24"/>
                <w:szCs w:val="24"/>
              </w:rPr>
              <w:t>tai</w:t>
            </w:r>
            <w:r w:rsidR="00D27B98" w:rsidRPr="00105ABA">
              <w:rPr>
                <w:rFonts w:ascii="Times New Roman" w:hAnsi="Times New Roman" w:cs="Times New Roman"/>
                <w:sz w:val="24"/>
                <w:szCs w:val="24"/>
              </w:rPr>
              <w:t xml:space="preserve"> labā</w:t>
            </w:r>
            <w:r w:rsidR="0079469E" w:rsidRPr="00105ABA">
              <w:rPr>
                <w:rFonts w:ascii="Times New Roman" w:hAnsi="Times New Roman" w:cs="Times New Roman"/>
                <w:sz w:val="24"/>
                <w:szCs w:val="24"/>
              </w:rPr>
              <w:t xml:space="preserve"> </w:t>
            </w:r>
            <w:r w:rsidR="00D27B98" w:rsidRPr="00105ABA">
              <w:rPr>
                <w:rFonts w:ascii="Times New Roman" w:hAnsi="Times New Roman" w:cs="Times New Roman"/>
                <w:sz w:val="24"/>
                <w:szCs w:val="24"/>
              </w:rPr>
              <w:t>izplatīšanas praksē</w:t>
            </w:r>
            <w:r w:rsidR="0079469E" w:rsidRPr="00105ABA">
              <w:rPr>
                <w:rFonts w:ascii="Times New Roman" w:hAnsi="Times New Roman" w:cs="Times New Roman"/>
                <w:sz w:val="24"/>
                <w:szCs w:val="24"/>
              </w:rPr>
              <w:t xml:space="preserve">. Farmaceitiskā izglītība ir vēlama. Par </w:t>
            </w:r>
            <w:r w:rsidR="00B43570" w:rsidRPr="00105ABA">
              <w:rPr>
                <w:rFonts w:ascii="Times New Roman" w:hAnsi="Times New Roman" w:cs="Times New Roman"/>
                <w:sz w:val="24"/>
                <w:szCs w:val="24"/>
              </w:rPr>
              <w:t xml:space="preserve">atbildīgā amatpersonas </w:t>
            </w:r>
            <w:r w:rsidR="0079469E" w:rsidRPr="00105ABA">
              <w:rPr>
                <w:rFonts w:ascii="Times New Roman" w:hAnsi="Times New Roman" w:cs="Times New Roman"/>
                <w:sz w:val="24"/>
                <w:szCs w:val="24"/>
              </w:rPr>
              <w:t>aizstāšanu nepieciešams paziņot uzraudzības iestādei (Zāļu valsts aģentūrai)</w:t>
            </w:r>
            <w:r w:rsidR="00B43570" w:rsidRPr="00105ABA">
              <w:rPr>
                <w:rFonts w:ascii="Times New Roman" w:hAnsi="Times New Roman" w:cs="Times New Roman"/>
                <w:sz w:val="24"/>
                <w:szCs w:val="24"/>
              </w:rPr>
              <w:t>.</w:t>
            </w:r>
          </w:p>
          <w:p w14:paraId="2E579A53" w14:textId="77777777" w:rsidR="000E1541" w:rsidRPr="00105ABA" w:rsidRDefault="0079469E" w:rsidP="000E1541">
            <w:pPr>
              <w:pStyle w:val="NoSpacing"/>
              <w:ind w:left="116" w:firstLine="425"/>
              <w:jc w:val="both"/>
              <w:rPr>
                <w:rFonts w:ascii="Times New Roman" w:hAnsi="Times New Roman" w:cs="Times New Roman"/>
                <w:sz w:val="24"/>
                <w:szCs w:val="24"/>
              </w:rPr>
            </w:pPr>
            <w:r w:rsidRPr="00105ABA">
              <w:rPr>
                <w:rFonts w:ascii="Times New Roman" w:hAnsi="Times New Roman" w:cs="Times New Roman"/>
                <w:sz w:val="24"/>
                <w:szCs w:val="24"/>
              </w:rPr>
              <w:t xml:space="preserve">Lai </w:t>
            </w:r>
            <w:r w:rsidR="000E1541" w:rsidRPr="00105ABA">
              <w:rPr>
                <w:rFonts w:ascii="Times New Roman" w:hAnsi="Times New Roman" w:cs="Times New Roman"/>
                <w:sz w:val="24"/>
                <w:szCs w:val="24"/>
              </w:rPr>
              <w:t xml:space="preserve">nepārtrauktu zāļu izplatīšanu vairumtirdzniecībā un </w:t>
            </w:r>
            <w:r w:rsidR="00BF6A38" w:rsidRPr="00105ABA">
              <w:rPr>
                <w:rFonts w:ascii="Times New Roman" w:hAnsi="Times New Roman" w:cs="Times New Roman"/>
                <w:sz w:val="24"/>
                <w:szCs w:val="24"/>
              </w:rPr>
              <w:t>n</w:t>
            </w:r>
            <w:r w:rsidRPr="00105ABA">
              <w:rPr>
                <w:rFonts w:ascii="Times New Roman" w:hAnsi="Times New Roman" w:cs="Times New Roman"/>
                <w:sz w:val="24"/>
                <w:szCs w:val="24"/>
              </w:rPr>
              <w:t xml:space="preserve">odrošinātu operatīvi </w:t>
            </w:r>
            <w:r w:rsidRPr="00105ABA">
              <w:rPr>
                <w:rFonts w:ascii="Times New Roman" w:hAnsi="Times New Roman" w:cs="Times New Roman"/>
                <w:sz w:val="24"/>
                <w:szCs w:val="24"/>
                <w:shd w:val="clear" w:color="auto" w:fill="FFFFFF"/>
              </w:rPr>
              <w:t>par labas izplatīšanas prakses ievērošanu</w:t>
            </w:r>
            <w:r w:rsidRPr="00105ABA">
              <w:rPr>
                <w:rFonts w:ascii="Times New Roman" w:hAnsi="Times New Roman" w:cs="Times New Roman"/>
                <w:sz w:val="24"/>
                <w:szCs w:val="24"/>
              </w:rPr>
              <w:t xml:space="preserve"> atbildīgās amatpersonas aizstāšanu ar citu personu</w:t>
            </w:r>
            <w:r w:rsidR="000E1541" w:rsidRPr="00105ABA">
              <w:rPr>
                <w:rFonts w:ascii="Times New Roman" w:hAnsi="Times New Roman" w:cs="Times New Roman"/>
                <w:sz w:val="24"/>
                <w:szCs w:val="24"/>
              </w:rPr>
              <w:t>:</w:t>
            </w:r>
          </w:p>
          <w:p w14:paraId="2A6A48AC" w14:textId="1A7E8705" w:rsidR="000E1541" w:rsidRPr="00105ABA" w:rsidRDefault="000E1541" w:rsidP="000E1541">
            <w:pPr>
              <w:pStyle w:val="NoSpacing"/>
              <w:ind w:firstLine="400"/>
              <w:jc w:val="both"/>
              <w:rPr>
                <w:rFonts w:ascii="Times New Roman" w:hAnsi="Times New Roman" w:cs="Times New Roman"/>
                <w:sz w:val="24"/>
                <w:szCs w:val="24"/>
              </w:rPr>
            </w:pPr>
            <w:r w:rsidRPr="00105ABA">
              <w:rPr>
                <w:rFonts w:ascii="Times New Roman" w:hAnsi="Times New Roman" w:cs="Times New Roman"/>
                <w:sz w:val="24"/>
                <w:szCs w:val="24"/>
              </w:rPr>
              <w:t xml:space="preserve">- paziņojumu par atbildīgā amatpersonas aizstāšanu iesniedz elektroniski vai rakstiski paziņojumu Zāļu valsts aģentūrai, nekavējoties pēc personas, ar kuru aizstāj atbildīgo amatpersonu, norīkošanas, </w:t>
            </w:r>
          </w:p>
          <w:p w14:paraId="4EEA2B37" w14:textId="2A73CEC4" w:rsidR="000E1541" w:rsidRPr="00105ABA" w:rsidRDefault="000E1541" w:rsidP="000E1541">
            <w:pPr>
              <w:pStyle w:val="NoSpacing"/>
              <w:ind w:firstLine="400"/>
              <w:jc w:val="both"/>
              <w:rPr>
                <w:rFonts w:ascii="Times New Roman" w:hAnsi="Times New Roman" w:cs="Times New Roman"/>
                <w:sz w:val="24"/>
                <w:szCs w:val="24"/>
              </w:rPr>
            </w:pPr>
            <w:r w:rsidRPr="00105ABA">
              <w:rPr>
                <w:rFonts w:ascii="Times New Roman" w:hAnsi="Times New Roman" w:cs="Times New Roman"/>
                <w:sz w:val="24"/>
                <w:szCs w:val="24"/>
              </w:rPr>
              <w:t>-</w:t>
            </w:r>
            <w:r w:rsidR="00FD145D">
              <w:rPr>
                <w:rFonts w:ascii="Times New Roman" w:hAnsi="Times New Roman" w:cs="Times New Roman"/>
                <w:sz w:val="24"/>
                <w:szCs w:val="24"/>
              </w:rPr>
              <w:t> </w:t>
            </w:r>
            <w:r w:rsidRPr="00105ABA">
              <w:rPr>
                <w:rFonts w:ascii="Times New Roman" w:hAnsi="Times New Roman" w:cs="Times New Roman"/>
                <w:sz w:val="24"/>
                <w:szCs w:val="24"/>
              </w:rPr>
              <w:t xml:space="preserve">nav jāgaida atbilde no </w:t>
            </w:r>
            <w:r w:rsidR="0079469E" w:rsidRPr="00105ABA">
              <w:rPr>
                <w:rFonts w:ascii="Times New Roman" w:hAnsi="Times New Roman" w:cs="Times New Roman"/>
                <w:sz w:val="24"/>
                <w:szCs w:val="24"/>
              </w:rPr>
              <w:t>Zāļu valsts aģentūr</w:t>
            </w:r>
            <w:r w:rsidRPr="00105ABA">
              <w:rPr>
                <w:rFonts w:ascii="Times New Roman" w:hAnsi="Times New Roman" w:cs="Times New Roman"/>
                <w:sz w:val="24"/>
                <w:szCs w:val="24"/>
              </w:rPr>
              <w:t>as par paziņojuma par atbildīgās amatpersonas aizstāšanu apstiprināšanu</w:t>
            </w:r>
            <w:r w:rsidR="00FD145D">
              <w:rPr>
                <w:rFonts w:ascii="Times New Roman" w:hAnsi="Times New Roman" w:cs="Times New Roman"/>
                <w:sz w:val="24"/>
                <w:szCs w:val="24"/>
              </w:rPr>
              <w:t> </w:t>
            </w:r>
            <w:r w:rsidR="007D19B4" w:rsidRPr="00105ABA">
              <w:rPr>
                <w:rFonts w:ascii="Times New Roman" w:hAnsi="Times New Roman" w:cs="Times New Roman"/>
                <w:sz w:val="24"/>
                <w:szCs w:val="24"/>
              </w:rPr>
              <w:t>–</w:t>
            </w:r>
            <w:r w:rsidR="00FD145D">
              <w:rPr>
                <w:rFonts w:ascii="Times New Roman" w:hAnsi="Times New Roman" w:cs="Times New Roman"/>
                <w:sz w:val="24"/>
                <w:szCs w:val="24"/>
              </w:rPr>
              <w:t> </w:t>
            </w:r>
            <w:r w:rsidR="007D19B4" w:rsidRPr="00105ABA">
              <w:rPr>
                <w:rFonts w:ascii="Times New Roman" w:hAnsi="Times New Roman" w:cs="Times New Roman"/>
                <w:sz w:val="24"/>
                <w:szCs w:val="24"/>
              </w:rPr>
              <w:t>persona savu pienākumu izpildi var uzsākt nekavējoties,</w:t>
            </w:r>
            <w:r w:rsidRPr="00105ABA">
              <w:rPr>
                <w:rFonts w:ascii="Times New Roman" w:hAnsi="Times New Roman" w:cs="Times New Roman"/>
                <w:sz w:val="24"/>
                <w:szCs w:val="24"/>
              </w:rPr>
              <w:t xml:space="preserve"> un </w:t>
            </w:r>
            <w:r w:rsidR="00B43570" w:rsidRPr="00105ABA">
              <w:rPr>
                <w:rFonts w:ascii="Times New Roman" w:hAnsi="Times New Roman" w:cs="Times New Roman"/>
                <w:sz w:val="24"/>
                <w:szCs w:val="24"/>
              </w:rPr>
              <w:t xml:space="preserve">grozījumi speciālajā atļaujā (licencē), norādot tajā personu, ar kuru aizstāj atbildīgo amatpersonu, nav </w:t>
            </w:r>
            <w:r w:rsidRPr="00105ABA">
              <w:rPr>
                <w:rFonts w:ascii="Times New Roman" w:hAnsi="Times New Roman" w:cs="Times New Roman"/>
                <w:sz w:val="24"/>
                <w:szCs w:val="24"/>
              </w:rPr>
              <w:t>nepieciešami.</w:t>
            </w:r>
          </w:p>
          <w:p w14:paraId="720588A2" w14:textId="440EC878" w:rsidR="000E1541" w:rsidRPr="00105ABA" w:rsidRDefault="003A586B" w:rsidP="000E1541">
            <w:pPr>
              <w:pStyle w:val="NoSpacing"/>
              <w:ind w:firstLine="400"/>
              <w:jc w:val="both"/>
              <w:rPr>
                <w:rFonts w:ascii="Times New Roman" w:hAnsi="Times New Roman" w:cs="Times New Roman"/>
                <w:sz w:val="24"/>
                <w:szCs w:val="24"/>
              </w:rPr>
            </w:pPr>
            <w:r w:rsidRPr="00105ABA">
              <w:rPr>
                <w:rFonts w:ascii="Times New Roman" w:hAnsi="Times New Roman" w:cs="Times New Roman"/>
                <w:sz w:val="24"/>
                <w:szCs w:val="24"/>
              </w:rPr>
              <w:t>Z</w:t>
            </w:r>
            <w:r w:rsidR="00BF6A38" w:rsidRPr="00105ABA">
              <w:rPr>
                <w:rFonts w:ascii="Times New Roman" w:hAnsi="Times New Roman" w:cs="Times New Roman"/>
                <w:sz w:val="24"/>
                <w:szCs w:val="24"/>
              </w:rPr>
              <w:t xml:space="preserve">āļu vairumtirgotājs </w:t>
            </w:r>
            <w:r w:rsidR="0079469E" w:rsidRPr="00105ABA">
              <w:rPr>
                <w:rFonts w:ascii="Times New Roman" w:hAnsi="Times New Roman" w:cs="Times New Roman"/>
                <w:sz w:val="24"/>
                <w:szCs w:val="24"/>
              </w:rPr>
              <w:t>paziņojum</w:t>
            </w:r>
            <w:r w:rsidR="000E1541" w:rsidRPr="00105ABA">
              <w:rPr>
                <w:rFonts w:ascii="Times New Roman" w:hAnsi="Times New Roman" w:cs="Times New Roman"/>
                <w:sz w:val="24"/>
                <w:szCs w:val="24"/>
              </w:rPr>
              <w:t>am</w:t>
            </w:r>
            <w:r w:rsidR="00B43570" w:rsidRPr="00105ABA">
              <w:rPr>
                <w:rFonts w:ascii="Times New Roman" w:hAnsi="Times New Roman" w:cs="Times New Roman"/>
                <w:sz w:val="24"/>
                <w:szCs w:val="24"/>
              </w:rPr>
              <w:t xml:space="preserve"> </w:t>
            </w:r>
            <w:r w:rsidR="000E1541" w:rsidRPr="00105ABA">
              <w:rPr>
                <w:rFonts w:ascii="Times New Roman" w:hAnsi="Times New Roman" w:cs="Times New Roman"/>
                <w:sz w:val="24"/>
                <w:szCs w:val="24"/>
              </w:rPr>
              <w:t>pievieno</w:t>
            </w:r>
            <w:r w:rsidR="00522DB7" w:rsidRPr="00105ABA">
              <w:rPr>
                <w:rFonts w:ascii="Times New Roman" w:hAnsi="Times New Roman" w:cs="Times New Roman"/>
                <w:sz w:val="24"/>
                <w:szCs w:val="24"/>
                <w:lang w:eastAsia="lv-LV"/>
              </w:rPr>
              <w:t xml:space="preserve"> </w:t>
            </w:r>
            <w:r w:rsidR="000E1541" w:rsidRPr="00105ABA">
              <w:rPr>
                <w:rFonts w:ascii="Times New Roman" w:hAnsi="Times New Roman" w:cs="Times New Roman"/>
                <w:sz w:val="24"/>
                <w:szCs w:val="24"/>
                <w:lang w:eastAsia="lv-LV"/>
              </w:rPr>
              <w:t xml:space="preserve">personas, ar kuru aizstāj atbildīgo amatpersonu, </w:t>
            </w:r>
            <w:r w:rsidR="0079469E" w:rsidRPr="00105ABA">
              <w:rPr>
                <w:rFonts w:ascii="Times New Roman" w:hAnsi="Times New Roman" w:cs="Times New Roman"/>
                <w:sz w:val="24"/>
                <w:szCs w:val="24"/>
              </w:rPr>
              <w:t>CV</w:t>
            </w:r>
            <w:r w:rsidR="000E1541" w:rsidRPr="00105ABA">
              <w:rPr>
                <w:rFonts w:ascii="Times New Roman" w:hAnsi="Times New Roman" w:cs="Times New Roman"/>
                <w:sz w:val="24"/>
                <w:szCs w:val="24"/>
              </w:rPr>
              <w:t xml:space="preserve">, kam ir pievienota minētās personas </w:t>
            </w:r>
            <w:r w:rsidR="000E1541" w:rsidRPr="00105ABA">
              <w:rPr>
                <w:rFonts w:ascii="Times New Roman" w:hAnsi="Times New Roman" w:cs="Times New Roman"/>
                <w:sz w:val="24"/>
                <w:szCs w:val="24"/>
                <w:lang w:eastAsia="lv-LV"/>
              </w:rPr>
              <w:t xml:space="preserve">izglītību apliecinošs dokuments (kopija), un, ja zāļu vairumtirdzniecība notiek arī ar narkotiskām vai psihotropām vielām un zālēm, rakstisks apliecinājums, ka persona atbilst likuma "Par narkotisko un psihotropo vielu un zāļu likumīgās aprites kārtību" </w:t>
            </w:r>
            <w:hyperlink r:id="rId8" w:anchor="3" w:tgtFrame="_top" w:tooltip="Par narkotisko un psihotropo vielu un zāļu likumīgās aprites kārtību" w:history="1">
              <w:r w:rsidR="000E1541" w:rsidRPr="00105ABA">
                <w:rPr>
                  <w:rStyle w:val="Hyperlink"/>
                  <w:rFonts w:ascii="Times New Roman" w:hAnsi="Times New Roman" w:cs="Times New Roman"/>
                  <w:color w:val="auto"/>
                  <w:sz w:val="24"/>
                  <w:szCs w:val="24"/>
                  <w:u w:val="none"/>
                  <w:lang w:eastAsia="lv-LV"/>
                </w:rPr>
                <w:t>11.panta 1. un 3.</w:t>
              </w:r>
              <w:r w:rsidR="00FD145D">
                <w:rPr>
                  <w:rStyle w:val="Hyperlink"/>
                  <w:rFonts w:ascii="Times New Roman" w:hAnsi="Times New Roman" w:cs="Times New Roman"/>
                  <w:color w:val="auto"/>
                  <w:sz w:val="24"/>
                  <w:szCs w:val="24"/>
                  <w:u w:val="none"/>
                  <w:lang w:eastAsia="lv-LV"/>
                </w:rPr>
                <w:t> </w:t>
              </w:r>
              <w:r w:rsidR="000E1541" w:rsidRPr="00105ABA">
                <w:rPr>
                  <w:rStyle w:val="Hyperlink"/>
                  <w:rFonts w:ascii="Times New Roman" w:hAnsi="Times New Roman" w:cs="Times New Roman"/>
                  <w:color w:val="auto"/>
                  <w:sz w:val="24"/>
                  <w:szCs w:val="24"/>
                  <w:u w:val="none"/>
                  <w:lang w:eastAsia="lv-LV"/>
                </w:rPr>
                <w:t>punkta</w:t>
              </w:r>
            </w:hyperlink>
            <w:r w:rsidR="000E1541" w:rsidRPr="00105ABA">
              <w:rPr>
                <w:rFonts w:ascii="Times New Roman" w:hAnsi="Times New Roman" w:cs="Times New Roman"/>
                <w:sz w:val="24"/>
                <w:szCs w:val="24"/>
                <w:lang w:eastAsia="lv-LV"/>
              </w:rPr>
              <w:t xml:space="preserve"> prasībām</w:t>
            </w:r>
            <w:r w:rsidR="00282C9F" w:rsidRPr="00105ABA">
              <w:rPr>
                <w:rFonts w:ascii="Times New Roman" w:hAnsi="Times New Roman" w:cs="Times New Roman"/>
                <w:sz w:val="24"/>
                <w:szCs w:val="24"/>
                <w:lang w:eastAsia="lv-LV"/>
              </w:rPr>
              <w:t xml:space="preserve"> (p.s. pēc līdzības ar prasībām, kādas ir noteiktas normatīvajos aktos par farmaceitiskās darbības licencēšanu, mainot atbildīgo amatpersonu zāļu lieltirgotavā), un </w:t>
            </w:r>
            <w:r w:rsidR="0079469E" w:rsidRPr="00105ABA">
              <w:rPr>
                <w:rFonts w:ascii="Times New Roman" w:hAnsi="Times New Roman" w:cs="Times New Roman"/>
                <w:sz w:val="24"/>
                <w:szCs w:val="24"/>
              </w:rPr>
              <w:t xml:space="preserve">kurā norādīta </w:t>
            </w:r>
            <w:r w:rsidR="00843020" w:rsidRPr="00105ABA">
              <w:rPr>
                <w:rFonts w:ascii="Times New Roman" w:hAnsi="Times New Roman" w:cs="Times New Roman"/>
                <w:sz w:val="24"/>
                <w:szCs w:val="24"/>
              </w:rPr>
              <w:t xml:space="preserve">minētās </w:t>
            </w:r>
            <w:r w:rsidR="0079469E" w:rsidRPr="00105ABA">
              <w:rPr>
                <w:rFonts w:ascii="Times New Roman" w:hAnsi="Times New Roman" w:cs="Times New Roman"/>
                <w:sz w:val="24"/>
                <w:szCs w:val="24"/>
              </w:rPr>
              <w:t>personas kvalifikācij</w:t>
            </w:r>
            <w:r w:rsidRPr="00105ABA">
              <w:rPr>
                <w:rFonts w:ascii="Times New Roman" w:hAnsi="Times New Roman" w:cs="Times New Roman"/>
                <w:sz w:val="24"/>
                <w:szCs w:val="24"/>
              </w:rPr>
              <w:t>a</w:t>
            </w:r>
            <w:r w:rsidR="00843020" w:rsidRPr="00105ABA">
              <w:rPr>
                <w:rFonts w:ascii="Times New Roman" w:hAnsi="Times New Roman" w:cs="Times New Roman"/>
                <w:sz w:val="24"/>
                <w:szCs w:val="24"/>
              </w:rPr>
              <w:t>,</w:t>
            </w:r>
            <w:r w:rsidR="0079469E" w:rsidRPr="00105ABA">
              <w:rPr>
                <w:rFonts w:ascii="Times New Roman" w:hAnsi="Times New Roman" w:cs="Times New Roman"/>
                <w:sz w:val="24"/>
                <w:szCs w:val="24"/>
              </w:rPr>
              <w:t xml:space="preserve"> </w:t>
            </w:r>
            <w:r w:rsidR="00843020" w:rsidRPr="00105ABA">
              <w:rPr>
                <w:rFonts w:ascii="Times New Roman" w:hAnsi="Times New Roman" w:cs="Times New Roman"/>
                <w:sz w:val="24"/>
                <w:szCs w:val="24"/>
              </w:rPr>
              <w:t xml:space="preserve">tai skaitā farmaceita profesionālās kvalifikācijas sertifikāta (ja tāds ir) </w:t>
            </w:r>
            <w:r w:rsidRPr="00105ABA">
              <w:rPr>
                <w:rFonts w:ascii="Times New Roman" w:hAnsi="Times New Roman" w:cs="Times New Roman"/>
                <w:sz w:val="24"/>
                <w:szCs w:val="24"/>
              </w:rPr>
              <w:t>esamība (numurs)</w:t>
            </w:r>
            <w:r w:rsidR="00843020" w:rsidRPr="00105ABA">
              <w:rPr>
                <w:rFonts w:ascii="Times New Roman" w:hAnsi="Times New Roman" w:cs="Times New Roman"/>
                <w:sz w:val="24"/>
                <w:szCs w:val="24"/>
              </w:rPr>
              <w:t xml:space="preserve">, </w:t>
            </w:r>
            <w:r w:rsidRPr="00105ABA">
              <w:rPr>
                <w:rFonts w:ascii="Times New Roman" w:hAnsi="Times New Roman" w:cs="Times New Roman"/>
                <w:sz w:val="24"/>
                <w:szCs w:val="24"/>
              </w:rPr>
              <w:t xml:space="preserve">pieredze un </w:t>
            </w:r>
            <w:r w:rsidR="0079469E" w:rsidRPr="00105ABA">
              <w:rPr>
                <w:rFonts w:ascii="Times New Roman" w:hAnsi="Times New Roman" w:cs="Times New Roman"/>
                <w:sz w:val="24"/>
                <w:szCs w:val="24"/>
              </w:rPr>
              <w:t>zināšanas par zāļu izplatīšanu</w:t>
            </w:r>
            <w:r w:rsidR="00282C9F" w:rsidRPr="00105ABA">
              <w:rPr>
                <w:rFonts w:ascii="Times New Roman" w:hAnsi="Times New Roman" w:cs="Times New Roman"/>
                <w:sz w:val="24"/>
                <w:szCs w:val="24"/>
              </w:rPr>
              <w:t xml:space="preserve">, kā arī </w:t>
            </w:r>
            <w:r w:rsidR="0079469E" w:rsidRPr="00105ABA">
              <w:rPr>
                <w:rFonts w:ascii="Times New Roman" w:hAnsi="Times New Roman" w:cs="Times New Roman"/>
                <w:sz w:val="24"/>
                <w:szCs w:val="24"/>
              </w:rPr>
              <w:t>apmācīb</w:t>
            </w:r>
            <w:r w:rsidRPr="00105ABA">
              <w:rPr>
                <w:rFonts w:ascii="Times New Roman" w:hAnsi="Times New Roman" w:cs="Times New Roman"/>
                <w:sz w:val="24"/>
                <w:szCs w:val="24"/>
              </w:rPr>
              <w:t>a</w:t>
            </w:r>
            <w:r w:rsidR="0079469E" w:rsidRPr="00105ABA">
              <w:rPr>
                <w:rFonts w:ascii="Times New Roman" w:hAnsi="Times New Roman" w:cs="Times New Roman"/>
                <w:sz w:val="24"/>
                <w:szCs w:val="24"/>
              </w:rPr>
              <w:t xml:space="preserve"> labā izplatīšanas praksē.</w:t>
            </w:r>
          </w:p>
          <w:p w14:paraId="4BE2E349" w14:textId="73C873D5" w:rsidR="0079469E" w:rsidRPr="00105ABA" w:rsidRDefault="0079469E" w:rsidP="00282C9F">
            <w:pPr>
              <w:pStyle w:val="NoSpacing"/>
              <w:ind w:firstLine="400"/>
              <w:jc w:val="both"/>
              <w:rPr>
                <w:rFonts w:ascii="Times New Roman" w:hAnsi="Times New Roman" w:cs="Times New Roman"/>
                <w:color w:val="0070C0"/>
                <w:sz w:val="24"/>
                <w:szCs w:val="24"/>
              </w:rPr>
            </w:pPr>
            <w:r w:rsidRPr="00105ABA">
              <w:rPr>
                <w:rFonts w:ascii="Times New Roman" w:hAnsi="Times New Roman" w:cs="Times New Roman"/>
                <w:sz w:val="24"/>
                <w:szCs w:val="24"/>
              </w:rPr>
              <w:t>Zāļu valsts aģentūrai ir tiesības pieprasīt papildu informāciju, tai skaitā, dokumentus, ka apliecina personas kvalifikāciju.</w:t>
            </w:r>
            <w:r w:rsidR="00696FFC" w:rsidRPr="00105ABA">
              <w:rPr>
                <w:rFonts w:ascii="Times New Roman" w:hAnsi="Times New Roman" w:cs="Times New Roman"/>
                <w:sz w:val="24"/>
                <w:szCs w:val="24"/>
              </w:rPr>
              <w:t xml:space="preserve"> </w:t>
            </w:r>
            <w:r w:rsidR="003A586B" w:rsidRPr="00105ABA">
              <w:rPr>
                <w:rFonts w:ascii="Times New Roman" w:hAnsi="Times New Roman" w:cs="Times New Roman"/>
                <w:sz w:val="24"/>
                <w:szCs w:val="24"/>
              </w:rPr>
              <w:t>Ja Zāļu valsts aģentūra atzīst, ka minēto zāļu vairumtirgotāja paziņojumu par personu</w:t>
            </w:r>
            <w:r w:rsidR="00282C9F" w:rsidRPr="00105ABA">
              <w:rPr>
                <w:rFonts w:ascii="Times New Roman" w:hAnsi="Times New Roman" w:cs="Times New Roman"/>
                <w:sz w:val="24"/>
                <w:szCs w:val="24"/>
              </w:rPr>
              <w:t>, ar kuru aizstāj atbildīgo amatpersonu,</w:t>
            </w:r>
            <w:r w:rsidR="003A586B" w:rsidRPr="00105ABA">
              <w:rPr>
                <w:rFonts w:ascii="Times New Roman" w:hAnsi="Times New Roman" w:cs="Times New Roman"/>
                <w:sz w:val="24"/>
                <w:szCs w:val="24"/>
              </w:rPr>
              <w:t xml:space="preserve"> nevar apstiprināt (personai, ar kuru aizstāj atbildīgo amatpersonu, nav atbilstošas kompetences, pieredze un zināšanas par zāļu izplatīšanu, un viņa nav apmācīta labas izplatīšanas praksē</w:t>
            </w:r>
            <w:r w:rsidR="00146BD1" w:rsidRPr="00105ABA">
              <w:rPr>
                <w:rFonts w:ascii="Times New Roman" w:hAnsi="Times New Roman" w:cs="Times New Roman"/>
                <w:sz w:val="24"/>
                <w:szCs w:val="24"/>
              </w:rPr>
              <w:t>, vai neatbilst Farmācijas likuma 46.</w:t>
            </w:r>
            <w:r w:rsidR="00146BD1" w:rsidRPr="00105ABA">
              <w:rPr>
                <w:rFonts w:ascii="Times New Roman" w:hAnsi="Times New Roman" w:cs="Times New Roman"/>
                <w:sz w:val="24"/>
                <w:szCs w:val="24"/>
                <w:vertAlign w:val="superscript"/>
              </w:rPr>
              <w:t>1 </w:t>
            </w:r>
            <w:r w:rsidR="00146BD1" w:rsidRPr="00105ABA">
              <w:rPr>
                <w:rFonts w:ascii="Times New Roman" w:hAnsi="Times New Roman" w:cs="Times New Roman"/>
                <w:sz w:val="24"/>
                <w:szCs w:val="24"/>
              </w:rPr>
              <w:t xml:space="preserve">panta 2. un 3. punktam un Narkotisko un psihotropo vielu un zāļu, kā arī prekursoru likumīgās aprites likuma </w:t>
            </w:r>
            <w:hyperlink r:id="rId9" w:tgtFrame="_blank" w:history="1">
              <w:r w:rsidR="00146BD1" w:rsidRPr="00105ABA">
                <w:rPr>
                  <w:rStyle w:val="Hyperlink"/>
                  <w:rFonts w:ascii="Times New Roman" w:hAnsi="Times New Roman" w:cs="Times New Roman"/>
                  <w:color w:val="auto"/>
                  <w:sz w:val="24"/>
                  <w:szCs w:val="24"/>
                  <w:u w:val="none"/>
                  <w:shd w:val="clear" w:color="auto" w:fill="FFFFFF"/>
                </w:rPr>
                <w:t>11.panta</w:t>
              </w:r>
            </w:hyperlink>
            <w:r w:rsidR="00146BD1" w:rsidRPr="00105ABA">
              <w:rPr>
                <w:rStyle w:val="Hyperlink"/>
                <w:rFonts w:ascii="Times New Roman" w:hAnsi="Times New Roman" w:cs="Times New Roman"/>
                <w:color w:val="auto"/>
                <w:sz w:val="24"/>
                <w:szCs w:val="24"/>
                <w:u w:val="none"/>
                <w:shd w:val="clear" w:color="auto" w:fill="FFFFFF"/>
              </w:rPr>
              <w:t xml:space="preserve"> 1. un 3. punktam</w:t>
            </w:r>
            <w:r w:rsidR="003A586B" w:rsidRPr="00105ABA">
              <w:rPr>
                <w:rFonts w:ascii="Times New Roman" w:hAnsi="Times New Roman" w:cs="Times New Roman"/>
                <w:sz w:val="24"/>
                <w:szCs w:val="24"/>
              </w:rPr>
              <w:t>), Zāļu valsts aģentūra bez kavēšanās informē par to zāļu vairumtirgotāju un Veselības inspekciju, norādot nelabvēlīgā atzinuma pamatojumu.</w:t>
            </w:r>
            <w:r w:rsidR="007D19B4" w:rsidRPr="00105ABA">
              <w:rPr>
                <w:rFonts w:ascii="Times New Roman" w:hAnsi="Times New Roman" w:cs="Times New Roman"/>
                <w:sz w:val="24"/>
                <w:szCs w:val="24"/>
              </w:rPr>
              <w:t xml:space="preserve"> </w:t>
            </w:r>
            <w:r w:rsidR="007D19B4" w:rsidRPr="00451174">
              <w:rPr>
                <w:rFonts w:ascii="Times New Roman" w:hAnsi="Times New Roman" w:cs="Times New Roman"/>
                <w:sz w:val="24"/>
                <w:szCs w:val="24"/>
              </w:rPr>
              <w:lastRenderedPageBreak/>
              <w:t xml:space="preserve">Šādā gadījumā zāļu vairumtirgotājs </w:t>
            </w:r>
            <w:r w:rsidR="00FF7B2A" w:rsidRPr="00451174">
              <w:rPr>
                <w:rFonts w:ascii="Times New Roman" w:hAnsi="Times New Roman" w:cs="Times New Roman"/>
                <w:sz w:val="24"/>
                <w:szCs w:val="24"/>
              </w:rPr>
              <w:t xml:space="preserve">norīko jaunu personu, </w:t>
            </w:r>
            <w:r w:rsidR="00FF7B2A" w:rsidRPr="00451174">
              <w:rPr>
                <w:rFonts w:ascii="Times New Roman" w:hAnsi="Times New Roman" w:cs="Times New Roman"/>
                <w:sz w:val="24"/>
                <w:szCs w:val="24"/>
                <w:lang w:eastAsia="lv-LV"/>
              </w:rPr>
              <w:t xml:space="preserve">ar kuru aizstāj atbildīgo amatpersonu, </w:t>
            </w:r>
            <w:r w:rsidR="006F4E32" w:rsidRPr="00451174">
              <w:rPr>
                <w:rFonts w:ascii="Times New Roman" w:hAnsi="Times New Roman" w:cs="Times New Roman"/>
                <w:sz w:val="24"/>
                <w:szCs w:val="24"/>
                <w:lang w:eastAsia="lv-LV"/>
              </w:rPr>
              <w:t>par to iesniedzot attiecīgo paziņojumu Zāļu valsts aģentūrai</w:t>
            </w:r>
            <w:r w:rsidR="00105ABA" w:rsidRPr="00451174">
              <w:rPr>
                <w:rFonts w:ascii="Times New Roman" w:hAnsi="Times New Roman" w:cs="Times New Roman"/>
                <w:sz w:val="24"/>
                <w:szCs w:val="24"/>
                <w:lang w:eastAsia="lv-LV"/>
              </w:rPr>
              <w:t xml:space="preserve">, pie atkārtota nelabvēlīga atzinuma Zāļu valsts aģentūra </w:t>
            </w:r>
            <w:r w:rsidR="00AA4785">
              <w:rPr>
                <w:rFonts w:ascii="Times New Roman" w:hAnsi="Times New Roman" w:cs="Times New Roman"/>
                <w:sz w:val="24"/>
                <w:szCs w:val="24"/>
                <w:lang w:eastAsia="lv-LV"/>
              </w:rPr>
              <w:t xml:space="preserve">un Veselības inspekcija </w:t>
            </w:r>
            <w:r w:rsidR="00105ABA" w:rsidRPr="00451174">
              <w:rPr>
                <w:rFonts w:ascii="Times New Roman" w:hAnsi="Times New Roman" w:cs="Times New Roman"/>
                <w:sz w:val="24"/>
                <w:szCs w:val="24"/>
                <w:lang w:eastAsia="lv-LV"/>
              </w:rPr>
              <w:t xml:space="preserve">ir tiesiska izskatīt jautājumu par zāļu lieltirgotavas </w:t>
            </w:r>
            <w:r w:rsidR="00AA4785">
              <w:rPr>
                <w:rFonts w:ascii="Times New Roman" w:hAnsi="Times New Roman" w:cs="Times New Roman"/>
                <w:sz w:val="24"/>
                <w:szCs w:val="24"/>
                <w:lang w:eastAsia="lv-LV"/>
              </w:rPr>
              <w:t xml:space="preserve">licences un </w:t>
            </w:r>
            <w:r w:rsidR="00105ABA" w:rsidRPr="00451174">
              <w:rPr>
                <w:rFonts w:ascii="Times New Roman" w:hAnsi="Times New Roman" w:cs="Times New Roman"/>
                <w:sz w:val="24"/>
                <w:szCs w:val="24"/>
                <w:lang w:eastAsia="lv-LV"/>
              </w:rPr>
              <w:t xml:space="preserve">darbības apturēšanu līdz atbilstošas </w:t>
            </w:r>
            <w:r w:rsidR="00105ABA" w:rsidRPr="00451174">
              <w:rPr>
                <w:rFonts w:ascii="Times New Roman" w:hAnsi="Times New Roman" w:cs="Times New Roman"/>
                <w:sz w:val="24"/>
                <w:szCs w:val="24"/>
              </w:rPr>
              <w:t xml:space="preserve">personas, </w:t>
            </w:r>
            <w:r w:rsidR="00105ABA" w:rsidRPr="00451174">
              <w:rPr>
                <w:rFonts w:ascii="Times New Roman" w:hAnsi="Times New Roman" w:cs="Times New Roman"/>
                <w:sz w:val="24"/>
                <w:szCs w:val="24"/>
                <w:lang w:eastAsia="lv-LV"/>
              </w:rPr>
              <w:t>ar kuru aizstāj atbildīgo amatpersonu</w:t>
            </w:r>
            <w:r w:rsidR="00B76C57">
              <w:rPr>
                <w:rFonts w:ascii="Times New Roman" w:hAnsi="Times New Roman" w:cs="Times New Roman"/>
                <w:sz w:val="24"/>
                <w:szCs w:val="24"/>
                <w:lang w:eastAsia="lv-LV"/>
              </w:rPr>
              <w:t xml:space="preserve">, </w:t>
            </w:r>
            <w:r w:rsidR="00105ABA" w:rsidRPr="00451174">
              <w:rPr>
                <w:rFonts w:ascii="Times New Roman" w:hAnsi="Times New Roman" w:cs="Times New Roman"/>
                <w:sz w:val="24"/>
                <w:szCs w:val="24"/>
                <w:lang w:eastAsia="lv-LV"/>
              </w:rPr>
              <w:t>norīkošanai.</w:t>
            </w:r>
          </w:p>
          <w:p w14:paraId="354A5C81" w14:textId="1C09AAEE" w:rsidR="00505F19" w:rsidRPr="00105ABA" w:rsidRDefault="00D0581A" w:rsidP="00635354">
            <w:pPr>
              <w:jc w:val="both"/>
              <w:rPr>
                <w:i/>
                <w:iCs/>
              </w:rPr>
            </w:pPr>
            <w:r w:rsidRPr="00105ABA">
              <w:t xml:space="preserve">(Noteikumu projekta </w:t>
            </w:r>
            <w:r w:rsidR="000B2F27" w:rsidRPr="00105ABA">
              <w:t>6</w:t>
            </w:r>
            <w:r w:rsidRPr="00105ABA">
              <w:t>.</w:t>
            </w:r>
            <w:r w:rsidR="004C097A" w:rsidRPr="00105ABA">
              <w:t> </w:t>
            </w:r>
            <w:r w:rsidRPr="00105ABA">
              <w:t>punkts </w:t>
            </w:r>
            <w:r w:rsidR="00263DF5" w:rsidRPr="00105ABA">
              <w:t>-</w:t>
            </w:r>
            <w:r w:rsidRPr="00105ABA">
              <w:t xml:space="preserve"> MK noteikumu 416 </w:t>
            </w:r>
            <w:r w:rsidRPr="00105ABA">
              <w:rPr>
                <w:bCs/>
              </w:rPr>
              <w:t>171.</w:t>
            </w:r>
            <w:r w:rsidR="00622323" w:rsidRPr="00105ABA">
              <w:rPr>
                <w:bCs/>
                <w:vertAlign w:val="superscript"/>
              </w:rPr>
              <w:t xml:space="preserve">24 </w:t>
            </w:r>
            <w:r w:rsidR="00D81400" w:rsidRPr="00105ABA">
              <w:rPr>
                <w:bCs/>
              </w:rPr>
              <w:t>punkt</w:t>
            </w:r>
            <w:r w:rsidR="00C808F2" w:rsidRPr="00105ABA">
              <w:rPr>
                <w:bCs/>
              </w:rPr>
              <w:t>s</w:t>
            </w:r>
            <w:r w:rsidR="00D81400" w:rsidRPr="00105ABA">
              <w:t>)</w:t>
            </w:r>
            <w:r w:rsidR="00830C2D" w:rsidRPr="00105ABA">
              <w:rPr>
                <w:i/>
                <w:iCs/>
              </w:rPr>
              <w:t>.</w:t>
            </w:r>
          </w:p>
          <w:p w14:paraId="77FE6F88" w14:textId="77777777" w:rsidR="0079068C" w:rsidRPr="00105ABA" w:rsidRDefault="0079068C" w:rsidP="00635354">
            <w:pPr>
              <w:jc w:val="both"/>
              <w:rPr>
                <w:i/>
                <w:iCs/>
              </w:rPr>
            </w:pPr>
          </w:p>
          <w:p w14:paraId="378F5B88" w14:textId="1D133200" w:rsidR="00F53DB9" w:rsidRPr="00105ABA" w:rsidRDefault="000B2F27" w:rsidP="00F53DB9">
            <w:pPr>
              <w:shd w:val="clear" w:color="auto" w:fill="FFFFFF"/>
              <w:jc w:val="both"/>
              <w:rPr>
                <w:b/>
                <w:bCs/>
                <w:i/>
                <w:iCs/>
              </w:rPr>
            </w:pPr>
            <w:r w:rsidRPr="00105ABA">
              <w:rPr>
                <w:b/>
                <w:bCs/>
                <w:i/>
                <w:iCs/>
              </w:rPr>
              <w:t>4. </w:t>
            </w:r>
            <w:r w:rsidR="00F53DB9" w:rsidRPr="00105ABA">
              <w:rPr>
                <w:b/>
                <w:bCs/>
                <w:i/>
                <w:iCs/>
              </w:rPr>
              <w:t xml:space="preserve">Jāprecizē procedūras saistībā ar komentāru sniegšanu par Zāļu valsts aģentūras kontroles ziņojumu </w:t>
            </w:r>
          </w:p>
          <w:p w14:paraId="11B731F9" w14:textId="060230B5" w:rsidR="00F53DB9" w:rsidRPr="00105ABA" w:rsidRDefault="00F53DB9" w:rsidP="00F53DB9">
            <w:pPr>
              <w:shd w:val="clear" w:color="auto" w:fill="FFFFFF"/>
              <w:jc w:val="both"/>
              <w:rPr>
                <w:b/>
                <w:bCs/>
                <w:i/>
                <w:iCs/>
              </w:rPr>
            </w:pPr>
            <w:r w:rsidRPr="00105ABA">
              <w:t>Pašreizējais regulējums MK noteikumos 416</w:t>
            </w:r>
            <w:r w:rsidR="00D145F0" w:rsidRPr="00105ABA">
              <w:t xml:space="preserve"> </w:t>
            </w:r>
            <w:r w:rsidRPr="00105ABA">
              <w:t>146.9.</w:t>
            </w:r>
            <w:r w:rsidR="00D145F0" w:rsidRPr="00105ABA">
              <w:t> </w:t>
            </w:r>
            <w:r w:rsidRPr="00105ABA">
              <w:t>apakšpunktā nosaka, ka kontroles ziņojumu pēc tā sagatavošanas nosūta pārbaudītajai personai, kura sniedz savu komentārus par to pirms gala ziņojuma apstiprināšanas.</w:t>
            </w:r>
          </w:p>
          <w:p w14:paraId="59E89057" w14:textId="6C27D8F2" w:rsidR="000B2F27" w:rsidRPr="00105ABA" w:rsidRDefault="00F53DB9" w:rsidP="00C808F2">
            <w:pPr>
              <w:shd w:val="clear" w:color="auto" w:fill="FFFFFF"/>
              <w:jc w:val="both"/>
              <w:rPr>
                <w:b/>
                <w:bCs/>
                <w:i/>
                <w:iCs/>
              </w:rPr>
            </w:pPr>
            <w:r w:rsidRPr="00105ABA">
              <w:rPr>
                <w:iCs/>
              </w:rPr>
              <w:t xml:space="preserve">Pēc Zāļu valsts aģentūras sniegtās informācijas </w:t>
            </w:r>
            <w:r w:rsidRPr="00105ABA">
              <w:t xml:space="preserve">Eiropas Savienības dalībvalstu kopīgās audita programmas (JAP) ietvaros tika pārrunāta procedūra attiecībā uz komentāru sniegšanu par kontroles ziņojumu. Aģentūra ierosināja izmantot vienkāršāku risinājumu, kas arī nodrošina regulējuma mērķa sasniegšanu, proti, inspicētais komersants sniedz komentārus par gala kontroles ziņojumu, nevis pirms tā apstiprināšanas. Aģentūras ieteiktais un izmantotais organizēto procesu un veikto praktisko darbību (inspekciju) risinājums pēc auditoru ieskata arī sasniedz regulējuma mērķi, tāpēc audita rezultātā tika secināts, ka Zāļu valsts aģentūras organizētie procesi un veiktās praktiskās darbības (inspekcijas) atbilst starptautiskajām prasībām zāļu </w:t>
            </w:r>
            <w:r w:rsidR="00070C2C" w:rsidRPr="00105ABA">
              <w:t>labas izplatīšanas</w:t>
            </w:r>
            <w:r w:rsidRPr="00105ABA">
              <w:t xml:space="preserve"> prakses atbilstības novērtēšanā. Līdz ar to regulējums tiek precizēts, konkretizējot normu par komentāru sniegšanu par kontroles ziņojumu un vienlaicīgi izslēdzot normu par komentāru pirms kontroles ziņojuma tā apstiprināšanas.</w:t>
            </w:r>
            <w:r w:rsidR="007C6CD4" w:rsidRPr="00105ABA">
              <w:rPr>
                <w:b/>
                <w:bCs/>
                <w:i/>
                <w:iCs/>
              </w:rPr>
              <w:t xml:space="preserve"> </w:t>
            </w:r>
            <w:r w:rsidRPr="00105ABA">
              <w:t>(Noteikumu projekta 5. punkts)</w:t>
            </w:r>
            <w:r w:rsidR="007C6CD4" w:rsidRPr="00105ABA">
              <w:t>.</w:t>
            </w:r>
          </w:p>
          <w:p w14:paraId="073593E8" w14:textId="77777777" w:rsidR="007C6CD4" w:rsidRPr="00105ABA" w:rsidRDefault="007C6CD4" w:rsidP="00C808F2">
            <w:pPr>
              <w:shd w:val="clear" w:color="auto" w:fill="FFFFFF"/>
              <w:jc w:val="both"/>
              <w:rPr>
                <w:b/>
                <w:bCs/>
                <w:i/>
                <w:iCs/>
              </w:rPr>
            </w:pPr>
          </w:p>
          <w:p w14:paraId="4F61E30B" w14:textId="32D2BEA5" w:rsidR="00C808F2" w:rsidRPr="00105ABA" w:rsidRDefault="00D0581A" w:rsidP="00C808F2">
            <w:pPr>
              <w:shd w:val="clear" w:color="auto" w:fill="FFFFFF"/>
              <w:jc w:val="both"/>
              <w:rPr>
                <w:b/>
                <w:bCs/>
                <w:i/>
                <w:iCs/>
              </w:rPr>
            </w:pPr>
            <w:r w:rsidRPr="00105ABA">
              <w:rPr>
                <w:b/>
                <w:bCs/>
                <w:i/>
                <w:iCs/>
              </w:rPr>
              <w:t>5</w:t>
            </w:r>
            <w:r w:rsidR="00E0226B" w:rsidRPr="00105ABA">
              <w:rPr>
                <w:b/>
                <w:bCs/>
                <w:i/>
                <w:iCs/>
              </w:rPr>
              <w:t>.</w:t>
            </w:r>
            <w:r w:rsidR="00C808F2" w:rsidRPr="00105ABA">
              <w:rPr>
                <w:b/>
                <w:bCs/>
                <w:i/>
                <w:iCs/>
              </w:rPr>
              <w:t> </w:t>
            </w:r>
            <w:r w:rsidR="00AD4483" w:rsidRPr="00105ABA">
              <w:rPr>
                <w:b/>
                <w:bCs/>
                <w:i/>
                <w:iCs/>
              </w:rPr>
              <w:t>T</w:t>
            </w:r>
            <w:r w:rsidR="00C808F2" w:rsidRPr="00105ABA">
              <w:rPr>
                <w:b/>
                <w:bCs/>
                <w:i/>
                <w:iCs/>
              </w:rPr>
              <w:t xml:space="preserve">ehniska rakstura </w:t>
            </w:r>
            <w:r w:rsidR="00AD4483" w:rsidRPr="00105ABA">
              <w:rPr>
                <w:b/>
                <w:bCs/>
                <w:i/>
                <w:iCs/>
              </w:rPr>
              <w:t>grozījums</w:t>
            </w:r>
            <w:r w:rsidR="00C808F2" w:rsidRPr="00105ABA">
              <w:rPr>
                <w:b/>
                <w:bCs/>
                <w:i/>
                <w:iCs/>
              </w:rPr>
              <w:t>.</w:t>
            </w:r>
          </w:p>
          <w:p w14:paraId="1BD78B8D" w14:textId="364E8263" w:rsidR="004A70A7" w:rsidRPr="00105ABA" w:rsidRDefault="004A70A7" w:rsidP="00C808F2">
            <w:pPr>
              <w:shd w:val="clear" w:color="auto" w:fill="FFFFFF"/>
              <w:jc w:val="both"/>
            </w:pPr>
            <w:r w:rsidRPr="00105ABA">
              <w:t xml:space="preserve">MK noteikumu </w:t>
            </w:r>
            <w:r w:rsidR="00ED3BA3" w:rsidRPr="00105ABA">
              <w:t>416</w:t>
            </w:r>
            <w:r w:rsidRPr="00105ABA">
              <w:t xml:space="preserve"> </w:t>
            </w:r>
            <w:r w:rsidR="00ED3BA3" w:rsidRPr="00105ABA">
              <w:t>9</w:t>
            </w:r>
            <w:r w:rsidRPr="00105ABA">
              <w:t>.</w:t>
            </w:r>
            <w:r w:rsidR="00D145F0" w:rsidRPr="00105ABA">
              <w:t> </w:t>
            </w:r>
            <w:r w:rsidR="00ED3BA3" w:rsidRPr="00105ABA">
              <w:t>punktā</w:t>
            </w:r>
            <w:r w:rsidRPr="00105ABA">
              <w:t xml:space="preserve"> un </w:t>
            </w:r>
            <w:r w:rsidR="00ED3BA3" w:rsidRPr="00105ABA">
              <w:t>104.2</w:t>
            </w:r>
            <w:r w:rsidRPr="00105ABA">
              <w:t>. </w:t>
            </w:r>
            <w:r w:rsidR="00ED3BA3" w:rsidRPr="00105ABA">
              <w:t>apakš</w:t>
            </w:r>
            <w:r w:rsidRPr="00105ABA">
              <w:t>punktā ir atsauce uz likumu "Par narkotisko un psihotropo vielu un zāļu likumīgās aprites kārtību"</w:t>
            </w:r>
            <w:r w:rsidR="007C6CD4" w:rsidRPr="00105ABA">
              <w:t>".</w:t>
            </w:r>
            <w:r w:rsidRPr="00105ABA">
              <w:t xml:space="preserve"> Sakarā ar 03.07.2019. spēkā stājušos likumu </w:t>
            </w:r>
            <w:r w:rsidR="007C6CD4" w:rsidRPr="00105ABA">
              <w:t>"</w:t>
            </w:r>
            <w:r w:rsidRPr="00105ABA">
              <w:t>Grozījumi likumā "Par narkotisko un psihotropo vielu un zāļu likumīgās aprites kārtību"”, kas ir izmainījis likuma nosaukumu uz "</w:t>
            </w:r>
            <w:r w:rsidR="00682000" w:rsidRPr="00105ABA">
              <w:rPr>
                <w:bCs/>
              </w:rPr>
              <w:t>N</w:t>
            </w:r>
            <w:r w:rsidRPr="00105ABA">
              <w:rPr>
                <w:bCs/>
              </w:rPr>
              <w:t>arkotisko un psihotropo vielu un zāļu, kā arī prekursoru likumīg</w:t>
            </w:r>
            <w:r w:rsidR="00682000" w:rsidRPr="00105ABA">
              <w:rPr>
                <w:bCs/>
              </w:rPr>
              <w:t>ās</w:t>
            </w:r>
            <w:r w:rsidRPr="00105ABA">
              <w:rPr>
                <w:bCs/>
              </w:rPr>
              <w:t xml:space="preserve"> aprit</w:t>
            </w:r>
            <w:r w:rsidR="00682000" w:rsidRPr="00105ABA">
              <w:rPr>
                <w:bCs/>
              </w:rPr>
              <w:t>es likums</w:t>
            </w:r>
            <w:r w:rsidRPr="00105ABA">
              <w:t xml:space="preserve">", MK noteikumu </w:t>
            </w:r>
            <w:r w:rsidR="00ED3BA3" w:rsidRPr="00105ABA">
              <w:t>416</w:t>
            </w:r>
            <w:r w:rsidRPr="00105ABA">
              <w:t xml:space="preserve"> </w:t>
            </w:r>
            <w:r w:rsidR="00ED3BA3" w:rsidRPr="00105ABA">
              <w:t>9</w:t>
            </w:r>
            <w:r w:rsidRPr="00105ABA">
              <w:t>.</w:t>
            </w:r>
            <w:r w:rsidR="00D145F0" w:rsidRPr="00105ABA">
              <w:t> </w:t>
            </w:r>
            <w:r w:rsidR="00ED3BA3" w:rsidRPr="00105ABA">
              <w:t>punktā</w:t>
            </w:r>
            <w:r w:rsidRPr="00105ABA">
              <w:t xml:space="preserve"> un </w:t>
            </w:r>
            <w:r w:rsidR="00ED3BA3" w:rsidRPr="00105ABA">
              <w:t>104.2</w:t>
            </w:r>
            <w:r w:rsidRPr="00105ABA">
              <w:t>. </w:t>
            </w:r>
            <w:r w:rsidR="00ED3BA3" w:rsidRPr="00105ABA">
              <w:t>apakš</w:t>
            </w:r>
            <w:r w:rsidRPr="00105ABA">
              <w:t>punktā ir izdarīts redakcionāls labojums</w:t>
            </w:r>
            <w:r w:rsidR="00F811CB" w:rsidRPr="00105ABA">
              <w:t xml:space="preserve">. </w:t>
            </w:r>
            <w:r w:rsidRPr="00105ABA">
              <w:t xml:space="preserve">(Noteikumu projekta </w:t>
            </w:r>
            <w:r w:rsidR="00ED3BA3" w:rsidRPr="00105ABA">
              <w:t>1</w:t>
            </w:r>
            <w:r w:rsidR="00F811CB" w:rsidRPr="00105ABA">
              <w:t xml:space="preserve">. un </w:t>
            </w:r>
            <w:r w:rsidR="00BE76CE" w:rsidRPr="00105ABA">
              <w:t>2</w:t>
            </w:r>
            <w:r w:rsidRPr="00105ABA">
              <w:t>.</w:t>
            </w:r>
            <w:r w:rsidR="00C808F2" w:rsidRPr="00105ABA">
              <w:t> </w:t>
            </w:r>
            <w:r w:rsidRPr="00105ABA">
              <w:t>punkts).</w:t>
            </w:r>
          </w:p>
        </w:tc>
      </w:tr>
      <w:tr w:rsidR="0005464C" w:rsidRPr="001A5641" w14:paraId="528A141F" w14:textId="77777777" w:rsidTr="00481290">
        <w:trPr>
          <w:cantSplit/>
        </w:trPr>
        <w:tc>
          <w:tcPr>
            <w:tcW w:w="421" w:type="dxa"/>
            <w:hideMark/>
          </w:tcPr>
          <w:p w14:paraId="2ED32B0E" w14:textId="77777777" w:rsidR="0005464C" w:rsidRPr="001A5641" w:rsidRDefault="0005464C" w:rsidP="00D44D6F">
            <w:pPr>
              <w:jc w:val="center"/>
            </w:pPr>
            <w:r w:rsidRPr="001A5641">
              <w:lastRenderedPageBreak/>
              <w:t>3.</w:t>
            </w:r>
          </w:p>
        </w:tc>
        <w:tc>
          <w:tcPr>
            <w:tcW w:w="1842" w:type="dxa"/>
            <w:hideMark/>
          </w:tcPr>
          <w:p w14:paraId="76277CDE" w14:textId="77777777" w:rsidR="0005464C" w:rsidRDefault="0005464C" w:rsidP="00D44D6F">
            <w:r w:rsidRPr="001A5641">
              <w:t>Projekta izstrādē iesaistītās institūcijas un publiskas personas kapitālsabiedrības</w:t>
            </w:r>
          </w:p>
          <w:p w14:paraId="63EE471C" w14:textId="77777777" w:rsidR="0005464C" w:rsidRPr="001A5641" w:rsidRDefault="0005464C" w:rsidP="00D44D6F"/>
        </w:tc>
        <w:tc>
          <w:tcPr>
            <w:tcW w:w="6818" w:type="dxa"/>
            <w:hideMark/>
          </w:tcPr>
          <w:p w14:paraId="472ADDC1" w14:textId="1CD242D5" w:rsidR="00A5089F" w:rsidRPr="00F962D0" w:rsidRDefault="00523A78" w:rsidP="00D44D6F">
            <w:pPr>
              <w:jc w:val="both"/>
            </w:pPr>
            <w:r>
              <w:t xml:space="preserve">Veselības ministrija, </w:t>
            </w:r>
            <w:r w:rsidR="00283F65" w:rsidRPr="00F962D0">
              <w:t>Zāļu valsts aģentūra</w:t>
            </w:r>
            <w:r>
              <w:t>, Veselības inspekcija</w:t>
            </w:r>
          </w:p>
        </w:tc>
      </w:tr>
      <w:tr w:rsidR="0005464C" w:rsidRPr="001A5641" w14:paraId="10E8BC5D" w14:textId="77777777" w:rsidTr="00481290">
        <w:trPr>
          <w:cantSplit/>
        </w:trPr>
        <w:tc>
          <w:tcPr>
            <w:tcW w:w="421" w:type="dxa"/>
            <w:hideMark/>
          </w:tcPr>
          <w:p w14:paraId="1632CF64" w14:textId="77777777" w:rsidR="0005464C" w:rsidRPr="001A5641" w:rsidRDefault="0005464C" w:rsidP="00D44D6F">
            <w:pPr>
              <w:jc w:val="center"/>
            </w:pPr>
            <w:r w:rsidRPr="001A5641">
              <w:t>4.</w:t>
            </w:r>
          </w:p>
        </w:tc>
        <w:tc>
          <w:tcPr>
            <w:tcW w:w="1842" w:type="dxa"/>
            <w:hideMark/>
          </w:tcPr>
          <w:p w14:paraId="364AF8E9" w14:textId="77777777" w:rsidR="0005464C" w:rsidRPr="001A5641" w:rsidRDefault="0005464C" w:rsidP="00D44D6F">
            <w:r w:rsidRPr="001A5641">
              <w:t>Cita informācija</w:t>
            </w:r>
          </w:p>
        </w:tc>
        <w:tc>
          <w:tcPr>
            <w:tcW w:w="6818" w:type="dxa"/>
            <w:hideMark/>
          </w:tcPr>
          <w:p w14:paraId="753BC45B" w14:textId="77777777" w:rsidR="0005464C" w:rsidRPr="001A5641" w:rsidRDefault="0005464C" w:rsidP="00D44D6F">
            <w:r>
              <w:t>Nav.</w:t>
            </w:r>
          </w:p>
        </w:tc>
      </w:tr>
    </w:tbl>
    <w:p w14:paraId="4B8F0570" w14:textId="77777777" w:rsidR="0005464C" w:rsidRPr="001A5641" w:rsidRDefault="0005464C" w:rsidP="007520AF">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0"/>
        <w:gridCol w:w="2695"/>
        <w:gridCol w:w="5946"/>
      </w:tblGrid>
      <w:tr w:rsidR="0005464C" w:rsidRPr="001A5641" w14:paraId="031A4F1F" w14:textId="77777777" w:rsidTr="00D44D6F">
        <w:trPr>
          <w:cantSplit/>
        </w:trPr>
        <w:tc>
          <w:tcPr>
            <w:tcW w:w="5000" w:type="pct"/>
            <w:gridSpan w:val="3"/>
            <w:vAlign w:val="center"/>
            <w:hideMark/>
          </w:tcPr>
          <w:p w14:paraId="5F847BB8" w14:textId="77777777" w:rsidR="0005464C" w:rsidRDefault="0005464C" w:rsidP="00D44D6F">
            <w:pPr>
              <w:jc w:val="center"/>
              <w:rPr>
                <w:b/>
                <w:bCs/>
              </w:rPr>
            </w:pPr>
            <w:r w:rsidRPr="001A5641">
              <w:rPr>
                <w:b/>
                <w:bCs/>
              </w:rPr>
              <w:lastRenderedPageBreak/>
              <w:t>II. Tiesību akta projekta ietekme uz sabiedrību, tautsaimniecības attīstību un administratīvo slogu</w:t>
            </w:r>
          </w:p>
          <w:p w14:paraId="0E949903" w14:textId="77777777" w:rsidR="00723EB5" w:rsidRPr="00723EB5" w:rsidRDefault="00723EB5" w:rsidP="00723EB5"/>
          <w:p w14:paraId="48D088BB" w14:textId="788B2EF0" w:rsidR="00723EB5" w:rsidRPr="00723EB5" w:rsidRDefault="00723EB5" w:rsidP="00723EB5"/>
        </w:tc>
      </w:tr>
      <w:tr w:rsidR="0005464C" w:rsidRPr="001A5641" w14:paraId="7808A7F7" w14:textId="77777777" w:rsidTr="007C6CD4">
        <w:trPr>
          <w:cantSplit/>
        </w:trPr>
        <w:tc>
          <w:tcPr>
            <w:tcW w:w="232" w:type="pct"/>
            <w:hideMark/>
          </w:tcPr>
          <w:p w14:paraId="2359FBEE" w14:textId="77777777" w:rsidR="0005464C" w:rsidRPr="001A5641" w:rsidRDefault="0005464C" w:rsidP="00D44D6F">
            <w:pPr>
              <w:jc w:val="center"/>
            </w:pPr>
            <w:r w:rsidRPr="001A5641">
              <w:t>1.</w:t>
            </w:r>
          </w:p>
        </w:tc>
        <w:tc>
          <w:tcPr>
            <w:tcW w:w="1487" w:type="pct"/>
            <w:hideMark/>
          </w:tcPr>
          <w:p w14:paraId="4E229E9F" w14:textId="77777777" w:rsidR="0005464C" w:rsidRPr="001A5641" w:rsidRDefault="0005464C" w:rsidP="00D44D6F">
            <w:r w:rsidRPr="001A5641">
              <w:t>Sabiedrības mērķgrupas, kuras tiesiskais regulējums ietekmē vai varētu ietekmēt</w:t>
            </w:r>
          </w:p>
        </w:tc>
        <w:tc>
          <w:tcPr>
            <w:tcW w:w="3282" w:type="pct"/>
            <w:hideMark/>
          </w:tcPr>
          <w:p w14:paraId="4FE36CD7" w14:textId="4B820783" w:rsidR="008030AB" w:rsidRPr="00AD4483" w:rsidRDefault="004417A2" w:rsidP="00D44D6F">
            <w:pPr>
              <w:jc w:val="both"/>
            </w:pPr>
            <w:r>
              <w:t xml:space="preserve">Noteikumu projekts </w:t>
            </w:r>
            <w:r w:rsidRPr="00AD4483">
              <w:t>attiecas</w:t>
            </w:r>
            <w:r w:rsidR="00AE506B">
              <w:t xml:space="preserve"> uz</w:t>
            </w:r>
            <w:r w:rsidRPr="00AD4483">
              <w:t xml:space="preserve"> z</w:t>
            </w:r>
            <w:r w:rsidR="0005464C" w:rsidRPr="00AD4483">
              <w:t xml:space="preserve">āļu </w:t>
            </w:r>
            <w:r w:rsidR="00ED3BA3" w:rsidRPr="00AD4483">
              <w:t>vairumtirgotājiem</w:t>
            </w:r>
            <w:r w:rsidR="008030AB" w:rsidRPr="00AD4483">
              <w:t xml:space="preserve"> </w:t>
            </w:r>
            <w:r w:rsidR="00AD4483" w:rsidRPr="00AD4483">
              <w:t xml:space="preserve">- </w:t>
            </w:r>
            <w:r w:rsidR="008030AB" w:rsidRPr="00AD4483">
              <w:t xml:space="preserve">zāļu lieltirgotavas, zāļu importētāji un zāļu ražotāji, kas izplata vairumtirdzniecībā paši savu saražotā zāles, kā arī </w:t>
            </w:r>
            <w:r w:rsidR="00AD4483" w:rsidRPr="00AD4483">
              <w:t xml:space="preserve">ES/EEZ vairumtirdzniecības uzņēmumiem, kā arī uz  </w:t>
            </w:r>
            <w:r w:rsidR="008030AB" w:rsidRPr="00AD4483">
              <w:t>person</w:t>
            </w:r>
            <w:r w:rsidR="00AD4483" w:rsidRPr="00AD4483">
              <w:t>ām</w:t>
            </w:r>
            <w:r w:rsidR="008030AB" w:rsidRPr="00AD4483">
              <w:t>, kas nodarbojas ar starpniecības darījumiem ar zālēm</w:t>
            </w:r>
            <w:r w:rsidRPr="00AD4483">
              <w:t>.</w:t>
            </w:r>
          </w:p>
          <w:p w14:paraId="13B894AD" w14:textId="5ECF337C" w:rsidR="0005464C" w:rsidRPr="00A835F3" w:rsidRDefault="00465344" w:rsidP="00D44D6F">
            <w:pPr>
              <w:jc w:val="both"/>
            </w:pPr>
            <w:r w:rsidRPr="00A835F3">
              <w:t>Pašlaik</w:t>
            </w:r>
            <w:r w:rsidR="0005464C" w:rsidRPr="00A835F3">
              <w:t xml:space="preserve"> valstī ir</w:t>
            </w:r>
            <w:r w:rsidR="004417A2" w:rsidRPr="00A835F3">
              <w:t xml:space="preserve"> </w:t>
            </w:r>
            <w:r w:rsidR="008030AB" w:rsidRPr="00A835F3">
              <w:t>93</w:t>
            </w:r>
            <w:r w:rsidR="0005464C" w:rsidRPr="00A835F3">
              <w:t xml:space="preserve"> zāļu </w:t>
            </w:r>
            <w:r w:rsidR="008030AB" w:rsidRPr="00A835F3">
              <w:t>lieltirgotavas, 43 apakšuzņēmumi</w:t>
            </w:r>
            <w:r w:rsidR="00C25BAA" w:rsidRPr="00A835F3">
              <w:t xml:space="preserve"> </w:t>
            </w:r>
            <w:r w:rsidR="00A835F3" w:rsidRPr="00A835F3">
              <w:t xml:space="preserve">un 3 ES/EEZ vairumtirdzniecības uzņēmumi </w:t>
            </w:r>
            <w:r w:rsidR="0005464C" w:rsidRPr="00A835F3">
              <w:t>(</w:t>
            </w:r>
            <w:r w:rsidR="00670DE7" w:rsidRPr="00A835F3">
              <w:t xml:space="preserve">dati uz </w:t>
            </w:r>
            <w:r w:rsidR="008030AB" w:rsidRPr="00A835F3">
              <w:t>05.01.2021</w:t>
            </w:r>
            <w:r w:rsidR="00670DE7" w:rsidRPr="00A835F3">
              <w:t xml:space="preserve">. </w:t>
            </w:r>
            <w:r w:rsidR="0005464C" w:rsidRPr="00A835F3">
              <w:t xml:space="preserve">no </w:t>
            </w:r>
            <w:r w:rsidR="004417A2" w:rsidRPr="00A835F3">
              <w:t xml:space="preserve">Zāļu valsts </w:t>
            </w:r>
            <w:r w:rsidR="009D4759" w:rsidRPr="00A835F3">
              <w:t>aģentūras</w:t>
            </w:r>
            <w:r w:rsidR="0005464C" w:rsidRPr="00A835F3">
              <w:t xml:space="preserve"> tīmekļvietnes </w:t>
            </w:r>
            <w:hyperlink r:id="rId10" w:history="1">
              <w:r w:rsidR="00895693" w:rsidRPr="00A835F3">
                <w:rPr>
                  <w:rStyle w:val="Hyperlink"/>
                  <w:i/>
                  <w:color w:val="auto"/>
                  <w:u w:val="none"/>
                </w:rPr>
                <w:t>www.zva.gov.lv</w:t>
              </w:r>
            </w:hyperlink>
            <w:r w:rsidR="0005464C" w:rsidRPr="00A835F3">
              <w:t>)</w:t>
            </w:r>
            <w:r w:rsidRPr="00A835F3">
              <w:t>.</w:t>
            </w:r>
          </w:p>
          <w:p w14:paraId="4DF6F570" w14:textId="30FCA750" w:rsidR="00A835F3" w:rsidRPr="002412A1" w:rsidRDefault="00A835F3" w:rsidP="00D44D6F">
            <w:pPr>
              <w:jc w:val="both"/>
            </w:pPr>
            <w:r w:rsidRPr="00A835F3">
              <w:t>Latvijā nav reģistrēta</w:t>
            </w:r>
            <w:r>
              <w:t xml:space="preserve"> neviena persona, kas veic starpniecības darījumus ar zālēm.</w:t>
            </w:r>
          </w:p>
          <w:p w14:paraId="0D906894" w14:textId="07A61AA8" w:rsidR="00895693" w:rsidRPr="002077BF" w:rsidRDefault="00895693" w:rsidP="00D44D6F">
            <w:pPr>
              <w:jc w:val="both"/>
            </w:pPr>
          </w:p>
        </w:tc>
      </w:tr>
      <w:tr w:rsidR="0005464C" w:rsidRPr="001A5641" w14:paraId="2FD968CE" w14:textId="77777777" w:rsidTr="007C6CD4">
        <w:trPr>
          <w:cantSplit/>
        </w:trPr>
        <w:tc>
          <w:tcPr>
            <w:tcW w:w="232" w:type="pct"/>
            <w:hideMark/>
          </w:tcPr>
          <w:p w14:paraId="7F20A364" w14:textId="77777777" w:rsidR="0005464C" w:rsidRPr="001A5641" w:rsidRDefault="0005464C" w:rsidP="00D44D6F">
            <w:pPr>
              <w:jc w:val="center"/>
            </w:pPr>
            <w:r w:rsidRPr="001A5641">
              <w:t>2.</w:t>
            </w:r>
          </w:p>
        </w:tc>
        <w:tc>
          <w:tcPr>
            <w:tcW w:w="1487" w:type="pct"/>
            <w:hideMark/>
          </w:tcPr>
          <w:p w14:paraId="22292C7D" w14:textId="77777777" w:rsidR="0005464C" w:rsidRPr="001A5641" w:rsidRDefault="0005464C" w:rsidP="00D44D6F">
            <w:r w:rsidRPr="001A5641">
              <w:t>Tiesiskā regulējuma ietekme uz tautsaimniecību un administratīvo slogu</w:t>
            </w:r>
          </w:p>
        </w:tc>
        <w:tc>
          <w:tcPr>
            <w:tcW w:w="3282" w:type="pct"/>
            <w:hideMark/>
          </w:tcPr>
          <w:p w14:paraId="209C8650" w14:textId="4D1A22F5" w:rsidR="0005464C" w:rsidRPr="00534795" w:rsidRDefault="004417A2">
            <w:pPr>
              <w:jc w:val="both"/>
            </w:pPr>
            <w:r>
              <w:t>Projekta ietekme uz tautsaimniecību un administratīvo slogu nemainās, jo nemainās arī noteikumu projektā paredzētās prasības salīdzinājumā ar līdz šim M</w:t>
            </w:r>
            <w:r w:rsidR="00444D3B">
              <w:t>K</w:t>
            </w:r>
            <w:r>
              <w:t xml:space="preserve"> noteikumos </w:t>
            </w:r>
            <w:r w:rsidR="00ED3BA3">
              <w:t>416</w:t>
            </w:r>
            <w:r>
              <w:t xml:space="preserve"> noteikto.</w:t>
            </w:r>
          </w:p>
        </w:tc>
      </w:tr>
      <w:tr w:rsidR="0005464C" w:rsidRPr="001A5641" w14:paraId="382744EA" w14:textId="77777777" w:rsidTr="007C6CD4">
        <w:trPr>
          <w:cantSplit/>
        </w:trPr>
        <w:tc>
          <w:tcPr>
            <w:tcW w:w="232" w:type="pct"/>
            <w:hideMark/>
          </w:tcPr>
          <w:p w14:paraId="42967416" w14:textId="77777777" w:rsidR="0005464C" w:rsidRPr="001A5641" w:rsidRDefault="0005464C" w:rsidP="00D44D6F">
            <w:pPr>
              <w:jc w:val="center"/>
            </w:pPr>
            <w:r w:rsidRPr="001A5641">
              <w:t>3.</w:t>
            </w:r>
          </w:p>
        </w:tc>
        <w:tc>
          <w:tcPr>
            <w:tcW w:w="1487" w:type="pct"/>
            <w:hideMark/>
          </w:tcPr>
          <w:p w14:paraId="20F05440" w14:textId="77777777" w:rsidR="0005464C" w:rsidRPr="001A5641" w:rsidRDefault="0005464C" w:rsidP="00D44D6F">
            <w:r w:rsidRPr="001A5641">
              <w:t>Administratīvo izmaksu monetārs novērtējums</w:t>
            </w:r>
          </w:p>
        </w:tc>
        <w:tc>
          <w:tcPr>
            <w:tcW w:w="3282" w:type="pct"/>
            <w:hideMark/>
          </w:tcPr>
          <w:p w14:paraId="3EDCD013" w14:textId="77777777" w:rsidR="0005464C" w:rsidRPr="006F7783" w:rsidRDefault="0005464C" w:rsidP="00D44D6F">
            <w:pPr>
              <w:jc w:val="both"/>
            </w:pPr>
            <w:r>
              <w:t>Projekts šo jomu neskar.</w:t>
            </w:r>
          </w:p>
        </w:tc>
      </w:tr>
      <w:tr w:rsidR="0005464C" w:rsidRPr="001A5641" w14:paraId="7D71DB30" w14:textId="77777777" w:rsidTr="007C6CD4">
        <w:trPr>
          <w:cantSplit/>
        </w:trPr>
        <w:tc>
          <w:tcPr>
            <w:tcW w:w="232" w:type="pct"/>
            <w:hideMark/>
          </w:tcPr>
          <w:p w14:paraId="558BA0F2" w14:textId="77777777" w:rsidR="0005464C" w:rsidRPr="001A5641" w:rsidRDefault="0005464C" w:rsidP="00D44D6F">
            <w:pPr>
              <w:jc w:val="center"/>
            </w:pPr>
            <w:r w:rsidRPr="001A5641">
              <w:t>4.</w:t>
            </w:r>
          </w:p>
        </w:tc>
        <w:tc>
          <w:tcPr>
            <w:tcW w:w="1487" w:type="pct"/>
            <w:hideMark/>
          </w:tcPr>
          <w:p w14:paraId="68AA38E1" w14:textId="77777777" w:rsidR="0005464C" w:rsidRPr="001A5641" w:rsidRDefault="0005464C" w:rsidP="00D44D6F">
            <w:r w:rsidRPr="001A5641">
              <w:t>Atbilstības izmaksu monetārs novērtējums</w:t>
            </w:r>
          </w:p>
        </w:tc>
        <w:tc>
          <w:tcPr>
            <w:tcW w:w="3282" w:type="pct"/>
            <w:hideMark/>
          </w:tcPr>
          <w:p w14:paraId="0B34A385" w14:textId="058BC774" w:rsidR="0005464C" w:rsidRPr="001A5641" w:rsidRDefault="0005464C" w:rsidP="00D44D6F">
            <w:pPr>
              <w:jc w:val="both"/>
            </w:pPr>
            <w:r>
              <w:t>Projekts šo jomu neskar</w:t>
            </w:r>
            <w:r w:rsidRPr="00036EE4">
              <w:t>.</w:t>
            </w:r>
          </w:p>
        </w:tc>
      </w:tr>
      <w:tr w:rsidR="0005464C" w:rsidRPr="001A5641" w14:paraId="1007B905" w14:textId="77777777" w:rsidTr="007C6CD4">
        <w:trPr>
          <w:cantSplit/>
        </w:trPr>
        <w:tc>
          <w:tcPr>
            <w:tcW w:w="232" w:type="pct"/>
            <w:hideMark/>
          </w:tcPr>
          <w:p w14:paraId="13F2B148" w14:textId="77777777" w:rsidR="0005464C" w:rsidRPr="001A5641" w:rsidRDefault="0005464C" w:rsidP="00D44D6F">
            <w:pPr>
              <w:jc w:val="center"/>
            </w:pPr>
            <w:r w:rsidRPr="001A5641">
              <w:t>5.</w:t>
            </w:r>
          </w:p>
        </w:tc>
        <w:tc>
          <w:tcPr>
            <w:tcW w:w="1487" w:type="pct"/>
            <w:hideMark/>
          </w:tcPr>
          <w:p w14:paraId="6087DFE9" w14:textId="77777777" w:rsidR="0005464C" w:rsidRPr="001A5641" w:rsidRDefault="0005464C" w:rsidP="00D44D6F">
            <w:r w:rsidRPr="001A5641">
              <w:t>Cita informācija</w:t>
            </w:r>
          </w:p>
        </w:tc>
        <w:tc>
          <w:tcPr>
            <w:tcW w:w="3282" w:type="pct"/>
            <w:hideMark/>
          </w:tcPr>
          <w:p w14:paraId="57A5D5CB" w14:textId="77777777" w:rsidR="0005464C" w:rsidRPr="001A5641" w:rsidRDefault="0005464C" w:rsidP="00D44D6F">
            <w:r>
              <w:t>Nav.</w:t>
            </w:r>
          </w:p>
        </w:tc>
      </w:tr>
    </w:tbl>
    <w:p w14:paraId="1351BA5A" w14:textId="77777777" w:rsidR="0005464C" w:rsidRDefault="0005464C" w:rsidP="007520AF">
      <w:pPr>
        <w:pStyle w:val="Title"/>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51"/>
        <w:gridCol w:w="283"/>
        <w:gridCol w:w="1376"/>
        <w:gridCol w:w="326"/>
        <w:gridCol w:w="2045"/>
        <w:gridCol w:w="2474"/>
      </w:tblGrid>
      <w:tr w:rsidR="0005464C" w:rsidRPr="00D46E60" w14:paraId="216FBE6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14:paraId="4166D7C0" w14:textId="77777777" w:rsidR="0005464C" w:rsidRPr="00D46E60" w:rsidRDefault="0005464C" w:rsidP="00D44D6F">
            <w:pPr>
              <w:pStyle w:val="NormalWeb"/>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05464C" w:rsidRPr="00D46E60" w14:paraId="34FFA0DB"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56E89DEE" w14:textId="77777777" w:rsidR="0005464C" w:rsidRPr="003564AE" w:rsidRDefault="0005464C" w:rsidP="00D44D6F">
            <w:pPr>
              <w:pStyle w:val="NormalWeb"/>
              <w:spacing w:before="0" w:beforeAutospacing="0" w:after="0" w:afterAutospacing="0"/>
              <w:jc w:val="center"/>
              <w:rPr>
                <w:bCs/>
                <w:lang w:val="lv-LV"/>
              </w:rPr>
            </w:pPr>
            <w:r w:rsidRPr="003564AE">
              <w:rPr>
                <w:bCs/>
                <w:lang w:val="lv-LV"/>
              </w:rPr>
              <w:t>Projekts šo jomu neskar.</w:t>
            </w:r>
          </w:p>
        </w:tc>
      </w:tr>
      <w:tr w:rsidR="0005464C" w:rsidRPr="00D46E60" w14:paraId="79094CC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4DCAD2E4" w14:textId="77777777" w:rsidR="0005464C" w:rsidRPr="003564AE" w:rsidRDefault="0005464C" w:rsidP="00D44D6F">
            <w:pPr>
              <w:pStyle w:val="NormalWeb"/>
              <w:spacing w:before="0" w:beforeAutospacing="0" w:after="0" w:afterAutospacing="0"/>
              <w:jc w:val="center"/>
              <w:rPr>
                <w:b/>
                <w:bCs/>
                <w:lang w:val="lv-LV"/>
              </w:rPr>
            </w:pPr>
            <w:r w:rsidRPr="003564AE">
              <w:rPr>
                <w:b/>
                <w:lang w:val="lv-LV"/>
              </w:rPr>
              <w:t>IV. Tiesību akta projekta ietekme uz spēkā esošo tiesību normu sistēmu</w:t>
            </w:r>
          </w:p>
        </w:tc>
      </w:tr>
      <w:tr w:rsidR="0005464C" w:rsidRPr="003564AE" w14:paraId="00EC38F3" w14:textId="77777777" w:rsidTr="007F301C">
        <w:tc>
          <w:tcPr>
            <w:tcW w:w="5000" w:type="pct"/>
            <w:gridSpan w:val="6"/>
            <w:tcBorders>
              <w:top w:val="outset" w:sz="6" w:space="0" w:color="000000"/>
              <w:left w:val="outset" w:sz="6" w:space="0" w:color="000000"/>
              <w:bottom w:val="single" w:sz="4" w:space="0" w:color="auto"/>
              <w:right w:val="outset" w:sz="6" w:space="0" w:color="000000"/>
            </w:tcBorders>
            <w:shd w:val="clear" w:color="auto" w:fill="auto"/>
          </w:tcPr>
          <w:p w14:paraId="74D3EB06" w14:textId="2034A93E" w:rsidR="0005464C" w:rsidRPr="003564AE" w:rsidRDefault="00B3027C" w:rsidP="00D44D6F">
            <w:pPr>
              <w:pStyle w:val="NormalWeb"/>
              <w:spacing w:before="0" w:beforeAutospacing="0" w:after="0" w:afterAutospacing="0"/>
              <w:jc w:val="center"/>
              <w:rPr>
                <w:bCs/>
                <w:lang w:val="lv-LV"/>
              </w:rPr>
            </w:pPr>
            <w:r w:rsidRPr="00B3027C">
              <w:rPr>
                <w:bCs/>
                <w:lang w:val="lv-LV"/>
              </w:rPr>
              <w:t>Projekts šo jomu neskar.</w:t>
            </w:r>
          </w:p>
        </w:tc>
      </w:tr>
      <w:tr w:rsidR="0005464C" w:rsidRPr="00D46E60" w14:paraId="2B0896D8" w14:textId="77777777" w:rsidTr="007F301C">
        <w:tc>
          <w:tcPr>
            <w:tcW w:w="5000" w:type="pct"/>
            <w:gridSpan w:val="6"/>
            <w:tcBorders>
              <w:top w:val="single" w:sz="4" w:space="0" w:color="auto"/>
              <w:left w:val="outset" w:sz="6" w:space="0" w:color="000000"/>
              <w:bottom w:val="outset" w:sz="6" w:space="0" w:color="000000"/>
              <w:right w:val="outset" w:sz="6" w:space="0" w:color="000000"/>
            </w:tcBorders>
            <w:shd w:val="clear" w:color="auto" w:fill="auto"/>
          </w:tcPr>
          <w:p w14:paraId="015167D2" w14:textId="77777777" w:rsidR="0005464C" w:rsidRPr="00D46E60" w:rsidRDefault="0005464C" w:rsidP="00D44D6F">
            <w:pPr>
              <w:pStyle w:val="NormalWeb"/>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05464C" w:rsidRPr="00F83630" w14:paraId="53F232BC" w14:textId="77777777" w:rsidTr="00814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gridSpan w:val="2"/>
          </w:tcPr>
          <w:p w14:paraId="038F9A40" w14:textId="77777777" w:rsidR="0005464C" w:rsidRPr="00244A49" w:rsidRDefault="0005464C" w:rsidP="00D44D6F">
            <w:pPr>
              <w:pStyle w:val="NormalWeb"/>
              <w:spacing w:before="0" w:beforeAutospacing="0" w:after="0" w:afterAutospacing="0"/>
              <w:rPr>
                <w:lang w:val="lv-LV"/>
              </w:rPr>
            </w:pPr>
            <w:r w:rsidRPr="00244A49">
              <w:rPr>
                <w:lang w:val="lv-LV"/>
              </w:rPr>
              <w:t>1. Saistības pret Eiropas Savienību</w:t>
            </w:r>
          </w:p>
        </w:tc>
        <w:tc>
          <w:tcPr>
            <w:tcW w:w="3435" w:type="pct"/>
            <w:gridSpan w:val="4"/>
          </w:tcPr>
          <w:p w14:paraId="313F598E" w14:textId="1824962F" w:rsidR="001B52D2" w:rsidRPr="00244A49" w:rsidRDefault="00BE76CE" w:rsidP="00557EA8">
            <w:pPr>
              <w:jc w:val="both"/>
              <w:rPr>
                <w:shd w:val="clear" w:color="auto" w:fill="FFFFFF"/>
              </w:rPr>
            </w:pPr>
            <w:r>
              <w:t>1</w:t>
            </w:r>
            <w:r w:rsidR="0005464C" w:rsidRPr="00244A49">
              <w:t xml:space="preserve">) </w:t>
            </w:r>
            <w:r w:rsidR="004C3F4B" w:rsidRPr="00244A49">
              <w:t>EK</w:t>
            </w:r>
            <w:r w:rsidR="0005464C" w:rsidRPr="00244A49">
              <w:t xml:space="preserve"> 2020.</w:t>
            </w:r>
            <w:r w:rsidR="00283D3D" w:rsidRPr="00244A49">
              <w:t xml:space="preserve"> </w:t>
            </w:r>
            <w:r w:rsidR="0005464C" w:rsidRPr="00244A49">
              <w:t>gada 8.</w:t>
            </w:r>
            <w:r w:rsidR="00283D3D" w:rsidRPr="00244A49">
              <w:t xml:space="preserve"> </w:t>
            </w:r>
            <w:r w:rsidR="0005464C" w:rsidRPr="00244A49">
              <w:t xml:space="preserve">aprīļa paziņojums </w:t>
            </w:r>
            <w:r w:rsidR="007C6CD4" w:rsidRPr="007C6CD4">
              <w:t>"</w:t>
            </w:r>
            <w:r w:rsidR="0005464C" w:rsidRPr="00244A49">
              <w:t>Vadlīnijas par optimālu un racionālu apgādi ar zālēm, lai novērstu zāļu deficītu Covid-19 uzliesmojuma laikā</w:t>
            </w:r>
            <w:r w:rsidR="007C6CD4" w:rsidRPr="007C6CD4">
              <w:t>"</w:t>
            </w:r>
            <w:r w:rsidR="0005464C" w:rsidRPr="00244A49">
              <w:rPr>
                <w:shd w:val="clear" w:color="auto" w:fill="FFFFFF"/>
              </w:rPr>
              <w:t xml:space="preserve"> (2020/C 116 I/01)</w:t>
            </w:r>
            <w:r w:rsidR="005275DE" w:rsidRPr="00244A49">
              <w:rPr>
                <w:shd w:val="clear" w:color="auto" w:fill="FFFFFF"/>
              </w:rPr>
              <w:t xml:space="preserve"> </w:t>
            </w:r>
          </w:p>
          <w:p w14:paraId="5E427843" w14:textId="370C7A15" w:rsidR="00444D3B" w:rsidRPr="00244A49" w:rsidRDefault="00AF5463" w:rsidP="00557EA8">
            <w:pPr>
              <w:jc w:val="both"/>
              <w:rPr>
                <w:shd w:val="clear" w:color="auto" w:fill="FFFFFF"/>
              </w:rPr>
            </w:pPr>
            <w:hyperlink r:id="rId11" w:history="1">
              <w:r w:rsidR="001B52D2" w:rsidRPr="00244A49">
                <w:rPr>
                  <w:rStyle w:val="Hyperlink"/>
                  <w:color w:val="auto"/>
                  <w:u w:val="none"/>
                  <w:shd w:val="clear" w:color="auto" w:fill="FFFFFF"/>
                </w:rPr>
                <w:t>https://eur-lex.europa.eu/legal-content/LV/TXT/HTML/?uri=OJ:C:2020:116I:FULL</w:t>
              </w:r>
            </w:hyperlink>
          </w:p>
          <w:p w14:paraId="2B3465A2" w14:textId="77777777" w:rsidR="001B52D2" w:rsidRPr="00244A49" w:rsidRDefault="001B52D2" w:rsidP="00557EA8">
            <w:pPr>
              <w:jc w:val="both"/>
              <w:rPr>
                <w:shd w:val="clear" w:color="auto" w:fill="FFFFFF"/>
              </w:rPr>
            </w:pPr>
          </w:p>
          <w:p w14:paraId="3B061296" w14:textId="31DB8EE8" w:rsidR="0005464C" w:rsidRPr="00244A49" w:rsidRDefault="00BE76CE" w:rsidP="00557EA8">
            <w:pPr>
              <w:jc w:val="both"/>
            </w:pPr>
            <w:r>
              <w:t>2</w:t>
            </w:r>
            <w:r w:rsidR="0005464C" w:rsidRPr="00244A49">
              <w:t xml:space="preserve">) </w:t>
            </w:r>
            <w:r w:rsidR="00E4291F" w:rsidRPr="005B2F74">
              <w:rPr>
                <w:iCs/>
                <w:shd w:val="clear" w:color="auto" w:fill="FFFFFF"/>
              </w:rPr>
              <w:t>EK</w:t>
            </w:r>
            <w:r w:rsidR="00E4291F" w:rsidRPr="005B2F74">
              <w:t xml:space="preserve">, Eiropas Zāļu aģentūra un </w:t>
            </w:r>
            <w:r w:rsidR="00E4291F" w:rsidRPr="005B2F74">
              <w:rPr>
                <w:iCs/>
                <w:shd w:val="clear" w:color="auto" w:fill="FFFFFF"/>
              </w:rPr>
              <w:t xml:space="preserve">Eiropas zāļu regulatīvā tīkla aģentūru vadītāju </w:t>
            </w:r>
            <w:r w:rsidR="00E4291F" w:rsidRPr="005B2F74">
              <w:t>aktualizētajā jautājumu un atbilžu dokumentā par zāļu reglamentējuma jautājumiem COVID - 19 pandēmijas laikā</w:t>
            </w:r>
          </w:p>
          <w:p w14:paraId="75BFA38C" w14:textId="64842F50" w:rsidR="001B52D2" w:rsidRPr="00244A49" w:rsidRDefault="008C7348" w:rsidP="00557EA8">
            <w:pPr>
              <w:jc w:val="both"/>
            </w:pPr>
            <w:r w:rsidRPr="00244A49">
              <w:t>https://www.ema.europa.eu/en/news/guidance-regulatory-requirements-context-covid-19-pandemic</w:t>
            </w:r>
          </w:p>
        </w:tc>
      </w:tr>
      <w:tr w:rsidR="0005464C" w:rsidRPr="00674E0E" w14:paraId="51E387BD" w14:textId="77777777" w:rsidTr="00814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gridSpan w:val="2"/>
          </w:tcPr>
          <w:p w14:paraId="0D914053" w14:textId="6963D487" w:rsidR="0005464C" w:rsidRPr="00674E0E" w:rsidRDefault="0005464C" w:rsidP="00D44D6F">
            <w:pPr>
              <w:pStyle w:val="NormalWeb"/>
              <w:spacing w:before="0" w:beforeAutospacing="0" w:after="0" w:afterAutospacing="0"/>
              <w:jc w:val="both"/>
              <w:rPr>
                <w:lang w:val="lv-LV"/>
              </w:rPr>
            </w:pPr>
            <w:r w:rsidRPr="00674E0E">
              <w:rPr>
                <w:lang w:val="lv-LV"/>
              </w:rPr>
              <w:t>2.</w:t>
            </w:r>
            <w:r w:rsidR="00444D3B">
              <w:rPr>
                <w:lang w:val="lv-LV"/>
              </w:rPr>
              <w:t> </w:t>
            </w:r>
            <w:r w:rsidRPr="00674E0E">
              <w:rPr>
                <w:lang w:val="lv-LV"/>
              </w:rPr>
              <w:t>Citas starptautiskās saistības</w:t>
            </w:r>
          </w:p>
        </w:tc>
        <w:tc>
          <w:tcPr>
            <w:tcW w:w="3435" w:type="pct"/>
            <w:gridSpan w:val="4"/>
          </w:tcPr>
          <w:p w14:paraId="185D6474" w14:textId="2C2FCA55" w:rsidR="0005464C" w:rsidRPr="00674E0E" w:rsidRDefault="004C3F4B" w:rsidP="00D44D6F">
            <w:r w:rsidRPr="004C3F4B">
              <w:rPr>
                <w:bCs/>
              </w:rPr>
              <w:t>Projekts šo jomu neskar.</w:t>
            </w:r>
          </w:p>
        </w:tc>
      </w:tr>
      <w:tr w:rsidR="0005464C" w:rsidRPr="00674E0E" w14:paraId="3D31AD33" w14:textId="77777777" w:rsidTr="00814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65" w:type="pct"/>
            <w:gridSpan w:val="2"/>
          </w:tcPr>
          <w:p w14:paraId="20DB3015" w14:textId="77777777" w:rsidR="0005464C" w:rsidRPr="00674E0E" w:rsidRDefault="0005464C" w:rsidP="00D44D6F">
            <w:pPr>
              <w:pStyle w:val="NormalWeb"/>
              <w:spacing w:before="0" w:beforeAutospacing="0" w:after="0" w:afterAutospacing="0"/>
              <w:jc w:val="both"/>
              <w:rPr>
                <w:lang w:val="lv-LV"/>
              </w:rPr>
            </w:pPr>
            <w:r w:rsidRPr="00674E0E">
              <w:rPr>
                <w:lang w:val="lv-LV"/>
              </w:rPr>
              <w:t>3. Cita informācija</w:t>
            </w:r>
          </w:p>
        </w:tc>
        <w:tc>
          <w:tcPr>
            <w:tcW w:w="3435" w:type="pct"/>
            <w:gridSpan w:val="4"/>
          </w:tcPr>
          <w:p w14:paraId="13D067FA" w14:textId="535C2926" w:rsidR="0005464C" w:rsidRPr="00674E0E" w:rsidRDefault="0005464C" w:rsidP="00D44D6F">
            <w:r w:rsidRPr="00674E0E">
              <w:t>Nav</w:t>
            </w:r>
            <w:r w:rsidR="00465344">
              <w:t>.</w:t>
            </w:r>
          </w:p>
        </w:tc>
      </w:tr>
      <w:tr w:rsidR="0005464C" w:rsidRPr="00674E0E"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35CE4D07" w14:textId="77777777" w:rsidR="0005464C" w:rsidRPr="00674E0E" w:rsidRDefault="0005464C" w:rsidP="00D44D6F">
            <w:pPr>
              <w:jc w:val="center"/>
              <w:rPr>
                <w:b/>
              </w:rPr>
            </w:pPr>
            <w:r w:rsidRPr="00674E0E">
              <w:rPr>
                <w:b/>
              </w:rPr>
              <w:t xml:space="preserve">1.tabula </w:t>
            </w:r>
          </w:p>
          <w:p w14:paraId="466DD4AB" w14:textId="77777777" w:rsidR="0005464C" w:rsidRPr="00674E0E" w:rsidRDefault="0005464C" w:rsidP="00D44D6F">
            <w:pPr>
              <w:jc w:val="center"/>
            </w:pPr>
            <w:r w:rsidRPr="00674E0E">
              <w:rPr>
                <w:b/>
              </w:rPr>
              <w:t>Tiesību akta projekta atbilstība ES tiesību aktiem</w:t>
            </w:r>
          </w:p>
        </w:tc>
      </w:tr>
      <w:tr w:rsidR="0005464C" w:rsidRPr="00D8317C" w14:paraId="6E558DAE" w14:textId="77777777" w:rsidTr="0035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325" w:type="pct"/>
            <w:gridSpan w:val="3"/>
          </w:tcPr>
          <w:p w14:paraId="3ACD2474" w14:textId="77777777" w:rsidR="0005464C" w:rsidRPr="00676D64" w:rsidRDefault="0005464C" w:rsidP="00D44D6F">
            <w:pPr>
              <w:pStyle w:val="naisc"/>
              <w:spacing w:before="0" w:after="0"/>
              <w:jc w:val="both"/>
              <w:rPr>
                <w:sz w:val="24"/>
                <w:szCs w:val="24"/>
                <w:lang w:val="lv-LV"/>
              </w:rPr>
            </w:pPr>
            <w:r w:rsidRPr="00676D64">
              <w:rPr>
                <w:sz w:val="24"/>
                <w:szCs w:val="24"/>
                <w:lang w:val="lv-LV"/>
              </w:rPr>
              <w:t>Attiecīgo Eiropas Savienības tiesību aktu datums, numurs un nosaukums</w:t>
            </w:r>
          </w:p>
        </w:tc>
        <w:tc>
          <w:tcPr>
            <w:tcW w:w="2675" w:type="pct"/>
            <w:gridSpan w:val="3"/>
          </w:tcPr>
          <w:p w14:paraId="6AFC5BAB" w14:textId="4071FC77" w:rsidR="0005464C" w:rsidRPr="00676D64" w:rsidRDefault="004C3F4B" w:rsidP="00D44D6F">
            <w:pPr>
              <w:jc w:val="both"/>
            </w:pPr>
            <w:r w:rsidRPr="004C3F4B">
              <w:rPr>
                <w:bCs/>
              </w:rPr>
              <w:t>Projekts šo jomu neskar.</w:t>
            </w:r>
          </w:p>
        </w:tc>
      </w:tr>
      <w:tr w:rsidR="0005464C" w:rsidRPr="00674E0E"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3292F0A" w14:textId="77777777" w:rsidR="0005464C" w:rsidRPr="00676D64" w:rsidRDefault="0005464C" w:rsidP="00D44D6F">
            <w:pPr>
              <w:pStyle w:val="naisc"/>
              <w:spacing w:before="0" w:after="0"/>
              <w:jc w:val="right"/>
              <w:rPr>
                <w:sz w:val="24"/>
                <w:szCs w:val="24"/>
                <w:lang w:val="lv-LV"/>
              </w:rPr>
            </w:pPr>
          </w:p>
        </w:tc>
      </w:tr>
      <w:tr w:rsidR="0005464C" w:rsidRPr="00674E0E" w14:paraId="64A3A4F4"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67F288D4" w14:textId="77777777" w:rsidR="0005464C" w:rsidRPr="00676D64" w:rsidRDefault="0005464C" w:rsidP="00D44D6F">
            <w:pPr>
              <w:pStyle w:val="naisc"/>
              <w:spacing w:before="0" w:after="0"/>
              <w:rPr>
                <w:sz w:val="24"/>
                <w:szCs w:val="24"/>
                <w:lang w:val="lv-LV"/>
              </w:rPr>
            </w:pPr>
            <w:r w:rsidRPr="00676D64">
              <w:rPr>
                <w:sz w:val="24"/>
                <w:szCs w:val="24"/>
                <w:lang w:val="lv-LV"/>
              </w:rPr>
              <w:t>A</w:t>
            </w:r>
          </w:p>
        </w:tc>
        <w:tc>
          <w:tcPr>
            <w:tcW w:w="1096" w:type="pct"/>
            <w:gridSpan w:val="3"/>
          </w:tcPr>
          <w:p w14:paraId="5E782413" w14:textId="77777777" w:rsidR="0005464C" w:rsidRPr="00676D64" w:rsidRDefault="0005464C" w:rsidP="00D44D6F">
            <w:pPr>
              <w:pStyle w:val="naisc"/>
              <w:spacing w:before="0" w:after="0"/>
              <w:rPr>
                <w:sz w:val="24"/>
                <w:szCs w:val="24"/>
                <w:lang w:val="lv-LV"/>
              </w:rPr>
            </w:pPr>
            <w:r w:rsidRPr="00676D64">
              <w:rPr>
                <w:sz w:val="24"/>
                <w:szCs w:val="24"/>
                <w:lang w:val="lv-LV"/>
              </w:rPr>
              <w:t>B</w:t>
            </w:r>
          </w:p>
        </w:tc>
        <w:tc>
          <w:tcPr>
            <w:tcW w:w="1129" w:type="pct"/>
          </w:tcPr>
          <w:p w14:paraId="420CDECB" w14:textId="77777777" w:rsidR="0005464C" w:rsidRPr="00676D64" w:rsidRDefault="0005464C" w:rsidP="00D44D6F">
            <w:pPr>
              <w:pStyle w:val="naisc"/>
              <w:spacing w:before="0" w:after="0"/>
              <w:rPr>
                <w:sz w:val="24"/>
                <w:szCs w:val="24"/>
                <w:lang w:val="lv-LV"/>
              </w:rPr>
            </w:pPr>
            <w:r w:rsidRPr="00676D64">
              <w:rPr>
                <w:sz w:val="24"/>
                <w:szCs w:val="24"/>
                <w:lang w:val="lv-LV"/>
              </w:rPr>
              <w:t>C</w:t>
            </w:r>
          </w:p>
        </w:tc>
        <w:tc>
          <w:tcPr>
            <w:tcW w:w="1366" w:type="pct"/>
          </w:tcPr>
          <w:p w14:paraId="02CBEF30" w14:textId="77777777" w:rsidR="0005464C" w:rsidRPr="00676D64" w:rsidRDefault="0005464C" w:rsidP="00D44D6F">
            <w:pPr>
              <w:pStyle w:val="naisc"/>
              <w:spacing w:before="0" w:after="0"/>
              <w:rPr>
                <w:sz w:val="24"/>
                <w:szCs w:val="24"/>
                <w:lang w:val="lv-LV"/>
              </w:rPr>
            </w:pPr>
            <w:r w:rsidRPr="00676D64">
              <w:rPr>
                <w:sz w:val="24"/>
                <w:szCs w:val="24"/>
                <w:lang w:val="lv-LV"/>
              </w:rPr>
              <w:t>D</w:t>
            </w:r>
          </w:p>
        </w:tc>
      </w:tr>
      <w:tr w:rsidR="0005464C" w:rsidRPr="00674E0E" w14:paraId="04C38974"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74FC1E66" w14:textId="77777777" w:rsidR="0005464C" w:rsidRPr="00676D64" w:rsidRDefault="0005464C" w:rsidP="00D44D6F">
            <w:pPr>
              <w:pStyle w:val="naisc"/>
              <w:spacing w:before="0" w:after="0"/>
              <w:jc w:val="both"/>
              <w:rPr>
                <w:sz w:val="24"/>
                <w:szCs w:val="24"/>
                <w:lang w:val="lv-LV"/>
              </w:rPr>
            </w:pPr>
            <w:r w:rsidRPr="00676D64">
              <w:rPr>
                <w:sz w:val="24"/>
                <w:szCs w:val="24"/>
                <w:lang w:val="lv-LV"/>
              </w:rPr>
              <w:t>Attiecīgā ES tiesību akta panta numurs (uzskaitot katru tiesību akta vienību-pantu, daļu, punktu, apakšpunktu)</w:t>
            </w:r>
          </w:p>
        </w:tc>
        <w:tc>
          <w:tcPr>
            <w:tcW w:w="1096" w:type="pct"/>
            <w:gridSpan w:val="3"/>
          </w:tcPr>
          <w:p w14:paraId="07272645" w14:textId="77777777" w:rsidR="0005464C" w:rsidRPr="00676D64" w:rsidRDefault="0005464C" w:rsidP="00D44D6F">
            <w:pPr>
              <w:pStyle w:val="naisc"/>
              <w:spacing w:before="0" w:after="0"/>
              <w:jc w:val="both"/>
              <w:rPr>
                <w:sz w:val="24"/>
                <w:szCs w:val="24"/>
                <w:lang w:val="lv-LV"/>
              </w:rPr>
            </w:pPr>
            <w:r w:rsidRPr="00676D64">
              <w:rPr>
                <w:sz w:val="24"/>
                <w:szCs w:val="24"/>
                <w:lang w:val="lv-LV"/>
              </w:rPr>
              <w:t>Projekta vienība, kas pārņem vai ievieš katru šī tabulas A ailē minēto ES tiesību akta vienību</w:t>
            </w:r>
            <w:r>
              <w:rPr>
                <w:sz w:val="24"/>
                <w:szCs w:val="24"/>
                <w:lang w:val="lv-LV"/>
              </w:rPr>
              <w:t xml:space="preserve"> vai tiesību akts, kur attiecīgā ES tiesību akta vienība pārņemta vai ieviesta</w:t>
            </w:r>
          </w:p>
        </w:tc>
        <w:tc>
          <w:tcPr>
            <w:tcW w:w="1129" w:type="pct"/>
          </w:tcPr>
          <w:p w14:paraId="03F3D83F" w14:textId="77777777" w:rsidR="0005464C" w:rsidRPr="00676D64" w:rsidRDefault="0005464C" w:rsidP="00D44D6F">
            <w:pPr>
              <w:pStyle w:val="naisc"/>
              <w:spacing w:before="0" w:after="0"/>
              <w:jc w:val="both"/>
              <w:rPr>
                <w:sz w:val="24"/>
                <w:szCs w:val="24"/>
                <w:lang w:val="lv-LV"/>
              </w:rPr>
            </w:pPr>
            <w:r w:rsidRPr="00676D64">
              <w:rPr>
                <w:sz w:val="24"/>
                <w:szCs w:val="24"/>
                <w:lang w:val="lv-LV"/>
              </w:rPr>
              <w:t xml:space="preserve">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w:t>
            </w:r>
            <w:r>
              <w:rPr>
                <w:sz w:val="24"/>
                <w:szCs w:val="24"/>
                <w:lang w:val="lv-LV"/>
              </w:rPr>
              <w:t xml:space="preserve">pilnībā. </w:t>
            </w:r>
            <w:r w:rsidRPr="00676D64">
              <w:rPr>
                <w:sz w:val="24"/>
                <w:szCs w:val="24"/>
                <w:lang w:val="lv-LV"/>
              </w:rPr>
              <w:t>Norāda institūciju, kas ir atbildīga par šo saistību izpildi pilnībā</w:t>
            </w:r>
          </w:p>
        </w:tc>
        <w:tc>
          <w:tcPr>
            <w:tcW w:w="1366" w:type="pct"/>
          </w:tcPr>
          <w:p w14:paraId="3CBB9EB0" w14:textId="77777777" w:rsidR="0005464C" w:rsidRPr="00676D64" w:rsidRDefault="0005464C" w:rsidP="00D44D6F">
            <w:pPr>
              <w:pStyle w:val="naisc"/>
              <w:spacing w:before="0" w:after="0"/>
              <w:jc w:val="both"/>
              <w:rPr>
                <w:sz w:val="24"/>
                <w:szCs w:val="24"/>
                <w:lang w:val="lv-LV"/>
              </w:rPr>
            </w:pPr>
            <w:r w:rsidRPr="00676D64">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w:t>
            </w:r>
            <w:r>
              <w:rPr>
                <w:sz w:val="24"/>
                <w:szCs w:val="24"/>
                <w:lang w:val="lv-LV"/>
              </w:rPr>
              <w:t xml:space="preserve">orāda pamatojumu un samērīgumu. </w:t>
            </w:r>
            <w:r w:rsidRPr="00676D64">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05464C" w:rsidRPr="00674E0E" w14:paraId="49052231"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5C7CCD81" w14:textId="6EC551D5" w:rsidR="0005464C" w:rsidRPr="00676D64" w:rsidRDefault="00BE76CE" w:rsidP="00D44D6F">
            <w:pPr>
              <w:pStyle w:val="naisc"/>
              <w:spacing w:before="0" w:after="0"/>
              <w:jc w:val="both"/>
              <w:rPr>
                <w:sz w:val="24"/>
                <w:szCs w:val="24"/>
                <w:lang w:val="lv-LV"/>
              </w:rPr>
            </w:pPr>
            <w:r>
              <w:rPr>
                <w:sz w:val="24"/>
                <w:szCs w:val="24"/>
                <w:lang w:val="lv-LV"/>
              </w:rPr>
              <w:t>Nav</w:t>
            </w:r>
          </w:p>
        </w:tc>
        <w:tc>
          <w:tcPr>
            <w:tcW w:w="1096" w:type="pct"/>
            <w:gridSpan w:val="3"/>
          </w:tcPr>
          <w:p w14:paraId="3AE4A7B4" w14:textId="36922606" w:rsidR="0005464C" w:rsidRPr="00676D64" w:rsidRDefault="00BE76CE" w:rsidP="00557EA8">
            <w:pPr>
              <w:pStyle w:val="naisc"/>
              <w:spacing w:before="0" w:after="0"/>
              <w:jc w:val="both"/>
              <w:rPr>
                <w:sz w:val="24"/>
                <w:szCs w:val="24"/>
                <w:lang w:val="lv-LV"/>
              </w:rPr>
            </w:pPr>
            <w:r>
              <w:rPr>
                <w:sz w:val="24"/>
                <w:szCs w:val="24"/>
                <w:lang w:val="lv-LV"/>
              </w:rPr>
              <w:t>Nav</w:t>
            </w:r>
          </w:p>
        </w:tc>
        <w:tc>
          <w:tcPr>
            <w:tcW w:w="1129" w:type="pct"/>
          </w:tcPr>
          <w:p w14:paraId="7102760F" w14:textId="1FC976DE" w:rsidR="0005464C" w:rsidRPr="00676D64" w:rsidRDefault="00BE76CE" w:rsidP="00D44D6F">
            <w:pPr>
              <w:pStyle w:val="naisc"/>
              <w:spacing w:before="0" w:after="0"/>
              <w:jc w:val="both"/>
              <w:rPr>
                <w:sz w:val="24"/>
                <w:szCs w:val="24"/>
                <w:lang w:val="lv-LV"/>
              </w:rPr>
            </w:pPr>
            <w:r>
              <w:rPr>
                <w:sz w:val="24"/>
                <w:szCs w:val="24"/>
                <w:lang w:val="lv-LV"/>
              </w:rPr>
              <w:t>Nav</w:t>
            </w:r>
          </w:p>
        </w:tc>
        <w:tc>
          <w:tcPr>
            <w:tcW w:w="1366" w:type="pct"/>
          </w:tcPr>
          <w:p w14:paraId="06781D35" w14:textId="0EE1EF74" w:rsidR="0005464C" w:rsidRPr="00676D64" w:rsidRDefault="00BE76CE" w:rsidP="00D44D6F">
            <w:pPr>
              <w:pStyle w:val="naisc"/>
              <w:spacing w:before="0" w:after="0"/>
              <w:jc w:val="both"/>
              <w:rPr>
                <w:sz w:val="24"/>
                <w:szCs w:val="24"/>
                <w:lang w:val="lv-LV"/>
              </w:rPr>
            </w:pPr>
            <w:r>
              <w:rPr>
                <w:sz w:val="24"/>
                <w:szCs w:val="24"/>
                <w:lang w:val="lv-LV"/>
              </w:rPr>
              <w:t>Nav</w:t>
            </w:r>
          </w:p>
        </w:tc>
      </w:tr>
      <w:tr w:rsidR="0005464C" w:rsidRPr="00674E0E" w14:paraId="4839F907"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64FD8485" w14:textId="77777777" w:rsidR="0005464C" w:rsidRPr="00676D64" w:rsidRDefault="0005464C" w:rsidP="00D44D6F">
            <w:pPr>
              <w:pStyle w:val="naisc"/>
              <w:spacing w:before="0" w:after="0"/>
              <w:jc w:val="both"/>
              <w:rPr>
                <w:sz w:val="24"/>
                <w:szCs w:val="24"/>
                <w:lang w:val="lv-LV"/>
              </w:rPr>
            </w:pPr>
            <w:r w:rsidRPr="00676D64">
              <w:rPr>
                <w:sz w:val="24"/>
                <w:szCs w:val="24"/>
                <w:lang w:val="lv-LV"/>
              </w:rPr>
              <w:t>Kā ir izmantota ES tiesību aktā paredzētā rīcības brīvība dalībvalstij pārņemt vai ieviest noteiktas ES tiesību akta normas.</w:t>
            </w:r>
            <w:r>
              <w:rPr>
                <w:sz w:val="24"/>
                <w:szCs w:val="24"/>
                <w:lang w:val="lv-LV"/>
              </w:rPr>
              <w:t xml:space="preserve"> Kādēļ?</w:t>
            </w:r>
          </w:p>
        </w:tc>
        <w:tc>
          <w:tcPr>
            <w:tcW w:w="3591" w:type="pct"/>
            <w:gridSpan w:val="5"/>
          </w:tcPr>
          <w:p w14:paraId="6CD1D089" w14:textId="67468168" w:rsidR="0005464C" w:rsidRPr="00676D64" w:rsidRDefault="004C3F4B" w:rsidP="00D44D6F">
            <w:pPr>
              <w:pStyle w:val="naisc"/>
              <w:spacing w:before="0" w:beforeAutospacing="0" w:after="0" w:afterAutospacing="0"/>
              <w:jc w:val="both"/>
              <w:rPr>
                <w:sz w:val="24"/>
                <w:szCs w:val="24"/>
                <w:lang w:val="lv-LV"/>
              </w:rPr>
            </w:pPr>
            <w:r w:rsidRPr="004C3F4B">
              <w:rPr>
                <w:bCs/>
                <w:sz w:val="24"/>
                <w:szCs w:val="24"/>
                <w:lang w:val="lv-LV"/>
              </w:rPr>
              <w:t>Projekts šo jomu neskar.</w:t>
            </w:r>
          </w:p>
        </w:tc>
      </w:tr>
      <w:tr w:rsidR="0005464C" w:rsidRPr="00674E0E" w14:paraId="1AB4ABA8"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731352B0" w14:textId="77777777" w:rsidR="0005464C" w:rsidRPr="00676D64" w:rsidRDefault="0005464C" w:rsidP="00D44D6F">
            <w:pPr>
              <w:pStyle w:val="naisc"/>
              <w:spacing w:before="0" w:after="0"/>
              <w:jc w:val="both"/>
              <w:rPr>
                <w:sz w:val="24"/>
                <w:szCs w:val="24"/>
                <w:lang w:val="lv-LV"/>
              </w:rPr>
            </w:pPr>
            <w:r w:rsidRPr="00676D64">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91" w:type="pct"/>
            <w:gridSpan w:val="5"/>
          </w:tcPr>
          <w:p w14:paraId="47581F46" w14:textId="16DF553D" w:rsidR="0005464C" w:rsidRPr="00676D64" w:rsidRDefault="004C3F4B" w:rsidP="00D44D6F">
            <w:pPr>
              <w:pStyle w:val="naisc"/>
              <w:spacing w:before="0" w:after="0"/>
              <w:jc w:val="both"/>
              <w:rPr>
                <w:sz w:val="24"/>
                <w:szCs w:val="24"/>
                <w:lang w:val="lv-LV"/>
              </w:rPr>
            </w:pPr>
            <w:r w:rsidRPr="004C3F4B">
              <w:rPr>
                <w:bCs/>
                <w:sz w:val="24"/>
                <w:szCs w:val="24"/>
                <w:lang w:val="lv-LV"/>
              </w:rPr>
              <w:t>Projekts šo jomu neskar.</w:t>
            </w:r>
          </w:p>
        </w:tc>
      </w:tr>
      <w:tr w:rsidR="0005464C" w:rsidRPr="00674E0E" w14:paraId="346C152E" w14:textId="77777777" w:rsidTr="00A2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09" w:type="pct"/>
          </w:tcPr>
          <w:p w14:paraId="2029FCBD" w14:textId="77777777" w:rsidR="0005464C" w:rsidRPr="00676D64" w:rsidRDefault="0005464C" w:rsidP="00D44D6F">
            <w:pPr>
              <w:pStyle w:val="naisc"/>
              <w:spacing w:before="0" w:after="0"/>
              <w:jc w:val="both"/>
              <w:rPr>
                <w:sz w:val="24"/>
                <w:szCs w:val="24"/>
                <w:lang w:val="lv-LV"/>
              </w:rPr>
            </w:pPr>
            <w:r w:rsidRPr="00676D64">
              <w:rPr>
                <w:sz w:val="24"/>
                <w:szCs w:val="24"/>
                <w:lang w:val="lv-LV"/>
              </w:rPr>
              <w:t>Cita informācija</w:t>
            </w:r>
          </w:p>
        </w:tc>
        <w:tc>
          <w:tcPr>
            <w:tcW w:w="3591" w:type="pct"/>
            <w:gridSpan w:val="5"/>
          </w:tcPr>
          <w:p w14:paraId="701D6138" w14:textId="3B131B0B" w:rsidR="00444D3B" w:rsidRPr="00444D3B" w:rsidRDefault="00444D3B" w:rsidP="007966C9">
            <w:pPr>
              <w:pStyle w:val="naisc"/>
              <w:spacing w:before="0" w:beforeAutospacing="0" w:after="0" w:afterAutospacing="0"/>
              <w:jc w:val="both"/>
              <w:rPr>
                <w:sz w:val="24"/>
                <w:szCs w:val="24"/>
                <w:lang w:val="lv-LV"/>
              </w:rPr>
            </w:pPr>
            <w:r w:rsidRPr="00444D3B">
              <w:rPr>
                <w:sz w:val="24"/>
                <w:szCs w:val="24"/>
                <w:lang w:val="lv-LV"/>
              </w:rPr>
              <w:t xml:space="preserve">Noteikumu projekta </w:t>
            </w:r>
            <w:r w:rsidR="00BE76CE">
              <w:rPr>
                <w:sz w:val="24"/>
                <w:szCs w:val="24"/>
                <w:lang w:val="lv-LV"/>
              </w:rPr>
              <w:t>6</w:t>
            </w:r>
            <w:r w:rsidRPr="00444D3B">
              <w:rPr>
                <w:sz w:val="24"/>
                <w:szCs w:val="24"/>
                <w:lang w:val="lv-LV"/>
              </w:rPr>
              <w:t>. punkts atbilst:</w:t>
            </w:r>
          </w:p>
          <w:p w14:paraId="2B924FCD" w14:textId="1904BEF5" w:rsidR="007966C9" w:rsidRPr="00444D3B" w:rsidRDefault="00444D3B" w:rsidP="00D44D6F">
            <w:pPr>
              <w:pStyle w:val="naisc"/>
              <w:spacing w:before="0" w:beforeAutospacing="0" w:after="0" w:afterAutospacing="0"/>
              <w:jc w:val="both"/>
              <w:rPr>
                <w:sz w:val="24"/>
                <w:szCs w:val="24"/>
                <w:lang w:val="lv-LV"/>
              </w:rPr>
            </w:pPr>
            <w:r w:rsidRPr="00444D3B">
              <w:rPr>
                <w:sz w:val="24"/>
                <w:szCs w:val="24"/>
                <w:lang w:val="lv-LV"/>
              </w:rPr>
              <w:t xml:space="preserve">EK 2020. gada 8. aprīļa paziņojuma </w:t>
            </w:r>
            <w:r w:rsidR="007C6CD4" w:rsidRPr="00206CBA">
              <w:rPr>
                <w:sz w:val="24"/>
                <w:szCs w:val="24"/>
                <w:lang w:val="lv-LV"/>
              </w:rPr>
              <w:t>"</w:t>
            </w:r>
            <w:r w:rsidRPr="00444D3B">
              <w:rPr>
                <w:sz w:val="24"/>
                <w:szCs w:val="24"/>
                <w:lang w:val="lv-LV"/>
              </w:rPr>
              <w:t>Vadlīnijas par optimālu un racionālu apgādi ar zālēm, lai novērstu zāļu deficītu Covid-19 uzliesmojuma laikā</w:t>
            </w:r>
            <w:r w:rsidR="007C6CD4" w:rsidRPr="00206CBA">
              <w:rPr>
                <w:sz w:val="24"/>
                <w:szCs w:val="24"/>
                <w:lang w:val="lv-LV"/>
              </w:rPr>
              <w:t>"</w:t>
            </w:r>
            <w:r w:rsidRPr="00444D3B">
              <w:rPr>
                <w:color w:val="444444"/>
                <w:sz w:val="24"/>
                <w:szCs w:val="24"/>
                <w:shd w:val="clear" w:color="auto" w:fill="FFFFFF"/>
                <w:lang w:val="lv-LV"/>
              </w:rPr>
              <w:t xml:space="preserve"> </w:t>
            </w:r>
            <w:r w:rsidRPr="00444D3B">
              <w:rPr>
                <w:sz w:val="24"/>
                <w:szCs w:val="24"/>
                <w:shd w:val="clear" w:color="auto" w:fill="FFFFFF"/>
                <w:lang w:val="lv-LV"/>
              </w:rPr>
              <w:t xml:space="preserve">(2020/C 116 I/01) 4. punkta </w:t>
            </w:r>
            <w:r w:rsidR="007C6CD4" w:rsidRPr="00206CBA">
              <w:rPr>
                <w:sz w:val="24"/>
                <w:szCs w:val="24"/>
                <w:lang w:val="lv-LV"/>
              </w:rPr>
              <w:t>"</w:t>
            </w:r>
            <w:r w:rsidR="00386ACE">
              <w:rPr>
                <w:sz w:val="24"/>
                <w:szCs w:val="24"/>
                <w:shd w:val="clear" w:color="auto" w:fill="FFFFFF"/>
                <w:lang w:val="lv-LV"/>
              </w:rPr>
              <w:t>e</w:t>
            </w:r>
            <w:r w:rsidR="007C6CD4" w:rsidRPr="00206CBA">
              <w:rPr>
                <w:sz w:val="24"/>
                <w:szCs w:val="24"/>
                <w:lang w:val="lv-LV"/>
              </w:rPr>
              <w:t>"</w:t>
            </w:r>
            <w:r>
              <w:rPr>
                <w:sz w:val="24"/>
                <w:szCs w:val="24"/>
                <w:shd w:val="clear" w:color="auto" w:fill="FFFFFF"/>
                <w:lang w:val="lv-LV"/>
              </w:rPr>
              <w:t> </w:t>
            </w:r>
            <w:r w:rsidRPr="00444D3B">
              <w:rPr>
                <w:sz w:val="24"/>
                <w:szCs w:val="24"/>
                <w:shd w:val="clear" w:color="auto" w:fill="FFFFFF"/>
                <w:lang w:val="lv-LV"/>
              </w:rPr>
              <w:t>apakšpunktam;</w:t>
            </w:r>
          </w:p>
          <w:p w14:paraId="7CBB31A2" w14:textId="625B949C" w:rsidR="00263243" w:rsidRPr="00481290" w:rsidRDefault="00E4291F" w:rsidP="00444D3B">
            <w:pPr>
              <w:pStyle w:val="naisc"/>
              <w:spacing w:before="0" w:beforeAutospacing="0" w:after="0" w:afterAutospacing="0"/>
              <w:jc w:val="both"/>
              <w:rPr>
                <w:sz w:val="24"/>
                <w:szCs w:val="24"/>
                <w:lang w:val="lv-LV"/>
              </w:rPr>
            </w:pPr>
            <w:r w:rsidRPr="00481290">
              <w:rPr>
                <w:iCs/>
                <w:sz w:val="24"/>
                <w:szCs w:val="24"/>
                <w:shd w:val="clear" w:color="auto" w:fill="FFFFFF"/>
                <w:lang w:val="lv-LV"/>
              </w:rPr>
              <w:lastRenderedPageBreak/>
              <w:t>EK</w:t>
            </w:r>
            <w:r w:rsidRPr="00481290">
              <w:rPr>
                <w:sz w:val="24"/>
                <w:szCs w:val="24"/>
                <w:lang w:val="lv-LV"/>
              </w:rPr>
              <w:t xml:space="preserve">, Eiropas Zāļu aģentūra un </w:t>
            </w:r>
            <w:r w:rsidRPr="00481290">
              <w:rPr>
                <w:iCs/>
                <w:sz w:val="24"/>
                <w:szCs w:val="24"/>
                <w:shd w:val="clear" w:color="auto" w:fill="FFFFFF"/>
                <w:lang w:val="lv-LV"/>
              </w:rPr>
              <w:t xml:space="preserve">Eiropas zāļu regulatīvā tīkla aģentūru vadītāju </w:t>
            </w:r>
            <w:r w:rsidRPr="00481290">
              <w:rPr>
                <w:sz w:val="24"/>
                <w:szCs w:val="24"/>
                <w:lang w:val="lv-LV"/>
              </w:rPr>
              <w:t xml:space="preserve">aktualizētajā jautājumu un atbilžu dokumentā par zāļu reglamentējuma jautājumiem COVID - 19 pandēmijas laikā </w:t>
            </w:r>
            <w:r w:rsidR="0005464C" w:rsidRPr="00481290">
              <w:rPr>
                <w:sz w:val="24"/>
                <w:szCs w:val="24"/>
                <w:lang w:val="lv-LV"/>
              </w:rPr>
              <w:t>A sadaļas 2.</w:t>
            </w:r>
            <w:r w:rsidR="00386ACE" w:rsidRPr="00481290">
              <w:rPr>
                <w:sz w:val="24"/>
                <w:szCs w:val="24"/>
                <w:lang w:val="lv-LV"/>
              </w:rPr>
              <w:t>4</w:t>
            </w:r>
            <w:r w:rsidR="0005464C" w:rsidRPr="00481290">
              <w:rPr>
                <w:sz w:val="24"/>
                <w:szCs w:val="24"/>
                <w:lang w:val="lv-LV"/>
              </w:rPr>
              <w:t>.</w:t>
            </w:r>
            <w:r w:rsidR="00465344" w:rsidRPr="00481290">
              <w:rPr>
                <w:sz w:val="24"/>
                <w:szCs w:val="24"/>
                <w:lang w:val="lv-LV"/>
              </w:rPr>
              <w:t> </w:t>
            </w:r>
            <w:r w:rsidR="00DC7738" w:rsidRPr="00481290">
              <w:rPr>
                <w:sz w:val="24"/>
                <w:szCs w:val="24"/>
                <w:lang w:val="lv-LV"/>
              </w:rPr>
              <w:t xml:space="preserve"> </w:t>
            </w:r>
            <w:r w:rsidR="00F615FE" w:rsidRPr="00481290">
              <w:rPr>
                <w:sz w:val="24"/>
                <w:szCs w:val="24"/>
                <w:lang w:val="lv-LV"/>
              </w:rPr>
              <w:t xml:space="preserve">un </w:t>
            </w:r>
            <w:r w:rsidR="00386ACE" w:rsidRPr="00481290">
              <w:rPr>
                <w:sz w:val="24"/>
                <w:szCs w:val="24"/>
                <w:lang w:val="lv-LV"/>
              </w:rPr>
              <w:t>6</w:t>
            </w:r>
            <w:r w:rsidR="00F615FE" w:rsidRPr="00481290">
              <w:rPr>
                <w:sz w:val="24"/>
                <w:szCs w:val="24"/>
                <w:lang w:val="lv-LV"/>
              </w:rPr>
              <w:t>.</w:t>
            </w:r>
            <w:r w:rsidR="00E908E8" w:rsidRPr="00481290">
              <w:rPr>
                <w:sz w:val="24"/>
                <w:szCs w:val="24"/>
                <w:lang w:val="lv-LV"/>
              </w:rPr>
              <w:t>5</w:t>
            </w:r>
            <w:r w:rsidR="00F615FE" w:rsidRPr="00481290">
              <w:rPr>
                <w:sz w:val="24"/>
                <w:szCs w:val="24"/>
                <w:lang w:val="lv-LV"/>
              </w:rPr>
              <w:t>. </w:t>
            </w:r>
            <w:r w:rsidR="00E908E8" w:rsidRPr="00481290">
              <w:rPr>
                <w:sz w:val="24"/>
                <w:szCs w:val="24"/>
                <w:lang w:val="lv-LV"/>
              </w:rPr>
              <w:t>i</w:t>
            </w:r>
            <w:r w:rsidR="00386ACE" w:rsidRPr="00481290">
              <w:rPr>
                <w:sz w:val="24"/>
                <w:szCs w:val="24"/>
                <w:lang w:val="lv-LV"/>
              </w:rPr>
              <w:t>ii</w:t>
            </w:r>
            <w:r w:rsidR="00E908E8" w:rsidRPr="00481290">
              <w:rPr>
                <w:sz w:val="24"/>
                <w:szCs w:val="24"/>
                <w:lang w:val="lv-LV"/>
              </w:rPr>
              <w:t>), i</w:t>
            </w:r>
            <w:r w:rsidR="00386ACE" w:rsidRPr="00481290">
              <w:rPr>
                <w:sz w:val="24"/>
                <w:szCs w:val="24"/>
                <w:lang w:val="lv-LV"/>
              </w:rPr>
              <w:t>v</w:t>
            </w:r>
            <w:r w:rsidR="00E908E8" w:rsidRPr="00481290">
              <w:rPr>
                <w:sz w:val="24"/>
                <w:szCs w:val="24"/>
                <w:lang w:val="lv-LV"/>
              </w:rPr>
              <w:t xml:space="preserve">) </w:t>
            </w:r>
            <w:r w:rsidR="00F615FE" w:rsidRPr="00481290">
              <w:rPr>
                <w:sz w:val="24"/>
                <w:szCs w:val="24"/>
                <w:lang w:val="lv-LV"/>
              </w:rPr>
              <w:t>apakšpunktam.</w:t>
            </w:r>
          </w:p>
        </w:tc>
      </w:tr>
      <w:tr w:rsidR="0005464C" w:rsidRPr="00676D64"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098416B3" w14:textId="77777777" w:rsidR="0005464C" w:rsidRPr="003B338A" w:rsidRDefault="0005464C" w:rsidP="0019485D">
            <w:pPr>
              <w:pStyle w:val="Bezatstarpm1"/>
              <w:jc w:val="center"/>
              <w:rPr>
                <w:rFonts w:ascii="Times New Roman" w:hAnsi="Times New Roman"/>
                <w:b/>
                <w:bCs/>
                <w:sz w:val="24"/>
                <w:szCs w:val="24"/>
                <w:lang w:val="lv-LV"/>
              </w:rPr>
            </w:pPr>
            <w:r w:rsidRPr="003B338A">
              <w:rPr>
                <w:rFonts w:ascii="Times New Roman" w:hAnsi="Times New Roman"/>
                <w:b/>
                <w:bCs/>
                <w:sz w:val="24"/>
                <w:szCs w:val="24"/>
                <w:lang w:val="lv-LV"/>
              </w:rPr>
              <w:lastRenderedPageBreak/>
              <w:t>2.tabula</w:t>
            </w:r>
          </w:p>
          <w:p w14:paraId="2B678F25" w14:textId="77777777" w:rsidR="0005464C" w:rsidRPr="003B338A" w:rsidRDefault="0005464C" w:rsidP="0019485D">
            <w:pPr>
              <w:pStyle w:val="Bezatstarpm1"/>
              <w:jc w:val="center"/>
              <w:rPr>
                <w:rFonts w:ascii="Times New Roman" w:hAnsi="Times New Roman"/>
                <w:b/>
                <w:bCs/>
                <w:sz w:val="24"/>
                <w:szCs w:val="24"/>
                <w:lang w:val="lv-LV"/>
              </w:rPr>
            </w:pPr>
            <w:r w:rsidRPr="003B338A">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676D64" w:rsidRDefault="0005464C" w:rsidP="00D44D6F">
            <w:pPr>
              <w:pStyle w:val="naisc"/>
              <w:spacing w:before="0" w:after="0"/>
              <w:rPr>
                <w:b/>
                <w:sz w:val="24"/>
                <w:szCs w:val="24"/>
                <w:lang w:val="lv-LV"/>
              </w:rPr>
            </w:pPr>
            <w:r w:rsidRPr="00676D64">
              <w:rPr>
                <w:b/>
                <w:sz w:val="24"/>
                <w:szCs w:val="24"/>
                <w:lang w:val="lv-LV"/>
              </w:rPr>
              <w:t>Pasākumi šo saistību izpildei</w:t>
            </w:r>
          </w:p>
        </w:tc>
      </w:tr>
      <w:tr w:rsidR="0005464C" w:rsidRPr="00676D64"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255F16EA" w14:textId="1BA30D19" w:rsidR="0005464C" w:rsidRPr="00D85A28" w:rsidRDefault="00FA2EF8" w:rsidP="00A5089F">
            <w:pPr>
              <w:pStyle w:val="naisc"/>
              <w:spacing w:before="0" w:after="0"/>
              <w:rPr>
                <w:bCs/>
                <w:sz w:val="24"/>
                <w:szCs w:val="24"/>
                <w:lang w:val="lv-LV"/>
              </w:rPr>
            </w:pPr>
            <w:r w:rsidRPr="00FA2EF8">
              <w:rPr>
                <w:bCs/>
                <w:sz w:val="24"/>
                <w:szCs w:val="24"/>
                <w:lang w:val="lv-LV"/>
              </w:rPr>
              <w:t>Projekts šo jomu neskar</w:t>
            </w:r>
            <w:r w:rsidR="0005464C" w:rsidRPr="00D85A28">
              <w:rPr>
                <w:bCs/>
                <w:sz w:val="24"/>
                <w:szCs w:val="24"/>
                <w:lang w:val="lv-LV"/>
              </w:rPr>
              <w:t>.</w:t>
            </w:r>
          </w:p>
        </w:tc>
      </w:tr>
    </w:tbl>
    <w:p w14:paraId="0AE77926" w14:textId="77777777" w:rsidR="0005464C" w:rsidRPr="00044EF7" w:rsidRDefault="0005464C" w:rsidP="007520AF">
      <w:pPr>
        <w:pStyle w:val="Title"/>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5464C" w:rsidRPr="001A5641" w14:paraId="6783C611" w14:textId="77777777" w:rsidTr="00D44D6F">
        <w:trPr>
          <w:cantSplit/>
        </w:trPr>
        <w:tc>
          <w:tcPr>
            <w:tcW w:w="5000" w:type="pct"/>
            <w:gridSpan w:val="3"/>
            <w:vAlign w:val="center"/>
            <w:hideMark/>
          </w:tcPr>
          <w:p w14:paraId="6D1F5EC6" w14:textId="77777777" w:rsidR="0005464C" w:rsidRPr="001A5641" w:rsidRDefault="0005464C" w:rsidP="00D44D6F">
            <w:pPr>
              <w:jc w:val="center"/>
              <w:rPr>
                <w:b/>
                <w:bCs/>
              </w:rPr>
            </w:pPr>
            <w:r w:rsidRPr="001A5641">
              <w:rPr>
                <w:b/>
                <w:bCs/>
              </w:rPr>
              <w:t>VI. Sabiedrības līdzdalība un komunikācijas aktivitātes</w:t>
            </w:r>
          </w:p>
        </w:tc>
      </w:tr>
      <w:tr w:rsidR="00E4291F" w:rsidRPr="001A5641" w14:paraId="7AC41147" w14:textId="77777777" w:rsidTr="00D44D6F">
        <w:trPr>
          <w:cantSplit/>
        </w:trPr>
        <w:tc>
          <w:tcPr>
            <w:tcW w:w="311" w:type="pct"/>
            <w:hideMark/>
          </w:tcPr>
          <w:p w14:paraId="455268FF" w14:textId="77777777" w:rsidR="00E4291F" w:rsidRPr="001A5641" w:rsidRDefault="00E4291F" w:rsidP="00E4291F">
            <w:pPr>
              <w:jc w:val="center"/>
            </w:pPr>
            <w:r w:rsidRPr="001A5641">
              <w:t>1.</w:t>
            </w:r>
          </w:p>
        </w:tc>
        <w:tc>
          <w:tcPr>
            <w:tcW w:w="1479" w:type="pct"/>
            <w:hideMark/>
          </w:tcPr>
          <w:p w14:paraId="0592CAEB" w14:textId="77777777" w:rsidR="00E4291F" w:rsidRPr="001A5641" w:rsidRDefault="00E4291F" w:rsidP="00E4291F">
            <w:r w:rsidRPr="001A5641">
              <w:t>Plānotās sabiedrības līdzdalības un komunikācijas aktivitātes saistībā ar projektu</w:t>
            </w:r>
          </w:p>
        </w:tc>
        <w:tc>
          <w:tcPr>
            <w:tcW w:w="3210" w:type="pct"/>
            <w:hideMark/>
          </w:tcPr>
          <w:p w14:paraId="492E835B" w14:textId="77777777" w:rsidR="00E4291F" w:rsidRPr="004F6F74" w:rsidRDefault="00E4291F" w:rsidP="00E4291F">
            <w:pPr>
              <w:jc w:val="both"/>
            </w:pPr>
            <w:r w:rsidRPr="004F6F74">
              <w:t>Nav attiecināms</w:t>
            </w:r>
          </w:p>
          <w:p w14:paraId="187208E3" w14:textId="77777777" w:rsidR="00E4291F" w:rsidRDefault="00E4291F" w:rsidP="00E4291F">
            <w:pPr>
              <w:jc w:val="both"/>
            </w:pPr>
          </w:p>
          <w:p w14:paraId="0D2FB875" w14:textId="69CBA33C" w:rsidR="00E4291F" w:rsidRPr="00A055C1" w:rsidRDefault="00E4291F" w:rsidP="00E4291F">
            <w:pPr>
              <w:jc w:val="both"/>
            </w:pPr>
            <w:r>
              <w:t>Par</w:t>
            </w:r>
            <w:r w:rsidRPr="004F6F74">
              <w:t xml:space="preserve"> </w:t>
            </w:r>
            <w:r>
              <w:t>projektu tā</w:t>
            </w:r>
            <w:r w:rsidRPr="004F6F74">
              <w:t xml:space="preserve"> virzības laikā p</w:t>
            </w:r>
            <w:r>
              <w:t>aredzēts</w:t>
            </w:r>
            <w:r w:rsidRPr="004F6F74">
              <w:t xml:space="preserve"> </w:t>
            </w:r>
            <w:r>
              <w:t>informēt</w:t>
            </w:r>
            <w:r w:rsidRPr="004F6F74">
              <w:t xml:space="preserve"> Farmācijas jomas konsultatīvās padomes locek</w:t>
            </w:r>
            <w:r>
              <w:t>ļ</w:t>
            </w:r>
            <w:r w:rsidRPr="004F6F74">
              <w:t>us.</w:t>
            </w:r>
          </w:p>
        </w:tc>
      </w:tr>
      <w:tr w:rsidR="00E4291F" w:rsidRPr="001A5641" w14:paraId="3141261D" w14:textId="77777777" w:rsidTr="00D44D6F">
        <w:trPr>
          <w:cantSplit/>
        </w:trPr>
        <w:tc>
          <w:tcPr>
            <w:tcW w:w="311" w:type="pct"/>
            <w:hideMark/>
          </w:tcPr>
          <w:p w14:paraId="4ED7DA83" w14:textId="77777777" w:rsidR="00E4291F" w:rsidRPr="001A5641" w:rsidRDefault="00E4291F" w:rsidP="00E4291F">
            <w:pPr>
              <w:jc w:val="center"/>
            </w:pPr>
            <w:r w:rsidRPr="001A5641">
              <w:t>2.</w:t>
            </w:r>
          </w:p>
        </w:tc>
        <w:tc>
          <w:tcPr>
            <w:tcW w:w="1479" w:type="pct"/>
            <w:hideMark/>
          </w:tcPr>
          <w:p w14:paraId="49E6A809" w14:textId="77777777" w:rsidR="00E4291F" w:rsidRPr="001A5641" w:rsidRDefault="00E4291F" w:rsidP="00E4291F">
            <w:r w:rsidRPr="001A5641">
              <w:t>Sabiedrības līdzdalība projekta izstrādē</w:t>
            </w:r>
          </w:p>
        </w:tc>
        <w:tc>
          <w:tcPr>
            <w:tcW w:w="3210" w:type="pct"/>
            <w:hideMark/>
          </w:tcPr>
          <w:p w14:paraId="30C92FF2" w14:textId="39B34149" w:rsidR="00E4291F" w:rsidRPr="00341FE9" w:rsidRDefault="00E4291F" w:rsidP="00E4291F">
            <w:pPr>
              <w:jc w:val="both"/>
            </w:pPr>
            <w:r w:rsidRPr="004F6F74">
              <w:t xml:space="preserve">Tā kā Projekts tiek virzīts steidzamības kārtā, sabiedrības iesaiste Projekta izstrādē </w:t>
            </w:r>
            <w:r>
              <w:t>nav</w:t>
            </w:r>
            <w:r w:rsidRPr="004F6F74">
              <w:t xml:space="preserve"> organizēta.</w:t>
            </w:r>
          </w:p>
        </w:tc>
      </w:tr>
      <w:tr w:rsidR="00E4291F" w:rsidRPr="001A5641" w14:paraId="74934CDD" w14:textId="77777777" w:rsidTr="00D44D6F">
        <w:trPr>
          <w:cantSplit/>
        </w:trPr>
        <w:tc>
          <w:tcPr>
            <w:tcW w:w="311" w:type="pct"/>
            <w:hideMark/>
          </w:tcPr>
          <w:p w14:paraId="2B600027" w14:textId="77777777" w:rsidR="00E4291F" w:rsidRPr="001A5641" w:rsidRDefault="00E4291F" w:rsidP="00E4291F">
            <w:pPr>
              <w:jc w:val="center"/>
            </w:pPr>
            <w:r w:rsidRPr="001A5641">
              <w:t>3.</w:t>
            </w:r>
          </w:p>
        </w:tc>
        <w:tc>
          <w:tcPr>
            <w:tcW w:w="1479" w:type="pct"/>
            <w:hideMark/>
          </w:tcPr>
          <w:p w14:paraId="1CF294F0" w14:textId="77777777" w:rsidR="00E4291F" w:rsidRPr="001A5641" w:rsidRDefault="00E4291F" w:rsidP="00E4291F">
            <w:r w:rsidRPr="001A5641">
              <w:t>Sabiedrības līdzdalības rezultāti</w:t>
            </w:r>
          </w:p>
        </w:tc>
        <w:tc>
          <w:tcPr>
            <w:tcW w:w="3210" w:type="pct"/>
            <w:hideMark/>
          </w:tcPr>
          <w:p w14:paraId="21487A94" w14:textId="1F30DDB1" w:rsidR="00E4291F" w:rsidRPr="00A055C1" w:rsidRDefault="00E4291F" w:rsidP="00E4291F">
            <w:pPr>
              <w:jc w:val="both"/>
              <w:rPr>
                <w:i/>
                <w:iCs/>
              </w:rPr>
            </w:pPr>
            <w:r>
              <w:t>Projekts šo jomu neskar.</w:t>
            </w:r>
          </w:p>
        </w:tc>
      </w:tr>
      <w:tr w:rsidR="00E4291F" w:rsidRPr="001A5641" w14:paraId="2E054F68" w14:textId="77777777" w:rsidTr="00D44D6F">
        <w:trPr>
          <w:cantSplit/>
        </w:trPr>
        <w:tc>
          <w:tcPr>
            <w:tcW w:w="311" w:type="pct"/>
            <w:hideMark/>
          </w:tcPr>
          <w:p w14:paraId="51F8B6F7" w14:textId="77777777" w:rsidR="00E4291F" w:rsidRPr="001A5641" w:rsidRDefault="00E4291F" w:rsidP="00E4291F">
            <w:pPr>
              <w:jc w:val="center"/>
            </w:pPr>
            <w:r w:rsidRPr="001A5641">
              <w:t>4.</w:t>
            </w:r>
          </w:p>
        </w:tc>
        <w:tc>
          <w:tcPr>
            <w:tcW w:w="1479" w:type="pct"/>
            <w:hideMark/>
          </w:tcPr>
          <w:p w14:paraId="4D900529" w14:textId="77777777" w:rsidR="00E4291F" w:rsidRPr="001A5641" w:rsidRDefault="00E4291F" w:rsidP="00E4291F">
            <w:r w:rsidRPr="001A5641">
              <w:t>Cita informācija</w:t>
            </w:r>
          </w:p>
        </w:tc>
        <w:tc>
          <w:tcPr>
            <w:tcW w:w="3210" w:type="pct"/>
            <w:hideMark/>
          </w:tcPr>
          <w:p w14:paraId="37BECE83" w14:textId="3E6F7D94" w:rsidR="00E4291F" w:rsidRPr="001A5641" w:rsidRDefault="00E4291F" w:rsidP="00E4291F">
            <w:r w:rsidRPr="007D11A9">
              <w:t>Nav</w:t>
            </w:r>
          </w:p>
        </w:tc>
      </w:tr>
    </w:tbl>
    <w:p w14:paraId="1CC41E21" w14:textId="77777777" w:rsidR="0005464C" w:rsidRPr="001A5641" w:rsidRDefault="0005464C" w:rsidP="007520AF">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4108"/>
        <w:gridCol w:w="4389"/>
      </w:tblGrid>
      <w:tr w:rsidR="0005464C" w:rsidRPr="001A5641" w14:paraId="50834D46" w14:textId="77777777" w:rsidTr="00244A49">
        <w:trPr>
          <w:cantSplit/>
          <w:trHeight w:val="805"/>
        </w:trPr>
        <w:tc>
          <w:tcPr>
            <w:tcW w:w="5000" w:type="pct"/>
            <w:gridSpan w:val="3"/>
            <w:vAlign w:val="center"/>
            <w:hideMark/>
          </w:tcPr>
          <w:p w14:paraId="24C623BC" w14:textId="2AF4EE08" w:rsidR="00244A49" w:rsidRPr="00244A49" w:rsidRDefault="0005464C" w:rsidP="00244A49">
            <w:pPr>
              <w:jc w:val="center"/>
            </w:pPr>
            <w:r w:rsidRPr="001A5641">
              <w:rPr>
                <w:b/>
                <w:bCs/>
              </w:rPr>
              <w:t>VII. Tiesību akta projekta izpildes nodrošināšana un tās ietekme uz institūcijām</w:t>
            </w:r>
          </w:p>
          <w:p w14:paraId="2AC48732" w14:textId="4051FF91" w:rsidR="00244A49" w:rsidRPr="00244A49" w:rsidRDefault="00244A49" w:rsidP="00244A49"/>
        </w:tc>
      </w:tr>
      <w:tr w:rsidR="0005464C" w:rsidRPr="001A5641" w14:paraId="6B898E23" w14:textId="77777777" w:rsidTr="00CA35DA">
        <w:trPr>
          <w:cantSplit/>
        </w:trPr>
        <w:tc>
          <w:tcPr>
            <w:tcW w:w="311" w:type="pct"/>
            <w:hideMark/>
          </w:tcPr>
          <w:p w14:paraId="5838548A" w14:textId="77777777" w:rsidR="0005464C" w:rsidRPr="001A5641" w:rsidRDefault="0005464C" w:rsidP="00D44D6F">
            <w:pPr>
              <w:jc w:val="center"/>
            </w:pPr>
            <w:r w:rsidRPr="001A5641">
              <w:t>1.</w:t>
            </w:r>
          </w:p>
        </w:tc>
        <w:tc>
          <w:tcPr>
            <w:tcW w:w="2267" w:type="pct"/>
            <w:hideMark/>
          </w:tcPr>
          <w:p w14:paraId="5AF843FA" w14:textId="2EFFEB5C" w:rsidR="00244A49" w:rsidRPr="00244A49" w:rsidRDefault="0005464C" w:rsidP="00244A49">
            <w:r w:rsidRPr="001A5641">
              <w:t>Projekta izpildē iesaistītās institūcijas</w:t>
            </w:r>
          </w:p>
          <w:p w14:paraId="0410115F" w14:textId="5F765DC5" w:rsidR="00244A49" w:rsidRPr="00244A49" w:rsidRDefault="00244A49" w:rsidP="00244A49"/>
        </w:tc>
        <w:tc>
          <w:tcPr>
            <w:tcW w:w="2421" w:type="pct"/>
            <w:hideMark/>
          </w:tcPr>
          <w:p w14:paraId="2ED99082" w14:textId="4C7CD179" w:rsidR="0005464C" w:rsidRPr="001A5641" w:rsidRDefault="0005464C" w:rsidP="00D44D6F">
            <w:r>
              <w:t>Zāļu valsts aģentūra</w:t>
            </w:r>
            <w:r w:rsidR="00FC7CA6">
              <w:t xml:space="preserve"> un Veselības inspekcija</w:t>
            </w:r>
          </w:p>
        </w:tc>
      </w:tr>
      <w:tr w:rsidR="0005464C" w:rsidRPr="001A5641" w14:paraId="7954485E" w14:textId="77777777" w:rsidTr="00CA35DA">
        <w:trPr>
          <w:cantSplit/>
        </w:trPr>
        <w:tc>
          <w:tcPr>
            <w:tcW w:w="311" w:type="pct"/>
            <w:hideMark/>
          </w:tcPr>
          <w:p w14:paraId="171EB66D" w14:textId="77777777" w:rsidR="0005464C" w:rsidRPr="001A5641" w:rsidRDefault="0005464C" w:rsidP="00D44D6F">
            <w:pPr>
              <w:jc w:val="center"/>
            </w:pPr>
            <w:r w:rsidRPr="001A5641">
              <w:t>2.</w:t>
            </w:r>
          </w:p>
        </w:tc>
        <w:tc>
          <w:tcPr>
            <w:tcW w:w="2267" w:type="pct"/>
            <w:hideMark/>
          </w:tcPr>
          <w:p w14:paraId="104921AF" w14:textId="38249D96" w:rsidR="00244A49" w:rsidRPr="00244A49" w:rsidRDefault="0005464C" w:rsidP="00244A49">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2421" w:type="pct"/>
            <w:hideMark/>
          </w:tcPr>
          <w:p w14:paraId="609DDEE2" w14:textId="5E3D2C28" w:rsidR="0005464C" w:rsidRDefault="0005464C" w:rsidP="00D44D6F">
            <w:pPr>
              <w:jc w:val="both"/>
              <w:rPr>
                <w:szCs w:val="22"/>
              </w:rPr>
            </w:pPr>
            <w:r w:rsidRPr="00C335E7">
              <w:rPr>
                <w:szCs w:val="22"/>
              </w:rPr>
              <w:t xml:space="preserve">Noteikumu projekta izpildei nav nepieciešams paplašināt </w:t>
            </w:r>
            <w:r w:rsidR="00975D84">
              <w:rPr>
                <w:szCs w:val="22"/>
              </w:rPr>
              <w:t>institūciju</w:t>
            </w:r>
            <w:r w:rsidRPr="00C335E7">
              <w:rPr>
                <w:szCs w:val="22"/>
              </w:rPr>
              <w:t xml:space="preserve"> funkcijas un uzdevumus.</w:t>
            </w:r>
          </w:p>
          <w:p w14:paraId="237C79AB" w14:textId="6B7CEA84" w:rsidR="0005464C" w:rsidRPr="00984503" w:rsidRDefault="0005464C" w:rsidP="00D44D6F">
            <w:pPr>
              <w:jc w:val="both"/>
            </w:pPr>
            <w:r>
              <w:t>Noteikumu projekta izpilde neietekmēs institūcijām pieejamos cilvēkresursus.</w:t>
            </w:r>
          </w:p>
        </w:tc>
      </w:tr>
      <w:tr w:rsidR="0005464C" w:rsidRPr="001A5641" w14:paraId="295D0665" w14:textId="77777777" w:rsidTr="00CA35DA">
        <w:trPr>
          <w:cantSplit/>
        </w:trPr>
        <w:tc>
          <w:tcPr>
            <w:tcW w:w="311" w:type="pct"/>
            <w:hideMark/>
          </w:tcPr>
          <w:p w14:paraId="316947A5" w14:textId="77777777" w:rsidR="0005464C" w:rsidRPr="001A5641" w:rsidRDefault="0005464C" w:rsidP="00D44D6F">
            <w:pPr>
              <w:jc w:val="center"/>
            </w:pPr>
            <w:r w:rsidRPr="001A5641">
              <w:t>3.</w:t>
            </w:r>
          </w:p>
        </w:tc>
        <w:tc>
          <w:tcPr>
            <w:tcW w:w="2267" w:type="pct"/>
            <w:hideMark/>
          </w:tcPr>
          <w:p w14:paraId="2EEE4468" w14:textId="77777777" w:rsidR="0005464C" w:rsidRPr="001A5641" w:rsidRDefault="0005464C" w:rsidP="00D44D6F">
            <w:r w:rsidRPr="001A5641">
              <w:t>Cita informācija</w:t>
            </w:r>
          </w:p>
        </w:tc>
        <w:tc>
          <w:tcPr>
            <w:tcW w:w="2421" w:type="pct"/>
            <w:hideMark/>
          </w:tcPr>
          <w:p w14:paraId="05C31DDB" w14:textId="77777777" w:rsidR="0005464C" w:rsidRPr="001A5641" w:rsidRDefault="0005464C" w:rsidP="00D44D6F">
            <w:r>
              <w:t>Nav.</w:t>
            </w:r>
          </w:p>
        </w:tc>
      </w:tr>
    </w:tbl>
    <w:p w14:paraId="38EA0618" w14:textId="77777777" w:rsidR="0005464C" w:rsidRDefault="0005464C" w:rsidP="0005464C"/>
    <w:p w14:paraId="04F8952C" w14:textId="77777777" w:rsidR="0005464C" w:rsidRDefault="0005464C" w:rsidP="0005464C"/>
    <w:p w14:paraId="01B26F99" w14:textId="77777777" w:rsidR="00CA35DA" w:rsidRDefault="00CA35DA" w:rsidP="006A07CF">
      <w:pPr>
        <w:tabs>
          <w:tab w:val="left" w:pos="7230"/>
        </w:tabs>
        <w:ind w:right="-765"/>
        <w:rPr>
          <w:rFonts w:eastAsia="Calibri"/>
          <w:sz w:val="28"/>
          <w:szCs w:val="28"/>
        </w:rPr>
      </w:pPr>
    </w:p>
    <w:p w14:paraId="7B589204" w14:textId="54CE196E" w:rsidR="006A07CF" w:rsidRPr="007D11A9" w:rsidRDefault="006A07CF" w:rsidP="006A07CF">
      <w:pPr>
        <w:tabs>
          <w:tab w:val="left" w:pos="7230"/>
        </w:tabs>
        <w:ind w:right="-765"/>
        <w:rPr>
          <w:rFonts w:eastAsia="Calibri"/>
          <w:sz w:val="27"/>
          <w:szCs w:val="27"/>
        </w:rPr>
      </w:pPr>
      <w:r w:rsidRPr="00BE76CE">
        <w:rPr>
          <w:rFonts w:eastAsia="Calibri"/>
          <w:sz w:val="28"/>
          <w:szCs w:val="28"/>
        </w:rPr>
        <w:t>Veselības ministr</w:t>
      </w:r>
      <w:r w:rsidR="00BE76CE" w:rsidRPr="00BE76CE">
        <w:rPr>
          <w:rFonts w:eastAsia="Calibri"/>
          <w:sz w:val="28"/>
          <w:szCs w:val="28"/>
        </w:rPr>
        <w:t>s</w:t>
      </w:r>
      <w:r w:rsidRPr="00BE76CE">
        <w:rPr>
          <w:rFonts w:eastAsia="Calibri"/>
          <w:sz w:val="28"/>
          <w:szCs w:val="28"/>
        </w:rPr>
        <w:tab/>
      </w:r>
      <w:r w:rsidR="00BE76CE" w:rsidRPr="00BE76CE">
        <w:rPr>
          <w:rFonts w:eastAsia="Calibri"/>
          <w:sz w:val="28"/>
          <w:szCs w:val="28"/>
        </w:rPr>
        <w:t>D</w:t>
      </w:r>
      <w:r w:rsidRPr="00BE76CE">
        <w:rPr>
          <w:rFonts w:eastAsia="Calibri"/>
          <w:sz w:val="28"/>
          <w:szCs w:val="28"/>
        </w:rPr>
        <w:t>.</w:t>
      </w:r>
      <w:r w:rsidR="00F846A0" w:rsidRPr="00BE76CE">
        <w:rPr>
          <w:rFonts w:eastAsia="Calibri"/>
          <w:sz w:val="28"/>
          <w:szCs w:val="28"/>
        </w:rPr>
        <w:t> </w:t>
      </w:r>
      <w:r w:rsidR="00BE76CE" w:rsidRPr="00BE76CE">
        <w:rPr>
          <w:rFonts w:eastAsia="Calibri"/>
          <w:sz w:val="28"/>
          <w:szCs w:val="28"/>
        </w:rPr>
        <w:t>Pavļuts</w:t>
      </w:r>
      <w:r w:rsidRPr="007D11A9">
        <w:rPr>
          <w:rFonts w:eastAsia="Calibri"/>
          <w:sz w:val="27"/>
          <w:szCs w:val="27"/>
        </w:rPr>
        <w:tab/>
      </w:r>
    </w:p>
    <w:p w14:paraId="0FE69EA3" w14:textId="77777777" w:rsidR="006A07CF" w:rsidRPr="007D11A9" w:rsidRDefault="006A07CF" w:rsidP="006A07CF">
      <w:pPr>
        <w:tabs>
          <w:tab w:val="right" w:pos="9072"/>
        </w:tabs>
        <w:ind w:right="-1"/>
        <w:rPr>
          <w:rFonts w:eastAsia="Calibri"/>
          <w:sz w:val="27"/>
          <w:szCs w:val="27"/>
        </w:rPr>
      </w:pPr>
    </w:p>
    <w:p w14:paraId="1D609E5F" w14:textId="77777777" w:rsidR="006A07CF" w:rsidRPr="007D11A9" w:rsidRDefault="006A07CF" w:rsidP="006A07CF">
      <w:pPr>
        <w:tabs>
          <w:tab w:val="right" w:pos="9072"/>
        </w:tabs>
        <w:ind w:right="-1"/>
        <w:rPr>
          <w:rFonts w:eastAsia="Calibri"/>
          <w:sz w:val="27"/>
          <w:szCs w:val="27"/>
        </w:rPr>
      </w:pPr>
    </w:p>
    <w:p w14:paraId="255139D6" w14:textId="77777777" w:rsidR="00CA35DA" w:rsidRDefault="00CA35DA" w:rsidP="006A07CF">
      <w:pPr>
        <w:tabs>
          <w:tab w:val="right" w:pos="9072"/>
        </w:tabs>
        <w:ind w:right="-1"/>
        <w:rPr>
          <w:rFonts w:eastAsia="Calibri"/>
          <w:sz w:val="27"/>
          <w:szCs w:val="27"/>
        </w:rPr>
      </w:pPr>
    </w:p>
    <w:p w14:paraId="1EA85D1C" w14:textId="357003DE" w:rsidR="006A07CF" w:rsidRPr="007D11A9" w:rsidRDefault="006A07CF" w:rsidP="006A07CF">
      <w:pPr>
        <w:tabs>
          <w:tab w:val="right" w:pos="9072"/>
        </w:tabs>
        <w:ind w:right="-1"/>
        <w:rPr>
          <w:rFonts w:eastAsia="Calibri"/>
          <w:sz w:val="28"/>
          <w:szCs w:val="28"/>
        </w:rPr>
      </w:pPr>
      <w:r w:rsidRPr="007D11A9">
        <w:rPr>
          <w:rFonts w:eastAsia="Calibri"/>
          <w:sz w:val="27"/>
          <w:szCs w:val="27"/>
        </w:rPr>
        <w:t>Vīza: Valsts sekretāre                                                D</w:t>
      </w:r>
      <w:r>
        <w:rPr>
          <w:rFonts w:eastAsia="Calibri"/>
          <w:sz w:val="27"/>
          <w:szCs w:val="27"/>
        </w:rPr>
        <w:t>.</w:t>
      </w:r>
      <w:r w:rsidR="00F846A0">
        <w:rPr>
          <w:rFonts w:eastAsia="Calibri"/>
          <w:sz w:val="27"/>
          <w:szCs w:val="27"/>
        </w:rPr>
        <w:t> </w:t>
      </w:r>
      <w:r w:rsidRPr="007D11A9">
        <w:rPr>
          <w:rFonts w:eastAsia="Calibri"/>
          <w:sz w:val="27"/>
          <w:szCs w:val="27"/>
        </w:rPr>
        <w:t>Mūrmane</w:t>
      </w:r>
      <w:r w:rsidR="00F846A0">
        <w:rPr>
          <w:rFonts w:eastAsia="Calibri"/>
          <w:sz w:val="27"/>
          <w:szCs w:val="27"/>
        </w:rPr>
        <w:t> </w:t>
      </w:r>
      <w:r w:rsidRPr="007D11A9">
        <w:rPr>
          <w:rFonts w:eastAsia="Calibri"/>
          <w:sz w:val="27"/>
          <w:szCs w:val="27"/>
        </w:rPr>
        <w:t>-</w:t>
      </w:r>
      <w:r w:rsidR="00F846A0">
        <w:rPr>
          <w:rFonts w:eastAsia="Calibri"/>
          <w:sz w:val="27"/>
          <w:szCs w:val="27"/>
        </w:rPr>
        <w:t> </w:t>
      </w:r>
      <w:r w:rsidRPr="007D11A9">
        <w:rPr>
          <w:rFonts w:eastAsia="Calibri"/>
          <w:sz w:val="27"/>
          <w:szCs w:val="27"/>
        </w:rPr>
        <w:t>Umbraško</w:t>
      </w:r>
      <w:r w:rsidRPr="007D11A9">
        <w:rPr>
          <w:rFonts w:eastAsia="Calibri"/>
          <w:sz w:val="28"/>
          <w:szCs w:val="28"/>
        </w:rPr>
        <w:t xml:space="preserve"> </w:t>
      </w:r>
    </w:p>
    <w:p w14:paraId="3C08B04C" w14:textId="77777777" w:rsidR="006A07CF" w:rsidRPr="007D11A9" w:rsidRDefault="006A07CF" w:rsidP="006A07CF">
      <w:pPr>
        <w:tabs>
          <w:tab w:val="left" w:pos="6237"/>
        </w:tabs>
        <w:rPr>
          <w:rFonts w:eastAsiaTheme="minorHAnsi"/>
          <w:sz w:val="28"/>
          <w:szCs w:val="28"/>
        </w:rPr>
      </w:pPr>
    </w:p>
    <w:p w14:paraId="59CDBBE7" w14:textId="77777777" w:rsidR="006A07CF" w:rsidRDefault="006A07CF" w:rsidP="00FC7CA6">
      <w:pPr>
        <w:tabs>
          <w:tab w:val="left" w:pos="6237"/>
        </w:tabs>
        <w:rPr>
          <w:szCs w:val="28"/>
        </w:rPr>
      </w:pPr>
    </w:p>
    <w:p w14:paraId="6235E5B6" w14:textId="403DD939" w:rsidR="003D0D4D" w:rsidRDefault="00BE76CE" w:rsidP="00BE76CE">
      <w:pPr>
        <w:tabs>
          <w:tab w:val="left" w:pos="3345"/>
        </w:tabs>
        <w:rPr>
          <w:szCs w:val="28"/>
        </w:rPr>
      </w:pPr>
      <w:r>
        <w:rPr>
          <w:szCs w:val="28"/>
        </w:rPr>
        <w:tab/>
      </w:r>
    </w:p>
    <w:p w14:paraId="6722B925" w14:textId="77777777" w:rsidR="00244A49" w:rsidRDefault="00244A49" w:rsidP="00FC7CA6">
      <w:pPr>
        <w:tabs>
          <w:tab w:val="left" w:pos="6237"/>
        </w:tabs>
        <w:rPr>
          <w:szCs w:val="28"/>
        </w:rPr>
      </w:pPr>
    </w:p>
    <w:p w14:paraId="0F610407" w14:textId="07D55CD5" w:rsidR="00FC7CA6" w:rsidRPr="007D11A9" w:rsidRDefault="00FC7CA6" w:rsidP="00FC7CA6">
      <w:pPr>
        <w:tabs>
          <w:tab w:val="left" w:pos="6237"/>
        </w:tabs>
        <w:rPr>
          <w:szCs w:val="28"/>
        </w:rPr>
      </w:pPr>
      <w:r w:rsidRPr="007D11A9">
        <w:rPr>
          <w:szCs w:val="28"/>
        </w:rPr>
        <w:t>Mača 67876117</w:t>
      </w:r>
    </w:p>
    <w:p w14:paraId="425CECFD" w14:textId="48CDDF59" w:rsidR="00E12C10" w:rsidRDefault="00FC7CA6" w:rsidP="00814D9B">
      <w:pPr>
        <w:tabs>
          <w:tab w:val="left" w:pos="6237"/>
        </w:tabs>
        <w:rPr>
          <w:szCs w:val="28"/>
        </w:rPr>
      </w:pPr>
      <w:r w:rsidRPr="007D11A9">
        <w:rPr>
          <w:szCs w:val="28"/>
        </w:rPr>
        <w:t>inguna.maca@vm.gov.lv</w:t>
      </w:r>
    </w:p>
    <w:p w14:paraId="1CFE240A" w14:textId="77777777" w:rsidR="00E6418B" w:rsidRPr="00E6418B" w:rsidRDefault="00E6418B" w:rsidP="00E6418B">
      <w:pPr>
        <w:jc w:val="center"/>
        <w:rPr>
          <w:szCs w:val="28"/>
        </w:rPr>
      </w:pPr>
    </w:p>
    <w:sectPr w:rsidR="00E6418B" w:rsidRPr="00E6418B" w:rsidSect="0026524D">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F2D0" w14:textId="77777777" w:rsidR="00E05DE7" w:rsidRDefault="00E05DE7">
      <w:r>
        <w:separator/>
      </w:r>
    </w:p>
  </w:endnote>
  <w:endnote w:type="continuationSeparator" w:id="0">
    <w:p w14:paraId="1C062DF5" w14:textId="77777777" w:rsidR="00E05DE7" w:rsidRDefault="00E0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8877" w14:textId="77777777" w:rsidR="004C2AEA" w:rsidRDefault="004C2AEA" w:rsidP="002E4735">
    <w:pPr>
      <w:pStyle w:val="Footer"/>
      <w:rPr>
        <w:sz w:val="20"/>
        <w:szCs w:val="20"/>
      </w:rPr>
    </w:pPr>
  </w:p>
  <w:p w14:paraId="4361E720" w14:textId="68C43A0A" w:rsidR="004C2AEA" w:rsidRPr="002E4735" w:rsidRDefault="004C2AEA" w:rsidP="002E4735">
    <w:pPr>
      <w:pStyle w:val="Footer"/>
    </w:pPr>
    <w:r>
      <w:rPr>
        <w:sz w:val="20"/>
        <w:szCs w:val="20"/>
      </w:rPr>
      <w:t>V</w:t>
    </w:r>
    <w:r w:rsidRPr="00E12C10">
      <w:rPr>
        <w:sz w:val="20"/>
        <w:szCs w:val="20"/>
      </w:rPr>
      <w:t>Manot_</w:t>
    </w:r>
    <w:r w:rsidR="00206CBA">
      <w:rPr>
        <w:sz w:val="20"/>
        <w:szCs w:val="20"/>
      </w:rPr>
      <w:t>2</w:t>
    </w:r>
    <w:r w:rsidR="00723EB5">
      <w:rPr>
        <w:sz w:val="20"/>
        <w:szCs w:val="20"/>
      </w:rPr>
      <w:t>8</w:t>
    </w:r>
    <w:r w:rsidR="00E55B8F">
      <w:rPr>
        <w:sz w:val="20"/>
        <w:szCs w:val="20"/>
      </w:rPr>
      <w:t>0121</w:t>
    </w:r>
    <w:r w:rsidRPr="00E12C10">
      <w:rPr>
        <w:sz w:val="20"/>
        <w:szCs w:val="20"/>
      </w:rPr>
      <w:t>_</w:t>
    </w:r>
    <w:r w:rsidR="00F846A0">
      <w:rPr>
        <w:sz w:val="20"/>
        <w:szCs w:val="20"/>
      </w:rPr>
      <w:t>mk</w:t>
    </w:r>
    <w:r w:rsidR="001462A0">
      <w:rPr>
        <w:sz w:val="20"/>
        <w:szCs w:val="20"/>
      </w:rPr>
      <w:t>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C522" w14:textId="0036CBFC" w:rsidR="004C2AEA" w:rsidRPr="00E12C10" w:rsidRDefault="004C2AEA" w:rsidP="00E12C10">
    <w:pPr>
      <w:pStyle w:val="Footer"/>
    </w:pPr>
    <w:bookmarkStart w:id="1" w:name="_Hlk56771658"/>
    <w:bookmarkStart w:id="2" w:name="_Hlk56771659"/>
    <w:r>
      <w:rPr>
        <w:sz w:val="20"/>
        <w:szCs w:val="20"/>
      </w:rPr>
      <w:t>V</w:t>
    </w:r>
    <w:r w:rsidRPr="00E12C10">
      <w:rPr>
        <w:sz w:val="20"/>
        <w:szCs w:val="20"/>
      </w:rPr>
      <w:t>Manot_</w:t>
    </w:r>
    <w:bookmarkEnd w:id="1"/>
    <w:bookmarkEnd w:id="2"/>
    <w:r w:rsidR="00206CBA">
      <w:rPr>
        <w:sz w:val="20"/>
        <w:szCs w:val="20"/>
      </w:rPr>
      <w:t>2</w:t>
    </w:r>
    <w:r w:rsidR="00723EB5">
      <w:rPr>
        <w:sz w:val="20"/>
        <w:szCs w:val="20"/>
      </w:rPr>
      <w:t>8</w:t>
    </w:r>
    <w:r w:rsidR="00E55B8F">
      <w:rPr>
        <w:sz w:val="20"/>
        <w:szCs w:val="20"/>
      </w:rPr>
      <w:t>0121</w:t>
    </w:r>
    <w:r w:rsidR="00244A49">
      <w:rPr>
        <w:sz w:val="20"/>
        <w:szCs w:val="20"/>
      </w:rPr>
      <w:t>_mk</w:t>
    </w:r>
    <w:r w:rsidR="001462A0">
      <w:rPr>
        <w:sz w:val="20"/>
        <w:szCs w:val="20"/>
      </w:rPr>
      <w:t>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7036" w14:textId="77777777" w:rsidR="00E05DE7" w:rsidRDefault="00E05DE7">
      <w:r>
        <w:separator/>
      </w:r>
    </w:p>
  </w:footnote>
  <w:footnote w:type="continuationSeparator" w:id="0">
    <w:p w14:paraId="4DCA90A7" w14:textId="77777777" w:rsidR="00E05DE7" w:rsidRDefault="00E0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73333"/>
      <w:docPartObj>
        <w:docPartGallery w:val="Page Numbers (Top of Page)"/>
        <w:docPartUnique/>
      </w:docPartObj>
    </w:sdtPr>
    <w:sdtEndPr>
      <w:rPr>
        <w:noProof/>
      </w:rPr>
    </w:sdtEndPr>
    <w:sdtContent>
      <w:p w14:paraId="677B4D7C" w14:textId="7A3E677A" w:rsidR="004C2AEA" w:rsidRDefault="004C2AEA">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00586D5C" w14:textId="77777777" w:rsidR="004C2AEA" w:rsidRDefault="004C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A98"/>
    <w:multiLevelType w:val="hybridMultilevel"/>
    <w:tmpl w:val="CC9C0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A45276"/>
    <w:multiLevelType w:val="hybridMultilevel"/>
    <w:tmpl w:val="B1081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97259"/>
    <w:multiLevelType w:val="hybridMultilevel"/>
    <w:tmpl w:val="BF70D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5D7CA7"/>
    <w:multiLevelType w:val="hybridMultilevel"/>
    <w:tmpl w:val="95347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485B0A"/>
    <w:multiLevelType w:val="hybridMultilevel"/>
    <w:tmpl w:val="FFCCC978"/>
    <w:lvl w:ilvl="0" w:tplc="0C5098C4">
      <w:numFmt w:val="bullet"/>
      <w:lvlText w:val="-"/>
      <w:lvlJc w:val="left"/>
      <w:pPr>
        <w:ind w:left="509" w:hanging="360"/>
      </w:pPr>
      <w:rPr>
        <w:rFonts w:ascii="Calibri" w:eastAsiaTheme="minorHAnsi" w:hAnsi="Calibri" w:cs="Calibri" w:hint="default"/>
        <w:sz w:val="22"/>
      </w:rPr>
    </w:lvl>
    <w:lvl w:ilvl="1" w:tplc="04260003" w:tentative="1">
      <w:start w:val="1"/>
      <w:numFmt w:val="bullet"/>
      <w:lvlText w:val="o"/>
      <w:lvlJc w:val="left"/>
      <w:pPr>
        <w:ind w:left="1229" w:hanging="360"/>
      </w:pPr>
      <w:rPr>
        <w:rFonts w:ascii="Courier New" w:hAnsi="Courier New" w:cs="Courier New" w:hint="default"/>
      </w:rPr>
    </w:lvl>
    <w:lvl w:ilvl="2" w:tplc="04260005" w:tentative="1">
      <w:start w:val="1"/>
      <w:numFmt w:val="bullet"/>
      <w:lvlText w:val=""/>
      <w:lvlJc w:val="left"/>
      <w:pPr>
        <w:ind w:left="1949" w:hanging="360"/>
      </w:pPr>
      <w:rPr>
        <w:rFonts w:ascii="Wingdings" w:hAnsi="Wingdings" w:hint="default"/>
      </w:rPr>
    </w:lvl>
    <w:lvl w:ilvl="3" w:tplc="04260001" w:tentative="1">
      <w:start w:val="1"/>
      <w:numFmt w:val="bullet"/>
      <w:lvlText w:val=""/>
      <w:lvlJc w:val="left"/>
      <w:pPr>
        <w:ind w:left="2669" w:hanging="360"/>
      </w:pPr>
      <w:rPr>
        <w:rFonts w:ascii="Symbol" w:hAnsi="Symbol" w:hint="default"/>
      </w:rPr>
    </w:lvl>
    <w:lvl w:ilvl="4" w:tplc="04260003" w:tentative="1">
      <w:start w:val="1"/>
      <w:numFmt w:val="bullet"/>
      <w:lvlText w:val="o"/>
      <w:lvlJc w:val="left"/>
      <w:pPr>
        <w:ind w:left="3389" w:hanging="360"/>
      </w:pPr>
      <w:rPr>
        <w:rFonts w:ascii="Courier New" w:hAnsi="Courier New" w:cs="Courier New" w:hint="default"/>
      </w:rPr>
    </w:lvl>
    <w:lvl w:ilvl="5" w:tplc="04260005" w:tentative="1">
      <w:start w:val="1"/>
      <w:numFmt w:val="bullet"/>
      <w:lvlText w:val=""/>
      <w:lvlJc w:val="left"/>
      <w:pPr>
        <w:ind w:left="4109" w:hanging="360"/>
      </w:pPr>
      <w:rPr>
        <w:rFonts w:ascii="Wingdings" w:hAnsi="Wingdings" w:hint="default"/>
      </w:rPr>
    </w:lvl>
    <w:lvl w:ilvl="6" w:tplc="04260001" w:tentative="1">
      <w:start w:val="1"/>
      <w:numFmt w:val="bullet"/>
      <w:lvlText w:val=""/>
      <w:lvlJc w:val="left"/>
      <w:pPr>
        <w:ind w:left="4829" w:hanging="360"/>
      </w:pPr>
      <w:rPr>
        <w:rFonts w:ascii="Symbol" w:hAnsi="Symbol" w:hint="default"/>
      </w:rPr>
    </w:lvl>
    <w:lvl w:ilvl="7" w:tplc="04260003" w:tentative="1">
      <w:start w:val="1"/>
      <w:numFmt w:val="bullet"/>
      <w:lvlText w:val="o"/>
      <w:lvlJc w:val="left"/>
      <w:pPr>
        <w:ind w:left="5549" w:hanging="360"/>
      </w:pPr>
      <w:rPr>
        <w:rFonts w:ascii="Courier New" w:hAnsi="Courier New" w:cs="Courier New" w:hint="default"/>
      </w:rPr>
    </w:lvl>
    <w:lvl w:ilvl="8" w:tplc="04260005" w:tentative="1">
      <w:start w:val="1"/>
      <w:numFmt w:val="bullet"/>
      <w:lvlText w:val=""/>
      <w:lvlJc w:val="left"/>
      <w:pPr>
        <w:ind w:left="6269" w:hanging="360"/>
      </w:pPr>
      <w:rPr>
        <w:rFonts w:ascii="Wingdings" w:hAnsi="Wingdings" w:hint="default"/>
      </w:rPr>
    </w:lvl>
  </w:abstractNum>
  <w:abstractNum w:abstractNumId="10"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031E9E"/>
    <w:multiLevelType w:val="hybridMultilevel"/>
    <w:tmpl w:val="86B8A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1F12AD"/>
    <w:multiLevelType w:val="multilevel"/>
    <w:tmpl w:val="5EDE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10"/>
  </w:num>
  <w:num w:numId="6">
    <w:abstractNumId w:val="14"/>
  </w:num>
  <w:num w:numId="7">
    <w:abstractNumId w:val="13"/>
  </w:num>
  <w:num w:numId="8">
    <w:abstractNumId w:val="5"/>
  </w:num>
  <w:num w:numId="9">
    <w:abstractNumId w:val="9"/>
  </w:num>
  <w:num w:numId="10">
    <w:abstractNumId w:val="0"/>
  </w:num>
  <w:num w:numId="11">
    <w:abstractNumId w:val="2"/>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00FC3"/>
    <w:rsid w:val="00002B4B"/>
    <w:rsid w:val="00006A4A"/>
    <w:rsid w:val="00011F30"/>
    <w:rsid w:val="00012F0A"/>
    <w:rsid w:val="00015E54"/>
    <w:rsid w:val="0002283A"/>
    <w:rsid w:val="000251E6"/>
    <w:rsid w:val="00026BEF"/>
    <w:rsid w:val="00031ABD"/>
    <w:rsid w:val="00032D77"/>
    <w:rsid w:val="00032D7D"/>
    <w:rsid w:val="00032E0B"/>
    <w:rsid w:val="0003693B"/>
    <w:rsid w:val="0004024C"/>
    <w:rsid w:val="00045949"/>
    <w:rsid w:val="00047996"/>
    <w:rsid w:val="0005464C"/>
    <w:rsid w:val="00061ED3"/>
    <w:rsid w:val="00063F13"/>
    <w:rsid w:val="00070C2C"/>
    <w:rsid w:val="00087B92"/>
    <w:rsid w:val="00092570"/>
    <w:rsid w:val="000A4DBD"/>
    <w:rsid w:val="000B2F27"/>
    <w:rsid w:val="000C5FED"/>
    <w:rsid w:val="000D6C2D"/>
    <w:rsid w:val="000E1541"/>
    <w:rsid w:val="000E3936"/>
    <w:rsid w:val="000E3CB5"/>
    <w:rsid w:val="000F0C23"/>
    <w:rsid w:val="000F5AB0"/>
    <w:rsid w:val="00105ABA"/>
    <w:rsid w:val="0012389D"/>
    <w:rsid w:val="00126CA5"/>
    <w:rsid w:val="00127C5A"/>
    <w:rsid w:val="00131A78"/>
    <w:rsid w:val="001324FD"/>
    <w:rsid w:val="00135FFA"/>
    <w:rsid w:val="00143ADD"/>
    <w:rsid w:val="001462A0"/>
    <w:rsid w:val="00146BD1"/>
    <w:rsid w:val="00151501"/>
    <w:rsid w:val="001541D0"/>
    <w:rsid w:val="0015445E"/>
    <w:rsid w:val="001617F4"/>
    <w:rsid w:val="00164627"/>
    <w:rsid w:val="001730EB"/>
    <w:rsid w:val="001732A2"/>
    <w:rsid w:val="001747F0"/>
    <w:rsid w:val="00174D3B"/>
    <w:rsid w:val="00176787"/>
    <w:rsid w:val="001820F4"/>
    <w:rsid w:val="0019485D"/>
    <w:rsid w:val="00197EC0"/>
    <w:rsid w:val="001B2EDF"/>
    <w:rsid w:val="001B52D2"/>
    <w:rsid w:val="001B56F6"/>
    <w:rsid w:val="001C43FE"/>
    <w:rsid w:val="001C7E2C"/>
    <w:rsid w:val="001D2374"/>
    <w:rsid w:val="001D7921"/>
    <w:rsid w:val="001E0ED3"/>
    <w:rsid w:val="001E602F"/>
    <w:rsid w:val="001F1506"/>
    <w:rsid w:val="001F3CAE"/>
    <w:rsid w:val="00203608"/>
    <w:rsid w:val="00203D97"/>
    <w:rsid w:val="00204EC7"/>
    <w:rsid w:val="00206CBA"/>
    <w:rsid w:val="002077BF"/>
    <w:rsid w:val="002102A2"/>
    <w:rsid w:val="002102C7"/>
    <w:rsid w:val="00214B56"/>
    <w:rsid w:val="00222BF0"/>
    <w:rsid w:val="00230606"/>
    <w:rsid w:val="00230BB7"/>
    <w:rsid w:val="002344E9"/>
    <w:rsid w:val="00240E22"/>
    <w:rsid w:val="002412A1"/>
    <w:rsid w:val="00242151"/>
    <w:rsid w:val="00244A49"/>
    <w:rsid w:val="00253DC0"/>
    <w:rsid w:val="00254F5E"/>
    <w:rsid w:val="0026018E"/>
    <w:rsid w:val="00263243"/>
    <w:rsid w:val="00263DF5"/>
    <w:rsid w:val="0026524D"/>
    <w:rsid w:val="00273F74"/>
    <w:rsid w:val="002747E4"/>
    <w:rsid w:val="00276E22"/>
    <w:rsid w:val="00282C9F"/>
    <w:rsid w:val="00282FEA"/>
    <w:rsid w:val="00283D3D"/>
    <w:rsid w:val="00283F65"/>
    <w:rsid w:val="00290DC2"/>
    <w:rsid w:val="002A1356"/>
    <w:rsid w:val="002B06A7"/>
    <w:rsid w:val="002B1C2E"/>
    <w:rsid w:val="002C0612"/>
    <w:rsid w:val="002C0AE1"/>
    <w:rsid w:val="002C3E19"/>
    <w:rsid w:val="002D4BF8"/>
    <w:rsid w:val="002D4FD0"/>
    <w:rsid w:val="002E4735"/>
    <w:rsid w:val="002F2F22"/>
    <w:rsid w:val="00304858"/>
    <w:rsid w:val="00304C6C"/>
    <w:rsid w:val="003078CC"/>
    <w:rsid w:val="00315CDB"/>
    <w:rsid w:val="003225F0"/>
    <w:rsid w:val="00322C88"/>
    <w:rsid w:val="00326622"/>
    <w:rsid w:val="00341FE9"/>
    <w:rsid w:val="00343D8E"/>
    <w:rsid w:val="00351853"/>
    <w:rsid w:val="00354808"/>
    <w:rsid w:val="003651A0"/>
    <w:rsid w:val="00376603"/>
    <w:rsid w:val="0037798B"/>
    <w:rsid w:val="0038073F"/>
    <w:rsid w:val="00380E81"/>
    <w:rsid w:val="003830DA"/>
    <w:rsid w:val="00383465"/>
    <w:rsid w:val="00386ACE"/>
    <w:rsid w:val="00387020"/>
    <w:rsid w:val="003914C4"/>
    <w:rsid w:val="00397250"/>
    <w:rsid w:val="003A0FB2"/>
    <w:rsid w:val="003A2965"/>
    <w:rsid w:val="003A586B"/>
    <w:rsid w:val="003B03EE"/>
    <w:rsid w:val="003B338A"/>
    <w:rsid w:val="003B562D"/>
    <w:rsid w:val="003B6466"/>
    <w:rsid w:val="003B7E26"/>
    <w:rsid w:val="003C2747"/>
    <w:rsid w:val="003C4D1F"/>
    <w:rsid w:val="003C5543"/>
    <w:rsid w:val="003D0C65"/>
    <w:rsid w:val="003D0D4D"/>
    <w:rsid w:val="003D315C"/>
    <w:rsid w:val="003D55AA"/>
    <w:rsid w:val="003D658C"/>
    <w:rsid w:val="003E03DE"/>
    <w:rsid w:val="003E23FF"/>
    <w:rsid w:val="003E4557"/>
    <w:rsid w:val="00413CB4"/>
    <w:rsid w:val="004166A7"/>
    <w:rsid w:val="00426724"/>
    <w:rsid w:val="00434F3D"/>
    <w:rsid w:val="004415B2"/>
    <w:rsid w:val="004417A2"/>
    <w:rsid w:val="00444D3B"/>
    <w:rsid w:val="00447366"/>
    <w:rsid w:val="00447C66"/>
    <w:rsid w:val="00451174"/>
    <w:rsid w:val="00455AB3"/>
    <w:rsid w:val="00463686"/>
    <w:rsid w:val="00465344"/>
    <w:rsid w:val="00467E09"/>
    <w:rsid w:val="0047118C"/>
    <w:rsid w:val="004760F3"/>
    <w:rsid w:val="0047755E"/>
    <w:rsid w:val="00481290"/>
    <w:rsid w:val="0048365C"/>
    <w:rsid w:val="00486EF6"/>
    <w:rsid w:val="0049481D"/>
    <w:rsid w:val="00496F1E"/>
    <w:rsid w:val="004A70A7"/>
    <w:rsid w:val="004B0AC8"/>
    <w:rsid w:val="004B1414"/>
    <w:rsid w:val="004B53DE"/>
    <w:rsid w:val="004B5F0A"/>
    <w:rsid w:val="004B713D"/>
    <w:rsid w:val="004C097A"/>
    <w:rsid w:val="004C2AEA"/>
    <w:rsid w:val="004C38A6"/>
    <w:rsid w:val="004C3F4B"/>
    <w:rsid w:val="004C4613"/>
    <w:rsid w:val="004C48BF"/>
    <w:rsid w:val="004D0A12"/>
    <w:rsid w:val="004D602B"/>
    <w:rsid w:val="004E234E"/>
    <w:rsid w:val="004E65E3"/>
    <w:rsid w:val="004F0483"/>
    <w:rsid w:val="004F7512"/>
    <w:rsid w:val="005026B8"/>
    <w:rsid w:val="005041F2"/>
    <w:rsid w:val="0050593D"/>
    <w:rsid w:val="00505F19"/>
    <w:rsid w:val="00510504"/>
    <w:rsid w:val="0052008B"/>
    <w:rsid w:val="0052040B"/>
    <w:rsid w:val="00520459"/>
    <w:rsid w:val="00520844"/>
    <w:rsid w:val="00521A86"/>
    <w:rsid w:val="00522DB7"/>
    <w:rsid w:val="00523486"/>
    <w:rsid w:val="00523A55"/>
    <w:rsid w:val="00523A78"/>
    <w:rsid w:val="005275DE"/>
    <w:rsid w:val="00544754"/>
    <w:rsid w:val="00552B64"/>
    <w:rsid w:val="00552D84"/>
    <w:rsid w:val="005539B3"/>
    <w:rsid w:val="005566C6"/>
    <w:rsid w:val="00557EA8"/>
    <w:rsid w:val="00563073"/>
    <w:rsid w:val="00565FB2"/>
    <w:rsid w:val="00577264"/>
    <w:rsid w:val="00577322"/>
    <w:rsid w:val="0058483D"/>
    <w:rsid w:val="00587A49"/>
    <w:rsid w:val="00590AB4"/>
    <w:rsid w:val="0059190F"/>
    <w:rsid w:val="00592F42"/>
    <w:rsid w:val="005A0732"/>
    <w:rsid w:val="005A3DA3"/>
    <w:rsid w:val="005A58C8"/>
    <w:rsid w:val="005A7201"/>
    <w:rsid w:val="005C35BA"/>
    <w:rsid w:val="005D0C7A"/>
    <w:rsid w:val="005E5B54"/>
    <w:rsid w:val="005E6674"/>
    <w:rsid w:val="005F1ED2"/>
    <w:rsid w:val="005F6693"/>
    <w:rsid w:val="005F74B4"/>
    <w:rsid w:val="005F7662"/>
    <w:rsid w:val="005F7BE0"/>
    <w:rsid w:val="006111EA"/>
    <w:rsid w:val="0061270F"/>
    <w:rsid w:val="006127CF"/>
    <w:rsid w:val="00620B4F"/>
    <w:rsid w:val="00622323"/>
    <w:rsid w:val="00624713"/>
    <w:rsid w:val="00625D7C"/>
    <w:rsid w:val="00635354"/>
    <w:rsid w:val="00635C24"/>
    <w:rsid w:val="00635F1A"/>
    <w:rsid w:val="00644558"/>
    <w:rsid w:val="006466EA"/>
    <w:rsid w:val="00650EFE"/>
    <w:rsid w:val="00654FA9"/>
    <w:rsid w:val="0065569C"/>
    <w:rsid w:val="0065626A"/>
    <w:rsid w:val="00670DE7"/>
    <w:rsid w:val="006739AD"/>
    <w:rsid w:val="00682000"/>
    <w:rsid w:val="00684F0B"/>
    <w:rsid w:val="00684FCF"/>
    <w:rsid w:val="006964B5"/>
    <w:rsid w:val="00696FFC"/>
    <w:rsid w:val="006978DF"/>
    <w:rsid w:val="006A0014"/>
    <w:rsid w:val="006A07CF"/>
    <w:rsid w:val="006A198D"/>
    <w:rsid w:val="006A5147"/>
    <w:rsid w:val="006B27BA"/>
    <w:rsid w:val="006B7BB0"/>
    <w:rsid w:val="006C3EB6"/>
    <w:rsid w:val="006C76D7"/>
    <w:rsid w:val="006E39CC"/>
    <w:rsid w:val="006F2B86"/>
    <w:rsid w:val="006F4BE0"/>
    <w:rsid w:val="006F4E32"/>
    <w:rsid w:val="006F7FDD"/>
    <w:rsid w:val="00701801"/>
    <w:rsid w:val="007029D0"/>
    <w:rsid w:val="00706BDA"/>
    <w:rsid w:val="00716120"/>
    <w:rsid w:val="007200F0"/>
    <w:rsid w:val="007233DB"/>
    <w:rsid w:val="00723EB5"/>
    <w:rsid w:val="00733F8D"/>
    <w:rsid w:val="00740CC8"/>
    <w:rsid w:val="00743E09"/>
    <w:rsid w:val="007520AF"/>
    <w:rsid w:val="00755104"/>
    <w:rsid w:val="0076100D"/>
    <w:rsid w:val="007631CF"/>
    <w:rsid w:val="00766BF2"/>
    <w:rsid w:val="007713FA"/>
    <w:rsid w:val="007735DB"/>
    <w:rsid w:val="00775E0C"/>
    <w:rsid w:val="0077733A"/>
    <w:rsid w:val="00782A54"/>
    <w:rsid w:val="00785E4D"/>
    <w:rsid w:val="00787F2C"/>
    <w:rsid w:val="00790044"/>
    <w:rsid w:val="00790425"/>
    <w:rsid w:val="0079068C"/>
    <w:rsid w:val="007945E2"/>
    <w:rsid w:val="0079469E"/>
    <w:rsid w:val="00795180"/>
    <w:rsid w:val="007966C9"/>
    <w:rsid w:val="007A02CE"/>
    <w:rsid w:val="007A1EE6"/>
    <w:rsid w:val="007A5F53"/>
    <w:rsid w:val="007B65DC"/>
    <w:rsid w:val="007C0436"/>
    <w:rsid w:val="007C11B6"/>
    <w:rsid w:val="007C5B5D"/>
    <w:rsid w:val="007C649B"/>
    <w:rsid w:val="007C6CD4"/>
    <w:rsid w:val="007D1378"/>
    <w:rsid w:val="007D19B4"/>
    <w:rsid w:val="007D46F7"/>
    <w:rsid w:val="007D7DA3"/>
    <w:rsid w:val="007E5839"/>
    <w:rsid w:val="007F0BC7"/>
    <w:rsid w:val="007F13E0"/>
    <w:rsid w:val="007F22A7"/>
    <w:rsid w:val="007F301C"/>
    <w:rsid w:val="007F599D"/>
    <w:rsid w:val="008030AB"/>
    <w:rsid w:val="008143DC"/>
    <w:rsid w:val="00814D9B"/>
    <w:rsid w:val="00816B3F"/>
    <w:rsid w:val="00823370"/>
    <w:rsid w:val="008236F5"/>
    <w:rsid w:val="00824C98"/>
    <w:rsid w:val="00830C2D"/>
    <w:rsid w:val="00831AEB"/>
    <w:rsid w:val="00843020"/>
    <w:rsid w:val="0084583F"/>
    <w:rsid w:val="00845C58"/>
    <w:rsid w:val="00847B63"/>
    <w:rsid w:val="008641B1"/>
    <w:rsid w:val="00871117"/>
    <w:rsid w:val="00874201"/>
    <w:rsid w:val="0087564B"/>
    <w:rsid w:val="00891B07"/>
    <w:rsid w:val="00895591"/>
    <w:rsid w:val="00895693"/>
    <w:rsid w:val="008A3419"/>
    <w:rsid w:val="008A3484"/>
    <w:rsid w:val="008B2058"/>
    <w:rsid w:val="008C025F"/>
    <w:rsid w:val="008C22BB"/>
    <w:rsid w:val="008C7348"/>
    <w:rsid w:val="008D629F"/>
    <w:rsid w:val="008E6E52"/>
    <w:rsid w:val="008F7261"/>
    <w:rsid w:val="008F7F7E"/>
    <w:rsid w:val="00900B03"/>
    <w:rsid w:val="00905C91"/>
    <w:rsid w:val="00912CBF"/>
    <w:rsid w:val="0092008E"/>
    <w:rsid w:val="00926131"/>
    <w:rsid w:val="0093031D"/>
    <w:rsid w:val="00932464"/>
    <w:rsid w:val="00932AC7"/>
    <w:rsid w:val="00956857"/>
    <w:rsid w:val="009640C0"/>
    <w:rsid w:val="00964944"/>
    <w:rsid w:val="00975D84"/>
    <w:rsid w:val="0099487C"/>
    <w:rsid w:val="009A015D"/>
    <w:rsid w:val="009A46B5"/>
    <w:rsid w:val="009C09D9"/>
    <w:rsid w:val="009C43A0"/>
    <w:rsid w:val="009D4759"/>
    <w:rsid w:val="009E305A"/>
    <w:rsid w:val="009E4E45"/>
    <w:rsid w:val="009E658C"/>
    <w:rsid w:val="009F2C81"/>
    <w:rsid w:val="009F3E35"/>
    <w:rsid w:val="009F603C"/>
    <w:rsid w:val="009F6916"/>
    <w:rsid w:val="00A01A36"/>
    <w:rsid w:val="00A055C1"/>
    <w:rsid w:val="00A0788F"/>
    <w:rsid w:val="00A1683C"/>
    <w:rsid w:val="00A21DB5"/>
    <w:rsid w:val="00A25B9A"/>
    <w:rsid w:val="00A40E35"/>
    <w:rsid w:val="00A5089F"/>
    <w:rsid w:val="00A51642"/>
    <w:rsid w:val="00A5331E"/>
    <w:rsid w:val="00A54FD4"/>
    <w:rsid w:val="00A64018"/>
    <w:rsid w:val="00A657D7"/>
    <w:rsid w:val="00A70F4C"/>
    <w:rsid w:val="00A720C7"/>
    <w:rsid w:val="00A734BE"/>
    <w:rsid w:val="00A73618"/>
    <w:rsid w:val="00A74935"/>
    <w:rsid w:val="00A830B4"/>
    <w:rsid w:val="00A835F3"/>
    <w:rsid w:val="00A848C2"/>
    <w:rsid w:val="00A86F94"/>
    <w:rsid w:val="00A95A08"/>
    <w:rsid w:val="00AA4785"/>
    <w:rsid w:val="00AA530D"/>
    <w:rsid w:val="00AA55F1"/>
    <w:rsid w:val="00AA6E4C"/>
    <w:rsid w:val="00AA7AE0"/>
    <w:rsid w:val="00AB054B"/>
    <w:rsid w:val="00AB0722"/>
    <w:rsid w:val="00AB0FF6"/>
    <w:rsid w:val="00AB25E7"/>
    <w:rsid w:val="00AB2D6E"/>
    <w:rsid w:val="00AB7B22"/>
    <w:rsid w:val="00AC1395"/>
    <w:rsid w:val="00AC495D"/>
    <w:rsid w:val="00AC79FC"/>
    <w:rsid w:val="00AD0628"/>
    <w:rsid w:val="00AD0659"/>
    <w:rsid w:val="00AD4483"/>
    <w:rsid w:val="00AD56E9"/>
    <w:rsid w:val="00AD6C78"/>
    <w:rsid w:val="00AE506B"/>
    <w:rsid w:val="00AF5463"/>
    <w:rsid w:val="00B0021F"/>
    <w:rsid w:val="00B0160E"/>
    <w:rsid w:val="00B0289F"/>
    <w:rsid w:val="00B0720E"/>
    <w:rsid w:val="00B10021"/>
    <w:rsid w:val="00B12D12"/>
    <w:rsid w:val="00B17F11"/>
    <w:rsid w:val="00B2222B"/>
    <w:rsid w:val="00B3027C"/>
    <w:rsid w:val="00B32DA4"/>
    <w:rsid w:val="00B43570"/>
    <w:rsid w:val="00B45678"/>
    <w:rsid w:val="00B50CBF"/>
    <w:rsid w:val="00B52F6E"/>
    <w:rsid w:val="00B57692"/>
    <w:rsid w:val="00B6076B"/>
    <w:rsid w:val="00B66AB2"/>
    <w:rsid w:val="00B67717"/>
    <w:rsid w:val="00B700EA"/>
    <w:rsid w:val="00B73659"/>
    <w:rsid w:val="00B76C57"/>
    <w:rsid w:val="00B9037D"/>
    <w:rsid w:val="00B962E2"/>
    <w:rsid w:val="00BA3C0C"/>
    <w:rsid w:val="00BA51CB"/>
    <w:rsid w:val="00BB1EF5"/>
    <w:rsid w:val="00BB2733"/>
    <w:rsid w:val="00BB27CE"/>
    <w:rsid w:val="00BB515E"/>
    <w:rsid w:val="00BB6FD8"/>
    <w:rsid w:val="00BC7C8C"/>
    <w:rsid w:val="00BD16A6"/>
    <w:rsid w:val="00BE232C"/>
    <w:rsid w:val="00BE76CE"/>
    <w:rsid w:val="00BE7BB4"/>
    <w:rsid w:val="00BF49E0"/>
    <w:rsid w:val="00BF6A38"/>
    <w:rsid w:val="00C01AC2"/>
    <w:rsid w:val="00C01EDE"/>
    <w:rsid w:val="00C03709"/>
    <w:rsid w:val="00C201FC"/>
    <w:rsid w:val="00C2106B"/>
    <w:rsid w:val="00C25BAA"/>
    <w:rsid w:val="00C30680"/>
    <w:rsid w:val="00C3172A"/>
    <w:rsid w:val="00C34CF6"/>
    <w:rsid w:val="00C51139"/>
    <w:rsid w:val="00C54B92"/>
    <w:rsid w:val="00C60DD9"/>
    <w:rsid w:val="00C63440"/>
    <w:rsid w:val="00C808F2"/>
    <w:rsid w:val="00C86279"/>
    <w:rsid w:val="00C86DD1"/>
    <w:rsid w:val="00C94977"/>
    <w:rsid w:val="00C951A8"/>
    <w:rsid w:val="00C966B6"/>
    <w:rsid w:val="00CA0046"/>
    <w:rsid w:val="00CA15C3"/>
    <w:rsid w:val="00CA35DA"/>
    <w:rsid w:val="00CA3FC4"/>
    <w:rsid w:val="00CA5954"/>
    <w:rsid w:val="00CB018E"/>
    <w:rsid w:val="00CB0DA9"/>
    <w:rsid w:val="00CB2450"/>
    <w:rsid w:val="00CC5931"/>
    <w:rsid w:val="00CD3348"/>
    <w:rsid w:val="00CE3D93"/>
    <w:rsid w:val="00CE5C88"/>
    <w:rsid w:val="00CE7CF7"/>
    <w:rsid w:val="00CE7EB3"/>
    <w:rsid w:val="00CF1795"/>
    <w:rsid w:val="00CF20F8"/>
    <w:rsid w:val="00D01C80"/>
    <w:rsid w:val="00D030BC"/>
    <w:rsid w:val="00D0581A"/>
    <w:rsid w:val="00D07A43"/>
    <w:rsid w:val="00D12309"/>
    <w:rsid w:val="00D136A4"/>
    <w:rsid w:val="00D145F0"/>
    <w:rsid w:val="00D16E7D"/>
    <w:rsid w:val="00D22BB5"/>
    <w:rsid w:val="00D24864"/>
    <w:rsid w:val="00D269E2"/>
    <w:rsid w:val="00D27B98"/>
    <w:rsid w:val="00D32F05"/>
    <w:rsid w:val="00D37D51"/>
    <w:rsid w:val="00D40104"/>
    <w:rsid w:val="00D44D6F"/>
    <w:rsid w:val="00D468E2"/>
    <w:rsid w:val="00D5663A"/>
    <w:rsid w:val="00D568B1"/>
    <w:rsid w:val="00D616EF"/>
    <w:rsid w:val="00D778FB"/>
    <w:rsid w:val="00D77C81"/>
    <w:rsid w:val="00D81400"/>
    <w:rsid w:val="00D86417"/>
    <w:rsid w:val="00D864E0"/>
    <w:rsid w:val="00D9268D"/>
    <w:rsid w:val="00D943F0"/>
    <w:rsid w:val="00DB0E9C"/>
    <w:rsid w:val="00DB3393"/>
    <w:rsid w:val="00DB658D"/>
    <w:rsid w:val="00DC124B"/>
    <w:rsid w:val="00DC7069"/>
    <w:rsid w:val="00DC7738"/>
    <w:rsid w:val="00DE20C5"/>
    <w:rsid w:val="00E0226B"/>
    <w:rsid w:val="00E05DE7"/>
    <w:rsid w:val="00E12C10"/>
    <w:rsid w:val="00E159B7"/>
    <w:rsid w:val="00E15BFC"/>
    <w:rsid w:val="00E2320F"/>
    <w:rsid w:val="00E31FCF"/>
    <w:rsid w:val="00E330F2"/>
    <w:rsid w:val="00E33A2C"/>
    <w:rsid w:val="00E4291F"/>
    <w:rsid w:val="00E4334C"/>
    <w:rsid w:val="00E52C62"/>
    <w:rsid w:val="00E54111"/>
    <w:rsid w:val="00E55B8F"/>
    <w:rsid w:val="00E6418B"/>
    <w:rsid w:val="00E76D85"/>
    <w:rsid w:val="00E77C08"/>
    <w:rsid w:val="00E827C0"/>
    <w:rsid w:val="00E908E8"/>
    <w:rsid w:val="00E90926"/>
    <w:rsid w:val="00E93781"/>
    <w:rsid w:val="00E958C8"/>
    <w:rsid w:val="00E96D25"/>
    <w:rsid w:val="00EA076F"/>
    <w:rsid w:val="00EA1274"/>
    <w:rsid w:val="00EA1AEA"/>
    <w:rsid w:val="00EB2AB6"/>
    <w:rsid w:val="00EB4BDB"/>
    <w:rsid w:val="00EB7C64"/>
    <w:rsid w:val="00ED2D05"/>
    <w:rsid w:val="00ED32CE"/>
    <w:rsid w:val="00ED3BA3"/>
    <w:rsid w:val="00EE0194"/>
    <w:rsid w:val="00EE12CA"/>
    <w:rsid w:val="00EE1DA7"/>
    <w:rsid w:val="00EF4237"/>
    <w:rsid w:val="00F07F47"/>
    <w:rsid w:val="00F15519"/>
    <w:rsid w:val="00F336F1"/>
    <w:rsid w:val="00F34A00"/>
    <w:rsid w:val="00F41123"/>
    <w:rsid w:val="00F4282B"/>
    <w:rsid w:val="00F4320A"/>
    <w:rsid w:val="00F434DB"/>
    <w:rsid w:val="00F47CEA"/>
    <w:rsid w:val="00F53DB9"/>
    <w:rsid w:val="00F57216"/>
    <w:rsid w:val="00F5759D"/>
    <w:rsid w:val="00F615FE"/>
    <w:rsid w:val="00F648CE"/>
    <w:rsid w:val="00F65C9E"/>
    <w:rsid w:val="00F811CB"/>
    <w:rsid w:val="00F8377E"/>
    <w:rsid w:val="00F84431"/>
    <w:rsid w:val="00F846A0"/>
    <w:rsid w:val="00F962D0"/>
    <w:rsid w:val="00F9640F"/>
    <w:rsid w:val="00F97B62"/>
    <w:rsid w:val="00F97E2A"/>
    <w:rsid w:val="00FA0130"/>
    <w:rsid w:val="00FA2EF8"/>
    <w:rsid w:val="00FA5A45"/>
    <w:rsid w:val="00FA5E48"/>
    <w:rsid w:val="00FA70F8"/>
    <w:rsid w:val="00FA71BD"/>
    <w:rsid w:val="00FB353B"/>
    <w:rsid w:val="00FC7CA6"/>
    <w:rsid w:val="00FD145D"/>
    <w:rsid w:val="00FD34DE"/>
    <w:rsid w:val="00FE001C"/>
    <w:rsid w:val="00FE0191"/>
    <w:rsid w:val="00FF3303"/>
    <w:rsid w:val="00FF5FE6"/>
    <w:rsid w:val="00FF6844"/>
    <w:rsid w:val="00FF7B2A"/>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4C"/>
    <w:pPr>
      <w:ind w:firstLine="0"/>
      <w:jc w:val="left"/>
    </w:pPr>
    <w:rPr>
      <w:rFonts w:eastAsia="Times New Roman"/>
      <w:szCs w:val="24"/>
      <w:lang w:eastAsia="lv-LV"/>
    </w:rPr>
  </w:style>
  <w:style w:type="paragraph" w:styleId="Heading1">
    <w:name w:val="heading 1"/>
    <w:basedOn w:val="Normal"/>
    <w:next w:val="Normal"/>
    <w:link w:val="Heading1Char"/>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09"/>
    <w:rPr>
      <w:rFonts w:asciiTheme="majorHAnsi" w:eastAsiaTheme="majorEastAsia" w:hAnsiTheme="majorHAnsi" w:cstheme="majorBidi"/>
      <w:color w:val="2F5496" w:themeColor="accent1" w:themeShade="BF"/>
      <w:sz w:val="32"/>
      <w:szCs w:val="32"/>
    </w:rPr>
  </w:style>
  <w:style w:type="paragraph" w:styleId="TOCHeading">
    <w:name w:val="TOC Heading"/>
    <w:aliases w:val="Satura rādītājs"/>
    <w:basedOn w:val="Heading1"/>
    <w:next w:val="Normal"/>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Title">
    <w:name w:val="Title"/>
    <w:basedOn w:val="Normal"/>
    <w:link w:val="TitleChar"/>
    <w:qFormat/>
    <w:rsid w:val="0005464C"/>
    <w:pPr>
      <w:jc w:val="center"/>
    </w:pPr>
    <w:rPr>
      <w:sz w:val="28"/>
      <w:szCs w:val="20"/>
      <w:lang w:eastAsia="en-US"/>
    </w:rPr>
  </w:style>
  <w:style w:type="character" w:customStyle="1" w:styleId="TitleChar">
    <w:name w:val="Title Char"/>
    <w:basedOn w:val="DefaultParagraphFont"/>
    <w:link w:val="Title"/>
    <w:rsid w:val="0005464C"/>
    <w:rPr>
      <w:rFonts w:eastAsia="Times New Roman"/>
      <w:sz w:val="28"/>
      <w:szCs w:val="20"/>
    </w:rPr>
  </w:style>
  <w:style w:type="character" w:styleId="Hyperlink">
    <w:name w:val="Hyperlink"/>
    <w:basedOn w:val="DefaultParagraphFont"/>
    <w:uiPriority w:val="99"/>
    <w:unhideWhenUsed/>
    <w:rsid w:val="0005464C"/>
    <w:rPr>
      <w:color w:val="0000FF"/>
      <w:u w:val="single"/>
    </w:rPr>
  </w:style>
  <w:style w:type="paragraph" w:styleId="Header">
    <w:name w:val="header"/>
    <w:basedOn w:val="Normal"/>
    <w:link w:val="HeaderChar"/>
    <w:uiPriority w:val="99"/>
    <w:unhideWhenUsed/>
    <w:rsid w:val="0005464C"/>
    <w:pPr>
      <w:tabs>
        <w:tab w:val="center" w:pos="4153"/>
        <w:tab w:val="right" w:pos="8306"/>
      </w:tabs>
    </w:pPr>
  </w:style>
  <w:style w:type="character" w:customStyle="1" w:styleId="HeaderChar">
    <w:name w:val="Header Char"/>
    <w:basedOn w:val="DefaultParagraphFont"/>
    <w:link w:val="Header"/>
    <w:uiPriority w:val="99"/>
    <w:rsid w:val="0005464C"/>
    <w:rPr>
      <w:rFonts w:eastAsia="Times New Roman"/>
      <w:szCs w:val="24"/>
      <w:lang w:eastAsia="lv-LV"/>
    </w:rPr>
  </w:style>
  <w:style w:type="paragraph" w:styleId="Footer">
    <w:name w:val="footer"/>
    <w:basedOn w:val="Normal"/>
    <w:link w:val="FooterChar"/>
    <w:uiPriority w:val="99"/>
    <w:unhideWhenUsed/>
    <w:rsid w:val="0005464C"/>
    <w:pPr>
      <w:tabs>
        <w:tab w:val="center" w:pos="4153"/>
        <w:tab w:val="right" w:pos="8306"/>
      </w:tabs>
    </w:pPr>
  </w:style>
  <w:style w:type="character" w:customStyle="1" w:styleId="FooterChar">
    <w:name w:val="Footer Char"/>
    <w:basedOn w:val="DefaultParagraphFont"/>
    <w:link w:val="Footer"/>
    <w:uiPriority w:val="99"/>
    <w:rsid w:val="0005464C"/>
    <w:rPr>
      <w:rFonts w:eastAsia="Times New Roman"/>
      <w:szCs w:val="24"/>
      <w:lang w:eastAsia="lv-LV"/>
    </w:rPr>
  </w:style>
  <w:style w:type="paragraph" w:styleId="NormalWeb">
    <w:name w:val="Normal (Web)"/>
    <w:basedOn w:val="Normal"/>
    <w:link w:val="NormalWebChar"/>
    <w:rsid w:val="0005464C"/>
    <w:pPr>
      <w:spacing w:before="100" w:beforeAutospacing="1" w:after="100" w:afterAutospacing="1"/>
    </w:pPr>
    <w:rPr>
      <w:rFonts w:eastAsia="Arial Unicode MS"/>
      <w:lang w:val="en-GB" w:eastAsia="en-US"/>
    </w:rPr>
  </w:style>
  <w:style w:type="paragraph" w:customStyle="1" w:styleId="naisc">
    <w:name w:val="naisc"/>
    <w:basedOn w:val="Normal"/>
    <w:rsid w:val="0005464C"/>
    <w:pPr>
      <w:spacing w:before="100" w:beforeAutospacing="1" w:after="100" w:afterAutospacing="1"/>
      <w:jc w:val="center"/>
    </w:pPr>
    <w:rPr>
      <w:rFonts w:eastAsia="Arial Unicode MS"/>
      <w:sz w:val="26"/>
      <w:szCs w:val="26"/>
      <w:lang w:val="en-GB" w:eastAsia="en-US"/>
    </w:rPr>
  </w:style>
  <w:style w:type="character" w:customStyle="1" w:styleId="NormalWebChar">
    <w:name w:val="Normal (Web) Char"/>
    <w:basedOn w:val="DefaultParagraphFont"/>
    <w:link w:val="NormalWeb"/>
    <w:locked/>
    <w:rsid w:val="0005464C"/>
    <w:rPr>
      <w:rFonts w:eastAsia="Arial Unicode MS"/>
      <w:szCs w:val="24"/>
      <w:lang w:val="en-GB"/>
    </w:rPr>
  </w:style>
  <w:style w:type="paragraph" w:styleId="BalloonText">
    <w:name w:val="Balloon Text"/>
    <w:basedOn w:val="Normal"/>
    <w:link w:val="BalloonTextChar"/>
    <w:uiPriority w:val="99"/>
    <w:semiHidden/>
    <w:unhideWhenUsed/>
    <w:rsid w:val="0097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8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C3F4B"/>
    <w:rPr>
      <w:sz w:val="16"/>
      <w:szCs w:val="16"/>
    </w:rPr>
  </w:style>
  <w:style w:type="paragraph" w:styleId="CommentText">
    <w:name w:val="annotation text"/>
    <w:basedOn w:val="Normal"/>
    <w:link w:val="CommentTextChar"/>
    <w:uiPriority w:val="99"/>
    <w:semiHidden/>
    <w:unhideWhenUsed/>
    <w:rsid w:val="004C3F4B"/>
    <w:rPr>
      <w:sz w:val="20"/>
      <w:szCs w:val="20"/>
    </w:rPr>
  </w:style>
  <w:style w:type="character" w:customStyle="1" w:styleId="CommentTextChar">
    <w:name w:val="Comment Text Char"/>
    <w:basedOn w:val="DefaultParagraphFont"/>
    <w:link w:val="CommentText"/>
    <w:uiPriority w:val="99"/>
    <w:semiHidden/>
    <w:rsid w:val="004C3F4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3F4B"/>
    <w:rPr>
      <w:b/>
      <w:bCs/>
    </w:rPr>
  </w:style>
  <w:style w:type="character" w:customStyle="1" w:styleId="CommentSubjectChar">
    <w:name w:val="Comment Subject Char"/>
    <w:basedOn w:val="CommentTextChar"/>
    <w:link w:val="CommentSubject"/>
    <w:uiPriority w:val="99"/>
    <w:semiHidden/>
    <w:rsid w:val="004C3F4B"/>
    <w:rPr>
      <w:rFonts w:eastAsia="Times New Roman"/>
      <w:b/>
      <w:bCs/>
      <w:sz w:val="20"/>
      <w:szCs w:val="20"/>
      <w:lang w:eastAsia="lv-LV"/>
    </w:rPr>
  </w:style>
  <w:style w:type="character" w:styleId="FollowedHyperlink">
    <w:name w:val="FollowedHyperlink"/>
    <w:basedOn w:val="DefaultParagraphFont"/>
    <w:uiPriority w:val="99"/>
    <w:semiHidden/>
    <w:unhideWhenUsed/>
    <w:rsid w:val="00283D3D"/>
    <w:rPr>
      <w:color w:val="954F72" w:themeColor="followedHyperlink"/>
      <w:u w:val="single"/>
    </w:rPr>
  </w:style>
  <w:style w:type="character" w:customStyle="1" w:styleId="UnresolvedMention1">
    <w:name w:val="Unresolved Mention1"/>
    <w:basedOn w:val="DefaultParagraphFont"/>
    <w:uiPriority w:val="99"/>
    <w:semiHidden/>
    <w:unhideWhenUsed/>
    <w:rsid w:val="00874201"/>
    <w:rPr>
      <w:color w:val="605E5C"/>
      <w:shd w:val="clear" w:color="auto" w:fill="E1DFDD"/>
    </w:rPr>
  </w:style>
  <w:style w:type="paragraph" w:styleId="NoSpacing">
    <w:name w:val="No Spacing"/>
    <w:link w:val="NoSpacingChar"/>
    <w:uiPriority w:val="1"/>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NoSpacingChar">
    <w:name w:val="No Spacing Char"/>
    <w:link w:val="NoSpacing"/>
    <w:uiPriority w:val="1"/>
    <w:rsid w:val="00B45678"/>
    <w:rPr>
      <w:rFonts w:asciiTheme="minorHAnsi" w:hAnsiTheme="minorHAnsi" w:cstheme="minorBidi"/>
      <w:sz w:val="22"/>
    </w:rPr>
  </w:style>
  <w:style w:type="character" w:styleId="UnresolvedMention">
    <w:name w:val="Unresolved Mention"/>
    <w:basedOn w:val="DefaultParagraphFont"/>
    <w:uiPriority w:val="99"/>
    <w:semiHidden/>
    <w:unhideWhenUsed/>
    <w:rsid w:val="005275DE"/>
    <w:rPr>
      <w:color w:val="605E5C"/>
      <w:shd w:val="clear" w:color="auto" w:fill="E1DFDD"/>
    </w:rPr>
  </w:style>
  <w:style w:type="paragraph" w:styleId="ListParagraph">
    <w:name w:val="List Paragraph"/>
    <w:basedOn w:val="Normal"/>
    <w:uiPriority w:val="34"/>
    <w:qFormat/>
    <w:rsid w:val="001732A2"/>
    <w:pPr>
      <w:ind w:left="720"/>
      <w:contextualSpacing/>
    </w:pPr>
  </w:style>
  <w:style w:type="paragraph" w:styleId="FootnoteText">
    <w:name w:val="footnote text"/>
    <w:basedOn w:val="Normal"/>
    <w:link w:val="FootnoteTextChar"/>
    <w:uiPriority w:val="99"/>
    <w:semiHidden/>
    <w:unhideWhenUsed/>
    <w:rsid w:val="001C43FE"/>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C43FE"/>
    <w:rPr>
      <w:rFonts w:ascii="Calibri" w:eastAsia="Calibri" w:hAnsi="Calibri"/>
      <w:sz w:val="20"/>
      <w:szCs w:val="20"/>
    </w:rPr>
  </w:style>
  <w:style w:type="character" w:styleId="FootnoteReference">
    <w:name w:val="footnote reference"/>
    <w:basedOn w:val="DefaultParagraphFont"/>
    <w:uiPriority w:val="99"/>
    <w:semiHidden/>
    <w:unhideWhenUsed/>
    <w:rsid w:val="001C43FE"/>
    <w:rPr>
      <w:vertAlign w:val="superscript"/>
    </w:rPr>
  </w:style>
  <w:style w:type="character" w:customStyle="1" w:styleId="Bodytext">
    <w:name w:val="Body text_"/>
    <w:basedOn w:val="DefaultParagraphFont"/>
    <w:link w:val="BodyText1"/>
    <w:rsid w:val="00FA70F8"/>
    <w:rPr>
      <w:rFonts w:eastAsia="Times New Roman"/>
      <w:sz w:val="19"/>
      <w:szCs w:val="19"/>
      <w:shd w:val="clear" w:color="auto" w:fill="FFFFFF"/>
    </w:rPr>
  </w:style>
  <w:style w:type="paragraph" w:customStyle="1" w:styleId="BodyText1">
    <w:name w:val="Body Text1"/>
    <w:basedOn w:val="Normal"/>
    <w:link w:val="Bodytext"/>
    <w:rsid w:val="00FA70F8"/>
    <w:pPr>
      <w:widowControl w:val="0"/>
      <w:shd w:val="clear" w:color="auto" w:fill="FFFFFF"/>
      <w:spacing w:after="180" w:line="0" w:lineRule="atLeast"/>
      <w:ind w:hanging="980"/>
      <w:jc w:val="both"/>
    </w:pPr>
    <w:rPr>
      <w:sz w:val="19"/>
      <w:szCs w:val="19"/>
      <w:lang w:eastAsia="en-US"/>
    </w:rPr>
  </w:style>
  <w:style w:type="paragraph" w:styleId="HTMLPreformatted">
    <w:name w:val="HTML Preformatted"/>
    <w:basedOn w:val="Normal"/>
    <w:link w:val="HTMLPreformattedChar"/>
    <w:uiPriority w:val="99"/>
    <w:semiHidden/>
    <w:unhideWhenUsed/>
    <w:rsid w:val="00E7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7C08"/>
    <w:rPr>
      <w:rFonts w:ascii="Courier New" w:eastAsia="Times New Roman" w:hAnsi="Courier New" w:cs="Courier New"/>
      <w:sz w:val="20"/>
      <w:szCs w:val="20"/>
      <w:lang w:eastAsia="lv-LV"/>
    </w:rPr>
  </w:style>
  <w:style w:type="paragraph" w:customStyle="1" w:styleId="tv213">
    <w:name w:val="tv213"/>
    <w:basedOn w:val="Normal"/>
    <w:rsid w:val="00CE3D93"/>
    <w:pPr>
      <w:spacing w:before="100" w:beforeAutospacing="1" w:after="100" w:afterAutospacing="1"/>
    </w:pPr>
    <w:rPr>
      <w:lang w:bidi="hi-IN"/>
    </w:rPr>
  </w:style>
  <w:style w:type="paragraph" w:customStyle="1" w:styleId="ti-grseq-1">
    <w:name w:val="ti-grseq-1"/>
    <w:basedOn w:val="Normal"/>
    <w:rsid w:val="00C25BAA"/>
    <w:pPr>
      <w:spacing w:before="100" w:beforeAutospacing="1" w:after="100" w:afterAutospacing="1"/>
    </w:pPr>
    <w:rPr>
      <w:lang w:bidi="hi-IN"/>
    </w:rPr>
  </w:style>
  <w:style w:type="character" w:customStyle="1" w:styleId="italic">
    <w:name w:val="italic"/>
    <w:basedOn w:val="DefaultParagraphFont"/>
    <w:rsid w:val="00C25BAA"/>
  </w:style>
  <w:style w:type="paragraph" w:customStyle="1" w:styleId="Parasts1">
    <w:name w:val="Parasts1"/>
    <w:basedOn w:val="Normal"/>
    <w:rsid w:val="00C25BAA"/>
    <w:pPr>
      <w:spacing w:before="100" w:beforeAutospacing="1" w:after="100" w:afterAutospacing="1"/>
    </w:pPr>
    <w:rPr>
      <w:lang w:bidi="hi-IN"/>
    </w:rPr>
  </w:style>
  <w:style w:type="paragraph" w:customStyle="1" w:styleId="doc-ti">
    <w:name w:val="doc-ti"/>
    <w:basedOn w:val="Normal"/>
    <w:rsid w:val="00C25BAA"/>
    <w:pPr>
      <w:spacing w:before="100" w:beforeAutospacing="1" w:after="100" w:afterAutospacing="1"/>
    </w:pPr>
    <w:rPr>
      <w:lang w:bidi="hi-IN"/>
    </w:rPr>
  </w:style>
  <w:style w:type="paragraph" w:customStyle="1" w:styleId="no-doc-c">
    <w:name w:val="no-doc-c"/>
    <w:basedOn w:val="Normal"/>
    <w:rsid w:val="00C25BA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602">
      <w:bodyDiv w:val="1"/>
      <w:marLeft w:val="0"/>
      <w:marRight w:val="0"/>
      <w:marTop w:val="0"/>
      <w:marBottom w:val="0"/>
      <w:divBdr>
        <w:top w:val="none" w:sz="0" w:space="0" w:color="auto"/>
        <w:left w:val="none" w:sz="0" w:space="0" w:color="auto"/>
        <w:bottom w:val="none" w:sz="0" w:space="0" w:color="auto"/>
        <w:right w:val="none" w:sz="0" w:space="0" w:color="auto"/>
      </w:divBdr>
    </w:div>
    <w:div w:id="235676204">
      <w:bodyDiv w:val="1"/>
      <w:marLeft w:val="0"/>
      <w:marRight w:val="0"/>
      <w:marTop w:val="0"/>
      <w:marBottom w:val="0"/>
      <w:divBdr>
        <w:top w:val="none" w:sz="0" w:space="0" w:color="auto"/>
        <w:left w:val="none" w:sz="0" w:space="0" w:color="auto"/>
        <w:bottom w:val="none" w:sz="0" w:space="0" w:color="auto"/>
        <w:right w:val="none" w:sz="0" w:space="0" w:color="auto"/>
      </w:divBdr>
    </w:div>
    <w:div w:id="368267970">
      <w:bodyDiv w:val="1"/>
      <w:marLeft w:val="0"/>
      <w:marRight w:val="0"/>
      <w:marTop w:val="0"/>
      <w:marBottom w:val="0"/>
      <w:divBdr>
        <w:top w:val="none" w:sz="0" w:space="0" w:color="auto"/>
        <w:left w:val="none" w:sz="0" w:space="0" w:color="auto"/>
        <w:bottom w:val="none" w:sz="0" w:space="0" w:color="auto"/>
        <w:right w:val="none" w:sz="0" w:space="0" w:color="auto"/>
      </w:divBdr>
    </w:div>
    <w:div w:id="562253171">
      <w:bodyDiv w:val="1"/>
      <w:marLeft w:val="0"/>
      <w:marRight w:val="0"/>
      <w:marTop w:val="0"/>
      <w:marBottom w:val="0"/>
      <w:divBdr>
        <w:top w:val="none" w:sz="0" w:space="0" w:color="auto"/>
        <w:left w:val="none" w:sz="0" w:space="0" w:color="auto"/>
        <w:bottom w:val="none" w:sz="0" w:space="0" w:color="auto"/>
        <w:right w:val="none" w:sz="0" w:space="0" w:color="auto"/>
      </w:divBdr>
    </w:div>
    <w:div w:id="670989665">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sChild>
        <w:div w:id="791363618">
          <w:marLeft w:val="0"/>
          <w:marRight w:val="0"/>
          <w:marTop w:val="0"/>
          <w:marBottom w:val="0"/>
          <w:divBdr>
            <w:top w:val="none" w:sz="0" w:space="0" w:color="auto"/>
            <w:left w:val="none" w:sz="0" w:space="0" w:color="auto"/>
            <w:bottom w:val="none" w:sz="0" w:space="0" w:color="auto"/>
            <w:right w:val="none" w:sz="0" w:space="0" w:color="auto"/>
          </w:divBdr>
        </w:div>
      </w:divsChild>
    </w:div>
    <w:div w:id="837768203">
      <w:bodyDiv w:val="1"/>
      <w:marLeft w:val="0"/>
      <w:marRight w:val="0"/>
      <w:marTop w:val="0"/>
      <w:marBottom w:val="0"/>
      <w:divBdr>
        <w:top w:val="none" w:sz="0" w:space="0" w:color="auto"/>
        <w:left w:val="none" w:sz="0" w:space="0" w:color="auto"/>
        <w:bottom w:val="none" w:sz="0" w:space="0" w:color="auto"/>
        <w:right w:val="none" w:sz="0" w:space="0" w:color="auto"/>
      </w:divBdr>
    </w:div>
    <w:div w:id="984361590">
      <w:bodyDiv w:val="1"/>
      <w:marLeft w:val="0"/>
      <w:marRight w:val="0"/>
      <w:marTop w:val="0"/>
      <w:marBottom w:val="0"/>
      <w:divBdr>
        <w:top w:val="none" w:sz="0" w:space="0" w:color="auto"/>
        <w:left w:val="none" w:sz="0" w:space="0" w:color="auto"/>
        <w:bottom w:val="none" w:sz="0" w:space="0" w:color="auto"/>
        <w:right w:val="none" w:sz="0" w:space="0" w:color="auto"/>
      </w:divBdr>
    </w:div>
    <w:div w:id="1098716666">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16663020">
      <w:bodyDiv w:val="1"/>
      <w:marLeft w:val="0"/>
      <w:marRight w:val="0"/>
      <w:marTop w:val="0"/>
      <w:marBottom w:val="0"/>
      <w:divBdr>
        <w:top w:val="none" w:sz="0" w:space="0" w:color="auto"/>
        <w:left w:val="none" w:sz="0" w:space="0" w:color="auto"/>
        <w:bottom w:val="none" w:sz="0" w:space="0" w:color="auto"/>
        <w:right w:val="none" w:sz="0" w:space="0" w:color="auto"/>
      </w:divBdr>
    </w:div>
    <w:div w:id="2070296950">
      <w:bodyDiv w:val="1"/>
      <w:marLeft w:val="0"/>
      <w:marRight w:val="0"/>
      <w:marTop w:val="0"/>
      <w:marBottom w:val="0"/>
      <w:divBdr>
        <w:top w:val="none" w:sz="0" w:space="0" w:color="auto"/>
        <w:left w:val="none" w:sz="0" w:space="0" w:color="auto"/>
        <w:bottom w:val="none" w:sz="0" w:space="0" w:color="auto"/>
        <w:right w:val="none" w:sz="0" w:space="0" w:color="auto"/>
      </w:divBdr>
    </w:div>
    <w:div w:id="2096318527">
      <w:bodyDiv w:val="1"/>
      <w:marLeft w:val="0"/>
      <w:marRight w:val="0"/>
      <w:marTop w:val="0"/>
      <w:marBottom w:val="0"/>
      <w:divBdr>
        <w:top w:val="none" w:sz="0" w:space="0" w:color="auto"/>
        <w:left w:val="none" w:sz="0" w:space="0" w:color="auto"/>
        <w:bottom w:val="none" w:sz="0" w:space="0" w:color="auto"/>
        <w:right w:val="none" w:sz="0" w:space="0" w:color="auto"/>
      </w:divBdr>
    </w:div>
    <w:div w:id="2116095141">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6050932770&amp;Hash=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HTML/?uri=OJ:C:2020:116I:F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va.gov.lv" TargetMode="External"/><Relationship Id="rId4" Type="http://schemas.openxmlformats.org/officeDocument/2006/relationships/settings" Target="settings.xml"/><Relationship Id="rId9" Type="http://schemas.openxmlformats.org/officeDocument/2006/relationships/hyperlink" Target="https://likumi.lv/ta/id/40283-par-narkotisko-un-psihotropo-vielu-un-zalu-likumigas-aprites-kartibu"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657F-889F-4EC6-AE37-B03AB94F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13472</Words>
  <Characters>7680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sākotnējās ietekmes novērtējuma ziņojums (anotācija)</vt:lpstr>
      <vt:lpstr>Ministru kabineta noteikumu projekta sākotnējās ietekmes novērtējuma ziņojums (anotācija)</vt:lpstr>
    </vt:vector>
  </TitlesOfParts>
  <Company>Veselības Ministrija</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Ingūna Mača</dc:creator>
  <cp:keywords/>
  <dc:description>inguna.maca@vm.gov.lv, 67876117</dc:description>
  <cp:lastModifiedBy>Anita Jurševica</cp:lastModifiedBy>
  <cp:revision>11</cp:revision>
  <dcterms:created xsi:type="dcterms:W3CDTF">2021-01-28T12:31:00Z</dcterms:created>
  <dcterms:modified xsi:type="dcterms:W3CDTF">2021-01-29T07:53:00Z</dcterms:modified>
</cp:coreProperties>
</file>