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C78C" w14:textId="6BA50F34" w:rsidR="00142E89" w:rsidRPr="00142E89" w:rsidRDefault="00142E89" w:rsidP="00142E89">
      <w:pPr>
        <w:pStyle w:val="naisnod"/>
        <w:spacing w:before="0" w:after="0"/>
        <w:ind w:firstLine="720"/>
        <w:rPr>
          <w:sz w:val="28"/>
          <w:szCs w:val="28"/>
        </w:rPr>
      </w:pPr>
      <w:r w:rsidRPr="00712B66">
        <w:rPr>
          <w:sz w:val="28"/>
          <w:szCs w:val="28"/>
        </w:rPr>
        <w:t>Izziņa par atzinumos sniegtajiem iebildumiem</w:t>
      </w:r>
      <w:r>
        <w:rPr>
          <w:sz w:val="28"/>
          <w:szCs w:val="28"/>
        </w:rPr>
        <w:t xml:space="preserve"> par </w:t>
      </w:r>
    </w:p>
    <w:tbl>
      <w:tblPr>
        <w:tblW w:w="0" w:type="auto"/>
        <w:jc w:val="center"/>
        <w:tblLook w:val="00A0" w:firstRow="1" w:lastRow="0" w:firstColumn="1" w:lastColumn="0" w:noHBand="0" w:noVBand="0"/>
      </w:tblPr>
      <w:tblGrid>
        <w:gridCol w:w="10188"/>
      </w:tblGrid>
      <w:tr w:rsidR="00142E89" w:rsidRPr="00712B66" w14:paraId="7074152A" w14:textId="77777777" w:rsidTr="007476B0">
        <w:trPr>
          <w:jc w:val="center"/>
        </w:trPr>
        <w:tc>
          <w:tcPr>
            <w:tcW w:w="10188" w:type="dxa"/>
            <w:tcBorders>
              <w:bottom w:val="single" w:sz="6" w:space="0" w:color="000000"/>
            </w:tcBorders>
          </w:tcPr>
          <w:p w14:paraId="5CD4F2D1" w14:textId="77777777" w:rsidR="00142E89" w:rsidRPr="000948AC" w:rsidRDefault="00142E89" w:rsidP="007476B0">
            <w:pPr>
              <w:jc w:val="center"/>
              <w:rPr>
                <w:b/>
                <w:sz w:val="28"/>
                <w:szCs w:val="28"/>
              </w:rPr>
            </w:pPr>
            <w:r w:rsidRPr="000948AC">
              <w:rPr>
                <w:b/>
                <w:sz w:val="28"/>
                <w:szCs w:val="28"/>
              </w:rPr>
              <w:t>Ministru kabineta noteikumu projektu “Par Pasaules Antidopinga aģentūras 20</w:t>
            </w:r>
            <w:r>
              <w:rPr>
                <w:b/>
                <w:sz w:val="28"/>
                <w:szCs w:val="28"/>
              </w:rPr>
              <w:t>21</w:t>
            </w:r>
            <w:r w:rsidRPr="000948AC">
              <w:rPr>
                <w:b/>
                <w:sz w:val="28"/>
                <w:szCs w:val="28"/>
              </w:rPr>
              <w:t>.gada Pasaules Antidopinga kodeksa pieņemšanu”</w:t>
            </w:r>
          </w:p>
        </w:tc>
      </w:tr>
    </w:tbl>
    <w:p w14:paraId="305CD2E9" w14:textId="77777777" w:rsidR="00142E89" w:rsidRPr="00712B66" w:rsidRDefault="00142E89" w:rsidP="00142E89">
      <w:pPr>
        <w:pStyle w:val="naisc"/>
        <w:spacing w:before="0" w:after="0"/>
        <w:ind w:firstLine="1080"/>
      </w:pPr>
      <w:r w:rsidRPr="00712B66">
        <w:t>(dokumenta veids un nosaukums)</w:t>
      </w:r>
    </w:p>
    <w:p w14:paraId="741408C9" w14:textId="77777777" w:rsidR="00142E89" w:rsidRPr="00712B66" w:rsidRDefault="00142E89" w:rsidP="00142E89">
      <w:pPr>
        <w:pStyle w:val="naisf"/>
        <w:spacing w:before="0" w:after="0"/>
        <w:ind w:firstLine="720"/>
      </w:pPr>
    </w:p>
    <w:p w14:paraId="3FA2068C" w14:textId="77777777" w:rsidR="00142E89" w:rsidRPr="00712B66" w:rsidRDefault="00142E89" w:rsidP="00142E89">
      <w:pPr>
        <w:pStyle w:val="naisf"/>
        <w:spacing w:before="0" w:after="0"/>
        <w:ind w:firstLine="0"/>
        <w:jc w:val="center"/>
        <w:rPr>
          <w:b/>
        </w:rPr>
      </w:pPr>
      <w:r w:rsidRPr="00712B66">
        <w:rPr>
          <w:b/>
        </w:rPr>
        <w:t>I. Jautājumi, par kuriem saskaņošanā vienošanās nav panākta</w:t>
      </w:r>
    </w:p>
    <w:p w14:paraId="45E208B1" w14:textId="77777777" w:rsidR="00142E89" w:rsidRPr="00712B66" w:rsidRDefault="00142E89" w:rsidP="00142E8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42E89" w:rsidRPr="00712B66" w14:paraId="3BFC16FB" w14:textId="77777777" w:rsidTr="007476B0">
        <w:tc>
          <w:tcPr>
            <w:tcW w:w="708" w:type="dxa"/>
            <w:tcBorders>
              <w:top w:val="single" w:sz="6" w:space="0" w:color="000000"/>
              <w:left w:val="single" w:sz="6" w:space="0" w:color="000000"/>
              <w:bottom w:val="single" w:sz="6" w:space="0" w:color="000000"/>
              <w:right w:val="single" w:sz="6" w:space="0" w:color="000000"/>
            </w:tcBorders>
            <w:vAlign w:val="center"/>
          </w:tcPr>
          <w:p w14:paraId="0B74545B" w14:textId="77777777" w:rsidR="00142E89" w:rsidRPr="00712B66" w:rsidRDefault="00142E89" w:rsidP="007476B0">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8D4E9AC" w14:textId="77777777" w:rsidR="00142E89" w:rsidRPr="00712B66" w:rsidRDefault="00142E89" w:rsidP="007476B0">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B153151" w14:textId="77777777" w:rsidR="00142E89" w:rsidRPr="00712B66" w:rsidRDefault="00142E89" w:rsidP="007476B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711D55B" w14:textId="77777777" w:rsidR="00142E89" w:rsidRPr="00712B66" w:rsidRDefault="00142E89" w:rsidP="007476B0">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32D14F" w14:textId="77777777" w:rsidR="00142E89" w:rsidRPr="00712B66" w:rsidRDefault="00142E89" w:rsidP="007476B0">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294A7F5" w14:textId="77777777" w:rsidR="00142E89" w:rsidRPr="00712B66" w:rsidRDefault="00142E89" w:rsidP="007476B0">
            <w:pPr>
              <w:jc w:val="center"/>
            </w:pPr>
            <w:r w:rsidRPr="00712B66">
              <w:t>Projekta attiecīgā punkta (panta) galīgā redakcija</w:t>
            </w:r>
          </w:p>
        </w:tc>
      </w:tr>
      <w:tr w:rsidR="00142E89" w:rsidRPr="008A36C9" w14:paraId="5DFE27B3" w14:textId="77777777" w:rsidTr="007476B0">
        <w:tc>
          <w:tcPr>
            <w:tcW w:w="708" w:type="dxa"/>
            <w:tcBorders>
              <w:top w:val="single" w:sz="6" w:space="0" w:color="000000"/>
              <w:left w:val="single" w:sz="6" w:space="0" w:color="000000"/>
              <w:bottom w:val="single" w:sz="6" w:space="0" w:color="000000"/>
              <w:right w:val="single" w:sz="6" w:space="0" w:color="000000"/>
            </w:tcBorders>
          </w:tcPr>
          <w:p w14:paraId="510A5EC5" w14:textId="77777777" w:rsidR="00142E89" w:rsidRPr="008A36C9" w:rsidRDefault="00142E89" w:rsidP="007476B0">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5E27F44" w14:textId="77777777" w:rsidR="00142E89" w:rsidRPr="008A36C9" w:rsidRDefault="00142E89" w:rsidP="007476B0">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D39030F" w14:textId="77777777" w:rsidR="00142E89" w:rsidRPr="008A36C9" w:rsidRDefault="00142E89" w:rsidP="007476B0">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F37287E" w14:textId="77777777" w:rsidR="00142E89" w:rsidRPr="008A36C9" w:rsidRDefault="00142E89" w:rsidP="007476B0">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2196602" w14:textId="77777777" w:rsidR="00142E89" w:rsidRPr="008A36C9" w:rsidRDefault="00142E89" w:rsidP="007476B0">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36B1480" w14:textId="77777777" w:rsidR="00142E89" w:rsidRPr="008A36C9" w:rsidRDefault="00142E89" w:rsidP="007476B0">
            <w:pPr>
              <w:jc w:val="center"/>
              <w:rPr>
                <w:sz w:val="20"/>
                <w:szCs w:val="20"/>
              </w:rPr>
            </w:pPr>
            <w:r w:rsidRPr="008A36C9">
              <w:rPr>
                <w:sz w:val="20"/>
                <w:szCs w:val="20"/>
              </w:rPr>
              <w:t>6</w:t>
            </w:r>
          </w:p>
        </w:tc>
      </w:tr>
      <w:tr w:rsidR="00142E89" w:rsidRPr="008A36C9" w14:paraId="636D40EE" w14:textId="77777777" w:rsidTr="007476B0">
        <w:tc>
          <w:tcPr>
            <w:tcW w:w="708" w:type="dxa"/>
            <w:tcBorders>
              <w:top w:val="single" w:sz="6" w:space="0" w:color="000000"/>
              <w:left w:val="single" w:sz="6" w:space="0" w:color="000000"/>
              <w:bottom w:val="single" w:sz="6" w:space="0" w:color="000000"/>
              <w:right w:val="single" w:sz="6" w:space="0" w:color="000000"/>
            </w:tcBorders>
          </w:tcPr>
          <w:p w14:paraId="7A45ED84" w14:textId="77777777" w:rsidR="00142E89" w:rsidRPr="008A36C9" w:rsidRDefault="00142E89" w:rsidP="007476B0">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67B5EBF1" w14:textId="77777777" w:rsidR="00142E89" w:rsidRPr="008A36C9" w:rsidRDefault="00142E89" w:rsidP="007476B0">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49297AA8" w14:textId="77777777" w:rsidR="00142E89" w:rsidRPr="008A36C9" w:rsidRDefault="00142E89" w:rsidP="007476B0">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57534D68" w14:textId="77777777" w:rsidR="00142E89" w:rsidRPr="008A36C9" w:rsidRDefault="00142E89" w:rsidP="007476B0">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1CD6879" w14:textId="77777777" w:rsidR="00142E89" w:rsidRPr="008A36C9" w:rsidRDefault="00142E89" w:rsidP="007476B0">
            <w:pPr>
              <w:jc w:val="center"/>
              <w:rPr>
                <w:sz w:val="20"/>
                <w:szCs w:val="20"/>
              </w:rPr>
            </w:pPr>
          </w:p>
        </w:tc>
        <w:tc>
          <w:tcPr>
            <w:tcW w:w="1920" w:type="dxa"/>
            <w:tcBorders>
              <w:top w:val="single" w:sz="4" w:space="0" w:color="auto"/>
              <w:left w:val="single" w:sz="4" w:space="0" w:color="auto"/>
              <w:bottom w:val="single" w:sz="4" w:space="0" w:color="auto"/>
            </w:tcBorders>
          </w:tcPr>
          <w:p w14:paraId="302DADB2" w14:textId="77777777" w:rsidR="00142E89" w:rsidRPr="008A36C9" w:rsidRDefault="00142E89" w:rsidP="007476B0">
            <w:pPr>
              <w:jc w:val="center"/>
              <w:rPr>
                <w:sz w:val="20"/>
                <w:szCs w:val="20"/>
              </w:rPr>
            </w:pPr>
          </w:p>
        </w:tc>
      </w:tr>
      <w:tr w:rsidR="00142E89" w:rsidRPr="008A36C9" w14:paraId="118710E2" w14:textId="77777777" w:rsidTr="007476B0">
        <w:tc>
          <w:tcPr>
            <w:tcW w:w="708" w:type="dxa"/>
            <w:tcBorders>
              <w:top w:val="single" w:sz="6" w:space="0" w:color="000000"/>
              <w:left w:val="single" w:sz="6" w:space="0" w:color="000000"/>
              <w:bottom w:val="single" w:sz="6" w:space="0" w:color="000000"/>
              <w:right w:val="single" w:sz="6" w:space="0" w:color="000000"/>
            </w:tcBorders>
          </w:tcPr>
          <w:p w14:paraId="7160DE4C" w14:textId="77777777" w:rsidR="00142E89" w:rsidRPr="008A36C9" w:rsidRDefault="00142E89" w:rsidP="007476B0">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2C3D02C5" w14:textId="77777777" w:rsidR="00142E89" w:rsidRPr="008A36C9" w:rsidRDefault="00142E89" w:rsidP="007476B0">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3BA00E77" w14:textId="77777777" w:rsidR="00142E89" w:rsidRPr="008A36C9" w:rsidRDefault="00142E89" w:rsidP="007476B0">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0657CF57" w14:textId="77777777" w:rsidR="00142E89" w:rsidRPr="008A36C9" w:rsidRDefault="00142E89" w:rsidP="007476B0">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1B9E37E" w14:textId="77777777" w:rsidR="00142E89" w:rsidRPr="008A36C9" w:rsidRDefault="00142E89" w:rsidP="007476B0">
            <w:pPr>
              <w:jc w:val="center"/>
              <w:rPr>
                <w:sz w:val="20"/>
                <w:szCs w:val="20"/>
              </w:rPr>
            </w:pPr>
          </w:p>
        </w:tc>
        <w:tc>
          <w:tcPr>
            <w:tcW w:w="1920" w:type="dxa"/>
            <w:tcBorders>
              <w:top w:val="single" w:sz="4" w:space="0" w:color="auto"/>
              <w:left w:val="single" w:sz="4" w:space="0" w:color="auto"/>
              <w:bottom w:val="single" w:sz="4" w:space="0" w:color="auto"/>
            </w:tcBorders>
          </w:tcPr>
          <w:p w14:paraId="03593D08" w14:textId="77777777" w:rsidR="00142E89" w:rsidRPr="008A36C9" w:rsidRDefault="00142E89" w:rsidP="007476B0">
            <w:pPr>
              <w:jc w:val="center"/>
              <w:rPr>
                <w:sz w:val="20"/>
                <w:szCs w:val="20"/>
              </w:rPr>
            </w:pPr>
          </w:p>
        </w:tc>
      </w:tr>
    </w:tbl>
    <w:p w14:paraId="50D940A2" w14:textId="77777777" w:rsidR="00142E89" w:rsidRDefault="00142E89" w:rsidP="00142E89">
      <w:pPr>
        <w:pStyle w:val="naisf"/>
        <w:spacing w:before="0" w:after="0"/>
        <w:ind w:firstLine="0"/>
        <w:rPr>
          <w:b/>
        </w:rPr>
      </w:pPr>
    </w:p>
    <w:p w14:paraId="39915C92" w14:textId="77777777" w:rsidR="00142E89" w:rsidRPr="00712B66" w:rsidRDefault="00142E89" w:rsidP="00142E89">
      <w:pPr>
        <w:pStyle w:val="naisf"/>
        <w:spacing w:before="0" w:after="0"/>
        <w:ind w:firstLine="0"/>
        <w:rPr>
          <w:b/>
        </w:rPr>
      </w:pPr>
      <w:r w:rsidRPr="00712B66">
        <w:rPr>
          <w:b/>
        </w:rPr>
        <w:t>Informācija par starpministriju (starpinstitūciju) sanāksmi vai elektronisko saskaņošanu</w:t>
      </w:r>
    </w:p>
    <w:p w14:paraId="18991F17" w14:textId="77777777" w:rsidR="00142E89" w:rsidRPr="00712B66" w:rsidRDefault="00142E89" w:rsidP="00142E89">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142E89" w:rsidRPr="00712B66" w14:paraId="37FD30E8" w14:textId="77777777" w:rsidTr="007476B0">
        <w:tc>
          <w:tcPr>
            <w:tcW w:w="6345" w:type="dxa"/>
          </w:tcPr>
          <w:p w14:paraId="454A64DC" w14:textId="77777777" w:rsidR="00142E89" w:rsidRPr="00712B66" w:rsidRDefault="00142E89" w:rsidP="007476B0">
            <w:pPr>
              <w:pStyle w:val="naisf"/>
              <w:spacing w:before="0" w:after="0"/>
              <w:ind w:firstLine="0"/>
            </w:pPr>
            <w:r w:rsidRPr="00712B66">
              <w:t>Datums</w:t>
            </w:r>
          </w:p>
        </w:tc>
        <w:tc>
          <w:tcPr>
            <w:tcW w:w="6237" w:type="dxa"/>
            <w:gridSpan w:val="2"/>
            <w:tcBorders>
              <w:bottom w:val="single" w:sz="4" w:space="0" w:color="auto"/>
            </w:tcBorders>
          </w:tcPr>
          <w:p w14:paraId="520C2BE7" w14:textId="77777777" w:rsidR="00142E89" w:rsidRPr="008E428A" w:rsidRDefault="00142E89" w:rsidP="007476B0">
            <w:pPr>
              <w:pStyle w:val="NormalWeb"/>
              <w:spacing w:before="0" w:beforeAutospacing="0" w:after="0" w:afterAutospacing="0"/>
            </w:pPr>
            <w:r>
              <w:t>Elektroniskā saskaņošana norisinājās laikā no 2020.gada 23. - 30.novembrim</w:t>
            </w:r>
          </w:p>
        </w:tc>
      </w:tr>
      <w:tr w:rsidR="00142E89" w:rsidRPr="00712B66" w14:paraId="00D59429" w14:textId="77777777" w:rsidTr="007476B0">
        <w:tc>
          <w:tcPr>
            <w:tcW w:w="6345" w:type="dxa"/>
          </w:tcPr>
          <w:p w14:paraId="074A1504" w14:textId="77777777" w:rsidR="00142E89" w:rsidRPr="00712B66" w:rsidRDefault="00142E89" w:rsidP="007476B0">
            <w:pPr>
              <w:pStyle w:val="naisf"/>
              <w:spacing w:before="0" w:after="0"/>
              <w:ind w:firstLine="0"/>
            </w:pPr>
          </w:p>
        </w:tc>
        <w:tc>
          <w:tcPr>
            <w:tcW w:w="6237" w:type="dxa"/>
            <w:gridSpan w:val="2"/>
            <w:tcBorders>
              <w:top w:val="single" w:sz="4" w:space="0" w:color="auto"/>
            </w:tcBorders>
          </w:tcPr>
          <w:p w14:paraId="40150109" w14:textId="77777777" w:rsidR="00142E89" w:rsidRPr="00712B66" w:rsidRDefault="00142E89" w:rsidP="007476B0">
            <w:pPr>
              <w:pStyle w:val="NormalWeb"/>
              <w:spacing w:before="0" w:beforeAutospacing="0" w:after="0" w:afterAutospacing="0"/>
              <w:ind w:firstLine="720"/>
            </w:pPr>
          </w:p>
        </w:tc>
      </w:tr>
      <w:tr w:rsidR="00142E89" w:rsidRPr="00712B66" w14:paraId="7C1BE298" w14:textId="77777777" w:rsidTr="007476B0">
        <w:tc>
          <w:tcPr>
            <w:tcW w:w="6345" w:type="dxa"/>
          </w:tcPr>
          <w:p w14:paraId="1CA18CDD" w14:textId="77777777" w:rsidR="00142E89" w:rsidRPr="00712B66" w:rsidRDefault="00142E89" w:rsidP="007476B0">
            <w:pPr>
              <w:pStyle w:val="naiskr"/>
              <w:spacing w:before="0" w:after="0"/>
            </w:pPr>
            <w:r>
              <w:t>Saskaņošanas d</w:t>
            </w:r>
            <w:r w:rsidRPr="00712B66">
              <w:t>alībnieki</w:t>
            </w:r>
          </w:p>
        </w:tc>
        <w:tc>
          <w:tcPr>
            <w:tcW w:w="6237" w:type="dxa"/>
            <w:gridSpan w:val="2"/>
            <w:tcBorders>
              <w:bottom w:val="single" w:sz="4" w:space="0" w:color="auto"/>
            </w:tcBorders>
          </w:tcPr>
          <w:p w14:paraId="7CA5B4F4" w14:textId="77777777" w:rsidR="00142E89" w:rsidRPr="00712B66" w:rsidRDefault="00142E89" w:rsidP="007476B0">
            <w:pPr>
              <w:pStyle w:val="NormalWeb"/>
              <w:spacing w:before="0" w:beforeAutospacing="0" w:after="0" w:afterAutospacing="0"/>
            </w:pPr>
            <w:r>
              <w:t>Tieslietu ministrija, Izglītības un zinātnes ministrija, Finanšu ministrija, Ārlietu ministrija</w:t>
            </w:r>
          </w:p>
        </w:tc>
      </w:tr>
      <w:tr w:rsidR="00142E89" w:rsidRPr="00712B66" w14:paraId="5B99D2AF" w14:textId="77777777" w:rsidTr="007476B0">
        <w:trPr>
          <w:trHeight w:val="285"/>
        </w:trPr>
        <w:tc>
          <w:tcPr>
            <w:tcW w:w="6345" w:type="dxa"/>
          </w:tcPr>
          <w:p w14:paraId="54D0E3AB" w14:textId="77777777" w:rsidR="00142E89" w:rsidRPr="00712B66" w:rsidRDefault="00142E89" w:rsidP="007476B0">
            <w:pPr>
              <w:pStyle w:val="naiskr"/>
              <w:spacing w:before="0" w:after="0"/>
            </w:pPr>
          </w:p>
        </w:tc>
        <w:tc>
          <w:tcPr>
            <w:tcW w:w="1203" w:type="dxa"/>
            <w:tcBorders>
              <w:top w:val="single" w:sz="4" w:space="0" w:color="auto"/>
            </w:tcBorders>
          </w:tcPr>
          <w:p w14:paraId="6CBAFA19" w14:textId="77777777" w:rsidR="00142E89" w:rsidRPr="00712B66" w:rsidRDefault="00142E89" w:rsidP="007476B0">
            <w:pPr>
              <w:pStyle w:val="naiskr"/>
              <w:spacing w:before="0" w:after="0"/>
              <w:ind w:firstLine="720"/>
            </w:pPr>
          </w:p>
        </w:tc>
        <w:tc>
          <w:tcPr>
            <w:tcW w:w="5034" w:type="dxa"/>
            <w:tcBorders>
              <w:top w:val="single" w:sz="4" w:space="0" w:color="auto"/>
            </w:tcBorders>
          </w:tcPr>
          <w:p w14:paraId="5C198F43" w14:textId="77777777" w:rsidR="00142E89" w:rsidRPr="00712B66" w:rsidRDefault="00142E89" w:rsidP="007476B0">
            <w:pPr>
              <w:pStyle w:val="naiskr"/>
              <w:spacing w:before="0" w:after="0"/>
              <w:ind w:firstLine="12"/>
            </w:pPr>
          </w:p>
        </w:tc>
      </w:tr>
    </w:tbl>
    <w:p w14:paraId="37345925" w14:textId="77777777" w:rsidR="00142E89" w:rsidRDefault="00142E89" w:rsidP="00142E89"/>
    <w:tbl>
      <w:tblPr>
        <w:tblW w:w="12582" w:type="dxa"/>
        <w:tblLook w:val="00A0" w:firstRow="1" w:lastRow="0" w:firstColumn="1" w:lastColumn="0" w:noHBand="0" w:noVBand="0"/>
      </w:tblPr>
      <w:tblGrid>
        <w:gridCol w:w="6708"/>
        <w:gridCol w:w="840"/>
        <w:gridCol w:w="5034"/>
      </w:tblGrid>
      <w:tr w:rsidR="00142E89" w:rsidRPr="00712B66" w14:paraId="36B76279" w14:textId="77777777" w:rsidTr="007476B0">
        <w:trPr>
          <w:trHeight w:val="285"/>
        </w:trPr>
        <w:tc>
          <w:tcPr>
            <w:tcW w:w="6708" w:type="dxa"/>
          </w:tcPr>
          <w:p w14:paraId="6E4CA48C" w14:textId="77777777" w:rsidR="00142E89" w:rsidRPr="00712B66" w:rsidRDefault="00142E89" w:rsidP="007476B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0D519356" w14:textId="77777777" w:rsidR="00142E89" w:rsidRPr="00712B66" w:rsidRDefault="00142E89" w:rsidP="007476B0">
            <w:pPr>
              <w:pStyle w:val="naiskr"/>
              <w:spacing w:before="0" w:after="0"/>
              <w:ind w:firstLine="720"/>
            </w:pPr>
          </w:p>
        </w:tc>
        <w:tc>
          <w:tcPr>
            <w:tcW w:w="5034" w:type="dxa"/>
            <w:tcBorders>
              <w:bottom w:val="single" w:sz="4" w:space="0" w:color="auto"/>
            </w:tcBorders>
          </w:tcPr>
          <w:p w14:paraId="1C1A4435" w14:textId="5A70576C" w:rsidR="00142E89" w:rsidRPr="00712B66" w:rsidRDefault="00142E89" w:rsidP="00142E89">
            <w:pPr>
              <w:pStyle w:val="naiskr"/>
              <w:spacing w:before="0" w:after="0"/>
              <w:ind w:firstLine="12"/>
            </w:pPr>
            <w:r>
              <w:t>Atkārota elektroniskā  saskaņošana vai saskaņošanas sanāksme netika īstenota.</w:t>
            </w:r>
          </w:p>
        </w:tc>
      </w:tr>
      <w:tr w:rsidR="00142E89" w:rsidRPr="00712B66" w14:paraId="6B445A56" w14:textId="77777777" w:rsidTr="007476B0">
        <w:tc>
          <w:tcPr>
            <w:tcW w:w="6708" w:type="dxa"/>
          </w:tcPr>
          <w:p w14:paraId="7AB253D1" w14:textId="77777777" w:rsidR="00142E89" w:rsidRDefault="00142E89" w:rsidP="007476B0">
            <w:pPr>
              <w:pStyle w:val="naiskr"/>
              <w:spacing w:before="0" w:after="0"/>
            </w:pPr>
          </w:p>
          <w:p w14:paraId="34497ECB" w14:textId="4635029E" w:rsidR="00142E89" w:rsidRPr="00712B66" w:rsidRDefault="00142E89" w:rsidP="007476B0">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77AD63CD" w14:textId="77777777" w:rsidR="00142E89" w:rsidRDefault="00142E89" w:rsidP="007476B0">
            <w:pPr>
              <w:pBdr>
                <w:bottom w:val="single" w:sz="4" w:space="1" w:color="auto"/>
              </w:pBdr>
            </w:pPr>
            <w:r w:rsidRPr="00053B9A">
              <w:tab/>
            </w:r>
          </w:p>
          <w:p w14:paraId="4A9893F1" w14:textId="77777777" w:rsidR="00142E89" w:rsidRDefault="00142E89" w:rsidP="007476B0">
            <w:pPr>
              <w:pBdr>
                <w:bottom w:val="single" w:sz="4" w:space="1" w:color="auto"/>
              </w:pBdr>
            </w:pPr>
          </w:p>
          <w:p w14:paraId="37F5C99D" w14:textId="0022F55E" w:rsidR="00142E89" w:rsidRPr="00712B66" w:rsidRDefault="00142E89" w:rsidP="00377135">
            <w:pPr>
              <w:pBdr>
                <w:bottom w:val="single" w:sz="4" w:space="1" w:color="auto"/>
              </w:pBdr>
            </w:pPr>
            <w:r w:rsidRPr="00053B9A">
              <w:t>Atkārota elektroniskā  saskaņošana vai saskaņošanas sanāksme netika īstenota.</w:t>
            </w:r>
          </w:p>
        </w:tc>
      </w:tr>
    </w:tbl>
    <w:p w14:paraId="49D30732" w14:textId="19C7F714" w:rsidR="007B4C0F" w:rsidRPr="00712B66" w:rsidRDefault="007B4C0F" w:rsidP="00377135">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3FC7E7F3" w14:textId="77777777" w:rsidR="007B4C0F" w:rsidRPr="00712B66" w:rsidRDefault="007B4C0F" w:rsidP="00377135">
      <w:pPr>
        <w:pStyle w:val="naisf"/>
        <w:spacing w:before="0" w:after="0"/>
        <w:ind w:firstLine="720"/>
        <w:jc w:val="cente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896"/>
        <w:gridCol w:w="2809"/>
      </w:tblGrid>
      <w:tr w:rsidR="00134188" w:rsidRPr="00712B66" w14:paraId="48F3DDBD" w14:textId="77777777" w:rsidTr="00B24EA7">
        <w:tc>
          <w:tcPr>
            <w:tcW w:w="708" w:type="dxa"/>
            <w:tcBorders>
              <w:top w:val="single" w:sz="6" w:space="0" w:color="000000"/>
              <w:left w:val="single" w:sz="6" w:space="0" w:color="000000"/>
              <w:bottom w:val="single" w:sz="6" w:space="0" w:color="000000"/>
              <w:right w:val="single" w:sz="6" w:space="0" w:color="000000"/>
            </w:tcBorders>
            <w:vAlign w:val="center"/>
          </w:tcPr>
          <w:p w14:paraId="731A267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D43D271"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3DED2014"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995" w:type="dxa"/>
            <w:gridSpan w:val="2"/>
            <w:tcBorders>
              <w:top w:val="single" w:sz="6" w:space="0" w:color="000000"/>
              <w:left w:val="single" w:sz="6" w:space="0" w:color="000000"/>
              <w:bottom w:val="single" w:sz="6" w:space="0" w:color="000000"/>
              <w:right w:val="single" w:sz="6" w:space="0" w:color="000000"/>
            </w:tcBorders>
            <w:vAlign w:val="center"/>
          </w:tcPr>
          <w:p w14:paraId="4CF46FBD"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9" w:type="dxa"/>
            <w:tcBorders>
              <w:top w:val="single" w:sz="4" w:space="0" w:color="auto"/>
              <w:left w:val="single" w:sz="4" w:space="0" w:color="auto"/>
              <w:bottom w:val="single" w:sz="4" w:space="0" w:color="auto"/>
            </w:tcBorders>
            <w:vAlign w:val="center"/>
          </w:tcPr>
          <w:p w14:paraId="586F82A5" w14:textId="77777777" w:rsidR="00134188" w:rsidRPr="00712B66" w:rsidRDefault="00134188" w:rsidP="009623BC">
            <w:pPr>
              <w:jc w:val="center"/>
            </w:pPr>
            <w:r w:rsidRPr="00712B66">
              <w:t>Projekta attiecīgā punkta (panta) galīgā redakcija</w:t>
            </w:r>
          </w:p>
        </w:tc>
      </w:tr>
      <w:tr w:rsidR="00134188" w:rsidRPr="003B71E0" w14:paraId="140081AE" w14:textId="77777777" w:rsidTr="00B24EA7">
        <w:tc>
          <w:tcPr>
            <w:tcW w:w="708" w:type="dxa"/>
            <w:tcBorders>
              <w:top w:val="single" w:sz="6" w:space="0" w:color="000000"/>
              <w:left w:val="single" w:sz="6" w:space="0" w:color="000000"/>
              <w:bottom w:val="single" w:sz="6" w:space="0" w:color="000000"/>
              <w:right w:val="single" w:sz="6" w:space="0" w:color="000000"/>
            </w:tcBorders>
          </w:tcPr>
          <w:p w14:paraId="4E8E87C8"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4CFBE19E"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0B3BB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995" w:type="dxa"/>
            <w:gridSpan w:val="2"/>
            <w:tcBorders>
              <w:top w:val="single" w:sz="6" w:space="0" w:color="000000"/>
              <w:left w:val="single" w:sz="6" w:space="0" w:color="000000"/>
              <w:bottom w:val="single" w:sz="6" w:space="0" w:color="000000"/>
              <w:right w:val="single" w:sz="6" w:space="0" w:color="000000"/>
            </w:tcBorders>
          </w:tcPr>
          <w:p w14:paraId="27FDF894"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09" w:type="dxa"/>
            <w:tcBorders>
              <w:top w:val="single" w:sz="4" w:space="0" w:color="auto"/>
              <w:left w:val="single" w:sz="4" w:space="0" w:color="auto"/>
              <w:bottom w:val="single" w:sz="4" w:space="0" w:color="auto"/>
            </w:tcBorders>
          </w:tcPr>
          <w:p w14:paraId="5536023B" w14:textId="77777777" w:rsidR="00134188" w:rsidRPr="003B71E0" w:rsidRDefault="003B71E0" w:rsidP="003B71E0">
            <w:pPr>
              <w:jc w:val="center"/>
              <w:rPr>
                <w:sz w:val="20"/>
                <w:szCs w:val="20"/>
              </w:rPr>
            </w:pPr>
            <w:r w:rsidRPr="003B71E0">
              <w:rPr>
                <w:sz w:val="20"/>
                <w:szCs w:val="20"/>
              </w:rPr>
              <w:t>5</w:t>
            </w:r>
          </w:p>
        </w:tc>
      </w:tr>
      <w:tr w:rsidR="000A1451" w:rsidRPr="003B71E0" w14:paraId="3296812C" w14:textId="77777777" w:rsidTr="00EE7655">
        <w:tc>
          <w:tcPr>
            <w:tcW w:w="708" w:type="dxa"/>
            <w:tcBorders>
              <w:top w:val="single" w:sz="6" w:space="0" w:color="000000"/>
              <w:left w:val="single" w:sz="6" w:space="0" w:color="000000"/>
              <w:bottom w:val="single" w:sz="6" w:space="0" w:color="000000"/>
              <w:right w:val="single" w:sz="6" w:space="0" w:color="000000"/>
            </w:tcBorders>
          </w:tcPr>
          <w:p w14:paraId="1CD15E8E" w14:textId="77777777" w:rsidR="000A1451" w:rsidRPr="003B71E0" w:rsidRDefault="000A1451" w:rsidP="003B71E0">
            <w:pPr>
              <w:pStyle w:val="naisc"/>
              <w:spacing w:before="0" w:after="0"/>
              <w:rPr>
                <w:sz w:val="20"/>
                <w:szCs w:val="20"/>
              </w:rPr>
            </w:pPr>
          </w:p>
        </w:tc>
        <w:tc>
          <w:tcPr>
            <w:tcW w:w="14284" w:type="dxa"/>
            <w:gridSpan w:val="6"/>
            <w:tcBorders>
              <w:top w:val="single" w:sz="6" w:space="0" w:color="000000"/>
              <w:left w:val="single" w:sz="6" w:space="0" w:color="000000"/>
              <w:bottom w:val="single" w:sz="6" w:space="0" w:color="000000"/>
            </w:tcBorders>
          </w:tcPr>
          <w:p w14:paraId="5B0FCCE2" w14:textId="77777777" w:rsidR="000A1451" w:rsidRDefault="000A1451" w:rsidP="000A1451">
            <w:pPr>
              <w:jc w:val="center"/>
              <w:rPr>
                <w:b/>
                <w:bCs/>
              </w:rPr>
            </w:pPr>
            <w:r w:rsidRPr="00991F33">
              <w:rPr>
                <w:b/>
                <w:bCs/>
              </w:rPr>
              <w:t>Ārlietu ministrija</w:t>
            </w:r>
          </w:p>
          <w:p w14:paraId="17A8677A" w14:textId="77777777" w:rsidR="000A1451" w:rsidRPr="003B71E0" w:rsidRDefault="000A1451" w:rsidP="003B71E0">
            <w:pPr>
              <w:jc w:val="center"/>
              <w:rPr>
                <w:sz w:val="20"/>
                <w:szCs w:val="20"/>
              </w:rPr>
            </w:pPr>
          </w:p>
        </w:tc>
      </w:tr>
      <w:tr w:rsidR="000A1451" w:rsidRPr="003B71E0" w14:paraId="15B86867" w14:textId="77777777" w:rsidTr="0000399E">
        <w:tc>
          <w:tcPr>
            <w:tcW w:w="708" w:type="dxa"/>
            <w:tcBorders>
              <w:top w:val="single" w:sz="6" w:space="0" w:color="000000"/>
              <w:left w:val="single" w:sz="6" w:space="0" w:color="000000"/>
              <w:bottom w:val="single" w:sz="6" w:space="0" w:color="000000"/>
              <w:right w:val="single" w:sz="6" w:space="0" w:color="000000"/>
            </w:tcBorders>
          </w:tcPr>
          <w:p w14:paraId="048D08B1" w14:textId="77777777" w:rsidR="000A1451" w:rsidRPr="003B71E0" w:rsidRDefault="000A1451" w:rsidP="000A1451">
            <w:pPr>
              <w:pStyle w:val="naisc"/>
              <w:spacing w:before="0" w:after="0"/>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14:paraId="319314D1" w14:textId="77777777" w:rsidR="000A1451" w:rsidRDefault="000A1451" w:rsidP="000A1451">
            <w:pPr>
              <w:pStyle w:val="naisc"/>
              <w:spacing w:before="0" w:after="0"/>
              <w:ind w:firstLine="720"/>
              <w:rPr>
                <w:sz w:val="20"/>
                <w:szCs w:val="20"/>
              </w:rPr>
            </w:pPr>
          </w:p>
        </w:tc>
        <w:tc>
          <w:tcPr>
            <w:tcW w:w="4394" w:type="dxa"/>
            <w:tcBorders>
              <w:left w:val="single" w:sz="6" w:space="0" w:color="000000"/>
              <w:bottom w:val="single" w:sz="4" w:space="0" w:color="auto"/>
              <w:right w:val="single" w:sz="6" w:space="0" w:color="000000"/>
            </w:tcBorders>
          </w:tcPr>
          <w:p w14:paraId="246FDCD6" w14:textId="77777777" w:rsidR="000A1451" w:rsidRPr="007F37D1" w:rsidRDefault="000A1451" w:rsidP="000A1451">
            <w:pPr>
              <w:pStyle w:val="naisc"/>
              <w:spacing w:before="0" w:after="0"/>
              <w:jc w:val="both"/>
              <w:rPr>
                <w:b/>
                <w:bCs/>
                <w:color w:val="212529"/>
                <w:shd w:val="clear" w:color="auto" w:fill="FFFFFF"/>
              </w:rPr>
            </w:pPr>
            <w:r w:rsidRPr="007F37D1">
              <w:rPr>
                <w:b/>
                <w:bCs/>
              </w:rPr>
              <w:t xml:space="preserve">2020.gada 30.novembra atzinums Nr. </w:t>
            </w:r>
            <w:r w:rsidRPr="007F37D1">
              <w:rPr>
                <w:b/>
                <w:bCs/>
                <w:color w:val="212529"/>
                <w:shd w:val="clear" w:color="auto" w:fill="FFFFFF"/>
              </w:rPr>
              <w:t>41-23822</w:t>
            </w:r>
          </w:p>
          <w:p w14:paraId="7277B0D7" w14:textId="77777777" w:rsidR="000A1451" w:rsidRPr="007F37D1" w:rsidRDefault="000A1451" w:rsidP="000A1451">
            <w:pPr>
              <w:pStyle w:val="naisc"/>
              <w:spacing w:before="0" w:after="0"/>
              <w:ind w:firstLine="720"/>
              <w:jc w:val="both"/>
              <w:rPr>
                <w:color w:val="212529"/>
                <w:shd w:val="clear" w:color="auto" w:fill="FFFFFF"/>
              </w:rPr>
            </w:pPr>
          </w:p>
          <w:p w14:paraId="74C823A9" w14:textId="77777777" w:rsidR="000A1451" w:rsidRPr="007F37D1" w:rsidRDefault="000A1451" w:rsidP="000A1451">
            <w:pPr>
              <w:jc w:val="both"/>
            </w:pPr>
            <w:r w:rsidRPr="007F37D1">
              <w:rPr>
                <w:iCs/>
              </w:rPr>
              <w:t xml:space="preserve">Ārlietu ministrijas ieskatā spēkā esošais regulējums attiecībā uz starptautisko līgumu apstiprināšanu nav piemērojams </w:t>
            </w:r>
            <w:r w:rsidRPr="007F37D1">
              <w:t xml:space="preserve">Pasaules Antidopinga aģentūras 2021. gada kodeksa (turpmāk – Kodekss) </w:t>
            </w:r>
            <w:r w:rsidRPr="007F37D1">
              <w:rPr>
                <w:iCs/>
              </w:rPr>
              <w:t xml:space="preserve">apstiprināšanai, kā arī pilnvarojuma izsniegšanai </w:t>
            </w:r>
            <w:r w:rsidRPr="007F37D1">
              <w:t>Latvijas Antidopinga birojam ar mērķi nodrošināt Kodeksa parakstīšanu</w:t>
            </w:r>
            <w:r w:rsidRPr="007F37D1">
              <w:rPr>
                <w:iCs/>
              </w:rPr>
              <w:t>.</w:t>
            </w:r>
          </w:p>
          <w:p w14:paraId="3D0CF877" w14:textId="77777777" w:rsidR="000A1451" w:rsidRPr="007F37D1" w:rsidRDefault="000A1451" w:rsidP="000A1451">
            <w:pPr>
              <w:pStyle w:val="BodyText"/>
              <w:widowControl/>
              <w:spacing w:after="0"/>
              <w:jc w:val="both"/>
              <w:rPr>
                <w:rFonts w:eastAsia="Trebuchet MS"/>
                <w:noProof/>
                <w:lang w:val="lv-LV"/>
              </w:rPr>
            </w:pPr>
            <w:r w:rsidRPr="007F37D1">
              <w:rPr>
                <w:rFonts w:eastAsia="Times New Roman"/>
                <w:iCs/>
                <w:lang w:val="lv-LV"/>
              </w:rPr>
              <w:t>Kodeksu izstrādāja Pasaules Antidopinga aģentūra – neatkarīgs, n</w:t>
            </w:r>
            <w:bookmarkStart w:id="0" w:name="_GoBack"/>
            <w:bookmarkEnd w:id="0"/>
            <w:r w:rsidRPr="007F37D1">
              <w:rPr>
                <w:rFonts w:eastAsia="Times New Roman"/>
                <w:iCs/>
                <w:lang w:val="lv-LV"/>
              </w:rPr>
              <w:t>evalstisks nodibinājums, kurš tika izveidots 1999. gadā, lai veicinātu un koordinētu cīņu pret dopinga lietošanu sportā starptautiskā līmenī. Ievērojot aģentūras statusu, v</w:t>
            </w:r>
            <w:r w:rsidRPr="007F37D1">
              <w:rPr>
                <w:lang w:val="lv-LV"/>
              </w:rPr>
              <w:t xml:space="preserve">aldības nevar pievienoties Kodeksam. Valsts apņemšanās ievērot Kodeksu izpaužas, parakstot 2003. gada 3. marta Kopenhāgenas deklarāciju pret dopingu sportā un ratificējot </w:t>
            </w:r>
            <w:r w:rsidRPr="007F37D1">
              <w:rPr>
                <w:rFonts w:eastAsia="Times New Roman"/>
                <w:iCs/>
                <w:lang w:val="lv-LV"/>
              </w:rPr>
              <w:t>2005. gada UNESCO konvenciju pret dopingu sportā</w:t>
            </w:r>
            <w:r w:rsidRPr="007F37D1">
              <w:rPr>
                <w:lang w:val="lv-LV"/>
              </w:rPr>
              <w:t xml:space="preserve">. </w:t>
            </w:r>
            <w:r w:rsidRPr="007F37D1">
              <w:rPr>
                <w:rFonts w:eastAsia="Times New Roman"/>
                <w:iCs/>
                <w:lang w:val="lv-LV"/>
              </w:rPr>
              <w:t>Abas šīs saistības Latvija ir izpildījusi.</w:t>
            </w:r>
          </w:p>
          <w:p w14:paraId="35A4C0A0" w14:textId="77777777" w:rsidR="000A1451" w:rsidRPr="007F37D1" w:rsidRDefault="000A1451" w:rsidP="000A1451">
            <w:pPr>
              <w:jc w:val="both"/>
              <w:rPr>
                <w:rFonts w:eastAsia="Trebuchet MS"/>
                <w:noProof/>
              </w:rPr>
            </w:pPr>
            <w:r w:rsidRPr="007F37D1">
              <w:rPr>
                <w:iCs/>
              </w:rPr>
              <w:lastRenderedPageBreak/>
              <w:t>Kodeksa 22. pants paredz, ka k</w:t>
            </w:r>
            <w:r w:rsidRPr="007F37D1">
              <w:t>atrai valdībai jāievieš tiesību akti, noteikumi, politikas nostādnes vai administratīvā prakse sadarbībai un informācijas apmaiņai ar antidopinga organizācijām, tajā skaitā, lai sodītu to amatpersonas par antidopinga noteikumu pārkāpumu.</w:t>
            </w:r>
            <w:r w:rsidRPr="007F37D1">
              <w:rPr>
                <w:iCs/>
              </w:rPr>
              <w:t xml:space="preserve"> Atbilstoši anotācijā norādītajam, l</w:t>
            </w:r>
            <w:r w:rsidRPr="007F37D1">
              <w:t xml:space="preserve">ai nodrošinātu pilnīgu Kodeksā noteikto prasību piemērošanu, ir paredzēts veikt grozījumus atsevišķos antidopinga jomas regulējošos tiesību aktos. </w:t>
            </w:r>
            <w:r w:rsidRPr="007F37D1">
              <w:rPr>
                <w:rFonts w:eastAsia="Trebuchet MS"/>
                <w:noProof/>
              </w:rPr>
              <w:t>Ņemot vērā minēto, uzskatām, ka Latvija jau ir izpildījusi Kodeksā paredzētās starptautiskās saistības, kā arī identificējusi veicāmos grozījumus nacionālajos tiesību aktos, lai panāktu Kodeksa normu piemērošanu.</w:t>
            </w:r>
          </w:p>
          <w:p w14:paraId="0C7E9A56" w14:textId="77777777" w:rsidR="000A1451" w:rsidRPr="007F37D1" w:rsidRDefault="000A1451" w:rsidP="000A1451">
            <w:pPr>
              <w:jc w:val="both"/>
            </w:pPr>
            <w:r w:rsidRPr="007F37D1">
              <w:rPr>
                <w:rFonts w:eastAsia="Trebuchet MS"/>
                <w:noProof/>
              </w:rPr>
              <w:t xml:space="preserve">Kodeksa </w:t>
            </w:r>
            <w:r w:rsidRPr="007F37D1">
              <w:t xml:space="preserve">23.1.1. pants uzsver, ka par tā parakstītājiem var būt valstu antidopinga organizācijas. Latvijā šo funkciju pilda Latvijas Antidopinga birojs, kurš saskaņā ar tā nolikumu un Sporta likumu nodrošina 2005. gada 19. oktobra Starptautiskajā konvencijā pret dopingu sportā un 1989. gada 16. novembra Eiropas Padomes Antidopinga konvencijā Nr. 135 un to papildinājumos minēto prasību izpildi. Minētās Konvencijas 3. pants atzīst Kodeksu par svarīgu instrumentu Konvencijā izvirzīto mērķu sasniegšanai un uzdod dalībvalstīm pieņemt attiecīgus pasākumus, kuri atbilst Kodeksa principiem. Līdz ar to varam secināt, ka, </w:t>
            </w:r>
            <w:r w:rsidRPr="007F37D1">
              <w:lastRenderedPageBreak/>
              <w:t>parakstot Kodeksu, Latvijas Antidopinga birojs īsteno tam uzticēto uzdevumu Konvencijas noteikumu ievērošanā.</w:t>
            </w:r>
          </w:p>
          <w:p w14:paraId="72925756" w14:textId="6FF39168" w:rsidR="000A1451" w:rsidRPr="003B71E0" w:rsidRDefault="000A1451" w:rsidP="000A1451">
            <w:pPr>
              <w:pStyle w:val="naisc"/>
              <w:spacing w:before="0" w:after="0"/>
              <w:ind w:firstLine="720"/>
              <w:jc w:val="both"/>
              <w:rPr>
                <w:sz w:val="20"/>
                <w:szCs w:val="20"/>
              </w:rPr>
            </w:pPr>
            <w:r w:rsidRPr="007F37D1">
              <w:rPr>
                <w:rFonts w:eastAsia="Trebuchet MS"/>
                <w:noProof/>
              </w:rPr>
              <w:t xml:space="preserve">Ievērojot minēto, Ārlietu ministrijas ieskatā Kodeksa papildus ieviešana ar Ministru kabineta noteikumiem nav nepieciešama. Turklāt uzskatām, ka </w:t>
            </w:r>
            <w:r w:rsidRPr="007F37D1">
              <w:t xml:space="preserve">Latvijas Antidopinga birojam nav nepieciešams Ministru kabineta pilnvarojums nodrošināt pievienošanos </w:t>
            </w:r>
            <w:r w:rsidRPr="007F37D1">
              <w:rPr>
                <w:rFonts w:eastAsia="Trebuchet MS"/>
                <w:noProof/>
              </w:rPr>
              <w:t xml:space="preserve">Kodeksam, jo Kodeksa parakstīšana ietilpst Antidopinga konvencijas prasību izpildē, kura birojam ir uzticēta saskaņā ar Sporta likumu un Latvijas Antidopinga biroja nolikumu. Lai nostiprinātu Kodeksa saistošo raksturu attiecībā uz Latvijas sportistiem un sporta profesionāliem, ierosinām, veicot izmaiņas Sporta likumā, noteikt arī Kodeksa juridisko statusu, kā arī uzdot </w:t>
            </w:r>
            <w:r w:rsidRPr="007F37D1">
              <w:t>Latvijas Antidopinga birojam nodrošināt Kodeksa izpildi.</w:t>
            </w:r>
          </w:p>
        </w:tc>
        <w:tc>
          <w:tcPr>
            <w:tcW w:w="3995" w:type="dxa"/>
            <w:gridSpan w:val="2"/>
            <w:tcBorders>
              <w:left w:val="single" w:sz="6" w:space="0" w:color="000000"/>
              <w:bottom w:val="single" w:sz="4" w:space="0" w:color="auto"/>
              <w:right w:val="single" w:sz="6" w:space="0" w:color="000000"/>
            </w:tcBorders>
          </w:tcPr>
          <w:p w14:paraId="0EC9C528" w14:textId="77777777" w:rsidR="000A1451" w:rsidRPr="001E2272" w:rsidRDefault="000A1451" w:rsidP="000A1451">
            <w:pPr>
              <w:pStyle w:val="naisc"/>
              <w:spacing w:before="0" w:after="0"/>
              <w:rPr>
                <w:b/>
                <w:bCs/>
              </w:rPr>
            </w:pPr>
            <w:r w:rsidRPr="001E2272">
              <w:rPr>
                <w:b/>
                <w:bCs/>
              </w:rPr>
              <w:lastRenderedPageBreak/>
              <w:t>Panākta vienošanās</w:t>
            </w:r>
          </w:p>
          <w:p w14:paraId="6D9D4361" w14:textId="77777777" w:rsidR="000A1451" w:rsidRPr="001E2272" w:rsidRDefault="000A1451" w:rsidP="000A1451">
            <w:pPr>
              <w:pStyle w:val="naisc"/>
              <w:spacing w:before="0" w:after="0"/>
              <w:jc w:val="both"/>
              <w:rPr>
                <w:b/>
                <w:bCs/>
              </w:rPr>
            </w:pPr>
          </w:p>
          <w:p w14:paraId="452ED4C0" w14:textId="0F00F252" w:rsidR="000A1451" w:rsidRPr="00901F16" w:rsidRDefault="000A1451" w:rsidP="000A1451">
            <w:pPr>
              <w:pStyle w:val="naisc"/>
              <w:spacing w:before="0" w:after="0"/>
              <w:jc w:val="both"/>
              <w:rPr>
                <w:color w:val="212529"/>
                <w:shd w:val="clear" w:color="auto" w:fill="FFFFFF"/>
              </w:rPr>
            </w:pPr>
            <w:r w:rsidRPr="001E2272">
              <w:rPr>
                <w:b/>
                <w:bCs/>
                <w:color w:val="212529"/>
                <w:shd w:val="clear" w:color="auto" w:fill="FFFFFF"/>
              </w:rPr>
              <w:t xml:space="preserve"> </w:t>
            </w:r>
            <w:r w:rsidRPr="00901F16">
              <w:rPr>
                <w:color w:val="212529"/>
                <w:shd w:val="clear" w:color="auto" w:fill="FFFFFF"/>
              </w:rPr>
              <w:t xml:space="preserve">Veselības ministrija nav ņēmusi vērā Ārlietu ministrijas iebildumu pret Latvijā Pasaules </w:t>
            </w:r>
            <w:r w:rsidR="00DE0E2A" w:rsidRPr="00901F16">
              <w:rPr>
                <w:color w:val="212529"/>
                <w:shd w:val="clear" w:color="auto" w:fill="FFFFFF"/>
              </w:rPr>
              <w:t>A</w:t>
            </w:r>
            <w:r w:rsidRPr="00901F16">
              <w:rPr>
                <w:color w:val="212529"/>
                <w:shd w:val="clear" w:color="auto" w:fill="FFFFFF"/>
              </w:rPr>
              <w:t>ntidopinga aģentūras Kodeksa</w:t>
            </w:r>
            <w:r w:rsidR="00DE0E2A" w:rsidRPr="00901F16">
              <w:rPr>
                <w:color w:val="212529"/>
                <w:shd w:val="clear" w:color="auto" w:fill="FFFFFF"/>
              </w:rPr>
              <w:t xml:space="preserve"> (turpmāk – Kodekss)</w:t>
            </w:r>
            <w:r w:rsidRPr="00901F16">
              <w:rPr>
                <w:color w:val="212529"/>
                <w:shd w:val="clear" w:color="auto" w:fill="FFFFFF"/>
              </w:rPr>
              <w:t xml:space="preserve"> apstiprināšanu ar Ministru kabineta noteikumiem. Vienlaikus tika panākta vienošanās, ka spēkā esošs regulējums, kas noteic starptautisko līgumu apstiprināšanas kārtību, nav piemērojams attiecībā uz saistībām, kas izriet no Latvijas dalības starptautiskajās organizācijas. Par nepieciešamību izveidot kārtību, kādā Latvijas tiesību sistēm</w:t>
            </w:r>
            <w:r w:rsidR="00E70F5F" w:rsidRPr="00901F16">
              <w:rPr>
                <w:color w:val="212529"/>
                <w:shd w:val="clear" w:color="auto" w:fill="FFFFFF"/>
              </w:rPr>
              <w:t>ā</w:t>
            </w:r>
            <w:r w:rsidRPr="00901F16">
              <w:rPr>
                <w:color w:val="212529"/>
                <w:shd w:val="clear" w:color="auto" w:fill="FFFFFF"/>
              </w:rPr>
              <w:t xml:space="preserve"> tiek ieviesti dažādi starptautisko organizāciju izstrādātie dokumenti  tiks rīkota Valsts kancelejas un ministriju Juridisko dienestu sanāksme 2021.gada sākumā.</w:t>
            </w:r>
          </w:p>
          <w:p w14:paraId="732D6E08" w14:textId="0AF9E358" w:rsidR="000A1451" w:rsidRPr="003B71E0" w:rsidRDefault="000A1451" w:rsidP="00377135">
            <w:pPr>
              <w:pStyle w:val="naisc"/>
              <w:spacing w:before="0" w:after="0"/>
              <w:jc w:val="both"/>
              <w:rPr>
                <w:sz w:val="20"/>
                <w:szCs w:val="20"/>
              </w:rPr>
            </w:pPr>
            <w:r w:rsidRPr="001E2272">
              <w:t xml:space="preserve">Papildināts noteikumu projekta anotācijas I sadaļas 2.punkts. Vēršam uzmanību, ka </w:t>
            </w:r>
            <w:r w:rsidRPr="001E2272">
              <w:rPr>
                <w:color w:val="0D0D0D" w:themeColor="text1" w:themeTint="F2"/>
              </w:rPr>
              <w:t xml:space="preserve">Latvija ir izvēlējusies Pasaules Antidopinga aģentūras </w:t>
            </w:r>
            <w:r w:rsidRPr="001E2272">
              <w:rPr>
                <w:color w:val="0D0D0D" w:themeColor="text1" w:themeTint="F2"/>
              </w:rPr>
              <w:lastRenderedPageBreak/>
              <w:t xml:space="preserve">Kodeksu uzskatīt par juridiski saistošu, to apstiprinot ar ārēju normatīvo aktu, par to panākot kompromisu starp iestādēm, diskutējot par antidopinga sistēmu Latvijā un nonākot pie secinājuma, ka šāds risinājums atbilst labāk arī reālajai situācijai. Vienlaikus norādām, ka Ārlietu ministrija  saskaņoja </w:t>
            </w:r>
            <w:r w:rsidRPr="001E2272">
              <w:rPr>
                <w:color w:val="414142"/>
              </w:rPr>
              <w:t xml:space="preserve">2019.gada 24.septembrī pieņemtos Ministru kabineta  noteikumus Nr.447 “Par Pasaules Antidopinga aģentūras 2015.gada Pasaules Antidopinga kodeksa pieņemšanu”, kas arī līdzīgi kā šis noteikumu projekts paredzēja pieņemt 2015.gada Kodeksu ar Ministru kabineta noteikumiem. Ņemot vērā jau īstenoto praksi, kā arī to, ka par šādu antidopinga jomas regulējuma variantu tika panākts kompromiss apstiprinot arī iepriekšējo 2015.gada Kodeksu, arī 2021.gada Kodeksa apstiprināšanai tika izvēlēts tāds pats pieņemšanas process. </w:t>
            </w:r>
            <w:r w:rsidRPr="001E2272">
              <w:rPr>
                <w:color w:val="000000"/>
              </w:rPr>
              <w:br/>
            </w:r>
            <w:r w:rsidRPr="001E2272">
              <w:t xml:space="preserve"> Kodekss paredz normas, kas ir tieši piemērojamas valstīm, kuras ir pievienojušās tam un nodrošina antidopinga programmu un jomas uzraudzību un kontroli. Līdz ar to Kodeksam nav tikai ieteikuma raksturs. </w:t>
            </w:r>
            <w:r w:rsidRPr="001E2272">
              <w:rPr>
                <w:color w:val="000000"/>
              </w:rPr>
              <w:t xml:space="preserve">Viens no Kodeksa preambulā ietvertajiem Kodeksa mērķiem ir nodrošināt, ka visas ieinteresētās puses piekrīt darboties atbilstoši Kodeksam </w:t>
            </w:r>
            <w:r w:rsidRPr="001E2272">
              <w:rPr>
                <w:color w:val="000000"/>
              </w:rPr>
              <w:lastRenderedPageBreak/>
              <w:t xml:space="preserve">un Starptautiskajiem standartiem un, ka jebkādi veiktie pasākumi antidopinga programmas ietvaros tiek veikti atbilstoši Kodeksam, Starptautiskajiem standartiem, proporcionalitātes principiem un cilvēktiesībām. Līdz ar to, arī Kodeksā ir noteikta daļa pantu, kuru pārņemšana nacionālā līmenī ir obligāta, kas tikai norāda uz to, ka pievienošanās Kodeksa principiem caur </w:t>
            </w:r>
            <w:r w:rsidRPr="001E2272">
              <w:rPr>
                <w:color w:val="0D0D0D" w:themeColor="text1" w:themeTint="F2"/>
              </w:rPr>
              <w:t>2005. gada 19. oktobra UNESCO Starptautiskās konvencijas pret dopingu sportā (turpmāk –  UNESCO Konvencija)</w:t>
            </w:r>
            <w:r w:rsidRPr="001E2272">
              <w:rPr>
                <w:color w:val="000000"/>
              </w:rPr>
              <w:t xml:space="preserve"> ratificēšanu nav pietiekama, lai noteiktu, ka valsts antidopinga sistēma ir atbilstoša Kodeksa prasībām. UNESCO Konvencijā tiek noteikts, ka valstīm ir jāpievienojas Kodeksa principiem un ka pats Kodekss ir tikai Konvencijas papildinājums un nerada saistošu spēku un tiešu piemērojamību. Tāpēc arī Pasaules Antidopinga aģentūra ir izstrādājusi </w:t>
            </w:r>
            <w:r w:rsidRPr="001E2272">
              <w:rPr>
                <w:i/>
                <w:iCs/>
                <w:color w:val="000000"/>
              </w:rPr>
              <w:t>"Model rules</w:t>
            </w:r>
            <w:r w:rsidRPr="001E2272">
              <w:rPr>
                <w:color w:val="000000"/>
              </w:rPr>
              <w:t xml:space="preserve">", kuri praktiski ir Kodeksa sagatave pieņemšanai nacionālajā regulējumā, kur tiek norādīti Kodeksa panti, kuri nav grozāmi, kā arī panti, kuros katrai valstij tiek dota iespēja noteikt nedaudz savādāku regulējumu nekā to paredz Kodekss. Brīdī, kad tika konstatēts, ka </w:t>
            </w:r>
            <w:r w:rsidRPr="001E2272">
              <w:rPr>
                <w:i/>
                <w:iCs/>
                <w:color w:val="000000"/>
              </w:rPr>
              <w:t>"Model rules"</w:t>
            </w:r>
            <w:r w:rsidRPr="001E2272">
              <w:rPr>
                <w:color w:val="000000"/>
              </w:rPr>
              <w:t xml:space="preserve"> neatbilst Latvijas juridiskajai sistēmai un šāda veida </w:t>
            </w:r>
            <w:r w:rsidRPr="001E2272">
              <w:rPr>
                <w:color w:val="000000"/>
              </w:rPr>
              <w:lastRenderedPageBreak/>
              <w:t>dokumentu nacionālajā tiesību sistēmā Latvijā nav iespējams pieņemt, tika meklēti un izvērtēti citi iespējamie varianti, kā nodrošināt būtisku Kodeksa prasību, lai atzītu Latvijas antidopinga sistēmu par Kodeksam atbilstošu. Rezultātā tika pieņemts lēmums par Nacionālo antidopinga noteikumu izstrādi un paša Kodeksa apstiprināšanu ar Ministru kabineta noteikumiem, lai dotu tiešu piemērojamību Kodeksam un spētu nodrošināt atsauces uz Kodeksa pantiem nevis tos pārrakstītu Nacionālajos antidopinga noteikumos. Vienlaikus arī Kodeksa Preambula uzliek par pienākumu ievērot Starptautiskos standartus un tehniskos dokumentus. UNESCO konvencijai pielikumos ir pievienoti </w:t>
            </w:r>
            <w:r w:rsidRPr="001E2272">
              <w:rPr>
                <w:color w:val="414142"/>
              </w:rPr>
              <w:t>Terapeitiskās lietošanas izņēmumu noteikšanas standarti </w:t>
            </w:r>
            <w:r w:rsidRPr="001E2272">
              <w:rPr>
                <w:color w:val="000000"/>
              </w:rPr>
              <w:t xml:space="preserve">un Starptautiskais laboratorijas standarts un kā papildinājums ir pievienots Starptautiskais pārbaužu standarts, bet Pasaules Antidopinga aģentūra ir pieņēmusi vēl vairākus Starptautiskos standartus, kā arī tehniskos dokumentus, kuru ievērošana ir obligāta, bet UNESCO konvencija to neparedz, kā piemēram Starptautiskais rezultātu pārvaldības standarts, Starptautiskais izglītības standarts, Starptautiskais privātuma un personas </w:t>
            </w:r>
            <w:r w:rsidRPr="001E2272">
              <w:rPr>
                <w:color w:val="000000"/>
              </w:rPr>
              <w:lastRenderedPageBreak/>
              <w:t>datu aizsardzības standarts, Parakstītāju starptautiskais kodeksa ievērošanas standarts</w:t>
            </w:r>
            <w:r w:rsidRPr="001E2272">
              <w:rPr>
                <w:color w:val="000000"/>
              </w:rPr>
              <w:footnoteReference w:id="1"/>
            </w:r>
            <w:r w:rsidRPr="001E2272">
              <w:rPr>
                <w:color w:val="000000"/>
              </w:rPr>
              <w:t xml:space="preserve"> u.c. Līdz ar to, nav konstatējams, ka ar UNESCO konvencijas ratificēšanu Latvija ir izpildījusi pilnībā visas prasības, kuras saistītas ar antidopinga jomu, tādējādi ir nepieciešamība Kodeksu pieņemt Ministru kabinetā, lai nodrošinātu tā piemērojamību.</w:t>
            </w:r>
          </w:p>
        </w:tc>
        <w:tc>
          <w:tcPr>
            <w:tcW w:w="2809" w:type="dxa"/>
            <w:tcBorders>
              <w:top w:val="single" w:sz="4" w:space="0" w:color="auto"/>
              <w:left w:val="single" w:sz="4" w:space="0" w:color="auto"/>
              <w:bottom w:val="single" w:sz="4" w:space="0" w:color="auto"/>
            </w:tcBorders>
          </w:tcPr>
          <w:p w14:paraId="30E32969" w14:textId="77777777" w:rsidR="000A1451" w:rsidRPr="003B71E0" w:rsidRDefault="000A1451" w:rsidP="000A1451">
            <w:pPr>
              <w:jc w:val="center"/>
              <w:rPr>
                <w:sz w:val="20"/>
                <w:szCs w:val="20"/>
              </w:rPr>
            </w:pPr>
          </w:p>
        </w:tc>
      </w:tr>
      <w:tr w:rsidR="002D198B" w:rsidRPr="00712B66" w14:paraId="0CD32226" w14:textId="77777777" w:rsidTr="006B18C9">
        <w:tc>
          <w:tcPr>
            <w:tcW w:w="14992" w:type="dxa"/>
            <w:gridSpan w:val="7"/>
            <w:tcBorders>
              <w:left w:val="single" w:sz="6" w:space="0" w:color="000000"/>
              <w:bottom w:val="single" w:sz="4" w:space="0" w:color="auto"/>
            </w:tcBorders>
          </w:tcPr>
          <w:p w14:paraId="69B79EE0" w14:textId="77777777" w:rsidR="002D198B" w:rsidRDefault="002D198B" w:rsidP="00991F33">
            <w:pPr>
              <w:jc w:val="center"/>
              <w:rPr>
                <w:b/>
              </w:rPr>
            </w:pPr>
            <w:r w:rsidRPr="00991F33">
              <w:rPr>
                <w:b/>
              </w:rPr>
              <w:lastRenderedPageBreak/>
              <w:t>Tieslietu ministrija</w:t>
            </w:r>
          </w:p>
          <w:p w14:paraId="727BA76E" w14:textId="64D8BC2B" w:rsidR="00991F33" w:rsidRPr="00991F33" w:rsidRDefault="00991F33" w:rsidP="00991F33">
            <w:pPr>
              <w:jc w:val="center"/>
              <w:rPr>
                <w:b/>
              </w:rPr>
            </w:pPr>
          </w:p>
        </w:tc>
      </w:tr>
      <w:tr w:rsidR="003B71E0" w:rsidRPr="00712B66" w14:paraId="4EE2A14B" w14:textId="77777777" w:rsidTr="00B24EA7">
        <w:tc>
          <w:tcPr>
            <w:tcW w:w="708" w:type="dxa"/>
            <w:tcBorders>
              <w:left w:val="single" w:sz="6" w:space="0" w:color="000000"/>
              <w:bottom w:val="single" w:sz="4" w:space="0" w:color="auto"/>
              <w:right w:val="single" w:sz="6" w:space="0" w:color="000000"/>
            </w:tcBorders>
          </w:tcPr>
          <w:p w14:paraId="1AD1B099" w14:textId="77777777" w:rsidR="002D198B" w:rsidRDefault="002D198B" w:rsidP="002D198B">
            <w:pPr>
              <w:pStyle w:val="naisc"/>
              <w:numPr>
                <w:ilvl w:val="0"/>
                <w:numId w:val="7"/>
              </w:numPr>
              <w:spacing w:before="0" w:after="0"/>
            </w:pPr>
          </w:p>
          <w:p w14:paraId="7970982C" w14:textId="77777777" w:rsidR="003B71E0" w:rsidRPr="002D198B" w:rsidRDefault="003B71E0" w:rsidP="002D198B">
            <w:pPr>
              <w:numPr>
                <w:ilvl w:val="0"/>
                <w:numId w:val="9"/>
              </w:numPr>
            </w:pPr>
          </w:p>
        </w:tc>
        <w:tc>
          <w:tcPr>
            <w:tcW w:w="3086" w:type="dxa"/>
            <w:gridSpan w:val="2"/>
            <w:tcBorders>
              <w:left w:val="single" w:sz="6" w:space="0" w:color="000000"/>
              <w:bottom w:val="single" w:sz="4" w:space="0" w:color="auto"/>
              <w:right w:val="single" w:sz="6" w:space="0" w:color="000000"/>
            </w:tcBorders>
          </w:tcPr>
          <w:p w14:paraId="6F8AD1D5" w14:textId="44A996BC" w:rsidR="003B71E0" w:rsidRPr="00712B66" w:rsidRDefault="00D10957" w:rsidP="00D10957">
            <w:pPr>
              <w:pStyle w:val="naisc"/>
              <w:spacing w:before="0" w:after="0"/>
              <w:jc w:val="left"/>
            </w:pPr>
            <w:r>
              <w:t>Noteikumu projekta anotācija.</w:t>
            </w:r>
          </w:p>
        </w:tc>
        <w:tc>
          <w:tcPr>
            <w:tcW w:w="4394" w:type="dxa"/>
            <w:tcBorders>
              <w:left w:val="single" w:sz="6" w:space="0" w:color="000000"/>
              <w:bottom w:val="single" w:sz="4" w:space="0" w:color="auto"/>
              <w:right w:val="single" w:sz="6" w:space="0" w:color="000000"/>
            </w:tcBorders>
          </w:tcPr>
          <w:p w14:paraId="3BA0D057" w14:textId="4DFE0E65" w:rsidR="002D198B" w:rsidRPr="00991F33" w:rsidRDefault="002D198B" w:rsidP="00991F33">
            <w:pPr>
              <w:pStyle w:val="naisc"/>
              <w:spacing w:before="0" w:after="0"/>
              <w:rPr>
                <w:b/>
              </w:rPr>
            </w:pPr>
            <w:r w:rsidRPr="00991F33">
              <w:rPr>
                <w:b/>
              </w:rPr>
              <w:t>20</w:t>
            </w:r>
            <w:r w:rsidR="00991F33" w:rsidRPr="00991F33">
              <w:rPr>
                <w:b/>
              </w:rPr>
              <w:t>20.</w:t>
            </w:r>
            <w:r w:rsidRPr="00991F33">
              <w:rPr>
                <w:b/>
              </w:rPr>
              <w:t xml:space="preserve">gada </w:t>
            </w:r>
            <w:r w:rsidR="00991F33" w:rsidRPr="00991F33">
              <w:rPr>
                <w:b/>
              </w:rPr>
              <w:t>30</w:t>
            </w:r>
            <w:r w:rsidRPr="00991F33">
              <w:rPr>
                <w:b/>
              </w:rPr>
              <w:t>.</w:t>
            </w:r>
            <w:r w:rsidR="00991F33" w:rsidRPr="00991F33">
              <w:rPr>
                <w:b/>
              </w:rPr>
              <w:t>decembra</w:t>
            </w:r>
            <w:r w:rsidRPr="00991F33">
              <w:rPr>
                <w:b/>
              </w:rPr>
              <w:t xml:space="preserve"> atzinums Nr. </w:t>
            </w:r>
            <w:r w:rsidR="00991F33" w:rsidRPr="00991F33">
              <w:rPr>
                <w:b/>
              </w:rPr>
              <w:t>01-08/6081</w:t>
            </w:r>
          </w:p>
          <w:p w14:paraId="2B1C64CD" w14:textId="77777777" w:rsidR="00991F33" w:rsidRPr="00991F33" w:rsidRDefault="00991F33" w:rsidP="00991F33">
            <w:pPr>
              <w:ind w:right="12"/>
              <w:contextualSpacing/>
              <w:jc w:val="both"/>
              <w:rPr>
                <w:color w:val="0D0D0D" w:themeColor="text1" w:themeTint="F2"/>
              </w:rPr>
            </w:pPr>
            <w:r w:rsidRPr="00991F33">
              <w:rPr>
                <w:color w:val="0D0D0D" w:themeColor="text1" w:themeTint="F2"/>
              </w:rPr>
              <w:t>1. Norādām, ka saskaņā ar 2005. gada 19. oktobra Starptautisko konvenciju pret dopingu sportā (turpmāk – Konvencija) 4. panta 2. punktu “kodekss un jaunākās 2. un 3.</w:t>
            </w:r>
            <w:r w:rsidRPr="00991F33">
              <w:t> </w:t>
            </w:r>
            <w:r w:rsidRPr="00991F33">
              <w:rPr>
                <w:color w:val="0D0D0D" w:themeColor="text1" w:themeTint="F2"/>
              </w:rPr>
              <w:t xml:space="preserve">papildinājuma redakcijas pievienotas informatīviem nolūkiem un nav šīs Konvencijas neatņemamas sastāvdaļas. Papildinājumi kā tādi </w:t>
            </w:r>
            <w:r w:rsidRPr="00991F33">
              <w:rPr>
                <w:color w:val="0D0D0D" w:themeColor="text1" w:themeTint="F2"/>
                <w:u w:val="single"/>
              </w:rPr>
              <w:t>nerada nekādas starptautisko tiesību saistības Dalībvalstīm”</w:t>
            </w:r>
            <w:r w:rsidRPr="00991F33">
              <w:rPr>
                <w:color w:val="0D0D0D" w:themeColor="text1" w:themeTint="F2"/>
              </w:rPr>
              <w:t xml:space="preserve">. Apzināmies, ka atbilstoši iepriekš panāktiem kompromisiem starp iestādēm, kā arī atbilstoši reālajai situācijai Latvija ir izvēlējusies Pasaules Antidopinga aģentūras 2021. gada Pasaules Antidopinga kodeksu (turpmāk – Kodekss) uzskatīt par juridiski saistošu, to apstiprinot ar ārēju normatīvo aktu, tomēr lūdzam projekta </w:t>
            </w:r>
            <w:r w:rsidRPr="00991F33">
              <w:rPr>
                <w:color w:val="0D0D0D" w:themeColor="text1" w:themeTint="F2"/>
              </w:rPr>
              <w:lastRenderedPageBreak/>
              <w:t>anotācijā izvērsti skaidrot šādas situācijas nepieciešamību un pamatojumu, lai nerastos nekādas šaubas par Kodeksa juridisko dabu.</w:t>
            </w:r>
          </w:p>
          <w:p w14:paraId="23656C1B" w14:textId="561189B2" w:rsidR="003B71E0" w:rsidRPr="00991F33" w:rsidRDefault="003B71E0" w:rsidP="00991F33">
            <w:pPr>
              <w:pStyle w:val="naisc"/>
              <w:spacing w:before="0" w:after="0"/>
              <w:jc w:val="both"/>
            </w:pPr>
          </w:p>
        </w:tc>
        <w:tc>
          <w:tcPr>
            <w:tcW w:w="3995" w:type="dxa"/>
            <w:gridSpan w:val="2"/>
            <w:tcBorders>
              <w:left w:val="single" w:sz="6" w:space="0" w:color="000000"/>
              <w:bottom w:val="single" w:sz="4" w:space="0" w:color="auto"/>
              <w:right w:val="single" w:sz="6" w:space="0" w:color="000000"/>
            </w:tcBorders>
          </w:tcPr>
          <w:p w14:paraId="04F0FAC4" w14:textId="77777777" w:rsidR="003B71E0" w:rsidRPr="00991F33" w:rsidRDefault="00C075E9" w:rsidP="003B71E0">
            <w:pPr>
              <w:pStyle w:val="naisc"/>
              <w:spacing w:before="0" w:after="0"/>
              <w:ind w:firstLine="720"/>
              <w:rPr>
                <w:b/>
              </w:rPr>
            </w:pPr>
            <w:r w:rsidRPr="00991F33">
              <w:rPr>
                <w:b/>
              </w:rPr>
              <w:lastRenderedPageBreak/>
              <w:t>Ņemts vērā</w:t>
            </w:r>
          </w:p>
          <w:p w14:paraId="2BD0D219" w14:textId="77777777" w:rsidR="00C075E9" w:rsidRPr="00991F33" w:rsidRDefault="00C075E9" w:rsidP="003B71E0">
            <w:pPr>
              <w:pStyle w:val="naisc"/>
              <w:spacing w:before="0" w:after="0"/>
              <w:ind w:firstLine="720"/>
            </w:pPr>
          </w:p>
          <w:p w14:paraId="2CB9BDBF" w14:textId="226984EC" w:rsidR="00A64134" w:rsidRPr="00A64134" w:rsidRDefault="00991F33" w:rsidP="00A64134">
            <w:pPr>
              <w:jc w:val="both"/>
              <w:rPr>
                <w:iCs/>
              </w:rPr>
            </w:pPr>
            <w:r>
              <w:t>Papildināt</w:t>
            </w:r>
            <w:r w:rsidR="00142E89">
              <w:t>s</w:t>
            </w:r>
            <w:r>
              <w:t xml:space="preserve"> noteikumu projekta anotācija I sadaļas 2.punkts. </w:t>
            </w:r>
            <w:r w:rsidR="00750D33" w:rsidRPr="00991F33">
              <w:t xml:space="preserve">Pasaules Antidopinga aģentūras pieņemtais </w:t>
            </w:r>
            <w:r w:rsidR="00A64134">
              <w:t>K</w:t>
            </w:r>
            <w:r w:rsidR="00750D33" w:rsidRPr="00991F33">
              <w:t>odekss paredz normas, kas ir tieši piemērojamas valstīm, kuras ir pievienojušās tam un nodrošina antidopinga</w:t>
            </w:r>
            <w:r w:rsidR="00A64134">
              <w:t xml:space="preserve"> programmu un</w:t>
            </w:r>
            <w:r w:rsidR="00750D33" w:rsidRPr="00991F33">
              <w:t xml:space="preserve"> jomas uzraudzību un kontroli, piemēram, ir noteikta dopinga pārbaužu veikšanas kārtība, sankcijas sportistiem un sporta darbiniekiem. Līdz ar to </w:t>
            </w:r>
            <w:r w:rsidR="00A64134">
              <w:t>K</w:t>
            </w:r>
            <w:r w:rsidR="00750D33" w:rsidRPr="00991F33">
              <w:t xml:space="preserve">odeksam nav tikai ieteikuma raksturs. Pasaules Antidopinga aģentūra strikti vērtē valstis attiecībā uz pieņemtā </w:t>
            </w:r>
            <w:r w:rsidR="00A64134">
              <w:t>K</w:t>
            </w:r>
            <w:r w:rsidR="00750D33" w:rsidRPr="00991F33">
              <w:t xml:space="preserve">odeksa pārņemšanu un ieviešanu likumdošanā un praksē. </w:t>
            </w:r>
            <w:r w:rsidR="00590C44">
              <w:rPr>
                <w:iCs/>
              </w:rPr>
              <w:t xml:space="preserve"> </w:t>
            </w:r>
            <w:r w:rsidR="00750D33" w:rsidRPr="00991F33">
              <w:rPr>
                <w:iCs/>
              </w:rPr>
              <w:t>Norādām, ka sportisti, sporta organizācijas</w:t>
            </w:r>
            <w:r w:rsidR="00172E95" w:rsidRPr="00991F33">
              <w:rPr>
                <w:iCs/>
              </w:rPr>
              <w:t xml:space="preserve"> (gan nacionāla, </w:t>
            </w:r>
            <w:r w:rsidR="00172E95" w:rsidRPr="00991F33">
              <w:rPr>
                <w:iCs/>
              </w:rPr>
              <w:lastRenderedPageBreak/>
              <w:t>gan starptautiska līmeņa)</w:t>
            </w:r>
            <w:r w:rsidR="00750D33" w:rsidRPr="00991F33">
              <w:rPr>
                <w:iCs/>
              </w:rPr>
              <w:t xml:space="preserve"> un Birojs ikdienas darbā, tostarp dopinga pārbaužu veikšanā, lietas izskatīšanā un sankciju piemērošanā, izmanto </w:t>
            </w:r>
            <w:r w:rsidR="00590C44">
              <w:rPr>
                <w:iCs/>
              </w:rPr>
              <w:t>K</w:t>
            </w:r>
            <w:r w:rsidR="00750D33" w:rsidRPr="00991F33">
              <w:rPr>
                <w:iCs/>
              </w:rPr>
              <w:t xml:space="preserve">odeksu. </w:t>
            </w:r>
            <w:r w:rsidR="00590C44">
              <w:t xml:space="preserve">Vēršam uzmanību, ka valstīm </w:t>
            </w:r>
            <w:r w:rsidR="00A64134">
              <w:t xml:space="preserve">ir jāievieš tiesību akti un noteikumi, piemēram, Nacionālie Antidopinga noteikumi, taču tie atsaucas uz konkrētiem Kodeksa punktiem, </w:t>
            </w:r>
            <w:r w:rsidR="00590C44">
              <w:t xml:space="preserve">un ja pats </w:t>
            </w:r>
            <w:r w:rsidR="00A64134">
              <w:t>Kodeks</w:t>
            </w:r>
            <w:r w:rsidR="00590C44">
              <w:t>s nebūs</w:t>
            </w:r>
            <w:r w:rsidR="00914A92">
              <w:t xml:space="preserve"> </w:t>
            </w:r>
            <w:r w:rsidR="00A64134">
              <w:t>juridiski saistoš</w:t>
            </w:r>
            <w:r w:rsidR="00914A92">
              <w:t>s</w:t>
            </w:r>
            <w:r w:rsidR="00A64134">
              <w:t xml:space="preserve">, tad </w:t>
            </w:r>
            <w:r w:rsidR="00BC1764">
              <w:t>nebūs iespēja piemērot minētos pantus,</w:t>
            </w:r>
            <w:r w:rsidR="00A64134">
              <w:t xml:space="preserve"> jo atstājot Kodeksu</w:t>
            </w:r>
            <w:r w:rsidR="00BC1764">
              <w:t xml:space="preserve"> tikai</w:t>
            </w:r>
            <w:r w:rsidR="00A64134">
              <w:t xml:space="preserve"> kā </w:t>
            </w:r>
            <w:r w:rsidR="00053B9A">
              <w:t xml:space="preserve">UNESCO </w:t>
            </w:r>
            <w:r w:rsidR="00A64134">
              <w:t>Konvencijas papildinājumu, tas nevar būt saistošs dalībvalstīm, taču</w:t>
            </w:r>
            <w:r w:rsidR="00BC1764">
              <w:t xml:space="preserve"> ap</w:t>
            </w:r>
            <w:r w:rsidR="00A64134">
              <w:t xml:space="preserve">stiprinot </w:t>
            </w:r>
            <w:r w:rsidR="00BC1764">
              <w:t>Kodeksu ar normatīvo aktu</w:t>
            </w:r>
            <w:r w:rsidR="00A64134">
              <w:t>, tas tāds kļūst.</w:t>
            </w:r>
            <w:r w:rsidR="00D154A9" w:rsidRPr="001E2272">
              <w:rPr>
                <w:color w:val="000000"/>
              </w:rPr>
              <w:t xml:space="preserve"> </w:t>
            </w:r>
          </w:p>
          <w:p w14:paraId="5565F0B6" w14:textId="77777777" w:rsidR="00C075E9" w:rsidRPr="00991F33" w:rsidRDefault="00C075E9" w:rsidP="00C075E9">
            <w:pPr>
              <w:pStyle w:val="naisc"/>
              <w:spacing w:before="0" w:after="0"/>
              <w:jc w:val="left"/>
            </w:pPr>
          </w:p>
        </w:tc>
        <w:tc>
          <w:tcPr>
            <w:tcW w:w="2809" w:type="dxa"/>
            <w:tcBorders>
              <w:top w:val="single" w:sz="4" w:space="0" w:color="auto"/>
              <w:left w:val="single" w:sz="4" w:space="0" w:color="auto"/>
              <w:bottom w:val="single" w:sz="4" w:space="0" w:color="auto"/>
            </w:tcBorders>
          </w:tcPr>
          <w:p w14:paraId="42D05F3E" w14:textId="77777777" w:rsidR="003B71E0" w:rsidRPr="00712B66" w:rsidRDefault="00750D33" w:rsidP="00750D33">
            <w:pPr>
              <w:jc w:val="both"/>
            </w:pPr>
            <w:r w:rsidRPr="00991F33">
              <w:lastRenderedPageBreak/>
              <w:t>Papildināts noteikumu projekta anotācijas I sadaļas 2.punkts.</w:t>
            </w:r>
          </w:p>
        </w:tc>
      </w:tr>
      <w:tr w:rsidR="00D10957" w:rsidRPr="00991F33" w14:paraId="5CA8E2C7" w14:textId="77777777" w:rsidTr="00B24EA7">
        <w:tc>
          <w:tcPr>
            <w:tcW w:w="708" w:type="dxa"/>
            <w:tcBorders>
              <w:left w:val="single" w:sz="6" w:space="0" w:color="000000"/>
              <w:bottom w:val="single" w:sz="4" w:space="0" w:color="auto"/>
              <w:right w:val="single" w:sz="6" w:space="0" w:color="000000"/>
            </w:tcBorders>
          </w:tcPr>
          <w:p w14:paraId="675296EE" w14:textId="77777777" w:rsidR="00D10957" w:rsidRPr="00991F33" w:rsidRDefault="00D10957" w:rsidP="00D10957">
            <w:pPr>
              <w:pStyle w:val="naisc"/>
              <w:spacing w:before="0" w:after="0"/>
              <w:ind w:left="720"/>
              <w:jc w:val="both"/>
            </w:pPr>
          </w:p>
          <w:p w14:paraId="66751CBF" w14:textId="77777777" w:rsidR="00D10957" w:rsidRPr="00991F33" w:rsidRDefault="00D10957" w:rsidP="00D10957">
            <w:pPr>
              <w:jc w:val="both"/>
            </w:pPr>
            <w:r w:rsidRPr="00991F33">
              <w:t>2.</w:t>
            </w:r>
          </w:p>
        </w:tc>
        <w:tc>
          <w:tcPr>
            <w:tcW w:w="3086" w:type="dxa"/>
            <w:gridSpan w:val="2"/>
            <w:tcBorders>
              <w:left w:val="single" w:sz="6" w:space="0" w:color="000000"/>
              <w:bottom w:val="single" w:sz="4" w:space="0" w:color="auto"/>
              <w:right w:val="single" w:sz="6" w:space="0" w:color="000000"/>
            </w:tcBorders>
          </w:tcPr>
          <w:p w14:paraId="35DCC7FE" w14:textId="01C5D004" w:rsidR="00D10957" w:rsidRPr="00991F33" w:rsidRDefault="00D10957" w:rsidP="00D10957">
            <w:pPr>
              <w:pStyle w:val="naisc"/>
              <w:spacing w:before="0" w:after="0"/>
              <w:ind w:firstLine="720"/>
              <w:jc w:val="both"/>
            </w:pPr>
            <w:r>
              <w:t>Noteikumu projekta anotācija.</w:t>
            </w:r>
          </w:p>
        </w:tc>
        <w:tc>
          <w:tcPr>
            <w:tcW w:w="4394" w:type="dxa"/>
            <w:tcBorders>
              <w:left w:val="single" w:sz="6" w:space="0" w:color="000000"/>
              <w:bottom w:val="single" w:sz="4" w:space="0" w:color="auto"/>
              <w:right w:val="single" w:sz="6" w:space="0" w:color="000000"/>
            </w:tcBorders>
          </w:tcPr>
          <w:p w14:paraId="4B9BE8BD" w14:textId="77777777" w:rsidR="00D10957" w:rsidRPr="00991F33" w:rsidRDefault="00D10957" w:rsidP="00D10957">
            <w:pPr>
              <w:ind w:right="12" w:firstLine="567"/>
              <w:contextualSpacing/>
              <w:jc w:val="both"/>
              <w:rPr>
                <w:color w:val="0D0D0D" w:themeColor="text1" w:themeTint="F2"/>
              </w:rPr>
            </w:pPr>
            <w:r w:rsidRPr="00991F33">
              <w:rPr>
                <w:color w:val="0D0D0D" w:themeColor="text1" w:themeTint="F2"/>
              </w:rPr>
              <w:t>2. Lūdzam papildināt projekta V sadaļas 2. punktu un 2. tabulu ar informāciju par Kodeksa atbilstību Konvencijai saskaņā ar Ministru kabineta 2009. gada 15. decembra instrukcijas Nr. 19</w:t>
            </w:r>
            <w:r w:rsidRPr="00991F33">
              <w:t> </w:t>
            </w:r>
            <w:r w:rsidRPr="00991F33">
              <w:rPr>
                <w:color w:val="0D0D0D" w:themeColor="text1" w:themeTint="F2"/>
              </w:rPr>
              <w:t>“Tiesību akta projekta sākotnējās ietekmes izvērtēšanas kārtība” 57. un 58. punktu.</w:t>
            </w:r>
          </w:p>
          <w:p w14:paraId="71F137BB" w14:textId="60919206" w:rsidR="00D10957" w:rsidRPr="00991F33" w:rsidRDefault="00D10957" w:rsidP="00D10957">
            <w:pPr>
              <w:pStyle w:val="naisc"/>
              <w:spacing w:before="0" w:after="0"/>
              <w:jc w:val="both"/>
            </w:pPr>
          </w:p>
        </w:tc>
        <w:tc>
          <w:tcPr>
            <w:tcW w:w="3995" w:type="dxa"/>
            <w:gridSpan w:val="2"/>
            <w:tcBorders>
              <w:left w:val="single" w:sz="6" w:space="0" w:color="000000"/>
              <w:bottom w:val="single" w:sz="4" w:space="0" w:color="auto"/>
              <w:right w:val="single" w:sz="6" w:space="0" w:color="000000"/>
            </w:tcBorders>
          </w:tcPr>
          <w:p w14:paraId="71CE72FE" w14:textId="77777777" w:rsidR="00D10957" w:rsidRDefault="00D10957" w:rsidP="00D10957">
            <w:pPr>
              <w:pStyle w:val="naisc"/>
              <w:spacing w:before="0" w:after="0"/>
              <w:ind w:firstLine="720"/>
              <w:rPr>
                <w:b/>
              </w:rPr>
            </w:pPr>
            <w:r>
              <w:rPr>
                <w:b/>
              </w:rPr>
              <w:t>Ņemts vērā</w:t>
            </w:r>
          </w:p>
          <w:p w14:paraId="181E69D8" w14:textId="77777777" w:rsidR="00D10957" w:rsidRDefault="00D10957" w:rsidP="00D10957">
            <w:pPr>
              <w:pStyle w:val="naisc"/>
              <w:spacing w:before="0" w:after="0"/>
              <w:ind w:firstLine="720"/>
              <w:rPr>
                <w:b/>
              </w:rPr>
            </w:pPr>
          </w:p>
          <w:p w14:paraId="07EFFCAD" w14:textId="77777777" w:rsidR="00D10957" w:rsidRDefault="00D10957" w:rsidP="00D10957">
            <w:pPr>
              <w:jc w:val="both"/>
            </w:pPr>
            <w:r>
              <w:t>Papildināts noteikumu projekta anotācijas V sadaļas 2.punkts un 2.tabula.</w:t>
            </w:r>
            <w:r w:rsidRPr="2DBF1288">
              <w:t xml:space="preserve"> </w:t>
            </w:r>
            <w:r>
              <w:t xml:space="preserve">Vēršam uzmanību, ka </w:t>
            </w:r>
            <w:r w:rsidRPr="2DBF1288">
              <w:t>ratificējot UNESCO Konvenciju dalībvalstis pievienojas Kodeksa principiem, kas pamato atbilstošu pasākumu</w:t>
            </w:r>
            <w:r w:rsidRPr="2DBF1288">
              <w:rPr>
                <w:rStyle w:val="FootnoteReference"/>
              </w:rPr>
              <w:footnoteReference w:id="2"/>
            </w:r>
            <w:r w:rsidRPr="2DBF1288">
              <w:t xml:space="preserve"> ieviešanu UNESCO Konvencijas mērķu sasniegšanai</w:t>
            </w:r>
            <w:r>
              <w:t xml:space="preserve">. </w:t>
            </w:r>
          </w:p>
          <w:p w14:paraId="17BAC423" w14:textId="451D165E" w:rsidR="00D154A9" w:rsidRPr="00991F33" w:rsidRDefault="00D154A9" w:rsidP="00D10957">
            <w:pPr>
              <w:jc w:val="both"/>
            </w:pPr>
          </w:p>
        </w:tc>
        <w:tc>
          <w:tcPr>
            <w:tcW w:w="2809" w:type="dxa"/>
            <w:tcBorders>
              <w:top w:val="single" w:sz="4" w:space="0" w:color="auto"/>
              <w:left w:val="single" w:sz="4" w:space="0" w:color="auto"/>
              <w:bottom w:val="single" w:sz="4" w:space="0" w:color="auto"/>
            </w:tcBorders>
          </w:tcPr>
          <w:p w14:paraId="7303322D" w14:textId="5B1BCCDC" w:rsidR="00D10957" w:rsidRPr="00991F33" w:rsidRDefault="00D10957" w:rsidP="00D10957">
            <w:pPr>
              <w:jc w:val="both"/>
            </w:pPr>
            <w:r>
              <w:t>Papildināts noteikumu projekta anotācijas V sadaļas 2.punkts un 2.tabula.</w:t>
            </w:r>
          </w:p>
        </w:tc>
      </w:tr>
      <w:tr w:rsidR="00D10957" w:rsidRPr="00991F33" w14:paraId="28D2DFF2" w14:textId="77777777" w:rsidTr="00B24EA7">
        <w:tc>
          <w:tcPr>
            <w:tcW w:w="708" w:type="dxa"/>
            <w:tcBorders>
              <w:left w:val="single" w:sz="6" w:space="0" w:color="000000"/>
              <w:bottom w:val="single" w:sz="4" w:space="0" w:color="auto"/>
              <w:right w:val="single" w:sz="6" w:space="0" w:color="000000"/>
            </w:tcBorders>
          </w:tcPr>
          <w:p w14:paraId="5610E500" w14:textId="77777777" w:rsidR="00D10957" w:rsidRPr="00991F33" w:rsidRDefault="00D10957" w:rsidP="00D10957">
            <w:pPr>
              <w:pStyle w:val="naisc"/>
              <w:spacing w:before="0" w:after="0"/>
              <w:ind w:firstLine="720"/>
              <w:jc w:val="both"/>
            </w:pPr>
          </w:p>
          <w:p w14:paraId="612E22BD" w14:textId="77777777" w:rsidR="00D10957" w:rsidRPr="00466A40" w:rsidRDefault="00D10957" w:rsidP="00D10957">
            <w:pPr>
              <w:jc w:val="both"/>
            </w:pPr>
            <w:r w:rsidRPr="00466A40">
              <w:t>3.</w:t>
            </w:r>
          </w:p>
        </w:tc>
        <w:tc>
          <w:tcPr>
            <w:tcW w:w="3086" w:type="dxa"/>
            <w:gridSpan w:val="2"/>
            <w:tcBorders>
              <w:left w:val="single" w:sz="6" w:space="0" w:color="000000"/>
              <w:bottom w:val="single" w:sz="4" w:space="0" w:color="auto"/>
              <w:right w:val="single" w:sz="6" w:space="0" w:color="000000"/>
            </w:tcBorders>
          </w:tcPr>
          <w:p w14:paraId="41F7A286" w14:textId="30CC5AFD" w:rsidR="00D10957" w:rsidRPr="00466A40" w:rsidRDefault="00D10957" w:rsidP="00D10957">
            <w:pPr>
              <w:pStyle w:val="naisc"/>
              <w:spacing w:before="0" w:after="0"/>
              <w:ind w:firstLine="720"/>
              <w:jc w:val="both"/>
            </w:pPr>
            <w:r>
              <w:t>Noteikumu projekta anotācija.</w:t>
            </w:r>
          </w:p>
        </w:tc>
        <w:tc>
          <w:tcPr>
            <w:tcW w:w="4394" w:type="dxa"/>
            <w:tcBorders>
              <w:left w:val="single" w:sz="6" w:space="0" w:color="000000"/>
              <w:bottom w:val="single" w:sz="4" w:space="0" w:color="auto"/>
              <w:right w:val="single" w:sz="6" w:space="0" w:color="000000"/>
            </w:tcBorders>
          </w:tcPr>
          <w:p w14:paraId="561F6C09" w14:textId="77777777" w:rsidR="00D10957" w:rsidRPr="00466A40" w:rsidRDefault="00D10957" w:rsidP="00D10957">
            <w:pPr>
              <w:ind w:right="12" w:firstLine="567"/>
              <w:contextualSpacing/>
              <w:jc w:val="both"/>
              <w:rPr>
                <w:color w:val="0D0D0D" w:themeColor="text1" w:themeTint="F2"/>
              </w:rPr>
            </w:pPr>
            <w:r w:rsidRPr="00466A40">
              <w:rPr>
                <w:color w:val="0D0D0D" w:themeColor="text1" w:themeTint="F2"/>
              </w:rPr>
              <w:t xml:space="preserve">3. Ja iespējams, lūdzam projektā norādīt precīzu Konvencijas vai Kodeksa </w:t>
            </w:r>
            <w:r w:rsidRPr="00466A40">
              <w:rPr>
                <w:color w:val="0D0D0D" w:themeColor="text1" w:themeTint="F2"/>
              </w:rPr>
              <w:lastRenderedPageBreak/>
              <w:t>normu, kas paredz Kodeksa spēkā stāšanos. Apzināmies, ka šāda norma, ņemot vērā iepriekš norādītos apsvērumus, varētu nepastāvēt, tomēr tad lūdzam projekta anotācijā skaidrot praktisko Kodeksa spēkā stāšanās kārtību.</w:t>
            </w:r>
          </w:p>
          <w:p w14:paraId="5422BDCE" w14:textId="48FE12AE" w:rsidR="00D10957" w:rsidRPr="00466A40" w:rsidRDefault="00D10957" w:rsidP="00D10957">
            <w:pPr>
              <w:pStyle w:val="naisc"/>
              <w:spacing w:before="0" w:after="0"/>
              <w:jc w:val="both"/>
            </w:pPr>
          </w:p>
        </w:tc>
        <w:tc>
          <w:tcPr>
            <w:tcW w:w="3995" w:type="dxa"/>
            <w:gridSpan w:val="2"/>
            <w:tcBorders>
              <w:left w:val="single" w:sz="6" w:space="0" w:color="000000"/>
              <w:bottom w:val="single" w:sz="4" w:space="0" w:color="auto"/>
              <w:right w:val="single" w:sz="6" w:space="0" w:color="000000"/>
            </w:tcBorders>
          </w:tcPr>
          <w:p w14:paraId="53D85A7B" w14:textId="77777777" w:rsidR="00D10957" w:rsidRPr="00466A40" w:rsidRDefault="00D10957" w:rsidP="00D10957">
            <w:pPr>
              <w:pStyle w:val="naisc"/>
              <w:spacing w:before="0" w:after="0"/>
              <w:ind w:firstLine="720"/>
              <w:jc w:val="both"/>
              <w:rPr>
                <w:b/>
              </w:rPr>
            </w:pPr>
            <w:r w:rsidRPr="00466A40">
              <w:rPr>
                <w:b/>
              </w:rPr>
              <w:lastRenderedPageBreak/>
              <w:t>Ņemts vērā</w:t>
            </w:r>
          </w:p>
          <w:p w14:paraId="2E1407F0" w14:textId="77777777" w:rsidR="00D10957" w:rsidRPr="00466A40" w:rsidRDefault="00D10957" w:rsidP="00D10957">
            <w:pPr>
              <w:pStyle w:val="naisc"/>
              <w:spacing w:before="0" w:after="0"/>
              <w:jc w:val="both"/>
            </w:pPr>
          </w:p>
          <w:p w14:paraId="75288422" w14:textId="02A466B6" w:rsidR="00D10957" w:rsidRPr="00C52ED3" w:rsidRDefault="00D10957" w:rsidP="00D10957">
            <w:pPr>
              <w:shd w:val="clear" w:color="auto" w:fill="FFFFFF"/>
              <w:jc w:val="both"/>
              <w:rPr>
                <w:color w:val="000000"/>
              </w:rPr>
            </w:pPr>
            <w:r>
              <w:lastRenderedPageBreak/>
              <w:t>P</w:t>
            </w:r>
            <w:r w:rsidRPr="00466A40">
              <w:t>apildināta noteikumu projekta anotācija</w:t>
            </w:r>
            <w:r>
              <w:t>s I sadaļas 2.punkts.</w:t>
            </w:r>
            <w:r w:rsidRPr="00466A40">
              <w:t xml:space="preserve"> </w:t>
            </w:r>
            <w:r>
              <w:t>Skaidrojam</w:t>
            </w:r>
            <w:r w:rsidRPr="00466A40">
              <w:t xml:space="preserve">, ka </w:t>
            </w:r>
            <w:r>
              <w:t>Kodeksa Preambulā ir minēts, ne tikai Kodeksa pieņemšana, kā arī veiktie grozījumi, bet arī tas, ka  p</w:t>
            </w:r>
            <w:r w:rsidRPr="2DBF1288">
              <w:t xml:space="preserve">ārskatītais 2021. gada </w:t>
            </w:r>
            <w:r w:rsidRPr="00914A92">
              <w:t>Kodekss</w:t>
            </w:r>
            <w:r w:rsidRPr="2DBF1288">
              <w:t xml:space="preserve"> stājas spēkā 2021. gada 1. janvārī.</w:t>
            </w:r>
            <w:r w:rsidRPr="00C52ED3">
              <w:rPr>
                <w:color w:val="000000"/>
              </w:rPr>
              <w:t xml:space="preserve"> Kodeksa</w:t>
            </w:r>
            <w:r>
              <w:rPr>
                <w:color w:val="000000"/>
              </w:rPr>
              <w:t xml:space="preserve"> </w:t>
            </w:r>
            <w:r w:rsidRPr="00C52ED3">
              <w:rPr>
                <w:color w:val="000000"/>
              </w:rPr>
              <w:t>27.1.punkt</w:t>
            </w:r>
            <w:r>
              <w:rPr>
                <w:color w:val="000000"/>
              </w:rPr>
              <w:t xml:space="preserve">s paredz, kad </w:t>
            </w:r>
            <w:r w:rsidRPr="00C52ED3">
              <w:rPr>
                <w:color w:val="000000"/>
              </w:rPr>
              <w:t xml:space="preserve">2021. gada </w:t>
            </w:r>
            <w:r>
              <w:rPr>
                <w:color w:val="000000"/>
              </w:rPr>
              <w:t>K</w:t>
            </w:r>
            <w:r w:rsidRPr="00C52ED3">
              <w:rPr>
                <w:color w:val="000000"/>
              </w:rPr>
              <w:t>odeksu piemēro pilnībā no 2021. gada 1. janvāra ("Spēkā stāšanās datums").</w:t>
            </w:r>
            <w:r>
              <w:rPr>
                <w:color w:val="000000"/>
              </w:rPr>
              <w:t xml:space="preserve"> Papildus </w:t>
            </w:r>
            <w:r>
              <w:t xml:space="preserve">Kodeksa 25.1.4.pants nosaka, ka Kodeksa parakstītāji </w:t>
            </w:r>
            <w:r w:rsidRPr="2DBF1288">
              <w:t xml:space="preserve">ne vēlāk kā līdz 2021. gada 1. janvārim groza savus noteikumus, lai iekļautu tajos 2021. gada </w:t>
            </w:r>
            <w:r w:rsidRPr="00B24EA7">
              <w:t>Kodeksu,</w:t>
            </w:r>
            <w:r w:rsidRPr="2DBF1288">
              <w:t xml:space="preserve"> kas stājas spēkā 2021. </w:t>
            </w:r>
            <w:r w:rsidRPr="00B24EA7">
              <w:t xml:space="preserve">gada 1. janvārī. Kodeksa parakstītāji visus turpmāk piemērojamos Kodeksa grozījumus īsteno viena (1) gada laikā pēc tam, kad tos ir apstiprinājusi Pasaules Antidopinga aģentūras dibināšanas valde. </w:t>
            </w:r>
          </w:p>
          <w:p w14:paraId="1E6A1377" w14:textId="6540772A" w:rsidR="00D10957" w:rsidRPr="00466A40" w:rsidRDefault="00D10957" w:rsidP="00D10957">
            <w:pPr>
              <w:jc w:val="both"/>
            </w:pPr>
          </w:p>
        </w:tc>
        <w:tc>
          <w:tcPr>
            <w:tcW w:w="2809" w:type="dxa"/>
            <w:tcBorders>
              <w:top w:val="single" w:sz="4" w:space="0" w:color="auto"/>
              <w:left w:val="single" w:sz="4" w:space="0" w:color="auto"/>
              <w:bottom w:val="single" w:sz="4" w:space="0" w:color="auto"/>
            </w:tcBorders>
          </w:tcPr>
          <w:p w14:paraId="5D65D16A" w14:textId="77777777" w:rsidR="00D10957" w:rsidRPr="00466A40" w:rsidRDefault="00D10957" w:rsidP="00D10957">
            <w:pPr>
              <w:jc w:val="both"/>
            </w:pPr>
          </w:p>
          <w:p w14:paraId="261FB0EB" w14:textId="77777777" w:rsidR="00D10957" w:rsidRPr="00991F33" w:rsidRDefault="00D10957" w:rsidP="00D10957">
            <w:pPr>
              <w:jc w:val="both"/>
            </w:pPr>
            <w:r w:rsidRPr="00466A40">
              <w:lastRenderedPageBreak/>
              <w:t>Precizēts noteikumu projekta anotācijas I sadaļas 2.punkts.</w:t>
            </w:r>
          </w:p>
        </w:tc>
      </w:tr>
      <w:tr w:rsidR="002D198B" w:rsidRPr="00466A40" w14:paraId="41AEEA5D" w14:textId="77777777" w:rsidTr="00B24EA7">
        <w:tc>
          <w:tcPr>
            <w:tcW w:w="708" w:type="dxa"/>
            <w:tcBorders>
              <w:left w:val="single" w:sz="6" w:space="0" w:color="000000"/>
              <w:bottom w:val="single" w:sz="4" w:space="0" w:color="auto"/>
              <w:right w:val="single" w:sz="6" w:space="0" w:color="000000"/>
            </w:tcBorders>
          </w:tcPr>
          <w:p w14:paraId="3CE5FFB6" w14:textId="77777777" w:rsidR="002D198B" w:rsidRPr="00466A40" w:rsidRDefault="002D198B" w:rsidP="00466A40">
            <w:pPr>
              <w:pStyle w:val="naisc"/>
              <w:spacing w:before="0" w:after="0"/>
              <w:ind w:firstLine="720"/>
              <w:jc w:val="both"/>
            </w:pPr>
          </w:p>
          <w:p w14:paraId="5E8FB6D1" w14:textId="77777777" w:rsidR="002D198B" w:rsidRPr="00466A40" w:rsidRDefault="002D198B" w:rsidP="00466A40">
            <w:pPr>
              <w:jc w:val="both"/>
            </w:pPr>
          </w:p>
          <w:p w14:paraId="4A6557A0" w14:textId="77777777" w:rsidR="002D198B" w:rsidRPr="00466A40" w:rsidRDefault="002D198B" w:rsidP="00466A40">
            <w:pPr>
              <w:jc w:val="both"/>
            </w:pPr>
          </w:p>
          <w:p w14:paraId="2CDF7DF4" w14:textId="77777777" w:rsidR="002D198B" w:rsidRPr="00466A40" w:rsidRDefault="002D198B" w:rsidP="00466A40">
            <w:pPr>
              <w:jc w:val="both"/>
            </w:pPr>
            <w:r w:rsidRPr="00466A40">
              <w:t>4.</w:t>
            </w:r>
          </w:p>
        </w:tc>
        <w:tc>
          <w:tcPr>
            <w:tcW w:w="3086" w:type="dxa"/>
            <w:gridSpan w:val="2"/>
            <w:tcBorders>
              <w:left w:val="single" w:sz="6" w:space="0" w:color="000000"/>
              <w:bottom w:val="single" w:sz="4" w:space="0" w:color="auto"/>
              <w:right w:val="single" w:sz="6" w:space="0" w:color="000000"/>
            </w:tcBorders>
          </w:tcPr>
          <w:p w14:paraId="14EFB18A" w14:textId="77777777" w:rsidR="002D198B" w:rsidRPr="00466A40" w:rsidRDefault="002D198B" w:rsidP="00466A40">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6EF85DFF" w14:textId="77777777" w:rsidR="00991F33" w:rsidRPr="00466A40" w:rsidRDefault="00991F33" w:rsidP="00466A40">
            <w:pPr>
              <w:contextualSpacing/>
              <w:jc w:val="both"/>
              <w:rPr>
                <w:color w:val="0D0D0D" w:themeColor="text1" w:themeTint="F2"/>
              </w:rPr>
            </w:pPr>
            <w:r w:rsidRPr="00466A40">
              <w:rPr>
                <w:color w:val="0D0D0D" w:themeColor="text1" w:themeTint="F2"/>
              </w:rPr>
              <w:t xml:space="preserve">4. Norādām, ka nav saprotams, kāpēc Ministru kabineta sēdes protokollēmuma projekta (turpmāk – protokollēmums) 2. punktā noteikts, ka Latvijas Antidopinga birojam jānodrošina pievienošanās Kodeksam, jo tas jau noteikts ar projekta 1. punktu, ar kuru apstiprināta Latvijas pievienošanās Kodeksam. Ievērojot minēto, lūdzam nepievienot projektam protokollēmumu, jo, svītrojot protokollēmuma 2. punktu, tam vairs nav </w:t>
            </w:r>
            <w:r w:rsidRPr="00466A40">
              <w:rPr>
                <w:color w:val="0D0D0D" w:themeColor="text1" w:themeTint="F2"/>
              </w:rPr>
              <w:lastRenderedPageBreak/>
              <w:t>jēgas, vai arī skaidrot protokollēmuma 2. punkta praktisko nepieciešamību.</w:t>
            </w:r>
          </w:p>
          <w:p w14:paraId="4A7AC1F1" w14:textId="605D1B97" w:rsidR="002D198B" w:rsidRPr="00466A40" w:rsidRDefault="002D198B" w:rsidP="00466A40">
            <w:pPr>
              <w:pStyle w:val="naisc"/>
              <w:spacing w:before="0" w:after="0"/>
              <w:jc w:val="both"/>
            </w:pPr>
          </w:p>
        </w:tc>
        <w:tc>
          <w:tcPr>
            <w:tcW w:w="3995" w:type="dxa"/>
            <w:gridSpan w:val="2"/>
            <w:tcBorders>
              <w:left w:val="single" w:sz="6" w:space="0" w:color="000000"/>
              <w:bottom w:val="single" w:sz="4" w:space="0" w:color="auto"/>
              <w:right w:val="single" w:sz="6" w:space="0" w:color="000000"/>
            </w:tcBorders>
          </w:tcPr>
          <w:p w14:paraId="626F06FA" w14:textId="77777777" w:rsidR="002D198B" w:rsidRPr="00466A40" w:rsidRDefault="00F054A1" w:rsidP="00466A40">
            <w:pPr>
              <w:pStyle w:val="naisc"/>
              <w:spacing w:before="0" w:after="0"/>
              <w:ind w:firstLine="720"/>
              <w:jc w:val="both"/>
            </w:pPr>
            <w:r w:rsidRPr="00466A40">
              <w:rPr>
                <w:b/>
              </w:rPr>
              <w:lastRenderedPageBreak/>
              <w:t>Ņemts vērā</w:t>
            </w:r>
          </w:p>
          <w:p w14:paraId="586B8926" w14:textId="77777777" w:rsidR="00F054A1" w:rsidRPr="00466A40" w:rsidRDefault="00F054A1" w:rsidP="00466A40">
            <w:pPr>
              <w:pStyle w:val="naisc"/>
              <w:spacing w:before="0" w:after="0"/>
              <w:ind w:firstLine="720"/>
              <w:jc w:val="both"/>
            </w:pPr>
          </w:p>
          <w:p w14:paraId="2A41994A" w14:textId="5FCF17A3" w:rsidR="00B7014E" w:rsidRPr="00466A40" w:rsidRDefault="00466A40" w:rsidP="00466A40">
            <w:pPr>
              <w:pStyle w:val="naisc"/>
              <w:spacing w:before="0" w:after="0"/>
              <w:jc w:val="both"/>
            </w:pPr>
            <w:r>
              <w:t>Noteikumu projektu, virzot apstiprināšanai Ministru Kabinetā nav paredzēts pievienot protokollēmuma projektu.</w:t>
            </w:r>
          </w:p>
        </w:tc>
        <w:tc>
          <w:tcPr>
            <w:tcW w:w="2809" w:type="dxa"/>
            <w:tcBorders>
              <w:top w:val="single" w:sz="4" w:space="0" w:color="auto"/>
              <w:left w:val="single" w:sz="4" w:space="0" w:color="auto"/>
              <w:bottom w:val="single" w:sz="4" w:space="0" w:color="auto"/>
            </w:tcBorders>
          </w:tcPr>
          <w:p w14:paraId="31A27D55" w14:textId="0538B876" w:rsidR="002D198B" w:rsidRPr="00466A40" w:rsidRDefault="002D198B" w:rsidP="00466A40">
            <w:pPr>
              <w:jc w:val="both"/>
            </w:pPr>
          </w:p>
        </w:tc>
      </w:tr>
      <w:tr w:rsidR="007116C7" w:rsidRPr="00712B66" w14:paraId="5FC49753"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FA095C4" w14:textId="77777777" w:rsidR="00A2079E" w:rsidRDefault="00A2079E" w:rsidP="00E74517">
            <w:pPr>
              <w:pStyle w:val="naiskr"/>
              <w:spacing w:before="0" w:after="0"/>
            </w:pPr>
          </w:p>
          <w:p w14:paraId="1E9E3721" w14:textId="77777777" w:rsidR="00A2079E" w:rsidRDefault="00A2079E" w:rsidP="00E74517">
            <w:pPr>
              <w:pStyle w:val="naiskr"/>
              <w:spacing w:before="0" w:after="0"/>
            </w:pPr>
          </w:p>
          <w:p w14:paraId="36B5A5EF" w14:textId="77777777" w:rsidR="007116C7" w:rsidRPr="00712B66" w:rsidRDefault="007116C7" w:rsidP="00E74517">
            <w:pPr>
              <w:pStyle w:val="naiskr"/>
              <w:spacing w:before="0" w:after="0"/>
            </w:pPr>
            <w:r w:rsidRPr="00712B66">
              <w:t>Atbildīgā amatpersona</w:t>
            </w:r>
          </w:p>
        </w:tc>
        <w:tc>
          <w:tcPr>
            <w:tcW w:w="6179" w:type="dxa"/>
            <w:gridSpan w:val="3"/>
          </w:tcPr>
          <w:p w14:paraId="71AB9D75" w14:textId="77777777" w:rsidR="007116C7" w:rsidRPr="00712B66" w:rsidRDefault="007116C7" w:rsidP="00DB7395">
            <w:pPr>
              <w:pStyle w:val="naiskr"/>
              <w:spacing w:before="0" w:after="0"/>
              <w:ind w:firstLine="720"/>
            </w:pPr>
            <w:r w:rsidRPr="00712B66">
              <w:t>  </w:t>
            </w:r>
          </w:p>
        </w:tc>
      </w:tr>
      <w:tr w:rsidR="007116C7" w:rsidRPr="00712B66" w14:paraId="2EF0CF20"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3EE34E1" w14:textId="77777777" w:rsidR="007116C7" w:rsidRPr="00712B66" w:rsidRDefault="007116C7" w:rsidP="00D10957">
            <w:pPr>
              <w:pStyle w:val="naiskr"/>
              <w:spacing w:before="0" w:after="0"/>
            </w:pPr>
          </w:p>
        </w:tc>
        <w:tc>
          <w:tcPr>
            <w:tcW w:w="6179" w:type="dxa"/>
            <w:gridSpan w:val="3"/>
            <w:tcBorders>
              <w:top w:val="single" w:sz="6" w:space="0" w:color="000000"/>
            </w:tcBorders>
          </w:tcPr>
          <w:p w14:paraId="346F5A87" w14:textId="77777777" w:rsidR="007116C7" w:rsidRPr="00712B66" w:rsidRDefault="007116C7" w:rsidP="00D64FB0">
            <w:pPr>
              <w:pStyle w:val="naisc"/>
              <w:spacing w:before="0" w:after="0"/>
              <w:ind w:firstLine="720"/>
            </w:pPr>
            <w:r w:rsidRPr="00712B66">
              <w:t>(paraksts</w:t>
            </w:r>
            <w:r w:rsidR="00D64FB0" w:rsidRPr="00712B66">
              <w:t>*</w:t>
            </w:r>
            <w:r w:rsidRPr="00712B66">
              <w:t>)</w:t>
            </w:r>
          </w:p>
        </w:tc>
      </w:tr>
    </w:tbl>
    <w:tbl>
      <w:tblPr>
        <w:tblpPr w:leftFromText="180" w:rightFromText="180" w:vertAnchor="text" w:horzAnchor="page" w:tblpX="2386" w:tblpY="702"/>
        <w:tblW w:w="0" w:type="auto"/>
        <w:tblLook w:val="00A0" w:firstRow="1" w:lastRow="0" w:firstColumn="1" w:lastColumn="0" w:noHBand="0" w:noVBand="0"/>
      </w:tblPr>
      <w:tblGrid>
        <w:gridCol w:w="8268"/>
      </w:tblGrid>
      <w:tr w:rsidR="00A2079E" w:rsidRPr="00712B66" w14:paraId="22950E4B" w14:textId="77777777" w:rsidTr="00A2079E">
        <w:tc>
          <w:tcPr>
            <w:tcW w:w="8268" w:type="dxa"/>
            <w:tcBorders>
              <w:top w:val="single" w:sz="4" w:space="0" w:color="000000"/>
            </w:tcBorders>
          </w:tcPr>
          <w:p w14:paraId="6746CF8C" w14:textId="77777777" w:rsidR="00A2079E" w:rsidRPr="00712B66" w:rsidRDefault="00A2079E" w:rsidP="00A2079E">
            <w:pPr>
              <w:jc w:val="center"/>
            </w:pPr>
            <w:r>
              <w:t>(</w:t>
            </w:r>
            <w:r w:rsidRPr="00712B66">
              <w:t xml:space="preserve">par projektu atbildīgās amatpersonas </w:t>
            </w:r>
            <w:r>
              <w:t xml:space="preserve">vārds un </w:t>
            </w:r>
            <w:r w:rsidRPr="00712B66">
              <w:t>uzvārds</w:t>
            </w:r>
            <w:r>
              <w:t>)</w:t>
            </w:r>
          </w:p>
        </w:tc>
      </w:tr>
      <w:tr w:rsidR="00A2079E" w:rsidRPr="00712B66" w14:paraId="294825CC" w14:textId="77777777" w:rsidTr="00A2079E">
        <w:tc>
          <w:tcPr>
            <w:tcW w:w="8268" w:type="dxa"/>
            <w:tcBorders>
              <w:bottom w:val="single" w:sz="4" w:space="0" w:color="000000"/>
            </w:tcBorders>
          </w:tcPr>
          <w:p w14:paraId="4B522451" w14:textId="77777777" w:rsidR="00A2079E" w:rsidRPr="00712B66" w:rsidRDefault="00A2079E" w:rsidP="00A2079E">
            <w:r>
              <w:t xml:space="preserve">Vecākā eksperte </w:t>
            </w:r>
          </w:p>
        </w:tc>
      </w:tr>
      <w:tr w:rsidR="00A2079E" w:rsidRPr="00712B66" w14:paraId="3142A54F" w14:textId="77777777" w:rsidTr="00A2079E">
        <w:tc>
          <w:tcPr>
            <w:tcW w:w="8268" w:type="dxa"/>
            <w:tcBorders>
              <w:top w:val="single" w:sz="4" w:space="0" w:color="000000"/>
            </w:tcBorders>
          </w:tcPr>
          <w:p w14:paraId="4FDECBF0" w14:textId="77777777" w:rsidR="00A2079E" w:rsidRPr="00466A40" w:rsidRDefault="00A2079E" w:rsidP="00A2079E">
            <w:pPr>
              <w:jc w:val="center"/>
            </w:pPr>
            <w:r w:rsidRPr="00466A40">
              <w:t>(amats)</w:t>
            </w:r>
          </w:p>
        </w:tc>
      </w:tr>
      <w:tr w:rsidR="00A2079E" w:rsidRPr="00712B66" w14:paraId="15C34652" w14:textId="77777777" w:rsidTr="00A2079E">
        <w:tc>
          <w:tcPr>
            <w:tcW w:w="8268" w:type="dxa"/>
            <w:tcBorders>
              <w:bottom w:val="single" w:sz="4" w:space="0" w:color="000000"/>
            </w:tcBorders>
          </w:tcPr>
          <w:p w14:paraId="64CC897C" w14:textId="6485263E" w:rsidR="00A2079E" w:rsidRPr="00466A40" w:rsidRDefault="00466A40" w:rsidP="00A2079E">
            <w:r w:rsidRPr="00466A40">
              <w:rPr>
                <w:color w:val="000000"/>
                <w:shd w:val="clear" w:color="auto" w:fill="FFFFFF"/>
              </w:rPr>
              <w:t> +371 60005266</w:t>
            </w:r>
          </w:p>
        </w:tc>
      </w:tr>
      <w:tr w:rsidR="00A2079E" w:rsidRPr="00712B66" w14:paraId="266DA236" w14:textId="77777777" w:rsidTr="00A2079E">
        <w:tc>
          <w:tcPr>
            <w:tcW w:w="8268" w:type="dxa"/>
            <w:tcBorders>
              <w:top w:val="single" w:sz="4" w:space="0" w:color="000000"/>
            </w:tcBorders>
          </w:tcPr>
          <w:p w14:paraId="7F6D7D52" w14:textId="77777777" w:rsidR="00A2079E" w:rsidRPr="00712B66" w:rsidRDefault="00A2079E" w:rsidP="00A2079E">
            <w:pPr>
              <w:jc w:val="center"/>
            </w:pPr>
            <w:r>
              <w:t>(</w:t>
            </w:r>
            <w:r w:rsidRPr="00712B66">
              <w:t>tālruņa un faksa numurs</w:t>
            </w:r>
            <w:r>
              <w:t>)</w:t>
            </w:r>
          </w:p>
        </w:tc>
      </w:tr>
      <w:tr w:rsidR="00A2079E" w:rsidRPr="00712B66" w14:paraId="0303D4AB" w14:textId="77777777" w:rsidTr="00A2079E">
        <w:tc>
          <w:tcPr>
            <w:tcW w:w="8268" w:type="dxa"/>
            <w:tcBorders>
              <w:bottom w:val="single" w:sz="4" w:space="0" w:color="000000"/>
            </w:tcBorders>
          </w:tcPr>
          <w:p w14:paraId="56F4A8FD" w14:textId="41F99626" w:rsidR="00A2079E" w:rsidRPr="00712B66" w:rsidRDefault="00466A40" w:rsidP="00A2079E">
            <w:r>
              <w:t>sanita.lazdina@vm.gov.lv</w:t>
            </w:r>
          </w:p>
        </w:tc>
      </w:tr>
      <w:tr w:rsidR="00A2079E" w:rsidRPr="00712B66" w14:paraId="08377F9E" w14:textId="77777777" w:rsidTr="00A2079E">
        <w:tc>
          <w:tcPr>
            <w:tcW w:w="8268" w:type="dxa"/>
            <w:tcBorders>
              <w:top w:val="single" w:sz="4" w:space="0" w:color="000000"/>
            </w:tcBorders>
          </w:tcPr>
          <w:p w14:paraId="45026708" w14:textId="77777777" w:rsidR="00A2079E" w:rsidRPr="00712B66" w:rsidRDefault="00A2079E" w:rsidP="00A2079E">
            <w:pPr>
              <w:jc w:val="center"/>
            </w:pPr>
            <w:r>
              <w:t>(</w:t>
            </w:r>
            <w:r w:rsidRPr="00712B66">
              <w:t>e-pasta adrese</w:t>
            </w:r>
            <w:r>
              <w:t>)</w:t>
            </w:r>
          </w:p>
        </w:tc>
      </w:tr>
    </w:tbl>
    <w:p w14:paraId="5427957B" w14:textId="77777777" w:rsidR="007116C7" w:rsidRDefault="007116C7" w:rsidP="00D10957">
      <w:pPr>
        <w:pStyle w:val="naisf"/>
        <w:spacing w:before="0" w:after="0"/>
        <w:ind w:firstLine="0"/>
      </w:pPr>
    </w:p>
    <w:p w14:paraId="13FAAC0F" w14:textId="47901D13" w:rsidR="00A2079E" w:rsidRDefault="00466A40" w:rsidP="00490EBE">
      <w:pPr>
        <w:pStyle w:val="naisf"/>
        <w:spacing w:before="0" w:after="0"/>
        <w:ind w:firstLine="720"/>
        <w:jc w:val="left"/>
      </w:pPr>
      <w:r>
        <w:t>Sanita Lazdiņa</w:t>
      </w:r>
    </w:p>
    <w:p w14:paraId="12A76EA1" w14:textId="77777777" w:rsidR="00A2079E" w:rsidRDefault="00A2079E" w:rsidP="00DB7395">
      <w:pPr>
        <w:pStyle w:val="naisf"/>
        <w:spacing w:before="0" w:after="0"/>
        <w:ind w:firstLine="720"/>
      </w:pPr>
    </w:p>
    <w:p w14:paraId="3C4BCC4A" w14:textId="77777777" w:rsidR="00A2079E" w:rsidRDefault="00A2079E" w:rsidP="00DB7395">
      <w:pPr>
        <w:pStyle w:val="naisf"/>
        <w:spacing w:before="0" w:after="0"/>
        <w:ind w:firstLine="720"/>
      </w:pPr>
    </w:p>
    <w:p w14:paraId="42E8F665" w14:textId="77777777" w:rsidR="00A2079E" w:rsidRDefault="00A2079E" w:rsidP="00DB7395">
      <w:pPr>
        <w:pStyle w:val="naisf"/>
        <w:spacing w:before="0" w:after="0"/>
        <w:ind w:firstLine="720"/>
      </w:pPr>
    </w:p>
    <w:p w14:paraId="7E414D6A" w14:textId="77777777" w:rsidR="00A2079E" w:rsidRDefault="00A2079E" w:rsidP="00DB7395">
      <w:pPr>
        <w:pStyle w:val="naisf"/>
        <w:spacing w:before="0" w:after="0"/>
        <w:ind w:firstLine="720"/>
      </w:pPr>
    </w:p>
    <w:p w14:paraId="2A43DBB6" w14:textId="77777777" w:rsidR="00A2079E" w:rsidRDefault="00A2079E" w:rsidP="00DB7395">
      <w:pPr>
        <w:pStyle w:val="naisf"/>
        <w:spacing w:before="0" w:after="0"/>
        <w:ind w:firstLine="720"/>
      </w:pPr>
    </w:p>
    <w:p w14:paraId="0850A6DE" w14:textId="77777777" w:rsidR="00A2079E" w:rsidRDefault="00A2079E" w:rsidP="00DB7395">
      <w:pPr>
        <w:pStyle w:val="naisf"/>
        <w:spacing w:before="0" w:after="0"/>
        <w:ind w:firstLine="720"/>
      </w:pPr>
    </w:p>
    <w:p w14:paraId="3E631D7E" w14:textId="77777777" w:rsidR="00A2079E" w:rsidRDefault="00A2079E" w:rsidP="00D10957">
      <w:pPr>
        <w:pStyle w:val="naisf"/>
        <w:spacing w:before="0" w:after="0"/>
        <w:ind w:firstLine="0"/>
      </w:pPr>
    </w:p>
    <w:p w14:paraId="7B6F2ECE" w14:textId="77777777" w:rsidR="00A2079E" w:rsidRDefault="00A2079E" w:rsidP="00DB7395">
      <w:pPr>
        <w:pStyle w:val="naisf"/>
        <w:spacing w:before="0" w:after="0"/>
        <w:ind w:firstLine="720"/>
      </w:pPr>
    </w:p>
    <w:p w14:paraId="20B26913" w14:textId="77777777" w:rsidR="008E7142" w:rsidRDefault="008E7142" w:rsidP="00A2079E">
      <w:pPr>
        <w:pStyle w:val="naisf"/>
        <w:spacing w:before="0" w:after="0"/>
        <w:ind w:firstLine="720"/>
      </w:pPr>
    </w:p>
    <w:p w14:paraId="7BE8A7F7" w14:textId="77777777" w:rsidR="008E7142" w:rsidRDefault="008E7142" w:rsidP="00A2079E">
      <w:pPr>
        <w:pStyle w:val="naisf"/>
        <w:spacing w:before="0" w:after="0"/>
        <w:ind w:firstLine="720"/>
      </w:pPr>
    </w:p>
    <w:p w14:paraId="73639257" w14:textId="7775C3E2" w:rsidR="007116C7" w:rsidRPr="00A2079E" w:rsidRDefault="00184479" w:rsidP="00A2079E">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sectPr w:rsidR="007116C7" w:rsidRPr="00A2079E"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0635" w14:textId="77777777" w:rsidR="006B18C9" w:rsidRDefault="006B18C9">
      <w:r>
        <w:separator/>
      </w:r>
    </w:p>
  </w:endnote>
  <w:endnote w:type="continuationSeparator" w:id="0">
    <w:p w14:paraId="60602F0E" w14:textId="77777777" w:rsidR="006B18C9" w:rsidRDefault="006B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308B" w14:textId="221D5D06" w:rsidR="00561D3C" w:rsidRPr="002D198B" w:rsidRDefault="002D198B" w:rsidP="002D198B">
    <w:pPr>
      <w:pStyle w:val="Footer"/>
      <w:rPr>
        <w:sz w:val="20"/>
        <w:szCs w:val="20"/>
      </w:rPr>
    </w:pPr>
    <w:r>
      <w:rPr>
        <w:sz w:val="20"/>
        <w:szCs w:val="20"/>
      </w:rPr>
      <w:t>VM</w:t>
    </w:r>
    <w:r w:rsidRPr="00015C84">
      <w:rPr>
        <w:sz w:val="20"/>
        <w:szCs w:val="20"/>
      </w:rPr>
      <w:t>izz_</w:t>
    </w:r>
    <w:r w:rsidR="00173713">
      <w:rPr>
        <w:sz w:val="20"/>
        <w:szCs w:val="20"/>
      </w:rPr>
      <w:t>0</w:t>
    </w:r>
    <w:r w:rsidR="00142E89">
      <w:rPr>
        <w:sz w:val="20"/>
        <w:szCs w:val="20"/>
      </w:rPr>
      <w:t>7</w:t>
    </w:r>
    <w:r w:rsidR="00173713">
      <w:rPr>
        <w:sz w:val="20"/>
        <w:szCs w:val="20"/>
      </w:rPr>
      <w:t>1220_kodeks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A706" w14:textId="77777777" w:rsidR="00142E89" w:rsidRDefault="00142E89" w:rsidP="003C2224">
    <w:pPr>
      <w:tabs>
        <w:tab w:val="center" w:pos="4153"/>
        <w:tab w:val="right" w:pos="8306"/>
      </w:tabs>
      <w:rPr>
        <w:sz w:val="20"/>
        <w:szCs w:val="20"/>
      </w:rPr>
    </w:pPr>
  </w:p>
  <w:p w14:paraId="242E4057" w14:textId="1CE61BF7" w:rsidR="003C2224" w:rsidRPr="003C2224" w:rsidRDefault="003C2224" w:rsidP="003C2224">
    <w:pPr>
      <w:tabs>
        <w:tab w:val="center" w:pos="4153"/>
        <w:tab w:val="right" w:pos="8306"/>
      </w:tabs>
      <w:rPr>
        <w:sz w:val="20"/>
        <w:szCs w:val="20"/>
      </w:rPr>
    </w:pPr>
    <w:r w:rsidRPr="003C2224">
      <w:rPr>
        <w:sz w:val="20"/>
        <w:szCs w:val="20"/>
      </w:rPr>
      <w:t>VMizz_0</w:t>
    </w:r>
    <w:r w:rsidR="00142E89">
      <w:rPr>
        <w:sz w:val="20"/>
        <w:szCs w:val="20"/>
      </w:rPr>
      <w:t>7</w:t>
    </w:r>
    <w:r w:rsidRPr="003C2224">
      <w:rPr>
        <w:sz w:val="20"/>
        <w:szCs w:val="20"/>
      </w:rPr>
      <w:t>1220_kodeks</w:t>
    </w:r>
  </w:p>
  <w:p w14:paraId="348B4C2B" w14:textId="77777777" w:rsidR="003C2224" w:rsidRPr="003C2224" w:rsidRDefault="003C2224" w:rsidP="003C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F709" w14:textId="77777777" w:rsidR="006B18C9" w:rsidRDefault="006B18C9">
      <w:r>
        <w:separator/>
      </w:r>
    </w:p>
  </w:footnote>
  <w:footnote w:type="continuationSeparator" w:id="0">
    <w:p w14:paraId="2A5AF742" w14:textId="77777777" w:rsidR="006B18C9" w:rsidRDefault="006B18C9">
      <w:r>
        <w:continuationSeparator/>
      </w:r>
    </w:p>
  </w:footnote>
  <w:footnote w:id="1">
    <w:p w14:paraId="39BF8B86" w14:textId="77777777" w:rsidR="000A1451" w:rsidRPr="006806BD" w:rsidRDefault="000A1451">
      <w:pPr>
        <w:pStyle w:val="naisc"/>
      </w:pPr>
      <w:r w:rsidRPr="006806BD">
        <w:footnoteRef/>
      </w:r>
      <w:r w:rsidRPr="006806BD">
        <w:t xml:space="preserve"> </w:t>
      </w:r>
      <w:hyperlink r:id="rId1" w:history="1">
        <w:r w:rsidRPr="006806BD">
          <w:t>https://www.wada-ama.org/sites/default/files/resources/files/td2019_index_v4.0.pdf</w:t>
        </w:r>
      </w:hyperlink>
      <w:r w:rsidRPr="006806BD">
        <w:rPr>
          <w:color w:val="000000"/>
        </w:rPr>
        <w:t>).</w:t>
      </w:r>
    </w:p>
  </w:footnote>
  <w:footnote w:id="2">
    <w:p w14:paraId="7C98165A" w14:textId="37837314" w:rsidR="00D10957" w:rsidRDefault="00D10957" w:rsidP="00253DB1">
      <w:pPr>
        <w:pStyle w:val="FootnoteText"/>
        <w:rPr>
          <w:rFonts w:ascii="Times New Roman" w:hAnsi="Times New Roman" w:cs="Times New Roman"/>
        </w:rPr>
      </w:pPr>
      <w:r w:rsidRPr="2DBF1288">
        <w:rPr>
          <w:rStyle w:val="FootnoteReference"/>
          <w:rFonts w:ascii="Times New Roman" w:hAnsi="Times New Roman" w:cs="Times New Roman"/>
        </w:rPr>
        <w:footnoteRef/>
      </w:r>
      <w:r>
        <w:rPr>
          <w:rFonts w:ascii="Times New Roman" w:hAnsi="Times New Roman" w:cs="Times New Roman"/>
        </w:rPr>
        <w:t xml:space="preserve"> Starptautiskā Konvencija pret Dopingu Sportā</w:t>
      </w:r>
      <w:r w:rsidRPr="00035DCF">
        <w:rPr>
          <w:rFonts w:ascii="Times New Roman" w:hAnsi="Times New Roman" w:cs="Times New Roman"/>
        </w:rPr>
        <w:t xml:space="preserve">. </w:t>
      </w:r>
      <w:r>
        <w:rPr>
          <w:rFonts w:ascii="Times New Roman" w:hAnsi="Times New Roman" w:cs="Times New Roman"/>
        </w:rPr>
        <w:t>5.pants</w:t>
      </w:r>
      <w:r w:rsidRPr="00035DCF">
        <w:rPr>
          <w:rFonts w:ascii="Times New Roman" w:hAnsi="Times New Roman" w:cs="Times New Roman"/>
        </w:rPr>
        <w:t>. Pieejams: https://likumi.lv/ta/id/129939-par-starptautisko-konvenciju-pret-dopingu-sporta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DC2A"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417F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7C7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5A04EBBE"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AA3"/>
    <w:multiLevelType w:val="hybridMultilevel"/>
    <w:tmpl w:val="40A095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232486C"/>
    <w:multiLevelType w:val="hybridMultilevel"/>
    <w:tmpl w:val="36C0E5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4100FB8"/>
    <w:multiLevelType w:val="hybridMultilevel"/>
    <w:tmpl w:val="86F4CD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F77444"/>
    <w:multiLevelType w:val="hybridMultilevel"/>
    <w:tmpl w:val="50EA88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4"/>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671"/>
    <w:rsid w:val="000172E2"/>
    <w:rsid w:val="00017449"/>
    <w:rsid w:val="00020249"/>
    <w:rsid w:val="00020DF7"/>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B9A"/>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858"/>
    <w:rsid w:val="00084B11"/>
    <w:rsid w:val="00085322"/>
    <w:rsid w:val="0008656F"/>
    <w:rsid w:val="00086AB9"/>
    <w:rsid w:val="00086BCE"/>
    <w:rsid w:val="00086F36"/>
    <w:rsid w:val="00090168"/>
    <w:rsid w:val="00090C76"/>
    <w:rsid w:val="00091033"/>
    <w:rsid w:val="00091F10"/>
    <w:rsid w:val="0009302B"/>
    <w:rsid w:val="00093EC2"/>
    <w:rsid w:val="000948AC"/>
    <w:rsid w:val="000958A2"/>
    <w:rsid w:val="000965E7"/>
    <w:rsid w:val="000A0041"/>
    <w:rsid w:val="000A06FC"/>
    <w:rsid w:val="000A1451"/>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7678"/>
    <w:rsid w:val="0013053A"/>
    <w:rsid w:val="0013066A"/>
    <w:rsid w:val="001315EF"/>
    <w:rsid w:val="00131F39"/>
    <w:rsid w:val="00132375"/>
    <w:rsid w:val="00132E73"/>
    <w:rsid w:val="00133505"/>
    <w:rsid w:val="00134188"/>
    <w:rsid w:val="00135173"/>
    <w:rsid w:val="00137403"/>
    <w:rsid w:val="00140706"/>
    <w:rsid w:val="0014122A"/>
    <w:rsid w:val="00141E85"/>
    <w:rsid w:val="00142E89"/>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E95"/>
    <w:rsid w:val="00173713"/>
    <w:rsid w:val="00174841"/>
    <w:rsid w:val="001761FD"/>
    <w:rsid w:val="00177D61"/>
    <w:rsid w:val="00180125"/>
    <w:rsid w:val="001808CA"/>
    <w:rsid w:val="00180923"/>
    <w:rsid w:val="00180CE5"/>
    <w:rsid w:val="00180DC8"/>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3DB1"/>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98B"/>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29B"/>
    <w:rsid w:val="00362610"/>
    <w:rsid w:val="00363830"/>
    <w:rsid w:val="00363D2D"/>
    <w:rsid w:val="00364BB6"/>
    <w:rsid w:val="00364D6B"/>
    <w:rsid w:val="00365408"/>
    <w:rsid w:val="00365CC0"/>
    <w:rsid w:val="003668DF"/>
    <w:rsid w:val="00367688"/>
    <w:rsid w:val="00372221"/>
    <w:rsid w:val="00372CF2"/>
    <w:rsid w:val="00374C7E"/>
    <w:rsid w:val="0037604A"/>
    <w:rsid w:val="00377135"/>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224"/>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6E2D"/>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0C6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A40"/>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EBE"/>
    <w:rsid w:val="00490FD6"/>
    <w:rsid w:val="004911C4"/>
    <w:rsid w:val="00491993"/>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63C"/>
    <w:rsid w:val="004F0C51"/>
    <w:rsid w:val="004F263C"/>
    <w:rsid w:val="004F2BB1"/>
    <w:rsid w:val="004F2EC7"/>
    <w:rsid w:val="004F3CE8"/>
    <w:rsid w:val="004F6BFB"/>
    <w:rsid w:val="004F7E4A"/>
    <w:rsid w:val="0050147C"/>
    <w:rsid w:val="0050182B"/>
    <w:rsid w:val="00502579"/>
    <w:rsid w:val="0050275A"/>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0C44"/>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716"/>
    <w:rsid w:val="005E2C60"/>
    <w:rsid w:val="005E31F6"/>
    <w:rsid w:val="005E3622"/>
    <w:rsid w:val="005E60B3"/>
    <w:rsid w:val="005E676C"/>
    <w:rsid w:val="005E6CB9"/>
    <w:rsid w:val="005E7F14"/>
    <w:rsid w:val="005F0154"/>
    <w:rsid w:val="005F0176"/>
    <w:rsid w:val="005F021D"/>
    <w:rsid w:val="005F1EAC"/>
    <w:rsid w:val="005F308F"/>
    <w:rsid w:val="005F33F1"/>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06BD"/>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8C9"/>
    <w:rsid w:val="006B1D7B"/>
    <w:rsid w:val="006B27D4"/>
    <w:rsid w:val="006B2C9C"/>
    <w:rsid w:val="006B48EB"/>
    <w:rsid w:val="006B4C00"/>
    <w:rsid w:val="006B4C37"/>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6BF0"/>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15A"/>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DF5"/>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D33"/>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D5"/>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1E65"/>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06C"/>
    <w:rsid w:val="008D45CD"/>
    <w:rsid w:val="008D55F1"/>
    <w:rsid w:val="008D5CD7"/>
    <w:rsid w:val="008D718E"/>
    <w:rsid w:val="008E09C5"/>
    <w:rsid w:val="008E0AA7"/>
    <w:rsid w:val="008E2355"/>
    <w:rsid w:val="008E3151"/>
    <w:rsid w:val="008E3386"/>
    <w:rsid w:val="008E428A"/>
    <w:rsid w:val="008E5410"/>
    <w:rsid w:val="008E5A3F"/>
    <w:rsid w:val="008E7142"/>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F16"/>
    <w:rsid w:val="00902DEC"/>
    <w:rsid w:val="0090342E"/>
    <w:rsid w:val="00903D3A"/>
    <w:rsid w:val="009044B9"/>
    <w:rsid w:val="009047B1"/>
    <w:rsid w:val="00904C86"/>
    <w:rsid w:val="0090680D"/>
    <w:rsid w:val="0091045D"/>
    <w:rsid w:val="0091281A"/>
    <w:rsid w:val="00912B24"/>
    <w:rsid w:val="009139B5"/>
    <w:rsid w:val="00914514"/>
    <w:rsid w:val="00914549"/>
    <w:rsid w:val="00914A9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65FB"/>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1F33"/>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079E"/>
    <w:rsid w:val="00A211C8"/>
    <w:rsid w:val="00A2121E"/>
    <w:rsid w:val="00A219C4"/>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134"/>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4EA7"/>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35EE"/>
    <w:rsid w:val="00B54DA7"/>
    <w:rsid w:val="00B600C6"/>
    <w:rsid w:val="00B60167"/>
    <w:rsid w:val="00B60FC0"/>
    <w:rsid w:val="00B61665"/>
    <w:rsid w:val="00B63528"/>
    <w:rsid w:val="00B63DAF"/>
    <w:rsid w:val="00B63E98"/>
    <w:rsid w:val="00B65754"/>
    <w:rsid w:val="00B661AA"/>
    <w:rsid w:val="00B66242"/>
    <w:rsid w:val="00B670D3"/>
    <w:rsid w:val="00B67958"/>
    <w:rsid w:val="00B7014E"/>
    <w:rsid w:val="00B701D1"/>
    <w:rsid w:val="00B716BB"/>
    <w:rsid w:val="00B716FD"/>
    <w:rsid w:val="00B734C2"/>
    <w:rsid w:val="00B73BDA"/>
    <w:rsid w:val="00B74053"/>
    <w:rsid w:val="00B765A0"/>
    <w:rsid w:val="00B76C02"/>
    <w:rsid w:val="00B77A46"/>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764"/>
    <w:rsid w:val="00BC1F79"/>
    <w:rsid w:val="00BC2201"/>
    <w:rsid w:val="00BC3C7A"/>
    <w:rsid w:val="00BC4B84"/>
    <w:rsid w:val="00BC7DC6"/>
    <w:rsid w:val="00BD1039"/>
    <w:rsid w:val="00BD13B5"/>
    <w:rsid w:val="00BD2BE9"/>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5E9"/>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D3"/>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2B8"/>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293"/>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395"/>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0957"/>
    <w:rsid w:val="00D1158C"/>
    <w:rsid w:val="00D11600"/>
    <w:rsid w:val="00D119A2"/>
    <w:rsid w:val="00D12E31"/>
    <w:rsid w:val="00D137F9"/>
    <w:rsid w:val="00D1458C"/>
    <w:rsid w:val="00D154A9"/>
    <w:rsid w:val="00D1620E"/>
    <w:rsid w:val="00D16867"/>
    <w:rsid w:val="00D16EEC"/>
    <w:rsid w:val="00D175EC"/>
    <w:rsid w:val="00D2047A"/>
    <w:rsid w:val="00D20631"/>
    <w:rsid w:val="00D207FC"/>
    <w:rsid w:val="00D2260B"/>
    <w:rsid w:val="00D22D49"/>
    <w:rsid w:val="00D23930"/>
    <w:rsid w:val="00D23A23"/>
    <w:rsid w:val="00D24D8A"/>
    <w:rsid w:val="00D24DA4"/>
    <w:rsid w:val="00D25235"/>
    <w:rsid w:val="00D25383"/>
    <w:rsid w:val="00D25670"/>
    <w:rsid w:val="00D301FF"/>
    <w:rsid w:val="00D3021B"/>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2A"/>
    <w:rsid w:val="00DE0E5D"/>
    <w:rsid w:val="00DE447F"/>
    <w:rsid w:val="00DE48F0"/>
    <w:rsid w:val="00DE4A77"/>
    <w:rsid w:val="00DE4C24"/>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0464"/>
    <w:rsid w:val="00E12FCF"/>
    <w:rsid w:val="00E13273"/>
    <w:rsid w:val="00E13379"/>
    <w:rsid w:val="00E139EE"/>
    <w:rsid w:val="00E14D83"/>
    <w:rsid w:val="00E14FA6"/>
    <w:rsid w:val="00E15A0D"/>
    <w:rsid w:val="00E16640"/>
    <w:rsid w:val="00E1740F"/>
    <w:rsid w:val="00E17FCE"/>
    <w:rsid w:val="00E200CF"/>
    <w:rsid w:val="00E24287"/>
    <w:rsid w:val="00E2551B"/>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F5F"/>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4A1"/>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6D027"/>
  <w15:chartTrackingRefBased/>
  <w15:docId w15:val="{66A8D7BF-3B2A-44BC-AF76-0D83D35D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2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rsid w:val="00991F33"/>
    <w:pPr>
      <w:widowControl w:val="0"/>
      <w:suppressAutoHyphens/>
      <w:spacing w:after="120"/>
    </w:pPr>
    <w:rPr>
      <w:rFonts w:eastAsia="Arial"/>
      <w:kern w:val="1"/>
      <w:lang w:val="en"/>
    </w:rPr>
  </w:style>
  <w:style w:type="character" w:customStyle="1" w:styleId="BodyTextChar">
    <w:name w:val="Body Text Char"/>
    <w:basedOn w:val="DefaultParagraphFont"/>
    <w:link w:val="BodyText"/>
    <w:rsid w:val="00991F33"/>
    <w:rPr>
      <w:rFonts w:eastAsia="Arial"/>
      <w:kern w:val="1"/>
      <w:sz w:val="24"/>
      <w:szCs w:val="24"/>
      <w:lang w:val="en"/>
    </w:rPr>
  </w:style>
  <w:style w:type="paragraph" w:styleId="FootnoteText">
    <w:name w:val="footnote text"/>
    <w:basedOn w:val="Normal"/>
    <w:link w:val="FootnoteTextChar"/>
    <w:uiPriority w:val="99"/>
    <w:semiHidden/>
    <w:unhideWhenUsed/>
    <w:rsid w:val="00253DB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53DB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53DB1"/>
    <w:rPr>
      <w:vertAlign w:val="superscript"/>
    </w:rPr>
  </w:style>
  <w:style w:type="character" w:styleId="UnresolvedMention">
    <w:name w:val="Unresolved Mention"/>
    <w:basedOn w:val="DefaultParagraphFont"/>
    <w:uiPriority w:val="99"/>
    <w:semiHidden/>
    <w:unhideWhenUsed/>
    <w:rsid w:val="00BD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3301156">
      <w:bodyDiv w:val="1"/>
      <w:marLeft w:val="0"/>
      <w:marRight w:val="0"/>
      <w:marTop w:val="0"/>
      <w:marBottom w:val="0"/>
      <w:divBdr>
        <w:top w:val="none" w:sz="0" w:space="0" w:color="auto"/>
        <w:left w:val="none" w:sz="0" w:space="0" w:color="auto"/>
        <w:bottom w:val="none" w:sz="0" w:space="0" w:color="auto"/>
        <w:right w:val="none" w:sz="0" w:space="0" w:color="auto"/>
      </w:divBdr>
      <w:divsChild>
        <w:div w:id="1488861916">
          <w:marLeft w:val="0"/>
          <w:marRight w:val="0"/>
          <w:marTop w:val="0"/>
          <w:marBottom w:val="0"/>
          <w:divBdr>
            <w:top w:val="none" w:sz="0" w:space="0" w:color="auto"/>
            <w:left w:val="none" w:sz="0" w:space="0" w:color="auto"/>
            <w:bottom w:val="none" w:sz="0" w:space="0" w:color="auto"/>
            <w:right w:val="none" w:sz="0" w:space="0" w:color="auto"/>
          </w:divBdr>
        </w:div>
        <w:div w:id="896090993">
          <w:marLeft w:val="0"/>
          <w:marRight w:val="0"/>
          <w:marTop w:val="0"/>
          <w:marBottom w:val="0"/>
          <w:divBdr>
            <w:top w:val="none" w:sz="0" w:space="0" w:color="auto"/>
            <w:left w:val="none" w:sz="0" w:space="0" w:color="auto"/>
            <w:bottom w:val="none" w:sz="0" w:space="0" w:color="auto"/>
            <w:right w:val="none" w:sz="0" w:space="0" w:color="auto"/>
          </w:divBdr>
        </w:div>
        <w:div w:id="1502886130">
          <w:marLeft w:val="0"/>
          <w:marRight w:val="0"/>
          <w:marTop w:val="0"/>
          <w:marBottom w:val="0"/>
          <w:divBdr>
            <w:top w:val="none" w:sz="0" w:space="0" w:color="auto"/>
            <w:left w:val="none" w:sz="0" w:space="0" w:color="auto"/>
            <w:bottom w:val="none" w:sz="0" w:space="0" w:color="auto"/>
            <w:right w:val="none" w:sz="0" w:space="0" w:color="auto"/>
          </w:divBdr>
        </w:div>
        <w:div w:id="622460938">
          <w:marLeft w:val="0"/>
          <w:marRight w:val="0"/>
          <w:marTop w:val="0"/>
          <w:marBottom w:val="0"/>
          <w:divBdr>
            <w:top w:val="none" w:sz="0" w:space="0" w:color="auto"/>
            <w:left w:val="none" w:sz="0" w:space="0" w:color="auto"/>
            <w:bottom w:val="none" w:sz="0" w:space="0" w:color="auto"/>
            <w:right w:val="none" w:sz="0" w:space="0" w:color="auto"/>
          </w:divBdr>
        </w:div>
        <w:div w:id="164631775">
          <w:marLeft w:val="0"/>
          <w:marRight w:val="0"/>
          <w:marTop w:val="0"/>
          <w:marBottom w:val="0"/>
          <w:divBdr>
            <w:top w:val="none" w:sz="0" w:space="0" w:color="auto"/>
            <w:left w:val="none" w:sz="0" w:space="0" w:color="auto"/>
            <w:bottom w:val="none" w:sz="0" w:space="0" w:color="auto"/>
            <w:right w:val="none" w:sz="0" w:space="0" w:color="auto"/>
          </w:divBdr>
        </w:div>
        <w:div w:id="1335917135">
          <w:marLeft w:val="0"/>
          <w:marRight w:val="0"/>
          <w:marTop w:val="0"/>
          <w:marBottom w:val="0"/>
          <w:divBdr>
            <w:top w:val="none" w:sz="0" w:space="0" w:color="auto"/>
            <w:left w:val="none" w:sz="0" w:space="0" w:color="auto"/>
            <w:bottom w:val="none" w:sz="0" w:space="0" w:color="auto"/>
            <w:right w:val="none" w:sz="0" w:space="0" w:color="auto"/>
          </w:divBdr>
        </w:div>
        <w:div w:id="1544443735">
          <w:marLeft w:val="0"/>
          <w:marRight w:val="0"/>
          <w:marTop w:val="0"/>
          <w:marBottom w:val="0"/>
          <w:divBdr>
            <w:top w:val="none" w:sz="0" w:space="0" w:color="auto"/>
            <w:left w:val="none" w:sz="0" w:space="0" w:color="auto"/>
            <w:bottom w:val="none" w:sz="0" w:space="0" w:color="auto"/>
            <w:right w:val="none" w:sz="0" w:space="0" w:color="auto"/>
          </w:divBdr>
        </w:div>
        <w:div w:id="978729463">
          <w:marLeft w:val="0"/>
          <w:marRight w:val="0"/>
          <w:marTop w:val="0"/>
          <w:marBottom w:val="0"/>
          <w:divBdr>
            <w:top w:val="none" w:sz="0" w:space="0" w:color="auto"/>
            <w:left w:val="none" w:sz="0" w:space="0" w:color="auto"/>
            <w:bottom w:val="none" w:sz="0" w:space="0" w:color="auto"/>
            <w:right w:val="none" w:sz="0" w:space="0" w:color="auto"/>
          </w:divBdr>
        </w:div>
        <w:div w:id="1514105395">
          <w:marLeft w:val="0"/>
          <w:marRight w:val="0"/>
          <w:marTop w:val="0"/>
          <w:marBottom w:val="0"/>
          <w:divBdr>
            <w:top w:val="none" w:sz="0" w:space="0" w:color="auto"/>
            <w:left w:val="none" w:sz="0" w:space="0" w:color="auto"/>
            <w:bottom w:val="none" w:sz="0" w:space="0" w:color="auto"/>
            <w:right w:val="none" w:sz="0" w:space="0" w:color="auto"/>
          </w:divBdr>
        </w:div>
        <w:div w:id="1405372726">
          <w:marLeft w:val="0"/>
          <w:marRight w:val="0"/>
          <w:marTop w:val="0"/>
          <w:marBottom w:val="0"/>
          <w:divBdr>
            <w:top w:val="none" w:sz="0" w:space="0" w:color="auto"/>
            <w:left w:val="none" w:sz="0" w:space="0" w:color="auto"/>
            <w:bottom w:val="none" w:sz="0" w:space="0" w:color="auto"/>
            <w:right w:val="none" w:sz="0" w:space="0" w:color="auto"/>
          </w:divBdr>
        </w:div>
        <w:div w:id="744692141">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sites/default/files/resources/files/td2019_index_v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AB6F-0BAD-46EA-BCEE-65FCE1D6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1775</Words>
  <Characters>12694</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Anita Jurševica</cp:lastModifiedBy>
  <cp:revision>38</cp:revision>
  <cp:lastPrinted>2009-04-08T08:39:00Z</cp:lastPrinted>
  <dcterms:created xsi:type="dcterms:W3CDTF">2019-06-27T09:14:00Z</dcterms:created>
  <dcterms:modified xsi:type="dcterms:W3CDTF">2020-12-07T14:32:00Z</dcterms:modified>
</cp:coreProperties>
</file>