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B61E" w14:textId="77777777" w:rsidR="00EB5F2C" w:rsidRDefault="007116C7" w:rsidP="00EB5F2C">
      <w:pPr>
        <w:pStyle w:val="naisnod"/>
        <w:spacing w:before="0" w:after="0"/>
        <w:ind w:firstLine="720"/>
        <w:rPr>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p>
    <w:p w14:paraId="43436CD9" w14:textId="77777777" w:rsidR="00EB5F2C" w:rsidRDefault="00153FB5" w:rsidP="00EB5F2C">
      <w:pPr>
        <w:pStyle w:val="naisnod"/>
        <w:spacing w:before="0" w:after="0"/>
        <w:ind w:firstLine="720"/>
        <w:rPr>
          <w:color w:val="000000" w:themeColor="text1"/>
          <w:sz w:val="28"/>
          <w:szCs w:val="28"/>
        </w:rPr>
      </w:pPr>
      <w:r w:rsidRPr="001C57E1">
        <w:rPr>
          <w:color w:val="000000" w:themeColor="text1"/>
          <w:sz w:val="28"/>
          <w:szCs w:val="28"/>
        </w:rPr>
        <w:t xml:space="preserve">par </w:t>
      </w:r>
      <w:r w:rsidR="00487BA0" w:rsidRPr="001C57E1">
        <w:rPr>
          <w:color w:val="000000" w:themeColor="text1"/>
          <w:sz w:val="28"/>
          <w:szCs w:val="28"/>
        </w:rPr>
        <w:t>Ministru kabineta noteikumu projektu</w:t>
      </w:r>
    </w:p>
    <w:p w14:paraId="0CB39368" w14:textId="0D765753" w:rsidR="00153FB5" w:rsidRPr="006119B2" w:rsidRDefault="00487BA0" w:rsidP="00EB5F2C">
      <w:pPr>
        <w:pStyle w:val="naisnod"/>
        <w:spacing w:before="0" w:after="0"/>
        <w:ind w:firstLine="720"/>
        <w:rPr>
          <w:b w:val="0"/>
          <w:bCs w:val="0"/>
          <w:color w:val="000000" w:themeColor="text1"/>
          <w:sz w:val="28"/>
          <w:szCs w:val="28"/>
        </w:rPr>
      </w:pPr>
      <w:r w:rsidRPr="001C57E1">
        <w:rPr>
          <w:color w:val="000000" w:themeColor="text1"/>
          <w:sz w:val="28"/>
          <w:szCs w:val="28"/>
        </w:rPr>
        <w:t xml:space="preserve"> </w:t>
      </w:r>
      <w:r w:rsidR="00E365E9" w:rsidRPr="00274209">
        <w:rPr>
          <w:sz w:val="28"/>
          <w:szCs w:val="28"/>
        </w:rPr>
        <w:t xml:space="preserve">“Grozījumi Ministru kabineta 2018.gada 28.augusta noteikumos Nr.555 </w:t>
      </w:r>
      <w:r w:rsidR="00E365E9">
        <w:rPr>
          <w:sz w:val="28"/>
          <w:szCs w:val="28"/>
          <w:lang w:val="en-GB"/>
        </w:rPr>
        <w:t>“</w:t>
      </w:r>
      <w:r w:rsidR="00E365E9" w:rsidRPr="00274209">
        <w:rPr>
          <w:sz w:val="28"/>
          <w:szCs w:val="28"/>
        </w:rPr>
        <w:t>Veselības aprūpes pakalpojumu organizēšanas un samaksas kārtība””</w:t>
      </w:r>
    </w:p>
    <w:p w14:paraId="602AB6B3" w14:textId="77777777" w:rsidR="007B4C0F" w:rsidRPr="001C57E1" w:rsidRDefault="007B4C0F" w:rsidP="00DB7395">
      <w:pPr>
        <w:pStyle w:val="naisf"/>
        <w:spacing w:before="0" w:after="0"/>
        <w:ind w:firstLine="720"/>
        <w:rPr>
          <w:color w:val="000000" w:themeColor="text1"/>
        </w:rPr>
      </w:pPr>
    </w:p>
    <w:p w14:paraId="61AFDA86" w14:textId="77777777" w:rsidR="00F14AD5" w:rsidRPr="001C57E1" w:rsidRDefault="00F14AD5" w:rsidP="00DB7395">
      <w:pPr>
        <w:pStyle w:val="naisf"/>
        <w:spacing w:before="0" w:after="0"/>
        <w:ind w:firstLine="720"/>
        <w:rPr>
          <w:color w:val="000000" w:themeColor="text1"/>
        </w:rPr>
      </w:pPr>
    </w:p>
    <w:p w14:paraId="325F3D4B"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0ABF2E55"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02"/>
        <w:gridCol w:w="2976"/>
        <w:gridCol w:w="2861"/>
        <w:gridCol w:w="2384"/>
        <w:gridCol w:w="2111"/>
      </w:tblGrid>
      <w:tr w:rsidR="001C57E1" w:rsidRPr="001C57E1" w14:paraId="53E4226F" w14:textId="77777777" w:rsidTr="00102411">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63611C50"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1F881410" w14:textId="77777777" w:rsidR="00F14AD5" w:rsidRPr="001C57E1" w:rsidRDefault="00F14AD5" w:rsidP="00D937F1">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42766BF9" w14:textId="77777777" w:rsidR="00F14AD5" w:rsidRPr="001C57E1" w:rsidRDefault="00F14AD5" w:rsidP="00D937F1">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54191835" w14:textId="77777777" w:rsidR="00F14AD5" w:rsidRPr="001C57E1" w:rsidRDefault="00F14AD5" w:rsidP="00D937F1">
            <w:pPr>
              <w:pStyle w:val="naisc"/>
              <w:spacing w:before="0" w:after="0"/>
              <w:ind w:firstLine="21"/>
              <w:rPr>
                <w:color w:val="000000" w:themeColor="text1"/>
              </w:rPr>
            </w:pPr>
            <w:r w:rsidRPr="001C57E1">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14:paraId="61C2808B" w14:textId="77777777" w:rsidR="00F14AD5" w:rsidRPr="001C57E1" w:rsidRDefault="00F14AD5" w:rsidP="00D937F1">
            <w:pPr>
              <w:jc w:val="center"/>
              <w:rPr>
                <w:color w:val="000000" w:themeColor="text1"/>
              </w:rPr>
            </w:pPr>
            <w:r w:rsidRPr="001C57E1">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7DCA45C9" w14:textId="77777777" w:rsidR="00F14AD5" w:rsidRPr="001C57E1" w:rsidRDefault="00F14AD5" w:rsidP="00D937F1">
            <w:pPr>
              <w:jc w:val="center"/>
              <w:rPr>
                <w:color w:val="000000" w:themeColor="text1"/>
              </w:rPr>
            </w:pPr>
            <w:r w:rsidRPr="001C57E1">
              <w:rPr>
                <w:color w:val="000000" w:themeColor="text1"/>
              </w:rPr>
              <w:t>Projekta attiecīgā punkta (panta) galīgā redakcija</w:t>
            </w:r>
          </w:p>
        </w:tc>
      </w:tr>
      <w:tr w:rsidR="001C57E1" w:rsidRPr="001C57E1" w14:paraId="61312765" w14:textId="77777777" w:rsidTr="00102411">
        <w:tc>
          <w:tcPr>
            <w:tcW w:w="534" w:type="dxa"/>
            <w:tcBorders>
              <w:top w:val="single" w:sz="6" w:space="0" w:color="000000"/>
              <w:left w:val="single" w:sz="6" w:space="0" w:color="000000"/>
              <w:bottom w:val="single" w:sz="6" w:space="0" w:color="000000"/>
              <w:right w:val="single" w:sz="6" w:space="0" w:color="000000"/>
            </w:tcBorders>
          </w:tcPr>
          <w:p w14:paraId="7209E43F"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3402" w:type="dxa"/>
            <w:tcBorders>
              <w:top w:val="single" w:sz="6" w:space="0" w:color="000000"/>
              <w:left w:val="single" w:sz="6" w:space="0" w:color="000000"/>
              <w:bottom w:val="single" w:sz="6" w:space="0" w:color="000000"/>
              <w:right w:val="single" w:sz="6" w:space="0" w:color="000000"/>
            </w:tcBorders>
          </w:tcPr>
          <w:p w14:paraId="0086429F"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2</w:t>
            </w:r>
          </w:p>
        </w:tc>
        <w:tc>
          <w:tcPr>
            <w:tcW w:w="2976" w:type="dxa"/>
            <w:tcBorders>
              <w:top w:val="single" w:sz="6" w:space="0" w:color="000000"/>
              <w:left w:val="single" w:sz="6" w:space="0" w:color="000000"/>
              <w:bottom w:val="single" w:sz="6" w:space="0" w:color="000000"/>
              <w:right w:val="single" w:sz="6" w:space="0" w:color="000000"/>
            </w:tcBorders>
          </w:tcPr>
          <w:p w14:paraId="39B67972"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14:paraId="285DE049"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4</w:t>
            </w:r>
          </w:p>
        </w:tc>
        <w:tc>
          <w:tcPr>
            <w:tcW w:w="2384" w:type="dxa"/>
            <w:tcBorders>
              <w:top w:val="single" w:sz="4" w:space="0" w:color="auto"/>
              <w:left w:val="single" w:sz="4" w:space="0" w:color="auto"/>
              <w:bottom w:val="single" w:sz="4" w:space="0" w:color="auto"/>
              <w:right w:val="single" w:sz="4" w:space="0" w:color="auto"/>
            </w:tcBorders>
          </w:tcPr>
          <w:p w14:paraId="3472159B" w14:textId="77777777" w:rsidR="00F14AD5" w:rsidRPr="001C57E1" w:rsidRDefault="00F14AD5" w:rsidP="00465B15">
            <w:pPr>
              <w:jc w:val="center"/>
              <w:rPr>
                <w:color w:val="000000" w:themeColor="text1"/>
                <w:sz w:val="20"/>
                <w:szCs w:val="20"/>
              </w:rPr>
            </w:pPr>
            <w:r w:rsidRPr="001C57E1">
              <w:rPr>
                <w:color w:val="000000" w:themeColor="text1"/>
                <w:sz w:val="20"/>
                <w:szCs w:val="20"/>
              </w:rPr>
              <w:t>5</w:t>
            </w:r>
          </w:p>
        </w:tc>
        <w:tc>
          <w:tcPr>
            <w:tcW w:w="2111" w:type="dxa"/>
            <w:tcBorders>
              <w:top w:val="single" w:sz="4" w:space="0" w:color="auto"/>
              <w:left w:val="single" w:sz="4" w:space="0" w:color="auto"/>
              <w:bottom w:val="single" w:sz="4" w:space="0" w:color="auto"/>
            </w:tcBorders>
          </w:tcPr>
          <w:p w14:paraId="17B3A0EB" w14:textId="77777777" w:rsidR="00F14AD5" w:rsidRPr="001C57E1" w:rsidRDefault="00F14AD5" w:rsidP="00465B15">
            <w:pPr>
              <w:jc w:val="center"/>
              <w:rPr>
                <w:color w:val="000000" w:themeColor="text1"/>
                <w:sz w:val="20"/>
                <w:szCs w:val="20"/>
              </w:rPr>
            </w:pPr>
            <w:r w:rsidRPr="001C57E1">
              <w:rPr>
                <w:color w:val="000000" w:themeColor="text1"/>
                <w:sz w:val="20"/>
                <w:szCs w:val="20"/>
              </w:rPr>
              <w:t>6</w:t>
            </w:r>
          </w:p>
        </w:tc>
      </w:tr>
      <w:tr w:rsidR="009B0010" w:rsidRPr="001C57E1" w14:paraId="592363E8" w14:textId="77777777" w:rsidTr="00102411">
        <w:tc>
          <w:tcPr>
            <w:tcW w:w="534" w:type="dxa"/>
            <w:tcBorders>
              <w:top w:val="single" w:sz="6" w:space="0" w:color="000000"/>
              <w:left w:val="single" w:sz="6" w:space="0" w:color="000000"/>
              <w:bottom w:val="single" w:sz="6" w:space="0" w:color="000000"/>
              <w:right w:val="single" w:sz="6" w:space="0" w:color="000000"/>
            </w:tcBorders>
          </w:tcPr>
          <w:p w14:paraId="35C1273B" w14:textId="2EDC2165" w:rsidR="009B0010" w:rsidRPr="001C57E1" w:rsidRDefault="009B0010" w:rsidP="009B0010">
            <w:pPr>
              <w:pStyle w:val="naisc"/>
              <w:spacing w:before="0" w:after="0"/>
              <w:rPr>
                <w:color w:val="000000" w:themeColor="text1"/>
                <w:sz w:val="20"/>
                <w:szCs w:val="20"/>
              </w:rPr>
            </w:pPr>
            <w:r>
              <w:rPr>
                <w:color w:val="000000" w:themeColor="text1"/>
                <w:sz w:val="20"/>
                <w:szCs w:val="20"/>
              </w:rPr>
              <w:t>1.</w:t>
            </w:r>
          </w:p>
        </w:tc>
        <w:tc>
          <w:tcPr>
            <w:tcW w:w="3402" w:type="dxa"/>
            <w:tcBorders>
              <w:top w:val="single" w:sz="6" w:space="0" w:color="000000"/>
              <w:left w:val="single" w:sz="6" w:space="0" w:color="000000"/>
              <w:bottom w:val="single" w:sz="6" w:space="0" w:color="000000"/>
              <w:right w:val="single" w:sz="6" w:space="0" w:color="000000"/>
            </w:tcBorders>
          </w:tcPr>
          <w:p w14:paraId="4E0ADE98" w14:textId="4A9836DE" w:rsidR="009B0010" w:rsidRPr="001C57E1" w:rsidRDefault="009B0010" w:rsidP="009B0010">
            <w:pPr>
              <w:pStyle w:val="naisc"/>
              <w:spacing w:before="0" w:after="0"/>
              <w:jc w:val="both"/>
              <w:rPr>
                <w:color w:val="000000" w:themeColor="text1"/>
                <w:sz w:val="20"/>
                <w:szCs w:val="20"/>
              </w:rPr>
            </w:pPr>
          </w:p>
        </w:tc>
        <w:tc>
          <w:tcPr>
            <w:tcW w:w="2976" w:type="dxa"/>
            <w:tcBorders>
              <w:top w:val="single" w:sz="6" w:space="0" w:color="000000"/>
              <w:left w:val="single" w:sz="6" w:space="0" w:color="000000"/>
              <w:bottom w:val="single" w:sz="6" w:space="0" w:color="000000"/>
              <w:right w:val="single" w:sz="6" w:space="0" w:color="000000"/>
            </w:tcBorders>
          </w:tcPr>
          <w:p w14:paraId="120A5718" w14:textId="77777777" w:rsidR="009B0010" w:rsidRPr="001C57E1" w:rsidRDefault="009B0010" w:rsidP="009B0010">
            <w:pPr>
              <w:pStyle w:val="naisc"/>
              <w:spacing w:before="0" w:after="0"/>
              <w:rPr>
                <w:color w:val="000000" w:themeColor="text1"/>
                <w:sz w:val="20"/>
                <w:szCs w:val="20"/>
              </w:rPr>
            </w:pPr>
          </w:p>
        </w:tc>
        <w:tc>
          <w:tcPr>
            <w:tcW w:w="2861" w:type="dxa"/>
            <w:tcBorders>
              <w:top w:val="single" w:sz="6" w:space="0" w:color="000000"/>
              <w:left w:val="single" w:sz="6" w:space="0" w:color="000000"/>
              <w:bottom w:val="single" w:sz="6" w:space="0" w:color="000000"/>
              <w:right w:val="single" w:sz="6" w:space="0" w:color="000000"/>
            </w:tcBorders>
          </w:tcPr>
          <w:p w14:paraId="31BC0072" w14:textId="77777777" w:rsidR="009B0010" w:rsidRPr="001C57E1" w:rsidRDefault="009B0010" w:rsidP="009B0010">
            <w:pPr>
              <w:pStyle w:val="naisc"/>
              <w:spacing w:before="0" w:after="0"/>
              <w:rPr>
                <w:color w:val="000000" w:themeColor="text1"/>
                <w:sz w:val="20"/>
                <w:szCs w:val="20"/>
              </w:rPr>
            </w:pPr>
          </w:p>
        </w:tc>
        <w:tc>
          <w:tcPr>
            <w:tcW w:w="2384" w:type="dxa"/>
            <w:tcBorders>
              <w:top w:val="single" w:sz="4" w:space="0" w:color="auto"/>
              <w:left w:val="single" w:sz="4" w:space="0" w:color="auto"/>
              <w:bottom w:val="single" w:sz="4" w:space="0" w:color="auto"/>
              <w:right w:val="single" w:sz="4" w:space="0" w:color="auto"/>
            </w:tcBorders>
          </w:tcPr>
          <w:p w14:paraId="1469EF42" w14:textId="77777777" w:rsidR="009B0010" w:rsidRPr="001C57E1" w:rsidRDefault="009B0010" w:rsidP="009B0010">
            <w:pPr>
              <w:jc w:val="center"/>
              <w:rPr>
                <w:color w:val="000000" w:themeColor="text1"/>
                <w:sz w:val="20"/>
                <w:szCs w:val="20"/>
              </w:rPr>
            </w:pPr>
          </w:p>
        </w:tc>
        <w:tc>
          <w:tcPr>
            <w:tcW w:w="2111" w:type="dxa"/>
            <w:tcBorders>
              <w:top w:val="single" w:sz="4" w:space="0" w:color="auto"/>
              <w:left w:val="single" w:sz="4" w:space="0" w:color="auto"/>
              <w:bottom w:val="single" w:sz="4" w:space="0" w:color="auto"/>
            </w:tcBorders>
          </w:tcPr>
          <w:p w14:paraId="3F0C6249" w14:textId="77777777" w:rsidR="009B0010" w:rsidRPr="001C57E1" w:rsidRDefault="009B0010" w:rsidP="009B0010">
            <w:pPr>
              <w:jc w:val="center"/>
              <w:rPr>
                <w:color w:val="000000" w:themeColor="text1"/>
                <w:sz w:val="20"/>
                <w:szCs w:val="20"/>
              </w:rPr>
            </w:pPr>
          </w:p>
        </w:tc>
      </w:tr>
      <w:tr w:rsidR="009B0010" w:rsidRPr="001C57E1" w14:paraId="3D71BF6A" w14:textId="77777777" w:rsidTr="00102411">
        <w:tc>
          <w:tcPr>
            <w:tcW w:w="534" w:type="dxa"/>
            <w:tcBorders>
              <w:top w:val="single" w:sz="6" w:space="0" w:color="000000"/>
              <w:left w:val="single" w:sz="6" w:space="0" w:color="000000"/>
              <w:bottom w:val="single" w:sz="6" w:space="0" w:color="000000"/>
              <w:right w:val="single" w:sz="6" w:space="0" w:color="000000"/>
            </w:tcBorders>
          </w:tcPr>
          <w:p w14:paraId="3DBCAFDF" w14:textId="77777777" w:rsidR="009B0010" w:rsidRPr="001C57E1" w:rsidRDefault="009B0010" w:rsidP="009B0010">
            <w:pPr>
              <w:pStyle w:val="naisc"/>
              <w:spacing w:before="0" w:after="0"/>
              <w:rPr>
                <w:color w:val="000000" w:themeColor="text1"/>
                <w:sz w:val="20"/>
                <w:szCs w:val="20"/>
              </w:rPr>
            </w:pPr>
          </w:p>
        </w:tc>
        <w:tc>
          <w:tcPr>
            <w:tcW w:w="3402" w:type="dxa"/>
            <w:tcBorders>
              <w:top w:val="single" w:sz="6" w:space="0" w:color="000000"/>
              <w:left w:val="single" w:sz="6" w:space="0" w:color="000000"/>
              <w:bottom w:val="single" w:sz="6" w:space="0" w:color="000000"/>
              <w:right w:val="single" w:sz="6" w:space="0" w:color="000000"/>
            </w:tcBorders>
          </w:tcPr>
          <w:p w14:paraId="0AB3C9C5" w14:textId="77777777" w:rsidR="009B0010" w:rsidRPr="001C57E1" w:rsidRDefault="009B0010" w:rsidP="009B0010">
            <w:pPr>
              <w:pStyle w:val="naisc"/>
              <w:spacing w:before="0" w:after="0"/>
              <w:rPr>
                <w:color w:val="000000" w:themeColor="text1"/>
                <w:sz w:val="20"/>
                <w:szCs w:val="20"/>
              </w:rPr>
            </w:pPr>
          </w:p>
        </w:tc>
        <w:tc>
          <w:tcPr>
            <w:tcW w:w="2976" w:type="dxa"/>
            <w:tcBorders>
              <w:top w:val="single" w:sz="6" w:space="0" w:color="000000"/>
              <w:left w:val="single" w:sz="6" w:space="0" w:color="000000"/>
              <w:bottom w:val="single" w:sz="6" w:space="0" w:color="000000"/>
              <w:right w:val="single" w:sz="6" w:space="0" w:color="000000"/>
            </w:tcBorders>
          </w:tcPr>
          <w:p w14:paraId="2E50302F" w14:textId="77777777" w:rsidR="009B0010" w:rsidRDefault="009B0010" w:rsidP="009B0010">
            <w:pPr>
              <w:pStyle w:val="naisc"/>
              <w:spacing w:before="0" w:after="0"/>
              <w:rPr>
                <w:b/>
                <w:bCs/>
                <w:color w:val="000000" w:themeColor="text1"/>
              </w:rPr>
            </w:pPr>
          </w:p>
        </w:tc>
        <w:tc>
          <w:tcPr>
            <w:tcW w:w="2861" w:type="dxa"/>
            <w:tcBorders>
              <w:top w:val="single" w:sz="6" w:space="0" w:color="000000"/>
              <w:left w:val="single" w:sz="6" w:space="0" w:color="000000"/>
              <w:bottom w:val="single" w:sz="6" w:space="0" w:color="000000"/>
              <w:right w:val="single" w:sz="6" w:space="0" w:color="000000"/>
            </w:tcBorders>
          </w:tcPr>
          <w:p w14:paraId="55553598" w14:textId="77777777" w:rsidR="009B0010" w:rsidRPr="001C57E1" w:rsidRDefault="009B0010" w:rsidP="009B0010">
            <w:pPr>
              <w:pStyle w:val="naisc"/>
              <w:spacing w:before="0" w:after="0"/>
              <w:rPr>
                <w:color w:val="000000" w:themeColor="text1"/>
                <w:sz w:val="20"/>
                <w:szCs w:val="20"/>
              </w:rPr>
            </w:pPr>
          </w:p>
        </w:tc>
        <w:tc>
          <w:tcPr>
            <w:tcW w:w="2384" w:type="dxa"/>
            <w:tcBorders>
              <w:top w:val="single" w:sz="4" w:space="0" w:color="auto"/>
              <w:left w:val="single" w:sz="4" w:space="0" w:color="auto"/>
              <w:bottom w:val="single" w:sz="4" w:space="0" w:color="auto"/>
              <w:right w:val="single" w:sz="4" w:space="0" w:color="auto"/>
            </w:tcBorders>
          </w:tcPr>
          <w:p w14:paraId="40F5DCBD" w14:textId="77777777" w:rsidR="009B0010" w:rsidRPr="001C57E1" w:rsidRDefault="009B0010" w:rsidP="009B0010">
            <w:pPr>
              <w:jc w:val="center"/>
              <w:rPr>
                <w:color w:val="000000" w:themeColor="text1"/>
                <w:sz w:val="20"/>
                <w:szCs w:val="20"/>
              </w:rPr>
            </w:pPr>
          </w:p>
        </w:tc>
        <w:tc>
          <w:tcPr>
            <w:tcW w:w="2111" w:type="dxa"/>
            <w:tcBorders>
              <w:top w:val="single" w:sz="4" w:space="0" w:color="auto"/>
              <w:left w:val="single" w:sz="4" w:space="0" w:color="auto"/>
              <w:bottom w:val="single" w:sz="4" w:space="0" w:color="auto"/>
            </w:tcBorders>
          </w:tcPr>
          <w:p w14:paraId="3322144E" w14:textId="77777777" w:rsidR="009B0010" w:rsidRPr="001C57E1" w:rsidRDefault="009B0010" w:rsidP="009B0010">
            <w:pPr>
              <w:jc w:val="center"/>
              <w:rPr>
                <w:color w:val="000000" w:themeColor="text1"/>
                <w:sz w:val="20"/>
                <w:szCs w:val="20"/>
              </w:rPr>
            </w:pPr>
          </w:p>
        </w:tc>
      </w:tr>
    </w:tbl>
    <w:p w14:paraId="4FC91F7F" w14:textId="77777777" w:rsidR="00F14AD5" w:rsidRPr="001C57E1" w:rsidRDefault="00F14AD5" w:rsidP="00F14AD5">
      <w:pPr>
        <w:pStyle w:val="naisf"/>
        <w:spacing w:before="0" w:after="0"/>
        <w:ind w:firstLine="0"/>
        <w:rPr>
          <w:color w:val="000000" w:themeColor="text1"/>
        </w:rPr>
      </w:pPr>
    </w:p>
    <w:p w14:paraId="71CA2ABE" w14:textId="77777777" w:rsidR="00F14AD5" w:rsidRPr="001C57E1" w:rsidRDefault="00F14AD5" w:rsidP="00F14AD5">
      <w:pPr>
        <w:pStyle w:val="naisf"/>
        <w:spacing w:before="0" w:after="0"/>
        <w:ind w:firstLine="0"/>
        <w:rPr>
          <w:b/>
          <w:color w:val="000000" w:themeColor="text1"/>
        </w:rPr>
      </w:pPr>
      <w:r w:rsidRPr="001C57E1">
        <w:rPr>
          <w:b/>
          <w:color w:val="000000" w:themeColor="text1"/>
        </w:rPr>
        <w:t>Informācija par starpministriju (starpinstitūciju) sanāksmi vai elektronisko saskaņošanu</w:t>
      </w:r>
    </w:p>
    <w:p w14:paraId="73D6B288"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542725F9" w14:textId="77777777" w:rsidTr="00DD7D21">
        <w:trPr>
          <w:gridAfter w:val="1"/>
          <w:wAfter w:w="993" w:type="dxa"/>
        </w:trPr>
        <w:tc>
          <w:tcPr>
            <w:tcW w:w="6345" w:type="dxa"/>
          </w:tcPr>
          <w:p w14:paraId="0E8C00D2"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2C08440B"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AAC7944" w14:textId="77777777" w:rsidTr="00DD7D21">
        <w:trPr>
          <w:gridAfter w:val="1"/>
          <w:wAfter w:w="993" w:type="dxa"/>
        </w:trPr>
        <w:tc>
          <w:tcPr>
            <w:tcW w:w="6345" w:type="dxa"/>
          </w:tcPr>
          <w:p w14:paraId="7CE8A256"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03A8B821"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41F9DB50" w14:textId="77777777" w:rsidTr="00DD7D21">
        <w:tc>
          <w:tcPr>
            <w:tcW w:w="6345" w:type="dxa"/>
          </w:tcPr>
          <w:p w14:paraId="45B51725"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4F45C094"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0269EF4" w14:textId="77777777" w:rsidTr="00DD7D21">
        <w:tc>
          <w:tcPr>
            <w:tcW w:w="6345" w:type="dxa"/>
          </w:tcPr>
          <w:p w14:paraId="295F54F8"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494B7DD1" w14:textId="77777777" w:rsidR="00F14AD5" w:rsidRPr="001C57E1" w:rsidRDefault="00F14AD5" w:rsidP="00D937F1">
            <w:pPr>
              <w:pStyle w:val="naiskr"/>
              <w:spacing w:before="0" w:after="0"/>
              <w:ind w:firstLine="720"/>
              <w:rPr>
                <w:color w:val="000000" w:themeColor="text1"/>
              </w:rPr>
            </w:pPr>
          </w:p>
        </w:tc>
      </w:tr>
      <w:tr w:rsidR="001C57E1" w:rsidRPr="001C57E1" w14:paraId="39439EBF" w14:textId="77777777" w:rsidTr="00DD7D21">
        <w:trPr>
          <w:trHeight w:val="285"/>
        </w:trPr>
        <w:tc>
          <w:tcPr>
            <w:tcW w:w="8046" w:type="dxa"/>
            <w:gridSpan w:val="4"/>
          </w:tcPr>
          <w:p w14:paraId="14ACE34A"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4798500B" w14:textId="77777777" w:rsidR="008B38C9" w:rsidRPr="001C57E1" w:rsidRDefault="008B38C9" w:rsidP="00102ADA">
            <w:pPr>
              <w:pStyle w:val="naiskr"/>
              <w:spacing w:before="0" w:after="0"/>
              <w:ind w:firstLine="12"/>
              <w:jc w:val="center"/>
              <w:rPr>
                <w:color w:val="000000" w:themeColor="text1"/>
              </w:rPr>
            </w:pPr>
          </w:p>
        </w:tc>
      </w:tr>
      <w:tr w:rsidR="001C57E1" w:rsidRPr="001C57E1" w14:paraId="62929321" w14:textId="77777777" w:rsidTr="00DD7D21">
        <w:trPr>
          <w:trHeight w:val="465"/>
        </w:trPr>
        <w:tc>
          <w:tcPr>
            <w:tcW w:w="6708" w:type="dxa"/>
            <w:gridSpan w:val="2"/>
          </w:tcPr>
          <w:p w14:paraId="722DDCAD"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6477CA23"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179952E2" w14:textId="77777777" w:rsidTr="00DD7D21">
        <w:tc>
          <w:tcPr>
            <w:tcW w:w="7196" w:type="dxa"/>
            <w:gridSpan w:val="3"/>
          </w:tcPr>
          <w:p w14:paraId="2C2340D7"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5F7B4880" w14:textId="77777777" w:rsidR="00F14AD5" w:rsidRPr="001C57E1" w:rsidRDefault="00F14AD5" w:rsidP="00DD7D21">
            <w:pPr>
              <w:pStyle w:val="naiskr"/>
              <w:spacing w:before="0" w:after="0"/>
              <w:ind w:firstLine="720"/>
              <w:jc w:val="center"/>
              <w:rPr>
                <w:color w:val="000000" w:themeColor="text1"/>
              </w:rPr>
            </w:pPr>
          </w:p>
        </w:tc>
      </w:tr>
    </w:tbl>
    <w:p w14:paraId="700D6FA8" w14:textId="77777777" w:rsidR="00F14AD5" w:rsidRPr="001C57E1" w:rsidRDefault="00F14AD5" w:rsidP="00184479">
      <w:pPr>
        <w:pStyle w:val="naisf"/>
        <w:spacing w:before="0" w:after="0"/>
        <w:ind w:firstLine="0"/>
        <w:jc w:val="center"/>
        <w:rPr>
          <w:b/>
          <w:color w:val="000000" w:themeColor="text1"/>
        </w:rPr>
      </w:pPr>
    </w:p>
    <w:p w14:paraId="4E816BC7" w14:textId="77777777" w:rsidR="002C0E49" w:rsidRDefault="002C0E49" w:rsidP="00184479">
      <w:pPr>
        <w:pStyle w:val="naisf"/>
        <w:spacing w:before="0" w:after="0"/>
        <w:ind w:firstLine="0"/>
        <w:jc w:val="center"/>
        <w:rPr>
          <w:b/>
          <w:color w:val="000000" w:themeColor="text1"/>
        </w:rPr>
      </w:pPr>
    </w:p>
    <w:p w14:paraId="6482E932" w14:textId="77777777" w:rsidR="009709CC" w:rsidRDefault="009709CC" w:rsidP="00184479">
      <w:pPr>
        <w:pStyle w:val="naisf"/>
        <w:spacing w:before="0" w:after="0"/>
        <w:ind w:firstLine="0"/>
        <w:jc w:val="center"/>
        <w:rPr>
          <w:b/>
          <w:color w:val="000000" w:themeColor="text1"/>
        </w:rPr>
      </w:pPr>
    </w:p>
    <w:p w14:paraId="0D39185B" w14:textId="77777777" w:rsidR="009709CC" w:rsidRPr="001C57E1" w:rsidRDefault="009709CC" w:rsidP="00184479">
      <w:pPr>
        <w:pStyle w:val="naisf"/>
        <w:spacing w:before="0" w:after="0"/>
        <w:ind w:firstLine="0"/>
        <w:jc w:val="center"/>
        <w:rPr>
          <w:b/>
          <w:color w:val="000000" w:themeColor="text1"/>
        </w:rPr>
      </w:pPr>
    </w:p>
    <w:p w14:paraId="626811D4"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4D80E9C0" w14:textId="77777777"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3260"/>
        <w:gridCol w:w="2552"/>
        <w:gridCol w:w="2268"/>
      </w:tblGrid>
      <w:tr w:rsidR="001C57E1" w:rsidRPr="001C57E1" w14:paraId="25275E56" w14:textId="77777777" w:rsidTr="007166A0">
        <w:tc>
          <w:tcPr>
            <w:tcW w:w="708" w:type="dxa"/>
            <w:tcBorders>
              <w:top w:val="single" w:sz="6" w:space="0" w:color="000000"/>
              <w:left w:val="single" w:sz="6" w:space="0" w:color="000000"/>
              <w:bottom w:val="single" w:sz="6" w:space="0" w:color="000000"/>
              <w:right w:val="single" w:sz="6" w:space="0" w:color="000000"/>
            </w:tcBorders>
            <w:vAlign w:val="center"/>
          </w:tcPr>
          <w:p w14:paraId="65944EA1"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14:paraId="05995534"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66664FC7"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7E0F85B7"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3489CA6C"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600FA30B" w14:textId="77777777" w:rsidTr="007166A0">
        <w:tc>
          <w:tcPr>
            <w:tcW w:w="708" w:type="dxa"/>
            <w:tcBorders>
              <w:top w:val="single" w:sz="6" w:space="0" w:color="000000"/>
              <w:left w:val="single" w:sz="6" w:space="0" w:color="000000"/>
              <w:bottom w:val="single" w:sz="6" w:space="0" w:color="000000"/>
              <w:right w:val="single" w:sz="6" w:space="0" w:color="000000"/>
            </w:tcBorders>
          </w:tcPr>
          <w:p w14:paraId="725ADF8F"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233F5462"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6804" w:type="dxa"/>
            <w:gridSpan w:val="3"/>
            <w:tcBorders>
              <w:top w:val="single" w:sz="6" w:space="0" w:color="000000"/>
              <w:left w:val="single" w:sz="6" w:space="0" w:color="000000"/>
              <w:bottom w:val="single" w:sz="6" w:space="0" w:color="000000"/>
              <w:right w:val="single" w:sz="6" w:space="0" w:color="000000"/>
            </w:tcBorders>
          </w:tcPr>
          <w:p w14:paraId="4F94E893"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552" w:type="dxa"/>
            <w:tcBorders>
              <w:top w:val="single" w:sz="6" w:space="0" w:color="000000"/>
              <w:left w:val="single" w:sz="6" w:space="0" w:color="000000"/>
              <w:bottom w:val="single" w:sz="6" w:space="0" w:color="000000"/>
              <w:right w:val="single" w:sz="6" w:space="0" w:color="000000"/>
            </w:tcBorders>
          </w:tcPr>
          <w:p w14:paraId="1EAB395A"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29C40564" w14:textId="77777777" w:rsidR="00134188" w:rsidRPr="001C57E1" w:rsidRDefault="003B71E0" w:rsidP="003B71E0">
            <w:pPr>
              <w:jc w:val="center"/>
              <w:rPr>
                <w:color w:val="000000" w:themeColor="text1"/>
              </w:rPr>
            </w:pPr>
            <w:r w:rsidRPr="001C57E1">
              <w:rPr>
                <w:color w:val="000000" w:themeColor="text1"/>
              </w:rPr>
              <w:t>5</w:t>
            </w:r>
          </w:p>
        </w:tc>
      </w:tr>
      <w:tr w:rsidR="00BC2256" w:rsidRPr="001C57E1" w14:paraId="50028CE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AE3E181" w14:textId="11B2358E" w:rsidR="00BC2256" w:rsidRDefault="00021625" w:rsidP="00BC2256">
            <w:pPr>
              <w:pStyle w:val="naisc"/>
              <w:spacing w:before="0" w:after="0"/>
              <w:rPr>
                <w:color w:val="000000" w:themeColor="text1"/>
              </w:rPr>
            </w:pPr>
            <w:r>
              <w:rPr>
                <w:color w:val="000000" w:themeColor="text1"/>
              </w:rPr>
              <w:t>1</w:t>
            </w:r>
            <w:r w:rsidR="00BC2256">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7784F112" w14:textId="77777777" w:rsidR="00BC2256" w:rsidRPr="00CD5891" w:rsidRDefault="00BC2256" w:rsidP="00BC2256">
            <w:pPr>
              <w:ind w:firstLine="27"/>
              <w:rPr>
                <w:bCs/>
              </w:rPr>
            </w:pPr>
            <w:r w:rsidRPr="00CD5891">
              <w:rPr>
                <w:bCs/>
              </w:rPr>
              <w:t xml:space="preserve">1.14. izteikt </w:t>
            </w:r>
            <w:bookmarkStart w:id="0" w:name="_Hlk56513515"/>
            <w:r w:rsidRPr="00CD5891">
              <w:rPr>
                <w:bCs/>
              </w:rPr>
              <w:t>117.</w:t>
            </w:r>
            <w:r w:rsidRPr="00CD5891">
              <w:rPr>
                <w:bCs/>
                <w:vertAlign w:val="superscript"/>
              </w:rPr>
              <w:t>1</w:t>
            </w:r>
            <w:r w:rsidRPr="00CD5891">
              <w:rPr>
                <w:bCs/>
              </w:rPr>
              <w:t xml:space="preserve"> </w:t>
            </w:r>
            <w:bookmarkEnd w:id="0"/>
            <w:r w:rsidRPr="00CD5891">
              <w:rPr>
                <w:bCs/>
              </w:rPr>
              <w:t>punktu šādā redakcijā:</w:t>
            </w:r>
          </w:p>
          <w:p w14:paraId="42212F2F" w14:textId="77777777" w:rsidR="00BC2256" w:rsidRPr="00CD5891" w:rsidRDefault="00BC2256" w:rsidP="00BC2256">
            <w:pPr>
              <w:ind w:firstLine="27"/>
              <w:rPr>
                <w:bCs/>
              </w:rPr>
            </w:pPr>
          </w:p>
          <w:p w14:paraId="0E1BEA6E" w14:textId="77777777" w:rsidR="00BC2256" w:rsidRPr="00CD5891" w:rsidRDefault="00BC2256" w:rsidP="00BC2256">
            <w:pPr>
              <w:ind w:firstLine="27"/>
              <w:jc w:val="both"/>
              <w:rPr>
                <w:bCs/>
              </w:rPr>
            </w:pPr>
            <w:bookmarkStart w:id="1" w:name="_Hlk54095376"/>
            <w:r w:rsidRPr="00CD5891">
              <w:rPr>
                <w:bCs/>
              </w:rPr>
              <w:t>"</w:t>
            </w:r>
            <w:bookmarkEnd w:id="1"/>
            <w:r w:rsidRPr="00CD5891">
              <w:rPr>
                <w:bCs/>
              </w:rPr>
              <w:t>117.</w:t>
            </w:r>
            <w:r w:rsidRPr="00CD5891">
              <w:rPr>
                <w:bCs/>
                <w:vertAlign w:val="superscript"/>
              </w:rPr>
              <w:t>1</w:t>
            </w:r>
            <w:r w:rsidRPr="00CD5891">
              <w:rPr>
                <w:bCs/>
              </w:rPr>
              <w:t xml:space="preserve"> Neatliekamās medicīniskās palīdzības dienesta brigāde pacientu, kurš no ārstniecības iestādes ārvalstīs medicīniski transportēts ārstēšanai Latvijā, sākotnēji nogādā pacienta deklarētajai (vai pēdējai zināmajai) adresei tuvākajā III, IV vai V līmeņa atbilstoša profila ārstniecības iestādē, ņemot vērā personas veselības stāvokli un dienesta līgumos ar ārstniecības iestādēm </w:t>
            </w:r>
            <w:r w:rsidRPr="00CD5891">
              <w:rPr>
                <w:bCs/>
              </w:rPr>
              <w:lastRenderedPageBreak/>
              <w:t>minētos nosacījumus.";</w:t>
            </w:r>
          </w:p>
          <w:p w14:paraId="334EC437" w14:textId="422ACA06" w:rsidR="00BC2256" w:rsidRPr="00896E24" w:rsidRDefault="00BC2256" w:rsidP="00BC2256">
            <w:pPr>
              <w:ind w:firstLine="27"/>
            </w:pPr>
          </w:p>
        </w:tc>
        <w:tc>
          <w:tcPr>
            <w:tcW w:w="6804" w:type="dxa"/>
            <w:gridSpan w:val="3"/>
            <w:tcBorders>
              <w:top w:val="single" w:sz="6" w:space="0" w:color="000000"/>
              <w:left w:val="single" w:sz="6" w:space="0" w:color="000000"/>
              <w:bottom w:val="single" w:sz="6" w:space="0" w:color="000000"/>
              <w:right w:val="single" w:sz="6" w:space="0" w:color="000000"/>
            </w:tcBorders>
          </w:tcPr>
          <w:p w14:paraId="509B5D52" w14:textId="77777777" w:rsidR="00BC2256" w:rsidRDefault="00BC2256" w:rsidP="00BC2256">
            <w:pPr>
              <w:pStyle w:val="naisc"/>
              <w:spacing w:before="0" w:after="0"/>
              <w:jc w:val="both"/>
              <w:rPr>
                <w:b/>
                <w:bCs/>
                <w:color w:val="000000" w:themeColor="text1"/>
              </w:rPr>
            </w:pPr>
            <w:r>
              <w:rPr>
                <w:b/>
                <w:bCs/>
                <w:color w:val="000000" w:themeColor="text1"/>
              </w:rPr>
              <w:lastRenderedPageBreak/>
              <w:t>Tieslietu ministrija</w:t>
            </w:r>
          </w:p>
          <w:p w14:paraId="05C1ED29" w14:textId="303A88B5" w:rsidR="00BC2256" w:rsidRPr="00CD5891" w:rsidRDefault="00BC2256" w:rsidP="00BC2256">
            <w:pPr>
              <w:pStyle w:val="naisc"/>
              <w:spacing w:before="0" w:after="0"/>
              <w:jc w:val="both"/>
              <w:rPr>
                <w:b/>
                <w:bCs/>
                <w:color w:val="000000" w:themeColor="text1"/>
              </w:rPr>
            </w:pPr>
            <w:r w:rsidRPr="00CD5891">
              <w:t>Ievērojot, ka nav skaidrs, kas ir projekta 1.14. apakšpunktā paredzētajā Ministru kabineta 2018. gada 28. augusta noteikumu Nr. 555 "Veselības aprūpes pakalpojumu organizēšanas un samaksas kārtība" (turpmāk – noteikumi) 117.</w:t>
            </w:r>
            <w:r w:rsidRPr="00CD5891">
              <w:rPr>
                <w:vertAlign w:val="superscript"/>
              </w:rPr>
              <w:t>1</w:t>
            </w:r>
            <w:r w:rsidRPr="00CD5891">
              <w:t xml:space="preserve"> punktā minētā </w:t>
            </w:r>
            <w:r w:rsidRPr="00CD5891">
              <w:rPr>
                <w:u w:val="single"/>
              </w:rPr>
              <w:t>pēdējā zināmā adrese</w:t>
            </w:r>
            <w:r w:rsidRPr="00CD5891">
              <w:t>, lūdzam izvērtēt projekta 1.14. apakšpunktā paredzētajā noteikumu 117.</w:t>
            </w:r>
            <w:r w:rsidRPr="00CD5891">
              <w:rPr>
                <w:vertAlign w:val="superscript"/>
              </w:rPr>
              <w:t>1</w:t>
            </w:r>
            <w:r w:rsidRPr="00CD5891">
              <w:t xml:space="preserve"> punktā ietverto regulējumu un precizēt to, kā arī papildināt projekta sākotnējās </w:t>
            </w:r>
            <w:r w:rsidRPr="00CD5891">
              <w:rPr>
                <w:i/>
              </w:rPr>
              <w:t>(ex-ante)</w:t>
            </w:r>
            <w:r w:rsidRPr="00CD5891">
              <w:t xml:space="preserve"> ietekmes novērtējuma ziņojuma (turpmāk – anotācija) I sadaļas 2. punktu ar atbilstošu skaidrojumu.</w:t>
            </w:r>
          </w:p>
          <w:p w14:paraId="6FCA4E37" w14:textId="63671C9F" w:rsidR="00BC2256" w:rsidRDefault="00BC2256" w:rsidP="00BC2256">
            <w:pPr>
              <w:pStyle w:val="naisc"/>
              <w:spacing w:before="0" w:after="0"/>
              <w:jc w:val="both"/>
              <w:rPr>
                <w:b/>
                <w:bCs/>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2F61E382" w14:textId="77777777" w:rsidR="00BC2256" w:rsidRDefault="00BC2256" w:rsidP="00BC2256">
            <w:pPr>
              <w:pStyle w:val="naisc"/>
              <w:spacing w:before="0" w:after="0"/>
              <w:jc w:val="both"/>
              <w:rPr>
                <w:b/>
                <w:color w:val="000000" w:themeColor="text1"/>
              </w:rPr>
            </w:pPr>
            <w:r>
              <w:rPr>
                <w:b/>
                <w:color w:val="000000" w:themeColor="text1"/>
              </w:rPr>
              <w:t>Ņemts vērā</w:t>
            </w:r>
          </w:p>
          <w:p w14:paraId="01C8E302" w14:textId="5C2A7ACB" w:rsidR="0047397B" w:rsidRDefault="00BC2256" w:rsidP="00BC2256">
            <w:pPr>
              <w:pStyle w:val="naisc"/>
              <w:spacing w:before="0" w:after="0"/>
              <w:jc w:val="both"/>
              <w:rPr>
                <w:color w:val="000000" w:themeColor="text1"/>
              </w:rPr>
            </w:pPr>
            <w:r>
              <w:rPr>
                <w:color w:val="000000" w:themeColor="text1"/>
              </w:rPr>
              <w:t>Noteikumu projekta 1.14.apakšpunkts precizēts</w:t>
            </w:r>
            <w:r w:rsidR="00A8528A">
              <w:rPr>
                <w:color w:val="000000" w:themeColor="text1"/>
              </w:rPr>
              <w:t xml:space="preserve"> un papildināta anotācija </w:t>
            </w:r>
            <w:r>
              <w:rPr>
                <w:color w:val="000000" w:themeColor="text1"/>
              </w:rPr>
              <w:t>atbilstoši Tieslietu ministrijas izteiktajam iebildumam.</w:t>
            </w:r>
          </w:p>
          <w:p w14:paraId="6CFFBB84" w14:textId="77777777" w:rsidR="0047397B" w:rsidRDefault="0047397B" w:rsidP="00BC2256">
            <w:pPr>
              <w:pStyle w:val="naisc"/>
              <w:spacing w:before="0" w:after="0"/>
              <w:jc w:val="both"/>
              <w:rPr>
                <w:color w:val="000000" w:themeColor="text1"/>
              </w:rPr>
            </w:pPr>
          </w:p>
          <w:p w14:paraId="3F2784D3" w14:textId="64B594A9" w:rsidR="00BC2256" w:rsidRPr="007642F8" w:rsidRDefault="00BC2256" w:rsidP="00BC2256">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1C8D3B56" w14:textId="1E43EE93" w:rsidR="00BC2256" w:rsidRDefault="00BC2256" w:rsidP="00BC2256">
            <w:pPr>
              <w:contextualSpacing/>
              <w:jc w:val="both"/>
              <w:outlineLvl w:val="0"/>
            </w:pPr>
            <w:r>
              <w:t>1.</w:t>
            </w:r>
            <w:r w:rsidRPr="00E577A8">
              <w:t>1</w:t>
            </w:r>
            <w:r>
              <w:t>4</w:t>
            </w:r>
            <w:r w:rsidRPr="00E577A8">
              <w:t xml:space="preserve">. </w:t>
            </w:r>
            <w:r w:rsidRPr="00CD5891">
              <w:rPr>
                <w:bCs/>
              </w:rPr>
              <w:t>izteikt 117.</w:t>
            </w:r>
            <w:r w:rsidRPr="00CD5891">
              <w:rPr>
                <w:bCs/>
                <w:vertAlign w:val="superscript"/>
              </w:rPr>
              <w:t>1</w:t>
            </w:r>
            <w:r w:rsidRPr="00CD5891">
              <w:rPr>
                <w:bCs/>
              </w:rPr>
              <w:t xml:space="preserve"> punktu šādā redakcijā</w:t>
            </w:r>
            <w:r>
              <w:t>:</w:t>
            </w:r>
          </w:p>
          <w:p w14:paraId="2F2447F5" w14:textId="77777777" w:rsidR="000E7AF3" w:rsidRDefault="000E7AF3" w:rsidP="00BC2256">
            <w:pPr>
              <w:contextualSpacing/>
              <w:jc w:val="both"/>
              <w:outlineLvl w:val="0"/>
            </w:pPr>
          </w:p>
          <w:p w14:paraId="1E73EB57" w14:textId="77777777" w:rsidR="00A8528A" w:rsidRPr="00A8528A" w:rsidRDefault="00A8528A" w:rsidP="00A8528A">
            <w:pPr>
              <w:contextualSpacing/>
              <w:jc w:val="both"/>
              <w:outlineLvl w:val="0"/>
              <w:rPr>
                <w:bCs/>
              </w:rPr>
            </w:pPr>
            <w:r w:rsidRPr="00A8528A">
              <w:rPr>
                <w:bCs/>
              </w:rPr>
              <w:t>"117.</w:t>
            </w:r>
            <w:r w:rsidRPr="00A8528A">
              <w:rPr>
                <w:bCs/>
                <w:vertAlign w:val="superscript"/>
              </w:rPr>
              <w:t>1</w:t>
            </w:r>
            <w:r w:rsidRPr="00A8528A">
              <w:rPr>
                <w:bCs/>
              </w:rPr>
              <w:t xml:space="preserve"> Neatliekamās medicīniskās palīdzības dienesta brigāde pacientu, kurš no ārstniecības iestādes ārvalstīs medicīniski transportēts ārstēšanai Latvijā, sākotnēji nogādā pacienta deklarētajai dzīvesvietas adresei (vai pēdējai zināmajai dzīvesvietas adresei) tuvākajā III, IV vai V līmeņa atbilstoša profila ārstniecības iestādē, ņemot vērā </w:t>
            </w:r>
            <w:r w:rsidRPr="00A8528A">
              <w:rPr>
                <w:bCs/>
              </w:rPr>
              <w:lastRenderedPageBreak/>
              <w:t>personas veselības stāvokli un dienesta līgumos ar ārstniecības iestādēm minētos nosacījumus.";</w:t>
            </w:r>
          </w:p>
          <w:p w14:paraId="6A1F5B68" w14:textId="77777777" w:rsidR="00BC2256" w:rsidRPr="00E577A8" w:rsidRDefault="00BC2256" w:rsidP="00A8528A">
            <w:pPr>
              <w:contextualSpacing/>
              <w:jc w:val="both"/>
              <w:outlineLvl w:val="0"/>
            </w:pPr>
          </w:p>
        </w:tc>
      </w:tr>
      <w:tr w:rsidR="002C7968" w:rsidRPr="001C57E1" w14:paraId="46D6D293" w14:textId="77777777" w:rsidTr="007166A0">
        <w:tc>
          <w:tcPr>
            <w:tcW w:w="708" w:type="dxa"/>
            <w:tcBorders>
              <w:top w:val="single" w:sz="6" w:space="0" w:color="000000"/>
              <w:left w:val="single" w:sz="6" w:space="0" w:color="000000"/>
              <w:bottom w:val="single" w:sz="6" w:space="0" w:color="000000"/>
              <w:right w:val="single" w:sz="6" w:space="0" w:color="000000"/>
            </w:tcBorders>
          </w:tcPr>
          <w:p w14:paraId="3BD80919" w14:textId="04F209C1" w:rsidR="002C7968" w:rsidRDefault="00021625" w:rsidP="00C63BEB">
            <w:pPr>
              <w:pStyle w:val="naisc"/>
              <w:spacing w:before="0" w:after="0"/>
              <w:rPr>
                <w:color w:val="000000" w:themeColor="text1"/>
              </w:rPr>
            </w:pPr>
            <w:r>
              <w:rPr>
                <w:color w:val="000000" w:themeColor="text1"/>
              </w:rPr>
              <w:lastRenderedPageBreak/>
              <w:t>2</w:t>
            </w:r>
            <w:r w:rsidR="00896E24">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2158F81C" w14:textId="494449DB" w:rsidR="006B7CB6" w:rsidRDefault="006B7CB6" w:rsidP="006B7CB6">
            <w:pPr>
              <w:ind w:firstLine="27"/>
              <w:jc w:val="both"/>
            </w:pPr>
            <w:r w:rsidRPr="006B7CB6">
              <w:t>1.29. papildināt noteikumus ar 250., 251. un 252.punktu šādā redakcijā:</w:t>
            </w:r>
          </w:p>
          <w:p w14:paraId="0E95DFA3" w14:textId="77777777" w:rsidR="00E63A19" w:rsidRPr="00E63A19" w:rsidRDefault="00E63A19" w:rsidP="00E63A19">
            <w:pPr>
              <w:ind w:firstLine="27"/>
              <w:jc w:val="both"/>
            </w:pPr>
            <w:r w:rsidRPr="00E63A19">
              <w:t>251. Lai nodrošinātu ārstniecības personu pieejamību, ārstniecības iestāžu darbību un no valsts budžeta apmaksāto veselības aprūpes pakalpojumu nepārtrauktu pieejamību, kad pakalpojuma sniegšanai, saistībā ar epidemioloģisko situāciju, kuru izraisījusi Covid-19 infekcijas izplatīšanās, ir noteikti ierobežojumi vai pakalpojumu sniegšana ir apgrūtināta:</w:t>
            </w:r>
          </w:p>
          <w:p w14:paraId="6E9DD212" w14:textId="13398524" w:rsidR="006B7CB6" w:rsidRPr="006B7CB6" w:rsidRDefault="006B7CB6" w:rsidP="00E63A19">
            <w:pPr>
              <w:jc w:val="both"/>
            </w:pPr>
            <w:r w:rsidRPr="006B7CB6">
              <w:lastRenderedPageBreak/>
              <w:t>251.5. Dienests šo noteikumu šajā punktā minēto kompensācijas maksājumu gatavības režīma nodrošināšanai piemēro ar 2020. gada 1. oktobri.</w:t>
            </w:r>
          </w:p>
          <w:p w14:paraId="635CC40D" w14:textId="77777777" w:rsidR="002C7968" w:rsidRDefault="002C7968" w:rsidP="004B2D70">
            <w:pPr>
              <w:ind w:firstLine="27"/>
            </w:pPr>
          </w:p>
          <w:p w14:paraId="2F827503" w14:textId="77777777" w:rsidR="006B7CB6" w:rsidRPr="006B7CB6" w:rsidRDefault="006B7CB6" w:rsidP="006B7CB6">
            <w:pPr>
              <w:ind w:firstLine="27"/>
              <w:jc w:val="both"/>
            </w:pPr>
            <w:r w:rsidRPr="006B7CB6">
              <w:t>2. Šo noteikumu 1.29.punkts stājas spēkā 2020.gada 16.septembrī.</w:t>
            </w:r>
          </w:p>
          <w:p w14:paraId="69E1EAF5" w14:textId="42481BBC" w:rsidR="006B7CB6" w:rsidRDefault="006B7CB6" w:rsidP="004B2D70">
            <w:pPr>
              <w:ind w:firstLine="27"/>
            </w:pPr>
          </w:p>
        </w:tc>
        <w:tc>
          <w:tcPr>
            <w:tcW w:w="6804" w:type="dxa"/>
            <w:gridSpan w:val="3"/>
            <w:tcBorders>
              <w:top w:val="single" w:sz="6" w:space="0" w:color="000000"/>
              <w:left w:val="single" w:sz="6" w:space="0" w:color="000000"/>
              <w:bottom w:val="single" w:sz="6" w:space="0" w:color="000000"/>
              <w:right w:val="single" w:sz="6" w:space="0" w:color="000000"/>
            </w:tcBorders>
          </w:tcPr>
          <w:p w14:paraId="3173EBD1" w14:textId="77777777" w:rsidR="00896E24" w:rsidRDefault="00896E24" w:rsidP="00C310AC">
            <w:pPr>
              <w:pStyle w:val="naisc"/>
              <w:spacing w:before="0" w:after="0"/>
              <w:jc w:val="both"/>
            </w:pPr>
            <w:r>
              <w:rPr>
                <w:b/>
                <w:bCs/>
                <w:color w:val="000000" w:themeColor="text1"/>
              </w:rPr>
              <w:lastRenderedPageBreak/>
              <w:t>Tieslietu ministrija</w:t>
            </w:r>
            <w:r w:rsidRPr="004C7EBF">
              <w:t xml:space="preserve"> </w:t>
            </w:r>
          </w:p>
          <w:p w14:paraId="3E126F4D" w14:textId="77777777" w:rsidR="00901A87" w:rsidRPr="00901A87" w:rsidRDefault="00901A87" w:rsidP="00901A87">
            <w:pPr>
              <w:pStyle w:val="naisc"/>
              <w:jc w:val="both"/>
            </w:pPr>
            <w:r w:rsidRPr="00901A87">
              <w:t xml:space="preserve">Vēršam uzmanību uz to, ka Oficiālo publikāciju un tiesiskās informācijas likuma 9. panta ceturtā daļa noteic, ka </w:t>
            </w:r>
            <w:r w:rsidRPr="00901A87">
              <w:rPr>
                <w:u w:val="single"/>
              </w:rPr>
              <w:t>normatīvajam aktam vai tā daļai nav atpakaļejoša spēka, izņemot likumā īpaši paredzētus gadījumus</w:t>
            </w:r>
            <w:r w:rsidRPr="00901A87">
              <w:t xml:space="preserve">. Savukārt projekta 1.29. apakšpunktā paredzētajā noteikumu 251.5. apakšpunktā ir noteikts, ka Nacionālais veselības dienests šajā punktā minēto kompensācijas maksājumu gatavības režīma nodrošināšanai </w:t>
            </w:r>
            <w:r w:rsidRPr="00901A87">
              <w:rPr>
                <w:u w:val="single"/>
              </w:rPr>
              <w:t>piemēro ar 2020. gada 1. oktobri</w:t>
            </w:r>
            <w:r w:rsidRPr="00901A87">
              <w:t xml:space="preserve">. Turklāt projekta 2. punkts paredz, ka projekta 1.29. apakšpunkts </w:t>
            </w:r>
            <w:r w:rsidRPr="00901A87">
              <w:rPr>
                <w:u w:val="single"/>
              </w:rPr>
              <w:t>stājas spēkā 2020. gada 16. septembrī</w:t>
            </w:r>
            <w:r w:rsidRPr="00901A87">
              <w:t>. Ievērojot minēto, lūdzam izvērtēt projekta 1.29. apakšpunktā paredzētajā noteikumu 251.5. apakšpunktā un projekta 2. punktā noteikto termiņu un attiecīgi precizēt to, vai papildināt anotāciju ar skaidrojumu, no kuras likuma normas izriet attiecīgais regulējums.</w:t>
            </w:r>
          </w:p>
          <w:p w14:paraId="1AFFA1E8" w14:textId="278540C4" w:rsidR="002C7968" w:rsidRDefault="002C7968" w:rsidP="00C310AC">
            <w:pPr>
              <w:pStyle w:val="naisc"/>
              <w:spacing w:before="0" w:after="0"/>
              <w:jc w:val="both"/>
              <w:rPr>
                <w:b/>
                <w:bCs/>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6E84B161" w14:textId="77777777" w:rsidR="00E577A8" w:rsidRDefault="00831EDE" w:rsidP="00E577A8">
            <w:pPr>
              <w:pStyle w:val="naisc"/>
              <w:spacing w:before="0" w:after="0"/>
              <w:jc w:val="both"/>
              <w:rPr>
                <w:b/>
                <w:color w:val="000000" w:themeColor="text1"/>
              </w:rPr>
            </w:pPr>
            <w:r>
              <w:rPr>
                <w:b/>
                <w:color w:val="000000" w:themeColor="text1"/>
              </w:rPr>
              <w:t>Ņemts vērā</w:t>
            </w:r>
          </w:p>
          <w:p w14:paraId="5BF30025" w14:textId="68C64729" w:rsidR="00E63A19" w:rsidRPr="007642F8" w:rsidRDefault="00C820F8" w:rsidP="00E577A8">
            <w:pPr>
              <w:pStyle w:val="naisc"/>
              <w:spacing w:before="0" w:after="0"/>
              <w:jc w:val="both"/>
              <w:rPr>
                <w:b/>
                <w:color w:val="000000" w:themeColor="text1"/>
              </w:rPr>
            </w:pPr>
            <w:r w:rsidRPr="00C820F8">
              <w:rPr>
                <w:bCs/>
              </w:rPr>
              <w:t>Precizēta noteikumu 251.5 apakšpunkta un noteikumu projekta 2.</w:t>
            </w:r>
            <w:bookmarkStart w:id="2" w:name="_GoBack"/>
            <w:bookmarkEnd w:id="2"/>
            <w:r w:rsidRPr="00C820F8">
              <w:rPr>
                <w:bCs/>
              </w:rPr>
              <w:t>punkta redakcija un ar atbilstošu skaidrojumu papildināta anotācija.</w:t>
            </w:r>
          </w:p>
        </w:tc>
        <w:tc>
          <w:tcPr>
            <w:tcW w:w="2268" w:type="dxa"/>
            <w:tcBorders>
              <w:top w:val="single" w:sz="4" w:space="0" w:color="auto"/>
              <w:left w:val="single" w:sz="4" w:space="0" w:color="auto"/>
              <w:bottom w:val="single" w:sz="4" w:space="0" w:color="auto"/>
            </w:tcBorders>
          </w:tcPr>
          <w:p w14:paraId="2AB9F888" w14:textId="27BBAA6E" w:rsidR="006870B5" w:rsidRDefault="006870B5" w:rsidP="006870B5">
            <w:pPr>
              <w:ind w:firstLine="27"/>
              <w:jc w:val="both"/>
            </w:pPr>
            <w:r w:rsidRPr="006870B5">
              <w:t>1.29. papildināt noteikumus ar 250., 251. un 252.punktu šādā redakcijā:</w:t>
            </w:r>
          </w:p>
          <w:p w14:paraId="6B318D61" w14:textId="77777777" w:rsidR="006870B5" w:rsidRPr="006870B5" w:rsidRDefault="006870B5" w:rsidP="006870B5">
            <w:pPr>
              <w:ind w:firstLine="27"/>
              <w:jc w:val="both"/>
            </w:pPr>
            <w:r w:rsidRPr="006870B5">
              <w:t>251. Lai nodrošinātu ārstniecības personu pieejamību, ārstniecības iestāžu darbību un no valsts budžeta apmaksāto veselības aprūpes pakalpojumu nepārtrauktu pieejamību, kad pakalpojuma sniegšanai, saistībā ar epidemioloģisko situāciju, kuru izraisījusi Covid-19 infekcijas izplatīšanās, ir noteikti ierobežojumi vai pakalpojumu sniegšana ir apgrūtināta:</w:t>
            </w:r>
          </w:p>
          <w:p w14:paraId="6CFBCCA8" w14:textId="77777777" w:rsidR="002F43A1" w:rsidRPr="002F43A1" w:rsidRDefault="002F43A1" w:rsidP="002F43A1">
            <w:pPr>
              <w:ind w:firstLine="27"/>
              <w:jc w:val="both"/>
            </w:pPr>
            <w:r w:rsidRPr="002F43A1">
              <w:lastRenderedPageBreak/>
              <w:t>251.5. Dienests šo noteikumu šajā punktā minēto kompensācijas maksājumu gatavības režīma nodrošināšanai veic par periodu no 2020. gada 1. oktobra.</w:t>
            </w:r>
          </w:p>
          <w:p w14:paraId="6586128E" w14:textId="77777777" w:rsidR="006870B5" w:rsidRPr="006870B5" w:rsidRDefault="006870B5" w:rsidP="006870B5">
            <w:pPr>
              <w:ind w:firstLine="27"/>
              <w:jc w:val="both"/>
            </w:pPr>
          </w:p>
          <w:p w14:paraId="7097F7C2" w14:textId="77777777" w:rsidR="006870B5" w:rsidRPr="006870B5" w:rsidRDefault="006870B5" w:rsidP="006870B5">
            <w:pPr>
              <w:ind w:firstLine="27"/>
              <w:jc w:val="both"/>
            </w:pPr>
            <w:r w:rsidRPr="006870B5">
              <w:t xml:space="preserve">2. Šo noteikumu 1.29.punkts stājas spēkā 2020.gada 18.decembrī. </w:t>
            </w:r>
          </w:p>
          <w:p w14:paraId="2E7DC28B" w14:textId="77777777" w:rsidR="002C7968" w:rsidRDefault="002C7968" w:rsidP="00A8528A">
            <w:pPr>
              <w:ind w:firstLine="27"/>
              <w:jc w:val="both"/>
            </w:pPr>
          </w:p>
          <w:p w14:paraId="1459747E" w14:textId="2E3ABA03" w:rsidR="00CC1504" w:rsidRPr="004B2D70" w:rsidRDefault="00CC1504" w:rsidP="00A8528A">
            <w:pPr>
              <w:ind w:firstLine="27"/>
              <w:jc w:val="both"/>
            </w:pPr>
            <w:r>
              <w:t>Skatīt anotāciju.</w:t>
            </w:r>
          </w:p>
        </w:tc>
      </w:tr>
      <w:tr w:rsidR="009B0010" w:rsidRPr="001C57E1" w14:paraId="11E90C0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7183DCF7" w14:textId="6E512022" w:rsidR="009B0010" w:rsidRDefault="00021625" w:rsidP="00C63BEB">
            <w:pPr>
              <w:pStyle w:val="naisc"/>
              <w:spacing w:before="0" w:after="0"/>
              <w:rPr>
                <w:color w:val="000000" w:themeColor="text1"/>
              </w:rPr>
            </w:pPr>
            <w:r>
              <w:rPr>
                <w:color w:val="000000" w:themeColor="text1"/>
              </w:rPr>
              <w:lastRenderedPageBreak/>
              <w:t>3</w:t>
            </w:r>
            <w:r w:rsidR="009B0010">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0EADD194" w14:textId="77777777" w:rsidR="009F3185" w:rsidRPr="009F3185" w:rsidRDefault="009F3185" w:rsidP="009F3185">
            <w:pPr>
              <w:ind w:firstLine="27"/>
            </w:pPr>
            <w:r w:rsidRPr="009F3185">
              <w:t>1.38. papildināt 5. pielikumu ar 9. un 10. piezīmi šādā redakcijā:</w:t>
            </w:r>
          </w:p>
          <w:p w14:paraId="6AC0E537" w14:textId="1B2A3092" w:rsidR="009B0010" w:rsidRPr="009B0010" w:rsidRDefault="009F3185" w:rsidP="00896E24">
            <w:pPr>
              <w:ind w:firstLine="27"/>
              <w:jc w:val="both"/>
            </w:pPr>
            <w:r w:rsidRPr="009F3185">
              <w:rPr>
                <w:vertAlign w:val="superscript"/>
              </w:rPr>
              <w:t xml:space="preserve">10 </w:t>
            </w:r>
            <w:r w:rsidRPr="009F3185">
              <w:t>Manipulāciju dienas stacionārā apmaksā tikai bērniem, tajā skaitā manipulācijas 17123, 17135, 17136, 18046 dienas stacionārā bērniem apmaksā tikai gadījumos, kad tās veiktas vispārējā anestēzijā</w:t>
            </w:r>
            <w:r>
              <w:t>.</w:t>
            </w:r>
            <w:r w:rsidR="00B72FCB" w:rsidRPr="00B72FCB">
              <w:rPr>
                <w:lang w:val="en-GB"/>
              </w:rPr>
              <w:t>"</w:t>
            </w:r>
            <w:r w:rsidR="00B72FCB">
              <w:t>;</w:t>
            </w:r>
          </w:p>
        </w:tc>
        <w:tc>
          <w:tcPr>
            <w:tcW w:w="6804" w:type="dxa"/>
            <w:gridSpan w:val="3"/>
            <w:tcBorders>
              <w:top w:val="single" w:sz="6" w:space="0" w:color="000000"/>
              <w:left w:val="single" w:sz="6" w:space="0" w:color="000000"/>
              <w:bottom w:val="single" w:sz="6" w:space="0" w:color="000000"/>
              <w:right w:val="single" w:sz="6" w:space="0" w:color="000000"/>
            </w:tcBorders>
          </w:tcPr>
          <w:p w14:paraId="27B19215" w14:textId="1904AA49" w:rsidR="009B0010" w:rsidRDefault="009B0010" w:rsidP="009B0010">
            <w:pPr>
              <w:pStyle w:val="naisc"/>
              <w:spacing w:before="0" w:after="0"/>
              <w:jc w:val="both"/>
            </w:pPr>
            <w:r>
              <w:rPr>
                <w:b/>
                <w:bCs/>
                <w:color w:val="000000" w:themeColor="text1"/>
              </w:rPr>
              <w:t>Tieslietu ministrija</w:t>
            </w:r>
            <w:r w:rsidRPr="004C7EBF">
              <w:t xml:space="preserve"> </w:t>
            </w:r>
          </w:p>
          <w:p w14:paraId="052667FE" w14:textId="1B692260" w:rsidR="009B0010" w:rsidRDefault="006B7CB6" w:rsidP="00C310AC">
            <w:pPr>
              <w:pStyle w:val="naisc"/>
              <w:spacing w:before="0" w:after="0"/>
              <w:jc w:val="both"/>
              <w:rPr>
                <w:b/>
                <w:bCs/>
                <w:color w:val="000000" w:themeColor="text1"/>
              </w:rPr>
            </w:pPr>
            <w:r w:rsidRPr="006B7CB6">
              <w:rPr>
                <w:rFonts w:eastAsia="Calibri"/>
                <w:lang w:eastAsia="en-US"/>
              </w:rPr>
              <w:t>Vēršam uzmanību uz to, ka projekta 1.38. apakšpunktā paredzētajā noteikumu 5. pielikuma 10. piezīmē ir minēts 17123, 17135, 17136 un 18046 kods, bet anotācijas I sadaļas 2. punktā ietvertajā informācijā par projekta 1.38. apakšpunktā paredzēto noteikumu 5. pielikuma 10. piezīmi ir minēts 50087, 17123, 17135, 17136, 19052, 08081, 08077 un 08077 kods. Ievērojot minēto, lūdzam precizēt projekta 1.38. apakšpunktā paredzētajā noteikumu 5. pielikuma 10. piezīmē minēto par attiecīgajiem kodiem vai anotācijas I sadaļas 2. punktā ietverto informāciju par projekta 1.38. apakšpunktā paredzētajā noteikumu 5. pielikuma 10. piezīmē minētajiem attiecīgajiem kodiem.</w:t>
            </w:r>
          </w:p>
        </w:tc>
        <w:tc>
          <w:tcPr>
            <w:tcW w:w="2552" w:type="dxa"/>
            <w:tcBorders>
              <w:top w:val="single" w:sz="6" w:space="0" w:color="000000"/>
              <w:left w:val="single" w:sz="6" w:space="0" w:color="000000"/>
              <w:bottom w:val="single" w:sz="6" w:space="0" w:color="000000"/>
              <w:right w:val="single" w:sz="6" w:space="0" w:color="000000"/>
            </w:tcBorders>
          </w:tcPr>
          <w:p w14:paraId="22439676" w14:textId="77777777" w:rsidR="009B0010" w:rsidRDefault="00831EDE" w:rsidP="006C03EC">
            <w:pPr>
              <w:pStyle w:val="naisc"/>
              <w:spacing w:before="0" w:after="0"/>
              <w:jc w:val="both"/>
              <w:rPr>
                <w:b/>
                <w:color w:val="000000" w:themeColor="text1"/>
              </w:rPr>
            </w:pPr>
            <w:r>
              <w:rPr>
                <w:b/>
                <w:color w:val="000000" w:themeColor="text1"/>
              </w:rPr>
              <w:t>Ņemts vērā</w:t>
            </w:r>
          </w:p>
          <w:p w14:paraId="2D703C2A" w14:textId="5092A6FF" w:rsidR="0075112A" w:rsidRPr="0075112A" w:rsidRDefault="0075112A" w:rsidP="006C03EC">
            <w:pPr>
              <w:pStyle w:val="naisc"/>
              <w:spacing w:before="0" w:after="0"/>
              <w:jc w:val="both"/>
              <w:rPr>
                <w:bCs/>
                <w:color w:val="000000" w:themeColor="text1"/>
              </w:rPr>
            </w:pPr>
            <w:r w:rsidRPr="0075112A">
              <w:rPr>
                <w:bCs/>
                <w:color w:val="000000" w:themeColor="text1"/>
              </w:rPr>
              <w:t>Precizēta noteikumu projekta redakcija un anotācija</w:t>
            </w:r>
          </w:p>
        </w:tc>
        <w:tc>
          <w:tcPr>
            <w:tcW w:w="2268" w:type="dxa"/>
            <w:tcBorders>
              <w:top w:val="single" w:sz="4" w:space="0" w:color="auto"/>
              <w:left w:val="single" w:sz="4" w:space="0" w:color="auto"/>
              <w:bottom w:val="single" w:sz="4" w:space="0" w:color="auto"/>
            </w:tcBorders>
          </w:tcPr>
          <w:p w14:paraId="71B4FA23" w14:textId="77777777" w:rsidR="00B72FCB" w:rsidRPr="009F3185" w:rsidRDefault="00B72FCB" w:rsidP="00B72FCB">
            <w:pPr>
              <w:ind w:firstLine="27"/>
            </w:pPr>
            <w:r w:rsidRPr="009F3185">
              <w:t>1.38. papildināt 5. pielikumu ar 9. un 10. piezīmi šādā redakcijā:</w:t>
            </w:r>
          </w:p>
          <w:p w14:paraId="4EAE5A84" w14:textId="07AB4D54" w:rsidR="0075112A" w:rsidRPr="0075112A" w:rsidRDefault="00B72FCB" w:rsidP="0075112A">
            <w:pPr>
              <w:ind w:firstLine="27"/>
            </w:pPr>
            <w:r w:rsidRPr="00B72FCB">
              <w:rPr>
                <w:vertAlign w:val="superscript"/>
              </w:rPr>
              <w:t xml:space="preserve">10 </w:t>
            </w:r>
            <w:r w:rsidRPr="00B72FCB">
              <w:t>Manipulāciju dienas stacionārā apmaksā tikai bērniem</w:t>
            </w:r>
            <w:r w:rsidR="0075112A">
              <w:t>,</w:t>
            </w:r>
            <w:r w:rsidR="0075112A" w:rsidRPr="0075112A">
              <w:t xml:space="preserve"> tajā skaitā manipulācijas 08081, 17123, 17135, 17136, 18046, 19052 un 50087 dienas stacionārā bērniem apmaksā tikai gadījumos, kad tās </w:t>
            </w:r>
            <w:r w:rsidR="0075112A" w:rsidRPr="0075112A">
              <w:lastRenderedPageBreak/>
              <w:t>veiktas vispārējā anestēzijā.</w:t>
            </w:r>
            <w:r w:rsidR="0075112A" w:rsidRPr="0075112A">
              <w:rPr>
                <w:lang w:val="en-GB"/>
              </w:rPr>
              <w:t>";</w:t>
            </w:r>
          </w:p>
          <w:p w14:paraId="45C0D646" w14:textId="560C4107" w:rsidR="009B0010" w:rsidRPr="004B2D70" w:rsidRDefault="009B0010" w:rsidP="0075112A"/>
        </w:tc>
      </w:tr>
      <w:tr w:rsidR="00FD3D13" w:rsidRPr="001C57E1" w14:paraId="10E67BB6"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76320EF" w14:textId="7E52A279" w:rsidR="00FD3D13" w:rsidRDefault="00021625" w:rsidP="00C63BEB">
            <w:pPr>
              <w:pStyle w:val="naisc"/>
              <w:spacing w:before="0" w:after="0"/>
              <w:rPr>
                <w:color w:val="000000" w:themeColor="text1"/>
              </w:rPr>
            </w:pPr>
            <w:r>
              <w:rPr>
                <w:color w:val="000000" w:themeColor="text1"/>
              </w:rPr>
              <w:lastRenderedPageBreak/>
              <w:t>4</w:t>
            </w:r>
            <w:r w:rsidR="00FD3D13">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44F34B27" w14:textId="0937CDB7" w:rsidR="00FD3D13" w:rsidRDefault="002514D3" w:rsidP="009B0010">
            <w:pPr>
              <w:ind w:firstLine="27"/>
            </w:pPr>
            <w:r w:rsidRPr="002514D3">
              <w:t>Skatīt anotāciju.</w:t>
            </w:r>
          </w:p>
          <w:p w14:paraId="50F3348F" w14:textId="3EC5CA6B" w:rsidR="00970EB4" w:rsidRPr="000A130C" w:rsidRDefault="00970EB4" w:rsidP="009B0010">
            <w:pPr>
              <w:ind w:firstLine="27"/>
            </w:pPr>
          </w:p>
        </w:tc>
        <w:tc>
          <w:tcPr>
            <w:tcW w:w="6804" w:type="dxa"/>
            <w:gridSpan w:val="3"/>
            <w:tcBorders>
              <w:top w:val="single" w:sz="6" w:space="0" w:color="000000"/>
              <w:left w:val="single" w:sz="6" w:space="0" w:color="000000"/>
              <w:bottom w:val="single" w:sz="6" w:space="0" w:color="000000"/>
              <w:right w:val="single" w:sz="6" w:space="0" w:color="000000"/>
            </w:tcBorders>
          </w:tcPr>
          <w:p w14:paraId="39877A02" w14:textId="1A5714D5" w:rsidR="000A130C" w:rsidRDefault="000A130C" w:rsidP="009B0010">
            <w:pPr>
              <w:pStyle w:val="naisc"/>
              <w:spacing w:before="0" w:after="0"/>
              <w:jc w:val="both"/>
            </w:pPr>
            <w:r>
              <w:rPr>
                <w:b/>
                <w:bCs/>
                <w:color w:val="000000" w:themeColor="text1"/>
              </w:rPr>
              <w:t>Tieslietu ministrija</w:t>
            </w:r>
            <w:r w:rsidRPr="004C7EBF">
              <w:t xml:space="preserve"> </w:t>
            </w:r>
          </w:p>
          <w:p w14:paraId="711DD802" w14:textId="77777777" w:rsidR="009F3185" w:rsidRPr="009F3185" w:rsidRDefault="009F3185" w:rsidP="00C912AC">
            <w:pPr>
              <w:pStyle w:val="naisc"/>
              <w:jc w:val="both"/>
            </w:pPr>
            <w:r w:rsidRPr="009F3185">
              <w:t xml:space="preserve">Anotācijas I sadaļas 2. punktā ietvertajā informācijā par projekta 1.43. apakšpunktā paredzētajiem grozījumiem noteikumu 10. pielikumā ir norādīts, ka tiek papildināts noteikumu 10. pielikuma 2. punkts ar </w:t>
            </w:r>
            <w:r w:rsidRPr="009F3185">
              <w:rPr>
                <w:u w:val="single"/>
              </w:rPr>
              <w:t>2.21. un 2.22.  apakšpunktu, jo, balstoties uz Eiropas Komisijas atkāpes ziņojumu, esošos pilotprojektus "Psihoemocionālā atbalsta centra darbības nodrošināšana" un "Garastāvokļa traucējumu novēršanas programmas nodrošināšana" nepieciešams integrēt esošajā veselības aprūpes pakalpojumu organizācijas un apmaksās modelī</w:t>
            </w:r>
            <w:r w:rsidRPr="009F3185">
              <w:t>.</w:t>
            </w:r>
          </w:p>
          <w:p w14:paraId="20F4B80B" w14:textId="77777777" w:rsidR="009F3185" w:rsidRPr="009F3185" w:rsidRDefault="009F3185" w:rsidP="00C912AC">
            <w:pPr>
              <w:pStyle w:val="naisc"/>
              <w:jc w:val="both"/>
            </w:pPr>
            <w:r w:rsidRPr="009F3185">
              <w:t xml:space="preserve">Vēršam uzmanību uz to, ka projekta 1.43. apakšpunktā paredzētajā noteikumu 10. pielikuma </w:t>
            </w:r>
            <w:r w:rsidRPr="009F3185">
              <w:rPr>
                <w:u w:val="single"/>
              </w:rPr>
              <w:t xml:space="preserve">2.21. apakšpunktā ir minēts </w:t>
            </w:r>
            <w:r w:rsidRPr="009F3185">
              <w:rPr>
                <w:bCs/>
                <w:u w:val="single"/>
              </w:rPr>
              <w:t>enterālās un parenterālās barošanas pacientu aprūpes kabinets</w:t>
            </w:r>
            <w:r w:rsidRPr="009F3185">
              <w:rPr>
                <w:bCs/>
              </w:rPr>
              <w:t xml:space="preserve">, </w:t>
            </w:r>
            <w:r w:rsidRPr="009F3185">
              <w:rPr>
                <w:bCs/>
                <w:u w:val="single"/>
              </w:rPr>
              <w:t>2.22. apakšpunktā ir minēts onkoloģisko pacientu psihoemocionālā atbalsta kabinets</w:t>
            </w:r>
            <w:r w:rsidRPr="009F3185">
              <w:rPr>
                <w:bCs/>
              </w:rPr>
              <w:t xml:space="preserve">, bet </w:t>
            </w:r>
            <w:r w:rsidRPr="009F3185">
              <w:rPr>
                <w:bCs/>
                <w:u w:val="single"/>
              </w:rPr>
              <w:t>2.23. apakšpunktā ir minēts garastāvokļa traucējumu kabinets bērniem</w:t>
            </w:r>
            <w:r w:rsidRPr="009F3185">
              <w:t>.</w:t>
            </w:r>
          </w:p>
          <w:p w14:paraId="67454673" w14:textId="77777777" w:rsidR="009F3185" w:rsidRPr="009F3185" w:rsidRDefault="009F3185" w:rsidP="00C912AC">
            <w:pPr>
              <w:pStyle w:val="naisc"/>
              <w:jc w:val="both"/>
            </w:pPr>
            <w:r w:rsidRPr="009F3185">
              <w:t>Ievērojot minēto, lūdzam izvērtēt projekta 1.43. apakšpunktā paredzētajā noteikumu 10. pielikuma 2.21., 2.22. un 2.23. apakšpunktā noteikto, kā arī anotācijas I sadaļas 2. punktā ietverto informāciju par projekta 1.43. apakšpunktā paredzētajiem grozījumiem un attiecīgi precizēt projekta 1.43. apakšpunktā paredzētos grozījumus vai anotācijas I sadaļas 2. punktā ietverto informāciju par projekta 1.43. apakšpunktā paredzētajiem grozījumiem.</w:t>
            </w:r>
          </w:p>
          <w:p w14:paraId="1D343395" w14:textId="6AEADAAA" w:rsidR="00FD3D13" w:rsidRDefault="00FD3D13" w:rsidP="009B0010">
            <w:pPr>
              <w:pStyle w:val="naisc"/>
              <w:spacing w:before="0" w:after="0"/>
              <w:jc w:val="both"/>
              <w:rPr>
                <w:b/>
                <w:bCs/>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5E99C6DA" w14:textId="77777777" w:rsidR="00812C8E" w:rsidRPr="007642F8" w:rsidRDefault="00812C8E" w:rsidP="00812C8E">
            <w:pPr>
              <w:pStyle w:val="naisc"/>
              <w:spacing w:before="0" w:after="0"/>
              <w:jc w:val="both"/>
              <w:rPr>
                <w:b/>
                <w:color w:val="000000" w:themeColor="text1"/>
              </w:rPr>
            </w:pPr>
            <w:r w:rsidRPr="007642F8">
              <w:rPr>
                <w:b/>
                <w:color w:val="000000" w:themeColor="text1"/>
              </w:rPr>
              <w:t>Ņemts vērā</w:t>
            </w:r>
          </w:p>
          <w:p w14:paraId="76ABA89A" w14:textId="1AB6B67E" w:rsidR="00FD3D13" w:rsidRPr="002514D3" w:rsidRDefault="002514D3" w:rsidP="00812C8E">
            <w:pPr>
              <w:pStyle w:val="naisc"/>
              <w:spacing w:before="0" w:after="0"/>
              <w:jc w:val="both"/>
              <w:rPr>
                <w:bCs/>
                <w:color w:val="000000" w:themeColor="text1"/>
              </w:rPr>
            </w:pPr>
            <w:r w:rsidRPr="002514D3">
              <w:rPr>
                <w:bCs/>
                <w:color w:val="000000" w:themeColor="text1"/>
              </w:rPr>
              <w:t>Precizēta anotācija.</w:t>
            </w:r>
          </w:p>
        </w:tc>
        <w:tc>
          <w:tcPr>
            <w:tcW w:w="2268" w:type="dxa"/>
            <w:tcBorders>
              <w:top w:val="single" w:sz="4" w:space="0" w:color="auto"/>
              <w:left w:val="single" w:sz="4" w:space="0" w:color="auto"/>
              <w:bottom w:val="single" w:sz="4" w:space="0" w:color="auto"/>
            </w:tcBorders>
          </w:tcPr>
          <w:p w14:paraId="3270151B" w14:textId="3DCB4E29" w:rsidR="00FD3D13" w:rsidRPr="004B2D70" w:rsidRDefault="002514D3" w:rsidP="00494B51">
            <w:pPr>
              <w:ind w:firstLine="27"/>
            </w:pPr>
            <w:r w:rsidRPr="002514D3">
              <w:t>Skatīt anotāciju.</w:t>
            </w:r>
          </w:p>
        </w:tc>
      </w:tr>
      <w:tr w:rsidR="00D776A2" w:rsidRPr="001C57E1" w14:paraId="5C7DB171"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7DD8D2C" w14:textId="2B691D6C" w:rsidR="00D776A2" w:rsidRDefault="007A34BF" w:rsidP="00D776A2">
            <w:pPr>
              <w:pStyle w:val="naisc"/>
              <w:spacing w:before="0" w:after="0"/>
              <w:rPr>
                <w:color w:val="000000" w:themeColor="text1"/>
              </w:rPr>
            </w:pPr>
            <w:r>
              <w:rPr>
                <w:color w:val="000000" w:themeColor="text1"/>
              </w:rPr>
              <w:t>5.</w:t>
            </w:r>
          </w:p>
        </w:tc>
        <w:tc>
          <w:tcPr>
            <w:tcW w:w="2377" w:type="dxa"/>
            <w:gridSpan w:val="2"/>
            <w:tcBorders>
              <w:top w:val="single" w:sz="6" w:space="0" w:color="000000"/>
              <w:left w:val="single" w:sz="6" w:space="0" w:color="000000"/>
              <w:bottom w:val="single" w:sz="6" w:space="0" w:color="000000"/>
              <w:right w:val="single" w:sz="6" w:space="0" w:color="000000"/>
            </w:tcBorders>
          </w:tcPr>
          <w:p w14:paraId="297D9E89" w14:textId="58EFCFDA" w:rsidR="00D776A2" w:rsidRPr="00C912AC" w:rsidRDefault="00A75E8C" w:rsidP="00A75E8C">
            <w:pPr>
              <w:ind w:firstLine="27"/>
              <w:jc w:val="both"/>
            </w:pPr>
            <w:r>
              <w:t>Skatīt anotāciju.</w:t>
            </w:r>
          </w:p>
        </w:tc>
        <w:tc>
          <w:tcPr>
            <w:tcW w:w="6804" w:type="dxa"/>
            <w:gridSpan w:val="3"/>
            <w:tcBorders>
              <w:top w:val="single" w:sz="6" w:space="0" w:color="000000"/>
              <w:left w:val="single" w:sz="6" w:space="0" w:color="000000"/>
              <w:bottom w:val="single" w:sz="6" w:space="0" w:color="000000"/>
              <w:right w:val="single" w:sz="6" w:space="0" w:color="000000"/>
            </w:tcBorders>
          </w:tcPr>
          <w:p w14:paraId="7423C890" w14:textId="77777777" w:rsidR="00D776A2" w:rsidRDefault="00D776A2" w:rsidP="00D776A2">
            <w:pPr>
              <w:pStyle w:val="naisc"/>
              <w:spacing w:before="0" w:after="0"/>
              <w:jc w:val="both"/>
            </w:pPr>
            <w:r>
              <w:rPr>
                <w:b/>
                <w:bCs/>
                <w:color w:val="000000" w:themeColor="text1"/>
              </w:rPr>
              <w:t>Tieslietu ministrija</w:t>
            </w:r>
            <w:r w:rsidRPr="004C7EBF">
              <w:t xml:space="preserve"> </w:t>
            </w:r>
          </w:p>
          <w:p w14:paraId="5337C788" w14:textId="1BD234F3" w:rsidR="00D776A2" w:rsidRPr="004F180D" w:rsidRDefault="00D776A2" w:rsidP="00D776A2">
            <w:pPr>
              <w:contextualSpacing/>
              <w:jc w:val="both"/>
              <w:rPr>
                <w:b/>
                <w:bCs/>
              </w:rPr>
            </w:pPr>
            <w:r w:rsidRPr="00970EB4">
              <w:rPr>
                <w:color w:val="000000" w:themeColor="text1"/>
              </w:rPr>
              <w:t>Anotācijas I sadaļas 2. punktā ir minēts, ka projekta 1.35., 1.36</w:t>
            </w:r>
            <w:r w:rsidRPr="00970EB4">
              <w:rPr>
                <w:b/>
                <w:bCs/>
                <w:color w:val="000000" w:themeColor="text1"/>
              </w:rPr>
              <w:t xml:space="preserve">. </w:t>
            </w:r>
            <w:r w:rsidRPr="00970EB4">
              <w:rPr>
                <w:color w:val="000000" w:themeColor="text1"/>
              </w:rPr>
              <w:t xml:space="preserve">un 1.37. apakšpunkts paredz papildināt noteikumu 5. pielikuma 10. punktu, kā arī 12.1., 12.2., 12.3. un 12.5.1. apakšpunktu ar </w:t>
            </w:r>
            <w:r w:rsidRPr="00970EB4">
              <w:rPr>
                <w:color w:val="000000" w:themeColor="text1"/>
              </w:rPr>
              <w:lastRenderedPageBreak/>
              <w:t>jauniem manipulācijas kodiem, bet nav skaidrojuma, kādēļ tas ir nepieciešams. Ievērojot minēto, lūdzam papildināt anotācijas I sadaļas 2. punktā ietverto informāciju par projekta 1.35., 1.36. un 1.37. apakšpunktā paredzēto grozījumu</w:t>
            </w:r>
          </w:p>
        </w:tc>
        <w:tc>
          <w:tcPr>
            <w:tcW w:w="2552" w:type="dxa"/>
            <w:tcBorders>
              <w:top w:val="single" w:sz="6" w:space="0" w:color="000000"/>
              <w:left w:val="single" w:sz="6" w:space="0" w:color="000000"/>
              <w:bottom w:val="single" w:sz="6" w:space="0" w:color="000000"/>
              <w:right w:val="single" w:sz="6" w:space="0" w:color="000000"/>
            </w:tcBorders>
          </w:tcPr>
          <w:p w14:paraId="11F0B331" w14:textId="77777777" w:rsidR="00A75E8C" w:rsidRDefault="00D776A2" w:rsidP="00D776A2">
            <w:pPr>
              <w:pStyle w:val="naisc"/>
              <w:spacing w:before="0" w:after="0"/>
              <w:jc w:val="both"/>
            </w:pPr>
            <w:r>
              <w:rPr>
                <w:b/>
                <w:color w:val="000000" w:themeColor="text1"/>
              </w:rPr>
              <w:lastRenderedPageBreak/>
              <w:t>Ņemts vērā</w:t>
            </w:r>
            <w:r w:rsidR="00A75E8C">
              <w:t xml:space="preserve"> </w:t>
            </w:r>
          </w:p>
          <w:p w14:paraId="1DEE9D7A" w14:textId="7F9F00DA" w:rsidR="00D776A2" w:rsidRPr="007642F8" w:rsidRDefault="00A75E8C" w:rsidP="00D776A2">
            <w:pPr>
              <w:pStyle w:val="naisc"/>
              <w:spacing w:before="0" w:after="0"/>
              <w:jc w:val="both"/>
              <w:rPr>
                <w:b/>
                <w:color w:val="000000" w:themeColor="text1"/>
              </w:rPr>
            </w:pPr>
            <w:r>
              <w:t>Ar atbilstošu skaidrojumu papildināta anotācija.</w:t>
            </w:r>
          </w:p>
        </w:tc>
        <w:tc>
          <w:tcPr>
            <w:tcW w:w="2268" w:type="dxa"/>
            <w:tcBorders>
              <w:top w:val="single" w:sz="4" w:space="0" w:color="auto"/>
              <w:left w:val="single" w:sz="4" w:space="0" w:color="auto"/>
              <w:bottom w:val="single" w:sz="4" w:space="0" w:color="auto"/>
            </w:tcBorders>
          </w:tcPr>
          <w:p w14:paraId="661C0877" w14:textId="257C93C2" w:rsidR="00D776A2" w:rsidRPr="00E12C76" w:rsidRDefault="00A75E8C" w:rsidP="006D107F">
            <w:r>
              <w:t>Skatīt anotāciju.</w:t>
            </w:r>
          </w:p>
        </w:tc>
      </w:tr>
      <w:tr w:rsidR="00D776A2" w:rsidRPr="001C57E1" w14:paraId="184E27FC" w14:textId="77777777" w:rsidTr="007166A0">
        <w:tc>
          <w:tcPr>
            <w:tcW w:w="708" w:type="dxa"/>
            <w:tcBorders>
              <w:top w:val="single" w:sz="6" w:space="0" w:color="000000"/>
              <w:left w:val="single" w:sz="6" w:space="0" w:color="000000"/>
              <w:bottom w:val="single" w:sz="6" w:space="0" w:color="000000"/>
              <w:right w:val="single" w:sz="6" w:space="0" w:color="000000"/>
            </w:tcBorders>
          </w:tcPr>
          <w:p w14:paraId="5D465DDA" w14:textId="145BF1AD" w:rsidR="00D776A2" w:rsidRDefault="007A34BF" w:rsidP="00D776A2">
            <w:pPr>
              <w:pStyle w:val="naisc"/>
              <w:spacing w:before="0" w:after="0"/>
              <w:rPr>
                <w:color w:val="000000" w:themeColor="text1"/>
              </w:rPr>
            </w:pPr>
            <w:r>
              <w:rPr>
                <w:color w:val="000000" w:themeColor="text1"/>
              </w:rPr>
              <w:t>6</w:t>
            </w:r>
            <w:r w:rsidR="00D776A2">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14701EB8" w14:textId="25ED673E" w:rsidR="009016CF" w:rsidRDefault="009016CF" w:rsidP="009016CF">
            <w:pPr>
              <w:ind w:firstLine="27"/>
              <w:jc w:val="both"/>
            </w:pPr>
            <w:r>
              <w:t>Skatīt anotāciju.</w:t>
            </w:r>
          </w:p>
          <w:p w14:paraId="6F8B6350" w14:textId="77777777" w:rsidR="00D776A2" w:rsidRPr="00C912AC" w:rsidRDefault="00D776A2" w:rsidP="00D776A2">
            <w:pPr>
              <w:ind w:firstLine="27"/>
              <w:jc w:val="both"/>
            </w:pPr>
          </w:p>
        </w:tc>
        <w:tc>
          <w:tcPr>
            <w:tcW w:w="6804" w:type="dxa"/>
            <w:gridSpan w:val="3"/>
            <w:tcBorders>
              <w:top w:val="single" w:sz="6" w:space="0" w:color="000000"/>
              <w:left w:val="single" w:sz="6" w:space="0" w:color="000000"/>
              <w:bottom w:val="single" w:sz="6" w:space="0" w:color="000000"/>
              <w:right w:val="single" w:sz="6" w:space="0" w:color="000000"/>
            </w:tcBorders>
          </w:tcPr>
          <w:p w14:paraId="4C8CCE90" w14:textId="77777777" w:rsidR="00D776A2" w:rsidRPr="004F180D" w:rsidRDefault="00D776A2" w:rsidP="00D776A2">
            <w:pPr>
              <w:contextualSpacing/>
              <w:jc w:val="both"/>
              <w:rPr>
                <w:b/>
                <w:bCs/>
              </w:rPr>
            </w:pPr>
            <w:r w:rsidRPr="004F180D">
              <w:rPr>
                <w:b/>
                <w:bCs/>
              </w:rPr>
              <w:t xml:space="preserve">Tieslietu ministrija </w:t>
            </w:r>
          </w:p>
          <w:p w14:paraId="059C5AAE" w14:textId="77777777" w:rsidR="00D776A2" w:rsidRDefault="00D776A2" w:rsidP="00D776A2">
            <w:pPr>
              <w:pStyle w:val="naisc"/>
              <w:spacing w:before="0" w:after="0"/>
              <w:jc w:val="both"/>
            </w:pPr>
            <w:r w:rsidRPr="004F180D">
              <w:t xml:space="preserve">Anotācijas I sadaļas 2. punktā ietvertajā informācijā par projekta 1.43. apakšpunktā paredzētajiem grozījumiem noteikumu 10. pielikumā ir norādīts, ka tiek papildināts noteikumu 10. pielikums ar </w:t>
            </w:r>
            <w:r w:rsidRPr="004F180D">
              <w:rPr>
                <w:u w:val="single"/>
              </w:rPr>
              <w:t>12. un 13. piezīmi, kas nosaka pakalpojumu darbības apmaksu un nodrošinājumu kabinetos, kas noteikti noteikumu 10. pielikuma 2.21. un 2.22. apakšpunktā</w:t>
            </w:r>
            <w:r w:rsidRPr="004F180D">
              <w:t>.</w:t>
            </w:r>
          </w:p>
          <w:p w14:paraId="516DF337" w14:textId="7E492DC7" w:rsidR="00D776A2" w:rsidRPr="00E12C76" w:rsidRDefault="00D776A2" w:rsidP="00D776A2">
            <w:pPr>
              <w:pStyle w:val="naisc"/>
              <w:spacing w:before="0" w:after="0"/>
              <w:jc w:val="both"/>
              <w:rPr>
                <w:color w:val="000000" w:themeColor="text1"/>
              </w:rPr>
            </w:pPr>
            <w:r w:rsidRPr="00E12C76">
              <w:rPr>
                <w:color w:val="000000" w:themeColor="text1"/>
              </w:rPr>
              <w:t>Vēršam uzmanību uz to, ka projekta 1.43. apakšpunktā paredzētā noteikumu 10. pielikuma 12. piezīme attiecas uz noteikumu 10. pielikuma 2.22. apakšpunktu, bet noteikumu 10. pielikuma 13. piezīme attiecas uz noteikumu 10. pielikuma 2.23. apakšpunktu. Ievērojot minēto, lūdzam precizēt anotācijas I sadaļas 2. punktā ietverto informāciju par projekta 1.43. apakšpunktā paredzētajiem grozījumiem noteikumu 10. pielikuma piezīmēs.</w:t>
            </w:r>
          </w:p>
        </w:tc>
        <w:tc>
          <w:tcPr>
            <w:tcW w:w="2552" w:type="dxa"/>
            <w:tcBorders>
              <w:top w:val="single" w:sz="6" w:space="0" w:color="000000"/>
              <w:left w:val="single" w:sz="6" w:space="0" w:color="000000"/>
              <w:bottom w:val="single" w:sz="6" w:space="0" w:color="000000"/>
              <w:right w:val="single" w:sz="6" w:space="0" w:color="000000"/>
            </w:tcBorders>
          </w:tcPr>
          <w:p w14:paraId="56E2176E" w14:textId="77777777" w:rsidR="00D776A2" w:rsidRPr="007642F8" w:rsidRDefault="00D776A2" w:rsidP="00D776A2">
            <w:pPr>
              <w:pStyle w:val="naisc"/>
              <w:spacing w:before="0" w:after="0"/>
              <w:jc w:val="both"/>
              <w:rPr>
                <w:b/>
                <w:color w:val="000000" w:themeColor="text1"/>
              </w:rPr>
            </w:pPr>
            <w:r w:rsidRPr="007642F8">
              <w:rPr>
                <w:b/>
                <w:color w:val="000000" w:themeColor="text1"/>
              </w:rPr>
              <w:t>Ņemts vērā</w:t>
            </w:r>
          </w:p>
          <w:p w14:paraId="02186844" w14:textId="58263F94" w:rsidR="00D776A2" w:rsidRPr="007642F8" w:rsidRDefault="009016CF" w:rsidP="00D776A2">
            <w:pPr>
              <w:pStyle w:val="naisc"/>
              <w:spacing w:before="0" w:after="0"/>
              <w:jc w:val="both"/>
              <w:rPr>
                <w:b/>
                <w:color w:val="000000" w:themeColor="text1"/>
              </w:rPr>
            </w:pPr>
            <w:r w:rsidRPr="00E12C76">
              <w:t>Precizēta anotācija.</w:t>
            </w:r>
          </w:p>
        </w:tc>
        <w:tc>
          <w:tcPr>
            <w:tcW w:w="2268" w:type="dxa"/>
            <w:tcBorders>
              <w:top w:val="single" w:sz="4" w:space="0" w:color="auto"/>
              <w:left w:val="single" w:sz="4" w:space="0" w:color="auto"/>
              <w:bottom w:val="single" w:sz="4" w:space="0" w:color="auto"/>
            </w:tcBorders>
          </w:tcPr>
          <w:p w14:paraId="6BFF4EC4" w14:textId="3BB0FF08" w:rsidR="009016CF" w:rsidRDefault="009016CF" w:rsidP="009016CF">
            <w:pPr>
              <w:ind w:firstLine="27"/>
            </w:pPr>
            <w:r>
              <w:t>Skatīt anotāciju.</w:t>
            </w:r>
          </w:p>
          <w:p w14:paraId="7D649FAA" w14:textId="63E80C21" w:rsidR="00D776A2" w:rsidRPr="00970EB4" w:rsidRDefault="00D776A2" w:rsidP="00D776A2">
            <w:pPr>
              <w:ind w:firstLine="27"/>
            </w:pPr>
          </w:p>
        </w:tc>
      </w:tr>
      <w:tr w:rsidR="00D776A2" w:rsidRPr="001C57E1" w14:paraId="54FED93D" w14:textId="77777777" w:rsidTr="007166A0">
        <w:tc>
          <w:tcPr>
            <w:tcW w:w="708" w:type="dxa"/>
            <w:tcBorders>
              <w:top w:val="single" w:sz="6" w:space="0" w:color="000000"/>
              <w:left w:val="single" w:sz="6" w:space="0" w:color="000000"/>
              <w:bottom w:val="single" w:sz="6" w:space="0" w:color="000000"/>
              <w:right w:val="single" w:sz="6" w:space="0" w:color="000000"/>
            </w:tcBorders>
          </w:tcPr>
          <w:p w14:paraId="4473050F" w14:textId="3E16E32B" w:rsidR="00D776A2" w:rsidRDefault="00D776A2" w:rsidP="00D776A2">
            <w:pPr>
              <w:pStyle w:val="naisc"/>
              <w:spacing w:before="0" w:after="0"/>
              <w:rPr>
                <w:color w:val="000000" w:themeColor="text1"/>
              </w:rPr>
            </w:pPr>
            <w:r>
              <w:rPr>
                <w:color w:val="000000" w:themeColor="text1"/>
              </w:rPr>
              <w:t>7.</w:t>
            </w:r>
          </w:p>
        </w:tc>
        <w:tc>
          <w:tcPr>
            <w:tcW w:w="2377" w:type="dxa"/>
            <w:gridSpan w:val="2"/>
            <w:tcBorders>
              <w:top w:val="single" w:sz="6" w:space="0" w:color="000000"/>
              <w:left w:val="single" w:sz="6" w:space="0" w:color="000000"/>
              <w:bottom w:val="single" w:sz="6" w:space="0" w:color="000000"/>
              <w:right w:val="single" w:sz="6" w:space="0" w:color="000000"/>
            </w:tcBorders>
          </w:tcPr>
          <w:p w14:paraId="1CA1987F" w14:textId="1F139972" w:rsidR="00D776A2" w:rsidRPr="00E12C76" w:rsidRDefault="00A75E8C" w:rsidP="00D776A2">
            <w:pPr>
              <w:contextualSpacing/>
              <w:jc w:val="both"/>
              <w:outlineLvl w:val="0"/>
            </w:pPr>
            <w:r>
              <w:t>Skatīt anotāciju.</w:t>
            </w:r>
          </w:p>
          <w:p w14:paraId="0B95ED5D" w14:textId="77777777" w:rsidR="00D776A2" w:rsidRDefault="00D776A2" w:rsidP="00D776A2">
            <w:pPr>
              <w:contextualSpacing/>
              <w:jc w:val="both"/>
              <w:outlineLvl w:val="0"/>
            </w:pPr>
          </w:p>
        </w:tc>
        <w:tc>
          <w:tcPr>
            <w:tcW w:w="6804" w:type="dxa"/>
            <w:gridSpan w:val="3"/>
            <w:tcBorders>
              <w:top w:val="single" w:sz="6" w:space="0" w:color="000000"/>
              <w:left w:val="single" w:sz="6" w:space="0" w:color="000000"/>
              <w:bottom w:val="single" w:sz="6" w:space="0" w:color="000000"/>
              <w:right w:val="single" w:sz="6" w:space="0" w:color="000000"/>
            </w:tcBorders>
          </w:tcPr>
          <w:p w14:paraId="207C72ED" w14:textId="77777777" w:rsidR="00D776A2" w:rsidRPr="00E12C76" w:rsidRDefault="00D776A2" w:rsidP="00D776A2">
            <w:pPr>
              <w:ind w:firstLine="27"/>
              <w:jc w:val="both"/>
            </w:pPr>
            <w:r w:rsidRPr="00E12C76">
              <w:rPr>
                <w:b/>
                <w:bCs/>
              </w:rPr>
              <w:t>Tieslietu ministrija</w:t>
            </w:r>
            <w:r w:rsidRPr="00E12C76">
              <w:t xml:space="preserve"> </w:t>
            </w:r>
          </w:p>
          <w:p w14:paraId="054BCE9F" w14:textId="77777777" w:rsidR="00D776A2" w:rsidRPr="00E12C76" w:rsidRDefault="00D776A2" w:rsidP="00D776A2">
            <w:pPr>
              <w:ind w:firstLine="27"/>
              <w:jc w:val="both"/>
            </w:pPr>
            <w:r w:rsidRPr="00E12C76">
              <w:t>Lūdzam papildināt anotāciju ar skaidrojumu par projekta 3. un 4. punktā paredzēto regulējumu. Vienlaikus vēršam uzmanību uz to, ka anotācijas kopsavilkumā ir norādīts, ka projekts stāsies spēkā 2021. gada 1. janvārī, bet no projektā paredzētā regulējuma tas neizriet, proti, atbilstoši projekta 3. punktā noteiktajam šo noteikumu 1.19., 1.22, 1.32., 1.34., 1.35., 1.36., 1.37., 1.38., 1.39., 1.42., 1.43., 1.45., 1.51., 1.52., 1.53., 1.55. un 1.56. apakšpunkts stājas spēkā 2021. gada 1. janvārī.</w:t>
            </w:r>
          </w:p>
          <w:p w14:paraId="11BFC541" w14:textId="77777777" w:rsidR="00D776A2" w:rsidRPr="00DF6059" w:rsidRDefault="00D776A2" w:rsidP="00D776A2">
            <w:pPr>
              <w:ind w:firstLine="27"/>
              <w:jc w:val="both"/>
            </w:pPr>
          </w:p>
        </w:tc>
        <w:tc>
          <w:tcPr>
            <w:tcW w:w="2552" w:type="dxa"/>
            <w:tcBorders>
              <w:top w:val="single" w:sz="6" w:space="0" w:color="000000"/>
              <w:left w:val="single" w:sz="6" w:space="0" w:color="000000"/>
              <w:bottom w:val="single" w:sz="6" w:space="0" w:color="000000"/>
              <w:right w:val="single" w:sz="6" w:space="0" w:color="000000"/>
            </w:tcBorders>
          </w:tcPr>
          <w:p w14:paraId="2886A50C" w14:textId="77777777" w:rsidR="00D776A2" w:rsidRDefault="00D776A2" w:rsidP="00D776A2">
            <w:pPr>
              <w:pStyle w:val="naisc"/>
              <w:spacing w:before="0" w:after="0"/>
              <w:jc w:val="both"/>
              <w:rPr>
                <w:b/>
                <w:color w:val="000000" w:themeColor="text1"/>
              </w:rPr>
            </w:pPr>
            <w:r w:rsidRPr="002D3A58">
              <w:rPr>
                <w:b/>
                <w:color w:val="000000" w:themeColor="text1"/>
              </w:rPr>
              <w:t>Ņemts vērā</w:t>
            </w:r>
          </w:p>
          <w:p w14:paraId="04FF187F" w14:textId="220FFB55" w:rsidR="006D107F" w:rsidRPr="002D3A58" w:rsidRDefault="006D107F" w:rsidP="006D107F">
            <w:pPr>
              <w:pStyle w:val="naisc"/>
              <w:spacing w:before="0" w:after="0"/>
              <w:jc w:val="both"/>
              <w:rPr>
                <w:b/>
                <w:color w:val="000000" w:themeColor="text1"/>
              </w:rPr>
            </w:pPr>
            <w:r>
              <w:rPr>
                <w:color w:val="000000" w:themeColor="text1"/>
              </w:rPr>
              <w:t>Ar</w:t>
            </w:r>
            <w:r w:rsidR="00A75E8C">
              <w:rPr>
                <w:color w:val="000000" w:themeColor="text1"/>
              </w:rPr>
              <w:t xml:space="preserve"> </w:t>
            </w:r>
            <w:r>
              <w:rPr>
                <w:color w:val="000000" w:themeColor="text1"/>
              </w:rPr>
              <w:t>atbilstošu skaidrojumu papildināta anotācija.</w:t>
            </w:r>
          </w:p>
        </w:tc>
        <w:tc>
          <w:tcPr>
            <w:tcW w:w="2268" w:type="dxa"/>
            <w:tcBorders>
              <w:top w:val="single" w:sz="4" w:space="0" w:color="auto"/>
              <w:left w:val="single" w:sz="4" w:space="0" w:color="auto"/>
              <w:bottom w:val="single" w:sz="4" w:space="0" w:color="auto"/>
            </w:tcBorders>
          </w:tcPr>
          <w:p w14:paraId="495B775C" w14:textId="55DC3275" w:rsidR="006D107F" w:rsidRDefault="00A75E8C" w:rsidP="00A75E8C">
            <w:pPr>
              <w:rPr>
                <w:color w:val="000000" w:themeColor="text1"/>
              </w:rPr>
            </w:pPr>
            <w:r>
              <w:rPr>
                <w:color w:val="000000" w:themeColor="text1"/>
              </w:rPr>
              <w:t>Skatīt anotāciju.</w:t>
            </w:r>
          </w:p>
        </w:tc>
      </w:tr>
      <w:tr w:rsidR="007F61E1" w:rsidRPr="001C57E1" w14:paraId="4A6D7E0D" w14:textId="77777777" w:rsidTr="00DD4162">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14:paraId="1DC07F9A" w14:textId="77777777" w:rsidR="007F61E1" w:rsidRPr="001C57E1" w:rsidRDefault="007F61E1" w:rsidP="007F61E1">
            <w:pPr>
              <w:pStyle w:val="naiskr"/>
              <w:spacing w:before="0" w:after="0"/>
              <w:rPr>
                <w:color w:val="000000" w:themeColor="text1"/>
              </w:rPr>
            </w:pPr>
          </w:p>
          <w:p w14:paraId="7CEBEFD0" w14:textId="77777777" w:rsidR="007F61E1" w:rsidRPr="001C57E1" w:rsidRDefault="007F61E1" w:rsidP="007F61E1">
            <w:pPr>
              <w:pStyle w:val="naiskr"/>
              <w:spacing w:before="0" w:after="0"/>
              <w:rPr>
                <w:color w:val="000000" w:themeColor="text1"/>
              </w:rPr>
            </w:pPr>
          </w:p>
          <w:p w14:paraId="025BF999" w14:textId="77777777" w:rsidR="007F61E1" w:rsidRPr="001C57E1" w:rsidRDefault="007F61E1" w:rsidP="007F61E1">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1D831FF3" w14:textId="77777777" w:rsidR="007F61E1" w:rsidRPr="001C57E1" w:rsidRDefault="007F61E1" w:rsidP="007F61E1">
            <w:pPr>
              <w:pStyle w:val="naiskr"/>
              <w:spacing w:before="0" w:after="0"/>
              <w:ind w:firstLine="720"/>
              <w:rPr>
                <w:color w:val="000000" w:themeColor="text1"/>
              </w:rPr>
            </w:pPr>
            <w:r w:rsidRPr="001C57E1">
              <w:rPr>
                <w:color w:val="000000" w:themeColor="text1"/>
              </w:rPr>
              <w:t>  </w:t>
            </w:r>
          </w:p>
        </w:tc>
      </w:tr>
      <w:tr w:rsidR="007F61E1" w:rsidRPr="001C57E1" w14:paraId="0B43D78C" w14:textId="77777777" w:rsidTr="00DD4162">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14:paraId="6589A238" w14:textId="77777777" w:rsidR="007F61E1" w:rsidRPr="001C57E1" w:rsidRDefault="007F61E1" w:rsidP="007F61E1">
            <w:pPr>
              <w:pStyle w:val="naiskr"/>
              <w:spacing w:before="0" w:after="0"/>
              <w:ind w:firstLine="720"/>
              <w:rPr>
                <w:color w:val="000000" w:themeColor="text1"/>
              </w:rPr>
            </w:pPr>
          </w:p>
          <w:p w14:paraId="6C2134F4" w14:textId="77777777" w:rsidR="007F61E1" w:rsidRPr="001C57E1" w:rsidRDefault="007F61E1" w:rsidP="007F61E1">
            <w:pPr>
              <w:pStyle w:val="naiskr"/>
              <w:spacing w:before="0" w:after="0"/>
              <w:ind w:firstLine="720"/>
              <w:rPr>
                <w:color w:val="000000" w:themeColor="text1"/>
              </w:rPr>
            </w:pPr>
          </w:p>
          <w:p w14:paraId="50F96316" w14:textId="77777777" w:rsidR="007F61E1" w:rsidRPr="001C57E1" w:rsidRDefault="007F61E1" w:rsidP="007F61E1">
            <w:pPr>
              <w:pStyle w:val="naiskr"/>
              <w:spacing w:before="0" w:after="0"/>
              <w:rPr>
                <w:color w:val="000000" w:themeColor="text1"/>
              </w:rPr>
            </w:pPr>
          </w:p>
          <w:p w14:paraId="0A5B12F2" w14:textId="77777777" w:rsidR="007F61E1" w:rsidRPr="001C57E1" w:rsidRDefault="007F61E1" w:rsidP="007F61E1">
            <w:pPr>
              <w:pStyle w:val="naiskr"/>
              <w:spacing w:before="0" w:after="0"/>
              <w:ind w:firstLine="720"/>
              <w:rPr>
                <w:color w:val="000000" w:themeColor="text1"/>
              </w:rPr>
            </w:pPr>
          </w:p>
        </w:tc>
        <w:tc>
          <w:tcPr>
            <w:tcW w:w="9333" w:type="dxa"/>
            <w:gridSpan w:val="3"/>
          </w:tcPr>
          <w:p w14:paraId="62F27A1F" w14:textId="77777777" w:rsidR="007F61E1" w:rsidRPr="001C57E1" w:rsidRDefault="007F61E1" w:rsidP="007F61E1">
            <w:pPr>
              <w:pStyle w:val="naisc"/>
              <w:spacing w:before="0" w:after="0"/>
              <w:ind w:firstLine="720"/>
              <w:rPr>
                <w:color w:val="000000" w:themeColor="text1"/>
              </w:rPr>
            </w:pPr>
            <w:r w:rsidRPr="001C57E1">
              <w:rPr>
                <w:color w:val="000000" w:themeColor="text1"/>
              </w:rPr>
              <w:lastRenderedPageBreak/>
              <w:t xml:space="preserve">                                                              (paraksts)</w:t>
            </w:r>
            <w:r>
              <w:rPr>
                <w:color w:val="000000" w:themeColor="text1"/>
              </w:rPr>
              <w:t>*</w:t>
            </w:r>
          </w:p>
        </w:tc>
      </w:tr>
    </w:tbl>
    <w:p w14:paraId="44B0D8FF"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4F817EE2" w14:textId="77777777" w:rsidR="00F64FD2" w:rsidRDefault="00F64FD2" w:rsidP="002E2EFC">
      <w:pPr>
        <w:rPr>
          <w:color w:val="000000" w:themeColor="text1"/>
        </w:rPr>
      </w:pPr>
    </w:p>
    <w:p w14:paraId="35ED928C" w14:textId="77777777" w:rsidR="000D02D0" w:rsidRDefault="000D02D0" w:rsidP="002E2EFC">
      <w:pPr>
        <w:rPr>
          <w:color w:val="000000" w:themeColor="text1"/>
        </w:rPr>
      </w:pPr>
    </w:p>
    <w:p w14:paraId="761BD4A8" w14:textId="77777777" w:rsidR="000D02D0" w:rsidRDefault="000D02D0" w:rsidP="002E2EFC">
      <w:pPr>
        <w:rPr>
          <w:color w:val="000000" w:themeColor="text1"/>
        </w:rPr>
      </w:pPr>
    </w:p>
    <w:p w14:paraId="24BA1C08" w14:textId="1000B0C5" w:rsidR="000D02D0" w:rsidRDefault="000D02D0" w:rsidP="002E2EFC">
      <w:pPr>
        <w:rPr>
          <w:color w:val="000000" w:themeColor="text1"/>
        </w:rPr>
      </w:pPr>
    </w:p>
    <w:p w14:paraId="058A3017" w14:textId="21639083" w:rsidR="00E365E9" w:rsidRDefault="00E365E9" w:rsidP="002E2EFC">
      <w:pPr>
        <w:rPr>
          <w:color w:val="000000" w:themeColor="text1"/>
        </w:rPr>
      </w:pPr>
    </w:p>
    <w:p w14:paraId="03ABC73D" w14:textId="77777777" w:rsidR="00E365E9" w:rsidRDefault="00E365E9" w:rsidP="002E2EFC">
      <w:pPr>
        <w:rPr>
          <w:color w:val="000000" w:themeColor="text1"/>
        </w:rPr>
      </w:pPr>
    </w:p>
    <w:p w14:paraId="435E6864" w14:textId="182062D4" w:rsidR="00E34B0D" w:rsidRPr="001C57E1" w:rsidRDefault="00E34B0D" w:rsidP="00E34B0D">
      <w:pPr>
        <w:tabs>
          <w:tab w:val="left" w:pos="1560"/>
        </w:tabs>
        <w:rPr>
          <w:color w:val="000000" w:themeColor="text1"/>
        </w:rPr>
      </w:pPr>
    </w:p>
    <w:p w14:paraId="0D30A555" w14:textId="50BB81C9" w:rsidR="00291DEF" w:rsidRPr="00291DEF" w:rsidRDefault="00291DEF" w:rsidP="00291DEF">
      <w:pPr>
        <w:pStyle w:val="naisf"/>
        <w:rPr>
          <w:color w:val="000000" w:themeColor="text1"/>
        </w:rPr>
      </w:pPr>
      <w:r>
        <w:rPr>
          <w:color w:val="000000" w:themeColor="text1"/>
        </w:rPr>
        <w:t>Gunta Stūre</w:t>
      </w:r>
    </w:p>
    <w:p w14:paraId="1E4374D4" w14:textId="77777777" w:rsidR="00291DEF" w:rsidRPr="00291DEF" w:rsidRDefault="00291DEF" w:rsidP="00291DEF">
      <w:pPr>
        <w:pStyle w:val="naisf"/>
        <w:rPr>
          <w:color w:val="000000" w:themeColor="text1"/>
        </w:rPr>
      </w:pPr>
      <w:r w:rsidRPr="00291DEF">
        <w:rPr>
          <w:color w:val="000000" w:themeColor="text1"/>
        </w:rPr>
        <w:t xml:space="preserve">Veselības ministrijas </w:t>
      </w:r>
    </w:p>
    <w:p w14:paraId="1CE5B420" w14:textId="77777777" w:rsidR="00291DEF" w:rsidRPr="00291DEF" w:rsidRDefault="00291DEF" w:rsidP="00291DEF">
      <w:pPr>
        <w:pStyle w:val="naisf"/>
        <w:rPr>
          <w:color w:val="000000" w:themeColor="text1"/>
        </w:rPr>
      </w:pPr>
      <w:r w:rsidRPr="00291DEF">
        <w:rPr>
          <w:color w:val="000000" w:themeColor="text1"/>
        </w:rPr>
        <w:t>Veselības aprūpes departamenta</w:t>
      </w:r>
    </w:p>
    <w:p w14:paraId="333BEAAB" w14:textId="1D6DA1F4" w:rsidR="00291DEF" w:rsidRPr="00291DEF" w:rsidRDefault="00291DEF" w:rsidP="00291DEF">
      <w:pPr>
        <w:pStyle w:val="naisf"/>
        <w:rPr>
          <w:color w:val="000000" w:themeColor="text1"/>
        </w:rPr>
      </w:pPr>
      <w:r w:rsidRPr="00291DEF">
        <w:rPr>
          <w:color w:val="000000" w:themeColor="text1"/>
        </w:rPr>
        <w:t>Veselīb</w:t>
      </w:r>
      <w:r w:rsidRPr="00291DEF">
        <w:rPr>
          <w:color w:val="000000" w:themeColor="text1"/>
          <w:lang w:val="es-ES"/>
        </w:rPr>
        <w:t xml:space="preserve">as aprūpes organizācijas </w:t>
      </w:r>
      <w:r w:rsidRPr="00291DEF">
        <w:rPr>
          <w:color w:val="000000" w:themeColor="text1"/>
        </w:rPr>
        <w:t xml:space="preserve">nodaļas vecākā </w:t>
      </w:r>
      <w:r>
        <w:rPr>
          <w:color w:val="000000" w:themeColor="text1"/>
        </w:rPr>
        <w:t>referente</w:t>
      </w:r>
    </w:p>
    <w:p w14:paraId="1CA6810F" w14:textId="476B0B2E" w:rsidR="00291DEF" w:rsidRPr="00291DEF" w:rsidRDefault="00291DEF" w:rsidP="00291DEF">
      <w:pPr>
        <w:pStyle w:val="naisf"/>
        <w:rPr>
          <w:color w:val="000000" w:themeColor="text1"/>
        </w:rPr>
      </w:pPr>
      <w:r w:rsidRPr="00291DEF">
        <w:rPr>
          <w:color w:val="000000" w:themeColor="text1"/>
        </w:rPr>
        <w:t>tālr. 678760</w:t>
      </w:r>
      <w:r>
        <w:rPr>
          <w:color w:val="000000" w:themeColor="text1"/>
        </w:rPr>
        <w:t>66</w:t>
      </w:r>
      <w:r w:rsidRPr="00291DEF">
        <w:rPr>
          <w:color w:val="000000" w:themeColor="text1"/>
        </w:rPr>
        <w:t>, fakss 67876002</w:t>
      </w:r>
    </w:p>
    <w:p w14:paraId="3AB1D53F" w14:textId="570ACE78" w:rsidR="00291DEF" w:rsidRPr="00291DEF" w:rsidRDefault="00291DEF" w:rsidP="00291DEF">
      <w:pPr>
        <w:pStyle w:val="naisf"/>
        <w:rPr>
          <w:color w:val="000000" w:themeColor="text1"/>
        </w:rPr>
      </w:pPr>
      <w:r>
        <w:rPr>
          <w:color w:val="000000" w:themeColor="text1"/>
        </w:rPr>
        <w:t>Gunta.Sture</w:t>
      </w:r>
      <w:r w:rsidRPr="00291DEF">
        <w:rPr>
          <w:color w:val="000000" w:themeColor="text1"/>
        </w:rPr>
        <w:t>@vm.gov.lv</w:t>
      </w:r>
    </w:p>
    <w:p w14:paraId="6CDCF46E" w14:textId="45ABF1B7" w:rsidR="002E2EFC" w:rsidRPr="001C57E1" w:rsidRDefault="002E2EFC" w:rsidP="00DE7FCE">
      <w:pPr>
        <w:pStyle w:val="naisf"/>
        <w:spacing w:before="0" w:after="0"/>
        <w:ind w:firstLine="0"/>
        <w:rPr>
          <w:color w:val="000000" w:themeColor="text1"/>
        </w:rPr>
      </w:pPr>
    </w:p>
    <w:sectPr w:rsidR="002E2EFC" w:rsidRPr="001C57E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D64E" w16cex:dateUtc="2020-12-10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CE21" w14:textId="77777777" w:rsidR="00665248" w:rsidRDefault="00665248">
      <w:r>
        <w:separator/>
      </w:r>
    </w:p>
  </w:endnote>
  <w:endnote w:type="continuationSeparator" w:id="0">
    <w:p w14:paraId="4E0884E4" w14:textId="77777777" w:rsidR="00665248" w:rsidRDefault="0066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507D" w14:textId="328872BD" w:rsidR="006119B2" w:rsidRPr="000D02D0" w:rsidRDefault="000D02D0" w:rsidP="000D02D0">
    <w:pPr>
      <w:jc w:val="both"/>
      <w:rPr>
        <w:sz w:val="20"/>
        <w:szCs w:val="20"/>
      </w:rPr>
    </w:pPr>
    <w:r w:rsidRPr="000D02D0">
      <w:rPr>
        <w:sz w:val="20"/>
        <w:szCs w:val="20"/>
      </w:rPr>
      <w:t>VMizz_</w:t>
    </w:r>
    <w:r w:rsidR="006870B5">
      <w:rPr>
        <w:sz w:val="20"/>
        <w:szCs w:val="20"/>
      </w:rPr>
      <w:t>1</w:t>
    </w:r>
    <w:r w:rsidR="0069167F">
      <w:rPr>
        <w:sz w:val="20"/>
        <w:szCs w:val="20"/>
      </w:rPr>
      <w:t>1</w:t>
    </w:r>
    <w:r w:rsidR="003E37EA">
      <w:rPr>
        <w:sz w:val="20"/>
        <w:szCs w:val="20"/>
      </w:rPr>
      <w:t>12</w:t>
    </w:r>
    <w:r w:rsidR="00B20A44">
      <w:rPr>
        <w:sz w:val="20"/>
        <w:szCs w:val="20"/>
      </w:rPr>
      <w:t>20</w:t>
    </w:r>
    <w:r w:rsidRPr="000D02D0">
      <w:rPr>
        <w:sz w:val="20"/>
        <w:szCs w:val="20"/>
      </w:rPr>
      <w:t>_</w:t>
    </w:r>
    <w:r w:rsidR="00D2704E">
      <w:rPr>
        <w:sz w:val="20"/>
        <w:szCs w:val="20"/>
      </w:rPr>
      <w:t>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1470" w14:textId="6DE2B8B0" w:rsidR="006119B2" w:rsidRPr="000D02D0" w:rsidRDefault="006119B2" w:rsidP="00BE5FCA">
    <w:pPr>
      <w:jc w:val="both"/>
      <w:rPr>
        <w:sz w:val="20"/>
        <w:szCs w:val="20"/>
      </w:rPr>
    </w:pPr>
    <w:r w:rsidRPr="000D02D0">
      <w:rPr>
        <w:sz w:val="20"/>
        <w:szCs w:val="20"/>
      </w:rPr>
      <w:t>VMizz_</w:t>
    </w:r>
    <w:r w:rsidR="0069167F">
      <w:rPr>
        <w:sz w:val="20"/>
        <w:szCs w:val="20"/>
      </w:rPr>
      <w:t>1112</w:t>
    </w:r>
    <w:r w:rsidR="000D02D0" w:rsidRPr="000D02D0">
      <w:rPr>
        <w:sz w:val="20"/>
        <w:szCs w:val="20"/>
      </w:rPr>
      <w:t>20</w:t>
    </w:r>
    <w:r w:rsidRPr="000D02D0">
      <w:rPr>
        <w:sz w:val="20"/>
        <w:szCs w:val="20"/>
      </w:rPr>
      <w:t>_</w:t>
    </w:r>
    <w:r w:rsidR="00D2704E">
      <w:rPr>
        <w:sz w:val="20"/>
        <w:szCs w:val="20"/>
      </w:rPr>
      <w:t>not555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4131" w14:textId="77777777" w:rsidR="00665248" w:rsidRDefault="00665248">
      <w:r>
        <w:separator/>
      </w:r>
    </w:p>
  </w:footnote>
  <w:footnote w:type="continuationSeparator" w:id="0">
    <w:p w14:paraId="0195754E" w14:textId="77777777" w:rsidR="00665248" w:rsidRDefault="0066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7D16"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98F5B"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D858"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73489F2D"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9F4B91"/>
    <w:multiLevelType w:val="multilevel"/>
    <w:tmpl w:val="854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8"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9"/>
  </w:num>
  <w:num w:numId="4">
    <w:abstractNumId w:val="24"/>
  </w:num>
  <w:num w:numId="5">
    <w:abstractNumId w:val="23"/>
  </w:num>
  <w:num w:numId="6">
    <w:abstractNumId w:val="35"/>
  </w:num>
  <w:num w:numId="7">
    <w:abstractNumId w:val="7"/>
  </w:num>
  <w:num w:numId="8">
    <w:abstractNumId w:val="22"/>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2"/>
  </w:num>
  <w:num w:numId="19">
    <w:abstractNumId w:val="3"/>
  </w:num>
  <w:num w:numId="20">
    <w:abstractNumId w:val="14"/>
  </w:num>
  <w:num w:numId="21">
    <w:abstractNumId w:val="15"/>
  </w:num>
  <w:num w:numId="22">
    <w:abstractNumId w:val="26"/>
  </w:num>
  <w:num w:numId="23">
    <w:abstractNumId w:val="9"/>
  </w:num>
  <w:num w:numId="24">
    <w:abstractNumId w:val="31"/>
  </w:num>
  <w:num w:numId="25">
    <w:abstractNumId w:val="39"/>
  </w:num>
  <w:num w:numId="26">
    <w:abstractNumId w:val="33"/>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8"/>
  </w:num>
  <w:num w:numId="36">
    <w:abstractNumId w:val="4"/>
  </w:num>
  <w:num w:numId="37">
    <w:abstractNumId w:val="18"/>
  </w:num>
  <w:num w:numId="38">
    <w:abstractNumId w:val="34"/>
  </w:num>
  <w:num w:numId="39">
    <w:abstractNumId w:val="20"/>
  </w:num>
  <w:num w:numId="40">
    <w:abstractNumId w:val="11"/>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1E0C"/>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1625"/>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5E5"/>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30C"/>
    <w:rsid w:val="000A1A02"/>
    <w:rsid w:val="000A4003"/>
    <w:rsid w:val="000A4035"/>
    <w:rsid w:val="000A483A"/>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5BA1"/>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E7AF3"/>
    <w:rsid w:val="000F054F"/>
    <w:rsid w:val="000F079D"/>
    <w:rsid w:val="000F0912"/>
    <w:rsid w:val="000F0D9D"/>
    <w:rsid w:val="000F18CC"/>
    <w:rsid w:val="000F1D56"/>
    <w:rsid w:val="000F2534"/>
    <w:rsid w:val="000F28D9"/>
    <w:rsid w:val="000F2D43"/>
    <w:rsid w:val="000F2F9A"/>
    <w:rsid w:val="000F3599"/>
    <w:rsid w:val="000F3AA0"/>
    <w:rsid w:val="000F4AEB"/>
    <w:rsid w:val="000F4B40"/>
    <w:rsid w:val="000F4C3B"/>
    <w:rsid w:val="000F4E7B"/>
    <w:rsid w:val="000F56A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A8"/>
    <w:rsid w:val="00193A6E"/>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6D49"/>
    <w:rsid w:val="001F7257"/>
    <w:rsid w:val="001F7739"/>
    <w:rsid w:val="0020011B"/>
    <w:rsid w:val="0020068A"/>
    <w:rsid w:val="0020187E"/>
    <w:rsid w:val="00201DC6"/>
    <w:rsid w:val="00202375"/>
    <w:rsid w:val="0020242C"/>
    <w:rsid w:val="002025EA"/>
    <w:rsid w:val="00202884"/>
    <w:rsid w:val="00202E44"/>
    <w:rsid w:val="00203556"/>
    <w:rsid w:val="00204D0F"/>
    <w:rsid w:val="00204DB6"/>
    <w:rsid w:val="002056ED"/>
    <w:rsid w:val="00205C3A"/>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0DC7"/>
    <w:rsid w:val="002415BC"/>
    <w:rsid w:val="00241937"/>
    <w:rsid w:val="00241D9D"/>
    <w:rsid w:val="002434B2"/>
    <w:rsid w:val="002442F4"/>
    <w:rsid w:val="002445EA"/>
    <w:rsid w:val="00244ECE"/>
    <w:rsid w:val="00244FC5"/>
    <w:rsid w:val="00245D1D"/>
    <w:rsid w:val="00250EDA"/>
    <w:rsid w:val="002513E8"/>
    <w:rsid w:val="002514D3"/>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7EDD"/>
    <w:rsid w:val="00290C7D"/>
    <w:rsid w:val="00290F23"/>
    <w:rsid w:val="0029110E"/>
    <w:rsid w:val="00291195"/>
    <w:rsid w:val="0029141B"/>
    <w:rsid w:val="00291DEF"/>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AEB"/>
    <w:rsid w:val="002C6D84"/>
    <w:rsid w:val="002C7968"/>
    <w:rsid w:val="002C7D21"/>
    <w:rsid w:val="002D1564"/>
    <w:rsid w:val="002D1CA4"/>
    <w:rsid w:val="002D1E5A"/>
    <w:rsid w:val="002D1F1D"/>
    <w:rsid w:val="002D2C09"/>
    <w:rsid w:val="002D2C45"/>
    <w:rsid w:val="002D2C92"/>
    <w:rsid w:val="002D38A4"/>
    <w:rsid w:val="002D3A58"/>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7C6"/>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3A1"/>
    <w:rsid w:val="002F4EA1"/>
    <w:rsid w:val="002F52DE"/>
    <w:rsid w:val="002F55C1"/>
    <w:rsid w:val="002F6227"/>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9"/>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425D"/>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7EA"/>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326B"/>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1E87"/>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397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B51"/>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2D70"/>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180D"/>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CBD"/>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5B"/>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4BC1"/>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77C"/>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48"/>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0B5"/>
    <w:rsid w:val="006873F0"/>
    <w:rsid w:val="00687C0D"/>
    <w:rsid w:val="00691237"/>
    <w:rsid w:val="0069134E"/>
    <w:rsid w:val="0069167F"/>
    <w:rsid w:val="006920E6"/>
    <w:rsid w:val="00692175"/>
    <w:rsid w:val="00692555"/>
    <w:rsid w:val="00693795"/>
    <w:rsid w:val="00695B3B"/>
    <w:rsid w:val="00696566"/>
    <w:rsid w:val="006966BA"/>
    <w:rsid w:val="006970B2"/>
    <w:rsid w:val="0069722D"/>
    <w:rsid w:val="00697335"/>
    <w:rsid w:val="00697365"/>
    <w:rsid w:val="006979BE"/>
    <w:rsid w:val="006A0052"/>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CB6"/>
    <w:rsid w:val="006B7DF0"/>
    <w:rsid w:val="006B7E74"/>
    <w:rsid w:val="006C03EC"/>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07F"/>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30E"/>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3646"/>
    <w:rsid w:val="007445E2"/>
    <w:rsid w:val="00744986"/>
    <w:rsid w:val="00745496"/>
    <w:rsid w:val="007460DA"/>
    <w:rsid w:val="00746213"/>
    <w:rsid w:val="0074705B"/>
    <w:rsid w:val="007470EC"/>
    <w:rsid w:val="0074712F"/>
    <w:rsid w:val="0075020B"/>
    <w:rsid w:val="00751017"/>
    <w:rsid w:val="0075112A"/>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34BF"/>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18B3"/>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3F5"/>
    <w:rsid w:val="007E3B9C"/>
    <w:rsid w:val="007E4A2F"/>
    <w:rsid w:val="007E4D35"/>
    <w:rsid w:val="007E5BBC"/>
    <w:rsid w:val="007E5C4A"/>
    <w:rsid w:val="007E6915"/>
    <w:rsid w:val="007E7109"/>
    <w:rsid w:val="007E74CA"/>
    <w:rsid w:val="007E7AD3"/>
    <w:rsid w:val="007F0070"/>
    <w:rsid w:val="007F0441"/>
    <w:rsid w:val="007F059C"/>
    <w:rsid w:val="007F0E99"/>
    <w:rsid w:val="007F20F1"/>
    <w:rsid w:val="007F37A0"/>
    <w:rsid w:val="007F4224"/>
    <w:rsid w:val="007F4C55"/>
    <w:rsid w:val="007F4DD2"/>
    <w:rsid w:val="007F4FB9"/>
    <w:rsid w:val="007F61E1"/>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2C8E"/>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1EDE"/>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4ADD"/>
    <w:rsid w:val="00844B5F"/>
    <w:rsid w:val="00844F38"/>
    <w:rsid w:val="0084534E"/>
    <w:rsid w:val="00845619"/>
    <w:rsid w:val="00846062"/>
    <w:rsid w:val="00846267"/>
    <w:rsid w:val="008474C1"/>
    <w:rsid w:val="00847C1C"/>
    <w:rsid w:val="00847E22"/>
    <w:rsid w:val="0085055E"/>
    <w:rsid w:val="00850C3B"/>
    <w:rsid w:val="00851605"/>
    <w:rsid w:val="00852005"/>
    <w:rsid w:val="00852784"/>
    <w:rsid w:val="00852CA0"/>
    <w:rsid w:val="00852D85"/>
    <w:rsid w:val="00852F6C"/>
    <w:rsid w:val="0085465C"/>
    <w:rsid w:val="00854967"/>
    <w:rsid w:val="00854DF9"/>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6E24"/>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16CF"/>
    <w:rsid w:val="00901A87"/>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27CC1"/>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5E98"/>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0EB4"/>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010"/>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185"/>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5E8C"/>
    <w:rsid w:val="00A76E79"/>
    <w:rsid w:val="00A76F27"/>
    <w:rsid w:val="00A7771B"/>
    <w:rsid w:val="00A77B53"/>
    <w:rsid w:val="00A80DC9"/>
    <w:rsid w:val="00A811F1"/>
    <w:rsid w:val="00A82887"/>
    <w:rsid w:val="00A83010"/>
    <w:rsid w:val="00A83BF5"/>
    <w:rsid w:val="00A83F12"/>
    <w:rsid w:val="00A84CD1"/>
    <w:rsid w:val="00A8528A"/>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4C5"/>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0A44"/>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2FCB"/>
    <w:rsid w:val="00B734C2"/>
    <w:rsid w:val="00B73BDA"/>
    <w:rsid w:val="00B74053"/>
    <w:rsid w:val="00B7418A"/>
    <w:rsid w:val="00B74B9A"/>
    <w:rsid w:val="00B75C92"/>
    <w:rsid w:val="00B765A0"/>
    <w:rsid w:val="00B76C02"/>
    <w:rsid w:val="00B77BD2"/>
    <w:rsid w:val="00B814CB"/>
    <w:rsid w:val="00B81B6A"/>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256"/>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23"/>
    <w:rsid w:val="00BE10C1"/>
    <w:rsid w:val="00BE1244"/>
    <w:rsid w:val="00BE165D"/>
    <w:rsid w:val="00BE2394"/>
    <w:rsid w:val="00BE2702"/>
    <w:rsid w:val="00BE2FE1"/>
    <w:rsid w:val="00BE4326"/>
    <w:rsid w:val="00BE4E3E"/>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0AC"/>
    <w:rsid w:val="00C3121D"/>
    <w:rsid w:val="00C316DA"/>
    <w:rsid w:val="00C31E8F"/>
    <w:rsid w:val="00C335DA"/>
    <w:rsid w:val="00C33D3E"/>
    <w:rsid w:val="00C340FB"/>
    <w:rsid w:val="00C34DF5"/>
    <w:rsid w:val="00C3577B"/>
    <w:rsid w:val="00C359E7"/>
    <w:rsid w:val="00C35DC7"/>
    <w:rsid w:val="00C35EEA"/>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3BEB"/>
    <w:rsid w:val="00C64CE3"/>
    <w:rsid w:val="00C657B5"/>
    <w:rsid w:val="00C661E1"/>
    <w:rsid w:val="00C66686"/>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0F8"/>
    <w:rsid w:val="00C8285A"/>
    <w:rsid w:val="00C8398D"/>
    <w:rsid w:val="00C84BC2"/>
    <w:rsid w:val="00C85139"/>
    <w:rsid w:val="00C85657"/>
    <w:rsid w:val="00C858CD"/>
    <w:rsid w:val="00C86A11"/>
    <w:rsid w:val="00C87A12"/>
    <w:rsid w:val="00C87F06"/>
    <w:rsid w:val="00C90E23"/>
    <w:rsid w:val="00C912AC"/>
    <w:rsid w:val="00C91342"/>
    <w:rsid w:val="00C91987"/>
    <w:rsid w:val="00C91C88"/>
    <w:rsid w:val="00C92E7A"/>
    <w:rsid w:val="00C93662"/>
    <w:rsid w:val="00C939C3"/>
    <w:rsid w:val="00C94228"/>
    <w:rsid w:val="00C960FC"/>
    <w:rsid w:val="00C96217"/>
    <w:rsid w:val="00C96BBB"/>
    <w:rsid w:val="00C96D56"/>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1504"/>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891"/>
    <w:rsid w:val="00CD5CB9"/>
    <w:rsid w:val="00CD6FA3"/>
    <w:rsid w:val="00CE2184"/>
    <w:rsid w:val="00CE3B7F"/>
    <w:rsid w:val="00CE3FA2"/>
    <w:rsid w:val="00CE41A0"/>
    <w:rsid w:val="00CE4958"/>
    <w:rsid w:val="00CE584D"/>
    <w:rsid w:val="00CE68E2"/>
    <w:rsid w:val="00CE6F58"/>
    <w:rsid w:val="00CE706E"/>
    <w:rsid w:val="00CE70B1"/>
    <w:rsid w:val="00CE7968"/>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0526"/>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04E"/>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0EC1"/>
    <w:rsid w:val="00D7146C"/>
    <w:rsid w:val="00D718CD"/>
    <w:rsid w:val="00D720FC"/>
    <w:rsid w:val="00D73BF3"/>
    <w:rsid w:val="00D7416F"/>
    <w:rsid w:val="00D755F2"/>
    <w:rsid w:val="00D762AC"/>
    <w:rsid w:val="00D76DCD"/>
    <w:rsid w:val="00D77235"/>
    <w:rsid w:val="00D775E7"/>
    <w:rsid w:val="00D776A2"/>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059"/>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76"/>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5E9"/>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7A8"/>
    <w:rsid w:val="00E57EEB"/>
    <w:rsid w:val="00E602A3"/>
    <w:rsid w:val="00E60318"/>
    <w:rsid w:val="00E60BA8"/>
    <w:rsid w:val="00E61E25"/>
    <w:rsid w:val="00E61E28"/>
    <w:rsid w:val="00E628E4"/>
    <w:rsid w:val="00E63A19"/>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D64"/>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DE6"/>
    <w:rsid w:val="00F21E61"/>
    <w:rsid w:val="00F220EA"/>
    <w:rsid w:val="00F222CD"/>
    <w:rsid w:val="00F223A8"/>
    <w:rsid w:val="00F2379E"/>
    <w:rsid w:val="00F24772"/>
    <w:rsid w:val="00F24EA4"/>
    <w:rsid w:val="00F2625A"/>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B0634"/>
    <w:rsid w:val="00FB0CC1"/>
    <w:rsid w:val="00FB1B7E"/>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3D13"/>
    <w:rsid w:val="00FD4876"/>
    <w:rsid w:val="00FD4A1C"/>
    <w:rsid w:val="00FD52A3"/>
    <w:rsid w:val="00FD5BEE"/>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65D6F"/>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B"/>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150">
      <w:bodyDiv w:val="1"/>
      <w:marLeft w:val="0"/>
      <w:marRight w:val="0"/>
      <w:marTop w:val="0"/>
      <w:marBottom w:val="0"/>
      <w:divBdr>
        <w:top w:val="none" w:sz="0" w:space="0" w:color="auto"/>
        <w:left w:val="none" w:sz="0" w:space="0" w:color="auto"/>
        <w:bottom w:val="none" w:sz="0" w:space="0" w:color="auto"/>
        <w:right w:val="none" w:sz="0" w:space="0" w:color="auto"/>
      </w:divBdr>
    </w:div>
    <w:div w:id="123280107">
      <w:bodyDiv w:val="1"/>
      <w:marLeft w:val="0"/>
      <w:marRight w:val="0"/>
      <w:marTop w:val="0"/>
      <w:marBottom w:val="0"/>
      <w:divBdr>
        <w:top w:val="none" w:sz="0" w:space="0" w:color="auto"/>
        <w:left w:val="none" w:sz="0" w:space="0" w:color="auto"/>
        <w:bottom w:val="none" w:sz="0" w:space="0" w:color="auto"/>
        <w:right w:val="none" w:sz="0" w:space="0" w:color="auto"/>
      </w:divBdr>
    </w:div>
    <w:div w:id="133984741">
      <w:bodyDiv w:val="1"/>
      <w:marLeft w:val="0"/>
      <w:marRight w:val="0"/>
      <w:marTop w:val="0"/>
      <w:marBottom w:val="0"/>
      <w:divBdr>
        <w:top w:val="none" w:sz="0" w:space="0" w:color="auto"/>
        <w:left w:val="none" w:sz="0" w:space="0" w:color="auto"/>
        <w:bottom w:val="none" w:sz="0" w:space="0" w:color="auto"/>
        <w:right w:val="none" w:sz="0" w:space="0" w:color="auto"/>
      </w:divBdr>
      <w:divsChild>
        <w:div w:id="1789424261">
          <w:marLeft w:val="0"/>
          <w:marRight w:val="0"/>
          <w:marTop w:val="0"/>
          <w:marBottom w:val="0"/>
          <w:divBdr>
            <w:top w:val="none" w:sz="0" w:space="0" w:color="auto"/>
            <w:left w:val="none" w:sz="0" w:space="0" w:color="auto"/>
            <w:bottom w:val="none" w:sz="0" w:space="0" w:color="auto"/>
            <w:right w:val="none" w:sz="0" w:space="0" w:color="auto"/>
          </w:divBdr>
        </w:div>
        <w:div w:id="2059426355">
          <w:marLeft w:val="0"/>
          <w:marRight w:val="0"/>
          <w:marTop w:val="0"/>
          <w:marBottom w:val="0"/>
          <w:divBdr>
            <w:top w:val="none" w:sz="0" w:space="0" w:color="auto"/>
            <w:left w:val="none" w:sz="0" w:space="0" w:color="auto"/>
            <w:bottom w:val="none" w:sz="0" w:space="0" w:color="auto"/>
            <w:right w:val="none" w:sz="0" w:space="0" w:color="auto"/>
          </w:divBdr>
        </w:div>
      </w:divsChild>
    </w:div>
    <w:div w:id="333649161">
      <w:bodyDiv w:val="1"/>
      <w:marLeft w:val="0"/>
      <w:marRight w:val="0"/>
      <w:marTop w:val="0"/>
      <w:marBottom w:val="0"/>
      <w:divBdr>
        <w:top w:val="none" w:sz="0" w:space="0" w:color="auto"/>
        <w:left w:val="none" w:sz="0" w:space="0" w:color="auto"/>
        <w:bottom w:val="none" w:sz="0" w:space="0" w:color="auto"/>
        <w:right w:val="none" w:sz="0" w:space="0" w:color="auto"/>
      </w:divBdr>
    </w:div>
    <w:div w:id="33708164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876879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1475709">
      <w:bodyDiv w:val="1"/>
      <w:marLeft w:val="0"/>
      <w:marRight w:val="0"/>
      <w:marTop w:val="0"/>
      <w:marBottom w:val="0"/>
      <w:divBdr>
        <w:top w:val="none" w:sz="0" w:space="0" w:color="auto"/>
        <w:left w:val="none" w:sz="0" w:space="0" w:color="auto"/>
        <w:bottom w:val="none" w:sz="0" w:space="0" w:color="auto"/>
        <w:right w:val="none" w:sz="0" w:space="0" w:color="auto"/>
      </w:divBdr>
    </w:div>
    <w:div w:id="698899808">
      <w:bodyDiv w:val="1"/>
      <w:marLeft w:val="0"/>
      <w:marRight w:val="0"/>
      <w:marTop w:val="0"/>
      <w:marBottom w:val="0"/>
      <w:divBdr>
        <w:top w:val="none" w:sz="0" w:space="0" w:color="auto"/>
        <w:left w:val="none" w:sz="0" w:space="0" w:color="auto"/>
        <w:bottom w:val="none" w:sz="0" w:space="0" w:color="auto"/>
        <w:right w:val="none" w:sz="0" w:space="0" w:color="auto"/>
      </w:divBdr>
    </w:div>
    <w:div w:id="724331163">
      <w:bodyDiv w:val="1"/>
      <w:marLeft w:val="0"/>
      <w:marRight w:val="0"/>
      <w:marTop w:val="0"/>
      <w:marBottom w:val="0"/>
      <w:divBdr>
        <w:top w:val="none" w:sz="0" w:space="0" w:color="auto"/>
        <w:left w:val="none" w:sz="0" w:space="0" w:color="auto"/>
        <w:bottom w:val="none" w:sz="0" w:space="0" w:color="auto"/>
        <w:right w:val="none" w:sz="0" w:space="0" w:color="auto"/>
      </w:divBdr>
    </w:div>
    <w:div w:id="754590919">
      <w:bodyDiv w:val="1"/>
      <w:marLeft w:val="0"/>
      <w:marRight w:val="0"/>
      <w:marTop w:val="0"/>
      <w:marBottom w:val="0"/>
      <w:divBdr>
        <w:top w:val="none" w:sz="0" w:space="0" w:color="auto"/>
        <w:left w:val="none" w:sz="0" w:space="0" w:color="auto"/>
        <w:bottom w:val="none" w:sz="0" w:space="0" w:color="auto"/>
        <w:right w:val="none" w:sz="0" w:space="0" w:color="auto"/>
      </w:divBdr>
    </w:div>
    <w:div w:id="774908997">
      <w:bodyDiv w:val="1"/>
      <w:marLeft w:val="0"/>
      <w:marRight w:val="0"/>
      <w:marTop w:val="0"/>
      <w:marBottom w:val="0"/>
      <w:divBdr>
        <w:top w:val="none" w:sz="0" w:space="0" w:color="auto"/>
        <w:left w:val="none" w:sz="0" w:space="0" w:color="auto"/>
        <w:bottom w:val="none" w:sz="0" w:space="0" w:color="auto"/>
        <w:right w:val="none" w:sz="0" w:space="0" w:color="auto"/>
      </w:divBdr>
    </w:div>
    <w:div w:id="800225846">
      <w:bodyDiv w:val="1"/>
      <w:marLeft w:val="0"/>
      <w:marRight w:val="0"/>
      <w:marTop w:val="0"/>
      <w:marBottom w:val="0"/>
      <w:divBdr>
        <w:top w:val="none" w:sz="0" w:space="0" w:color="auto"/>
        <w:left w:val="none" w:sz="0" w:space="0" w:color="auto"/>
        <w:bottom w:val="none" w:sz="0" w:space="0" w:color="auto"/>
        <w:right w:val="none" w:sz="0" w:space="0" w:color="auto"/>
      </w:divBdr>
    </w:div>
    <w:div w:id="802773973">
      <w:bodyDiv w:val="1"/>
      <w:marLeft w:val="0"/>
      <w:marRight w:val="0"/>
      <w:marTop w:val="0"/>
      <w:marBottom w:val="0"/>
      <w:divBdr>
        <w:top w:val="none" w:sz="0" w:space="0" w:color="auto"/>
        <w:left w:val="none" w:sz="0" w:space="0" w:color="auto"/>
        <w:bottom w:val="none" w:sz="0" w:space="0" w:color="auto"/>
        <w:right w:val="none" w:sz="0" w:space="0" w:color="auto"/>
      </w:divBdr>
    </w:div>
    <w:div w:id="101758452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12887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4294207">
      <w:bodyDiv w:val="1"/>
      <w:marLeft w:val="0"/>
      <w:marRight w:val="0"/>
      <w:marTop w:val="0"/>
      <w:marBottom w:val="0"/>
      <w:divBdr>
        <w:top w:val="none" w:sz="0" w:space="0" w:color="auto"/>
        <w:left w:val="none" w:sz="0" w:space="0" w:color="auto"/>
        <w:bottom w:val="none" w:sz="0" w:space="0" w:color="auto"/>
        <w:right w:val="none" w:sz="0" w:space="0" w:color="auto"/>
      </w:divBdr>
    </w:div>
    <w:div w:id="1304653210">
      <w:bodyDiv w:val="1"/>
      <w:marLeft w:val="0"/>
      <w:marRight w:val="0"/>
      <w:marTop w:val="0"/>
      <w:marBottom w:val="0"/>
      <w:divBdr>
        <w:top w:val="none" w:sz="0" w:space="0" w:color="auto"/>
        <w:left w:val="none" w:sz="0" w:space="0" w:color="auto"/>
        <w:bottom w:val="none" w:sz="0" w:space="0" w:color="auto"/>
        <w:right w:val="none" w:sz="0" w:space="0" w:color="auto"/>
      </w:divBdr>
    </w:div>
    <w:div w:id="1327856435">
      <w:bodyDiv w:val="1"/>
      <w:marLeft w:val="0"/>
      <w:marRight w:val="0"/>
      <w:marTop w:val="0"/>
      <w:marBottom w:val="0"/>
      <w:divBdr>
        <w:top w:val="none" w:sz="0" w:space="0" w:color="auto"/>
        <w:left w:val="none" w:sz="0" w:space="0" w:color="auto"/>
        <w:bottom w:val="none" w:sz="0" w:space="0" w:color="auto"/>
        <w:right w:val="none" w:sz="0" w:space="0" w:color="auto"/>
      </w:divBdr>
    </w:div>
    <w:div w:id="1392735199">
      <w:bodyDiv w:val="1"/>
      <w:marLeft w:val="0"/>
      <w:marRight w:val="0"/>
      <w:marTop w:val="0"/>
      <w:marBottom w:val="0"/>
      <w:divBdr>
        <w:top w:val="none" w:sz="0" w:space="0" w:color="auto"/>
        <w:left w:val="none" w:sz="0" w:space="0" w:color="auto"/>
        <w:bottom w:val="none" w:sz="0" w:space="0" w:color="auto"/>
        <w:right w:val="none" w:sz="0" w:space="0" w:color="auto"/>
      </w:divBdr>
    </w:div>
    <w:div w:id="141323602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05036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6862139">
      <w:bodyDiv w:val="1"/>
      <w:marLeft w:val="0"/>
      <w:marRight w:val="0"/>
      <w:marTop w:val="0"/>
      <w:marBottom w:val="0"/>
      <w:divBdr>
        <w:top w:val="none" w:sz="0" w:space="0" w:color="auto"/>
        <w:left w:val="none" w:sz="0" w:space="0" w:color="auto"/>
        <w:bottom w:val="none" w:sz="0" w:space="0" w:color="auto"/>
        <w:right w:val="none" w:sz="0" w:space="0" w:color="auto"/>
      </w:divBdr>
    </w:div>
    <w:div w:id="20955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5508-57A1-45AD-98DD-AF10077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1314</Words>
  <Characters>9414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„Veselības pārbaudes kārtība personām, kuras pretendē uz speciālo atļauju pieejai valsts noslēpumam”</vt:lpstr>
    </vt:vector>
  </TitlesOfParts>
  <Company>Veselības ministrija</Company>
  <LinksUpToDate>false</LinksUpToDate>
  <CharactersWithSpaces>10707</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„Veselības pārbaudes kārtība personām, kuras pretendē uz speciālo atļauju pieejai valsts noslēpumam”</dc:title>
  <dc:subject>Izziņa par atzinumos izteiktajiem iebildumiem</dc:subject>
  <dc:creator>Irita Kuzma</dc:creator>
  <dc:description>Irita.Kuzma@vm.gov.lv, tālr.: 6 7876079</dc:description>
  <cp:lastModifiedBy>Gunta Stūre</cp:lastModifiedBy>
  <cp:revision>4</cp:revision>
  <cp:lastPrinted>2014-01-30T14:03:00Z</cp:lastPrinted>
  <dcterms:created xsi:type="dcterms:W3CDTF">2020-12-11T09:28:00Z</dcterms:created>
  <dcterms:modified xsi:type="dcterms:W3CDTF">2020-12-11T10:55:00Z</dcterms:modified>
</cp:coreProperties>
</file>