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38CB"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4C2B213B" w14:textId="77777777" w:rsidR="00F1577C" w:rsidRDefault="0032040B" w:rsidP="003D1109">
            <w:pPr>
              <w:ind w:firstLine="720"/>
              <w:jc w:val="center"/>
              <w:rPr>
                <w:b/>
                <w:sz w:val="28"/>
                <w:szCs w:val="28"/>
              </w:rPr>
            </w:pPr>
            <w:r w:rsidRPr="00182E48">
              <w:rPr>
                <w:b/>
                <w:sz w:val="28"/>
                <w:szCs w:val="28"/>
              </w:rPr>
              <w:t>p</w:t>
            </w:r>
            <w:r w:rsidR="00973EC2" w:rsidRPr="00182E48">
              <w:rPr>
                <w:b/>
                <w:sz w:val="28"/>
                <w:szCs w:val="28"/>
              </w:rPr>
              <w:t xml:space="preserve">ar </w:t>
            </w:r>
            <w:r w:rsidR="003D1109" w:rsidRPr="00182E48">
              <w:rPr>
                <w:b/>
                <w:sz w:val="28"/>
                <w:szCs w:val="28"/>
              </w:rPr>
              <w:t xml:space="preserve">Ministru kabineta noteikumu projektu </w:t>
            </w:r>
            <w:r w:rsidR="00FD7700" w:rsidRPr="00182E48">
              <w:rPr>
                <w:b/>
                <w:sz w:val="28"/>
                <w:szCs w:val="28"/>
              </w:rPr>
              <w:t xml:space="preserve"> </w:t>
            </w:r>
          </w:p>
          <w:p w14:paraId="147A3D42" w14:textId="1F8B683E" w:rsidR="007116C7" w:rsidRPr="000C7419" w:rsidRDefault="00FD7700" w:rsidP="003D1109">
            <w:pPr>
              <w:ind w:firstLine="720"/>
              <w:jc w:val="center"/>
              <w:rPr>
                <w:b/>
                <w:sz w:val="28"/>
                <w:szCs w:val="28"/>
              </w:rPr>
            </w:pPr>
            <w:r w:rsidRPr="00182E48">
              <w:rPr>
                <w:b/>
                <w:sz w:val="28"/>
                <w:szCs w:val="28"/>
              </w:rPr>
              <w:t>"</w:t>
            </w:r>
            <w:r w:rsidR="000C7419" w:rsidRPr="00182E48">
              <w:rPr>
                <w:b/>
                <w:sz w:val="28"/>
                <w:szCs w:val="28"/>
              </w:rPr>
              <w:t>Grozījum</w:t>
            </w:r>
            <w:r w:rsidR="003C70D2">
              <w:rPr>
                <w:b/>
                <w:sz w:val="28"/>
                <w:szCs w:val="28"/>
              </w:rPr>
              <w:t>i</w:t>
            </w:r>
            <w:r w:rsidR="000C7419" w:rsidRPr="00182E48">
              <w:rPr>
                <w:b/>
                <w:sz w:val="28"/>
                <w:szCs w:val="28"/>
              </w:rPr>
              <w:t xml:space="preserve"> Ministru kabineta 200</w:t>
            </w:r>
            <w:r w:rsidR="00182E48" w:rsidRPr="00182E48">
              <w:rPr>
                <w:b/>
                <w:sz w:val="28"/>
                <w:szCs w:val="28"/>
              </w:rPr>
              <w:t>7</w:t>
            </w:r>
            <w:r w:rsidR="000C7419" w:rsidRPr="00182E48">
              <w:rPr>
                <w:b/>
                <w:sz w:val="28"/>
                <w:szCs w:val="28"/>
              </w:rPr>
              <w:t xml:space="preserve">. gada </w:t>
            </w:r>
            <w:r w:rsidR="00182E48" w:rsidRPr="00182E48">
              <w:rPr>
                <w:b/>
                <w:sz w:val="28"/>
                <w:szCs w:val="28"/>
              </w:rPr>
              <w:t>26</w:t>
            </w:r>
            <w:r w:rsidR="000C7419" w:rsidRPr="00182E48">
              <w:rPr>
                <w:b/>
                <w:sz w:val="28"/>
                <w:szCs w:val="28"/>
              </w:rPr>
              <w:t>. </w:t>
            </w:r>
            <w:r w:rsidR="00182E48" w:rsidRPr="00182E48">
              <w:rPr>
                <w:b/>
                <w:sz w:val="28"/>
                <w:szCs w:val="28"/>
              </w:rPr>
              <w:t>jūnija</w:t>
            </w:r>
            <w:r w:rsidR="000C7419" w:rsidRPr="00182E48">
              <w:rPr>
                <w:b/>
                <w:sz w:val="28"/>
                <w:szCs w:val="28"/>
              </w:rPr>
              <w:t xml:space="preserve"> noteikumos Nr. </w:t>
            </w:r>
            <w:r w:rsidR="00182E48" w:rsidRPr="00182E48">
              <w:rPr>
                <w:b/>
                <w:sz w:val="28"/>
                <w:szCs w:val="28"/>
              </w:rPr>
              <w:t>416</w:t>
            </w:r>
            <w:r w:rsidR="000C7419" w:rsidRPr="00182E48">
              <w:rPr>
                <w:b/>
                <w:sz w:val="28"/>
                <w:szCs w:val="28"/>
              </w:rPr>
              <w:t xml:space="preserve"> “</w:t>
            </w:r>
            <w:hyperlink r:id="rId8" w:tgtFrame="_blank" w:history="1">
              <w:r w:rsidR="00182E48" w:rsidRPr="00182E48">
                <w:rPr>
                  <w:b/>
                  <w:sz w:val="28"/>
                  <w:szCs w:val="28"/>
                </w:rPr>
                <w:t>Z</w:t>
              </w:r>
              <w:r w:rsidR="000C7419" w:rsidRPr="00182E48">
                <w:rPr>
                  <w:rStyle w:val="Hipersaite"/>
                  <w:b/>
                  <w:color w:val="auto"/>
                  <w:sz w:val="28"/>
                  <w:szCs w:val="28"/>
                  <w:u w:val="none"/>
                </w:rPr>
                <w:t xml:space="preserve">āļu </w:t>
              </w:r>
              <w:r w:rsidR="00182E48" w:rsidRPr="00182E48">
                <w:rPr>
                  <w:rStyle w:val="Hipersaite"/>
                  <w:b/>
                  <w:color w:val="auto"/>
                  <w:sz w:val="28"/>
                  <w:szCs w:val="28"/>
                  <w:u w:val="none"/>
                </w:rPr>
                <w:t>izplatīšanas un kvalitātes kontroles</w:t>
              </w:r>
              <w:r w:rsidR="000C7419" w:rsidRPr="00182E48">
                <w:rPr>
                  <w:rStyle w:val="Hipersaite"/>
                  <w:b/>
                  <w:color w:val="auto"/>
                  <w:sz w:val="28"/>
                  <w:szCs w:val="28"/>
                  <w:u w:val="none"/>
                </w:rPr>
                <w:t xml:space="preserve"> kārtīb</w:t>
              </w:r>
              <w:r w:rsidR="00182E48" w:rsidRPr="00182E48">
                <w:rPr>
                  <w:rStyle w:val="Hipersaite"/>
                  <w:b/>
                  <w:color w:val="auto"/>
                  <w:sz w:val="28"/>
                  <w:szCs w:val="28"/>
                  <w:u w:val="none"/>
                </w:rPr>
                <w:t>a”</w:t>
              </w:r>
            </w:hyperlink>
            <w:r w:rsidRPr="000C7419">
              <w:rPr>
                <w:b/>
                <w:sz w:val="28"/>
                <w:szCs w:val="28"/>
              </w:rPr>
              <w:t>"</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61" w:type="pct"/>
        <w:tblLook w:val="00A0" w:firstRow="1" w:lastRow="0" w:firstColumn="1" w:lastColumn="0" w:noHBand="0" w:noVBand="0"/>
      </w:tblPr>
      <w:tblGrid>
        <w:gridCol w:w="8079"/>
        <w:gridCol w:w="6095"/>
      </w:tblGrid>
      <w:tr w:rsidR="00C21C0B" w:rsidRPr="00DB7851" w14:paraId="2411E405" w14:textId="77777777" w:rsidTr="000C7419">
        <w:tc>
          <w:tcPr>
            <w:tcW w:w="2850" w:type="pct"/>
          </w:tcPr>
          <w:p w14:paraId="5FCFA5E6" w14:textId="77777777" w:rsidR="00C21C0B" w:rsidRPr="00DB7851" w:rsidRDefault="00C21C0B" w:rsidP="00DB20B0">
            <w:pPr>
              <w:pStyle w:val="naisf"/>
              <w:spacing w:before="0" w:after="0"/>
              <w:ind w:firstLine="0"/>
            </w:pPr>
            <w:r w:rsidRPr="00DB7851">
              <w:t>Datums</w:t>
            </w:r>
          </w:p>
        </w:tc>
        <w:tc>
          <w:tcPr>
            <w:tcW w:w="2150" w:type="pct"/>
            <w:tcBorders>
              <w:bottom w:val="single" w:sz="4" w:space="0" w:color="auto"/>
            </w:tcBorders>
          </w:tcPr>
          <w:p w14:paraId="3C1C4863" w14:textId="64258ACE" w:rsidR="00C21C0B" w:rsidRPr="00DB7851" w:rsidRDefault="00990D5A" w:rsidP="00DB20B0">
            <w:pPr>
              <w:pStyle w:val="Paraststmeklis"/>
              <w:spacing w:before="0" w:beforeAutospacing="0" w:after="0" w:afterAutospacing="0"/>
            </w:pPr>
            <w:r>
              <w:t>25.01.2021.</w:t>
            </w:r>
          </w:p>
        </w:tc>
      </w:tr>
      <w:tr w:rsidR="00C21C0B" w:rsidRPr="00DB7851" w14:paraId="1B8073AD" w14:textId="77777777" w:rsidTr="000C7419">
        <w:tc>
          <w:tcPr>
            <w:tcW w:w="2850" w:type="pct"/>
          </w:tcPr>
          <w:p w14:paraId="5D65566D" w14:textId="77777777" w:rsidR="00C21C0B" w:rsidRPr="00DB7851" w:rsidRDefault="00C21C0B" w:rsidP="00DB20B0">
            <w:pPr>
              <w:pStyle w:val="naisf"/>
              <w:spacing w:before="0" w:after="0"/>
              <w:ind w:firstLine="0"/>
            </w:pPr>
          </w:p>
        </w:tc>
        <w:tc>
          <w:tcPr>
            <w:tcW w:w="2150" w:type="pct"/>
            <w:tcBorders>
              <w:top w:val="single" w:sz="4" w:space="0" w:color="auto"/>
            </w:tcBorders>
          </w:tcPr>
          <w:p w14:paraId="13B17FCC" w14:textId="77777777" w:rsidR="00C21C0B" w:rsidRPr="00DB7851" w:rsidRDefault="00C21C0B" w:rsidP="00DB20B0">
            <w:pPr>
              <w:pStyle w:val="Paraststmeklis"/>
              <w:spacing w:before="0" w:beforeAutospacing="0" w:after="0" w:afterAutospacing="0"/>
            </w:pPr>
          </w:p>
        </w:tc>
      </w:tr>
      <w:tr w:rsidR="00C21C0B" w:rsidRPr="00DB7851" w14:paraId="5524D48A" w14:textId="77777777" w:rsidTr="000C7419">
        <w:tc>
          <w:tcPr>
            <w:tcW w:w="2850" w:type="pct"/>
          </w:tcPr>
          <w:p w14:paraId="29E28107" w14:textId="77777777" w:rsidR="00C21C0B" w:rsidRPr="00DB7851" w:rsidRDefault="00C21C0B" w:rsidP="00DB20B0">
            <w:pPr>
              <w:pStyle w:val="naiskr"/>
              <w:spacing w:before="0" w:after="0"/>
            </w:pPr>
            <w:r w:rsidRPr="00DB7851">
              <w:t>Saskaņošanas dalībnieki</w:t>
            </w:r>
          </w:p>
        </w:tc>
        <w:tc>
          <w:tcPr>
            <w:tcW w:w="2150" w:type="pct"/>
          </w:tcPr>
          <w:p w14:paraId="717CA076" w14:textId="7046983B" w:rsidR="00C21C0B" w:rsidRPr="007D7A00" w:rsidRDefault="003D1109" w:rsidP="003D1109">
            <w:pPr>
              <w:pStyle w:val="Paraststmeklis"/>
              <w:rPr>
                <w:bCs/>
              </w:rPr>
            </w:pPr>
            <w:r w:rsidRPr="003D1109">
              <w:rPr>
                <w:bCs/>
              </w:rPr>
              <w:t>Tieslietu ministrija</w:t>
            </w:r>
            <w:r w:rsidR="00990D5A">
              <w:rPr>
                <w:bCs/>
              </w:rPr>
              <w:t>, Finanšu ministrija</w:t>
            </w:r>
          </w:p>
        </w:tc>
      </w:tr>
      <w:tr w:rsidR="00C21C0B" w:rsidRPr="00DF33CF" w14:paraId="364435C1" w14:textId="77777777" w:rsidTr="000C7419">
        <w:trPr>
          <w:trHeight w:val="285"/>
        </w:trPr>
        <w:tc>
          <w:tcPr>
            <w:tcW w:w="2850" w:type="pct"/>
          </w:tcPr>
          <w:p w14:paraId="64F3A1F6" w14:textId="77777777" w:rsidR="00990D5A" w:rsidRDefault="00990D5A" w:rsidP="00DB20B0">
            <w:pPr>
              <w:pStyle w:val="naiskr"/>
              <w:spacing w:before="0" w:after="0"/>
              <w:rPr>
                <w:sz w:val="23"/>
                <w:szCs w:val="23"/>
              </w:rPr>
            </w:pPr>
          </w:p>
          <w:p w14:paraId="00FA8DC6" w14:textId="0E8A267F"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2150" w:type="pct"/>
            <w:tcBorders>
              <w:bottom w:val="single" w:sz="4" w:space="0" w:color="auto"/>
            </w:tcBorders>
          </w:tcPr>
          <w:p w14:paraId="271D9E07" w14:textId="50FB5C70" w:rsidR="00C21C0B" w:rsidRPr="00DF33CF" w:rsidRDefault="00C21C0B" w:rsidP="00DB20B0">
            <w:pPr>
              <w:pStyle w:val="naiskr"/>
              <w:spacing w:before="0" w:after="0"/>
              <w:ind w:firstLine="12"/>
              <w:rPr>
                <w:sz w:val="23"/>
                <w:szCs w:val="23"/>
              </w:rPr>
            </w:pPr>
          </w:p>
        </w:tc>
      </w:tr>
      <w:tr w:rsidR="00C21C0B" w:rsidRPr="00DF33CF" w14:paraId="2F9F30F4" w14:textId="77777777" w:rsidTr="000C7419">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0C7419">
        <w:tc>
          <w:tcPr>
            <w:tcW w:w="2850"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2150"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94ECB6" w14:textId="73B85F03"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254"/>
        <w:gridCol w:w="4395"/>
        <w:gridCol w:w="932"/>
        <w:gridCol w:w="1619"/>
        <w:gridCol w:w="3260"/>
      </w:tblGrid>
      <w:tr w:rsidR="00134188" w:rsidRPr="00712B66" w14:paraId="7C4487FD" w14:textId="77777777" w:rsidTr="00A76822">
        <w:tc>
          <w:tcPr>
            <w:tcW w:w="707"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990D5A" w:rsidRDefault="00134188" w:rsidP="009623BC">
            <w:pPr>
              <w:pStyle w:val="naisc"/>
              <w:spacing w:before="0" w:after="0"/>
            </w:pPr>
            <w:r w:rsidRPr="00990D5A">
              <w:lastRenderedPageBreak/>
              <w:t>Nr. p.</w:t>
            </w:r>
            <w:r w:rsidR="00D64FB0" w:rsidRPr="00990D5A">
              <w:t> </w:t>
            </w:r>
            <w:r w:rsidRPr="00990D5A">
              <w:t>k.</w:t>
            </w:r>
          </w:p>
        </w:tc>
        <w:tc>
          <w:tcPr>
            <w:tcW w:w="3254" w:type="dxa"/>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990D5A" w:rsidRDefault="00134188" w:rsidP="009623BC">
            <w:pPr>
              <w:pStyle w:val="naisc"/>
              <w:spacing w:before="0" w:after="0"/>
              <w:ind w:firstLine="12"/>
            </w:pPr>
            <w:r w:rsidRPr="00990D5A">
              <w:t>Saskaņošanai nosūtītā projekta redakcija (konkrēta punkta (panta) redakcija)</w:t>
            </w:r>
          </w:p>
        </w:tc>
        <w:tc>
          <w:tcPr>
            <w:tcW w:w="4395"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990D5A" w:rsidRDefault="00134188" w:rsidP="000C7419">
            <w:pPr>
              <w:pStyle w:val="naisc"/>
              <w:spacing w:before="0" w:after="0"/>
              <w:ind w:right="3"/>
              <w:jc w:val="both"/>
            </w:pPr>
            <w:r w:rsidRPr="00990D5A">
              <w:t>Atzinumā norādītais ministrijas (citas institūcijas) iebildums, kā arī saskaņošanā papildus izteiktais iebildums par projekta konkrēto punktu (pantu)</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990D5A" w:rsidRDefault="00134188" w:rsidP="009623BC">
            <w:pPr>
              <w:pStyle w:val="naisc"/>
              <w:spacing w:before="0" w:after="0"/>
              <w:ind w:firstLine="21"/>
            </w:pPr>
            <w:r w:rsidRPr="00990D5A">
              <w:t>Atbildīgās ministrijas norāde</w:t>
            </w:r>
            <w:r w:rsidR="006C1C48" w:rsidRPr="00990D5A">
              <w:t xml:space="preserve"> par to, ka </w:t>
            </w:r>
            <w:r w:rsidRPr="00990D5A">
              <w:t>iebildums ir ņemts vērā</w:t>
            </w:r>
            <w:r w:rsidR="006455E7" w:rsidRPr="00990D5A">
              <w:t>,</w:t>
            </w:r>
            <w:r w:rsidRPr="00990D5A">
              <w:t xml:space="preserve"> vai </w:t>
            </w:r>
            <w:r w:rsidR="006C1C48" w:rsidRPr="00990D5A">
              <w:t xml:space="preserve">informācija par saskaņošanā </w:t>
            </w:r>
            <w:r w:rsidR="00022B0F" w:rsidRPr="00990D5A">
              <w:t>panākto alternatīvo risinājumu</w:t>
            </w:r>
          </w:p>
        </w:tc>
        <w:tc>
          <w:tcPr>
            <w:tcW w:w="3260" w:type="dxa"/>
            <w:tcBorders>
              <w:top w:val="single" w:sz="4" w:space="0" w:color="auto"/>
              <w:left w:val="single" w:sz="4" w:space="0" w:color="auto"/>
              <w:bottom w:val="single" w:sz="4" w:space="0" w:color="auto"/>
            </w:tcBorders>
            <w:vAlign w:val="center"/>
          </w:tcPr>
          <w:p w14:paraId="2D78543E" w14:textId="77777777" w:rsidR="00134188" w:rsidRPr="00990D5A" w:rsidRDefault="00134188" w:rsidP="009623BC">
            <w:pPr>
              <w:jc w:val="center"/>
            </w:pPr>
            <w:r w:rsidRPr="00990D5A">
              <w:t>Projekta attiecīgā punkta (panta) galīgā redakcija</w:t>
            </w:r>
          </w:p>
        </w:tc>
      </w:tr>
      <w:tr w:rsidR="00134188" w:rsidRPr="003B71E0" w14:paraId="77770F4D" w14:textId="77777777" w:rsidTr="00A76822">
        <w:tc>
          <w:tcPr>
            <w:tcW w:w="707" w:type="dxa"/>
            <w:tcBorders>
              <w:top w:val="single" w:sz="6" w:space="0" w:color="000000"/>
              <w:left w:val="single" w:sz="6" w:space="0" w:color="000000"/>
              <w:bottom w:val="single" w:sz="6" w:space="0" w:color="000000"/>
              <w:right w:val="single" w:sz="6" w:space="0" w:color="000000"/>
            </w:tcBorders>
          </w:tcPr>
          <w:p w14:paraId="6C220153" w14:textId="77777777" w:rsidR="00134188" w:rsidRPr="00990D5A" w:rsidRDefault="003B71E0" w:rsidP="003B71E0">
            <w:pPr>
              <w:pStyle w:val="naisc"/>
              <w:spacing w:before="0" w:after="0"/>
            </w:pPr>
            <w:r w:rsidRPr="00990D5A">
              <w:t>1</w:t>
            </w:r>
          </w:p>
        </w:tc>
        <w:tc>
          <w:tcPr>
            <w:tcW w:w="3254" w:type="dxa"/>
            <w:tcBorders>
              <w:top w:val="single" w:sz="6" w:space="0" w:color="000000"/>
              <w:left w:val="single" w:sz="6" w:space="0" w:color="000000"/>
              <w:bottom w:val="single" w:sz="6" w:space="0" w:color="000000"/>
              <w:right w:val="single" w:sz="6" w:space="0" w:color="000000"/>
            </w:tcBorders>
          </w:tcPr>
          <w:p w14:paraId="6F99B646" w14:textId="77777777" w:rsidR="00134188" w:rsidRPr="00990D5A" w:rsidRDefault="00F34AAB" w:rsidP="003B71E0">
            <w:pPr>
              <w:pStyle w:val="naisc"/>
              <w:spacing w:before="0" w:after="0"/>
              <w:ind w:firstLine="720"/>
            </w:pPr>
            <w:r w:rsidRPr="00990D5A">
              <w:t>2</w:t>
            </w:r>
          </w:p>
        </w:tc>
        <w:tc>
          <w:tcPr>
            <w:tcW w:w="4395" w:type="dxa"/>
            <w:tcBorders>
              <w:top w:val="single" w:sz="6" w:space="0" w:color="000000"/>
              <w:left w:val="single" w:sz="6" w:space="0" w:color="000000"/>
              <w:bottom w:val="single" w:sz="6" w:space="0" w:color="000000"/>
              <w:right w:val="single" w:sz="6" w:space="0" w:color="000000"/>
            </w:tcBorders>
          </w:tcPr>
          <w:p w14:paraId="76F295A2" w14:textId="77777777" w:rsidR="00134188" w:rsidRPr="00990D5A" w:rsidRDefault="003B71E0" w:rsidP="000C7419">
            <w:pPr>
              <w:pStyle w:val="naisc"/>
              <w:spacing w:before="0" w:after="0"/>
              <w:ind w:firstLine="720"/>
              <w:jc w:val="both"/>
            </w:pPr>
            <w:r w:rsidRPr="00990D5A">
              <w:t>3</w:t>
            </w:r>
          </w:p>
        </w:tc>
        <w:tc>
          <w:tcPr>
            <w:tcW w:w="255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990D5A" w:rsidRDefault="003B71E0" w:rsidP="003B71E0">
            <w:pPr>
              <w:pStyle w:val="naisc"/>
              <w:spacing w:before="0" w:after="0"/>
              <w:ind w:firstLine="720"/>
            </w:pPr>
            <w:r w:rsidRPr="00990D5A">
              <w:t>4</w:t>
            </w:r>
          </w:p>
        </w:tc>
        <w:tc>
          <w:tcPr>
            <w:tcW w:w="3260" w:type="dxa"/>
            <w:tcBorders>
              <w:top w:val="single" w:sz="4" w:space="0" w:color="auto"/>
              <w:left w:val="single" w:sz="4" w:space="0" w:color="auto"/>
              <w:bottom w:val="single" w:sz="4" w:space="0" w:color="auto"/>
            </w:tcBorders>
          </w:tcPr>
          <w:p w14:paraId="291721C3" w14:textId="77777777" w:rsidR="00134188" w:rsidRPr="00990D5A" w:rsidRDefault="003B71E0" w:rsidP="003B71E0">
            <w:pPr>
              <w:jc w:val="center"/>
            </w:pPr>
            <w:r w:rsidRPr="00990D5A">
              <w:t>5</w:t>
            </w:r>
          </w:p>
        </w:tc>
      </w:tr>
      <w:tr w:rsidR="001C1764" w:rsidRPr="00146C5A" w14:paraId="20B1CC63" w14:textId="77777777" w:rsidTr="00A76822">
        <w:tc>
          <w:tcPr>
            <w:tcW w:w="707" w:type="dxa"/>
            <w:tcBorders>
              <w:left w:val="single" w:sz="6" w:space="0" w:color="000000"/>
              <w:bottom w:val="single" w:sz="4" w:space="0" w:color="auto"/>
              <w:right w:val="single" w:sz="6" w:space="0" w:color="000000"/>
            </w:tcBorders>
          </w:tcPr>
          <w:p w14:paraId="55B37474" w14:textId="77777777" w:rsidR="001C1764" w:rsidRPr="00990D5A" w:rsidRDefault="001C1764" w:rsidP="001C1764">
            <w:pPr>
              <w:pStyle w:val="naisc"/>
              <w:numPr>
                <w:ilvl w:val="0"/>
                <w:numId w:val="7"/>
              </w:numPr>
              <w:spacing w:before="0" w:after="0"/>
            </w:pPr>
          </w:p>
          <w:p w14:paraId="48C9C032" w14:textId="77777777" w:rsidR="00182E48" w:rsidRPr="00990D5A" w:rsidRDefault="00182E48" w:rsidP="00182E48"/>
          <w:p w14:paraId="4E27815D" w14:textId="77777777" w:rsidR="00182E48" w:rsidRPr="00990D5A" w:rsidRDefault="00182E48" w:rsidP="00182E48"/>
          <w:p w14:paraId="2D92F888" w14:textId="4D20B1B5" w:rsidR="00182E48" w:rsidRPr="00990D5A" w:rsidRDefault="00182E48" w:rsidP="00182E48">
            <w:r w:rsidRPr="00990D5A">
              <w:t>1.</w:t>
            </w:r>
          </w:p>
        </w:tc>
        <w:tc>
          <w:tcPr>
            <w:tcW w:w="3254" w:type="dxa"/>
            <w:tcBorders>
              <w:left w:val="single" w:sz="6" w:space="0" w:color="000000"/>
              <w:bottom w:val="single" w:sz="4" w:space="0" w:color="auto"/>
              <w:right w:val="single" w:sz="6" w:space="0" w:color="000000"/>
            </w:tcBorders>
          </w:tcPr>
          <w:p w14:paraId="1C808F33" w14:textId="2B3995BB" w:rsidR="00990D5A" w:rsidRPr="00990D5A" w:rsidRDefault="00990D5A" w:rsidP="00990D5A">
            <w:pPr>
              <w:jc w:val="both"/>
            </w:pPr>
            <w:r w:rsidRPr="00990D5A">
              <w:rPr>
                <w:bCs/>
              </w:rPr>
              <w:t>6. Papildināt noteikumus ar 171.</w:t>
            </w:r>
            <w:r w:rsidRPr="00990D5A">
              <w:rPr>
                <w:bCs/>
                <w:vertAlign w:val="superscript"/>
              </w:rPr>
              <w:t>19</w:t>
            </w:r>
            <w:r w:rsidRPr="00990D5A">
              <w:rPr>
                <w:bCs/>
              </w:rPr>
              <w:t>, 171.</w:t>
            </w:r>
            <w:r w:rsidRPr="00990D5A">
              <w:rPr>
                <w:bCs/>
                <w:vertAlign w:val="superscript"/>
              </w:rPr>
              <w:t>20</w:t>
            </w:r>
            <w:r w:rsidRPr="00990D5A">
              <w:rPr>
                <w:bCs/>
              </w:rPr>
              <w:t xml:space="preserve"> un 171.</w:t>
            </w:r>
            <w:r w:rsidRPr="00990D5A">
              <w:rPr>
                <w:bCs/>
                <w:vertAlign w:val="superscript"/>
              </w:rPr>
              <w:t>21</w:t>
            </w:r>
            <w:r w:rsidRPr="00990D5A">
              <w:rPr>
                <w:bCs/>
              </w:rPr>
              <w:t> punktu šādā redakcijā:</w:t>
            </w:r>
          </w:p>
          <w:p w14:paraId="0B025529" w14:textId="5113C54A" w:rsidR="00990D5A" w:rsidRPr="00990D5A" w:rsidRDefault="00990D5A" w:rsidP="00990D5A">
            <w:pPr>
              <w:pStyle w:val="xbezatstarpm1"/>
              <w:shd w:val="clear" w:color="auto" w:fill="FFFFFF"/>
              <w:spacing w:before="0" w:beforeAutospacing="0" w:after="0" w:afterAutospacing="0"/>
              <w:jc w:val="both"/>
            </w:pPr>
            <w:r w:rsidRPr="00990D5A">
              <w:t>"</w:t>
            </w:r>
            <w:r w:rsidRPr="00990D5A">
              <w:rPr>
                <w:bCs/>
              </w:rPr>
              <w:t>171.</w:t>
            </w:r>
            <w:r w:rsidRPr="00990D5A">
              <w:rPr>
                <w:bCs/>
                <w:vertAlign w:val="superscript"/>
              </w:rPr>
              <w:t>19</w:t>
            </w:r>
            <w:r w:rsidRPr="00990D5A">
              <w:rPr>
                <w:bCs/>
              </w:rPr>
              <w:t> </w:t>
            </w:r>
            <w:r w:rsidR="00A76822">
              <w:rPr>
                <w:bCs/>
              </w:rPr>
              <w:t>(…)</w:t>
            </w:r>
            <w:r w:rsidRPr="00990D5A">
              <w:t>:</w:t>
            </w:r>
          </w:p>
          <w:p w14:paraId="7389B582" w14:textId="6F3D0338" w:rsidR="00990D5A" w:rsidRPr="00990D5A" w:rsidRDefault="00990D5A" w:rsidP="00990D5A">
            <w:pPr>
              <w:pStyle w:val="xbezatstarpm1"/>
              <w:shd w:val="clear" w:color="auto" w:fill="FFFFFF"/>
              <w:spacing w:before="0" w:beforeAutospacing="0" w:after="0" w:afterAutospacing="0"/>
              <w:jc w:val="both"/>
            </w:pPr>
            <w:r w:rsidRPr="00990D5A">
              <w:rPr>
                <w:bCs/>
              </w:rPr>
              <w:t>171.</w:t>
            </w:r>
            <w:r w:rsidRPr="00990D5A">
              <w:rPr>
                <w:bCs/>
                <w:vertAlign w:val="superscript"/>
              </w:rPr>
              <w:t>19</w:t>
            </w:r>
            <w:r w:rsidRPr="00990D5A">
              <w:rPr>
                <w:bCs/>
              </w:rPr>
              <w:t>1. </w:t>
            </w:r>
            <w:r w:rsidRPr="00990D5A">
              <w:t xml:space="preserve"> </w:t>
            </w:r>
            <w:r w:rsidR="00A76822">
              <w:t>(…)</w:t>
            </w:r>
            <w:r w:rsidRPr="00990D5A">
              <w:t>.</w:t>
            </w:r>
          </w:p>
          <w:p w14:paraId="050539D9" w14:textId="5777C45D" w:rsidR="00990D5A" w:rsidRPr="00990D5A" w:rsidRDefault="00990D5A" w:rsidP="00990D5A">
            <w:pPr>
              <w:pStyle w:val="Bezatstarpm"/>
              <w:rPr>
                <w:szCs w:val="24"/>
              </w:rPr>
            </w:pPr>
            <w:r w:rsidRPr="00990D5A">
              <w:rPr>
                <w:bCs/>
                <w:szCs w:val="24"/>
              </w:rPr>
              <w:t>171.</w:t>
            </w:r>
            <w:r w:rsidRPr="00990D5A">
              <w:rPr>
                <w:bCs/>
                <w:szCs w:val="24"/>
                <w:vertAlign w:val="superscript"/>
              </w:rPr>
              <w:t>19</w:t>
            </w:r>
            <w:r w:rsidRPr="00990D5A">
              <w:rPr>
                <w:bCs/>
                <w:szCs w:val="24"/>
              </w:rPr>
              <w:t>2</w:t>
            </w:r>
            <w:r w:rsidRPr="00990D5A">
              <w:rPr>
                <w:szCs w:val="24"/>
                <w:shd w:val="clear" w:color="auto" w:fill="FFFFFF"/>
              </w:rPr>
              <w:t>. </w:t>
            </w:r>
            <w:r w:rsidR="00A76822">
              <w:rPr>
                <w:bCs/>
                <w:szCs w:val="24"/>
              </w:rPr>
              <w:t>(…)</w:t>
            </w:r>
          </w:p>
          <w:p w14:paraId="04273FD3" w14:textId="3F5ED1D9" w:rsidR="00990D5A" w:rsidRPr="00990D5A" w:rsidRDefault="00990D5A" w:rsidP="00990D5A">
            <w:pPr>
              <w:jc w:val="both"/>
              <w:rPr>
                <w:bCs/>
              </w:rPr>
            </w:pPr>
            <w:r w:rsidRPr="00990D5A">
              <w:rPr>
                <w:bCs/>
              </w:rPr>
              <w:t>171.</w:t>
            </w:r>
            <w:r w:rsidRPr="00990D5A">
              <w:rPr>
                <w:bCs/>
                <w:vertAlign w:val="superscript"/>
              </w:rPr>
              <w:t>20</w:t>
            </w:r>
            <w:r w:rsidRPr="00990D5A">
              <w:rPr>
                <w:bCs/>
              </w:rPr>
              <w:t xml:space="preserve">  </w:t>
            </w:r>
            <w:r w:rsidR="00A76822">
              <w:rPr>
                <w:bCs/>
              </w:rPr>
              <w:t>(…)</w:t>
            </w:r>
          </w:p>
          <w:p w14:paraId="49F05893" w14:textId="28CE7CAA" w:rsidR="00990D5A" w:rsidRPr="00990D5A" w:rsidRDefault="00990D5A" w:rsidP="00990D5A">
            <w:pPr>
              <w:jc w:val="both"/>
              <w:rPr>
                <w:bCs/>
                <w:u w:val="single"/>
              </w:rPr>
            </w:pPr>
            <w:r w:rsidRPr="00990D5A">
              <w:rPr>
                <w:bCs/>
              </w:rPr>
              <w:t>171.</w:t>
            </w:r>
            <w:r w:rsidRPr="00990D5A">
              <w:rPr>
                <w:bCs/>
                <w:vertAlign w:val="superscript"/>
              </w:rPr>
              <w:t>21 </w:t>
            </w:r>
            <w:r w:rsidR="00A76822">
              <w:rPr>
                <w:bCs/>
              </w:rPr>
              <w:t>(…)</w:t>
            </w:r>
          </w:p>
          <w:p w14:paraId="4DE2CE05" w14:textId="5074C313" w:rsidR="00990D5A" w:rsidRPr="00990D5A" w:rsidRDefault="00990D5A" w:rsidP="00990D5A">
            <w:pPr>
              <w:pStyle w:val="Bezatstarpm"/>
              <w:rPr>
                <w:bCs/>
                <w:szCs w:val="24"/>
              </w:rPr>
            </w:pPr>
            <w:r w:rsidRPr="00990D5A">
              <w:rPr>
                <w:bCs/>
                <w:szCs w:val="24"/>
              </w:rPr>
              <w:t>171.</w:t>
            </w:r>
            <w:r w:rsidRPr="00990D5A">
              <w:rPr>
                <w:bCs/>
                <w:szCs w:val="24"/>
                <w:vertAlign w:val="superscript"/>
              </w:rPr>
              <w:t>22 </w:t>
            </w:r>
            <w:r w:rsidR="00A76822">
              <w:rPr>
                <w:bCs/>
                <w:szCs w:val="24"/>
              </w:rPr>
              <w:t>(…)</w:t>
            </w:r>
          </w:p>
          <w:p w14:paraId="3DA320F7" w14:textId="1BD46CCF" w:rsidR="00990D5A" w:rsidRPr="00990D5A" w:rsidRDefault="00990D5A" w:rsidP="00990D5A">
            <w:pPr>
              <w:pStyle w:val="Bezatstarpm"/>
              <w:rPr>
                <w:szCs w:val="24"/>
              </w:rPr>
            </w:pPr>
            <w:r w:rsidRPr="00990D5A">
              <w:rPr>
                <w:szCs w:val="24"/>
              </w:rPr>
              <w:t>171.</w:t>
            </w:r>
            <w:r w:rsidRPr="00990D5A">
              <w:rPr>
                <w:szCs w:val="24"/>
                <w:vertAlign w:val="superscript"/>
              </w:rPr>
              <w:t>23</w:t>
            </w:r>
            <w:r w:rsidRPr="00990D5A">
              <w:rPr>
                <w:szCs w:val="24"/>
              </w:rPr>
              <w:t> </w:t>
            </w:r>
            <w:r w:rsidR="00A76822">
              <w:rPr>
                <w:szCs w:val="24"/>
              </w:rPr>
              <w:t>(…)</w:t>
            </w:r>
            <w:r w:rsidRPr="00990D5A">
              <w:rPr>
                <w:szCs w:val="24"/>
              </w:rPr>
              <w:t>.</w:t>
            </w:r>
            <w:r w:rsidRPr="00990D5A">
              <w:rPr>
                <w:bCs/>
                <w:szCs w:val="24"/>
              </w:rPr>
              <w:t>".</w:t>
            </w:r>
          </w:p>
          <w:p w14:paraId="4EC83DAE" w14:textId="56B55294" w:rsidR="004363AA" w:rsidRPr="00990D5A" w:rsidRDefault="004363AA" w:rsidP="00990D5A">
            <w:pPr>
              <w:pStyle w:val="naisc"/>
              <w:jc w:val="left"/>
            </w:pPr>
          </w:p>
        </w:tc>
        <w:tc>
          <w:tcPr>
            <w:tcW w:w="4395" w:type="dxa"/>
            <w:tcBorders>
              <w:left w:val="single" w:sz="6" w:space="0" w:color="000000"/>
              <w:bottom w:val="single" w:sz="4" w:space="0" w:color="auto"/>
              <w:right w:val="single" w:sz="6" w:space="0" w:color="000000"/>
            </w:tcBorders>
          </w:tcPr>
          <w:p w14:paraId="125C4FF8" w14:textId="672C081C" w:rsidR="000C7419" w:rsidRPr="00990D5A" w:rsidRDefault="000C7419" w:rsidP="00990D5A">
            <w:pPr>
              <w:ind w:firstLine="720"/>
              <w:contextualSpacing/>
              <w:jc w:val="both"/>
              <w:rPr>
                <w:b/>
                <w:bCs/>
                <w:color w:val="0D0D0D" w:themeColor="text1" w:themeTint="F2"/>
              </w:rPr>
            </w:pPr>
            <w:r w:rsidRPr="00990D5A">
              <w:rPr>
                <w:b/>
                <w:bCs/>
                <w:color w:val="0D0D0D" w:themeColor="text1" w:themeTint="F2"/>
              </w:rPr>
              <w:t>Tieslietu ministrija</w:t>
            </w:r>
          </w:p>
          <w:p w14:paraId="12F525CF" w14:textId="09B2AE90" w:rsidR="001C1764" w:rsidRPr="00990D5A" w:rsidRDefault="00990D5A" w:rsidP="00A76822">
            <w:pPr>
              <w:ind w:right="12"/>
              <w:jc w:val="both"/>
            </w:pPr>
            <w:r w:rsidRPr="00990D5A">
              <w:t>1. Lūdzam precizēt projekta 6.punktu, kas paredz papildināt Ministru kabineta 2007. gada 26. jūnija noteikumus Nr. 416 "Zāļu izplatīšanas un kvalitātes kontroles kārtība" (turpmāk – noteikumi Nr. 416) ar 171.</w:t>
            </w:r>
            <w:r w:rsidRPr="00990D5A">
              <w:rPr>
                <w:vertAlign w:val="superscript"/>
              </w:rPr>
              <w:t>19</w:t>
            </w:r>
            <w:r w:rsidRPr="00990D5A">
              <w:t>, 171.</w:t>
            </w:r>
            <w:r w:rsidRPr="00990D5A">
              <w:rPr>
                <w:vertAlign w:val="superscript"/>
              </w:rPr>
              <w:t>20</w:t>
            </w:r>
            <w:r w:rsidRPr="00990D5A">
              <w:t xml:space="preserve"> un 171.</w:t>
            </w:r>
            <w:r w:rsidRPr="00990D5A">
              <w:rPr>
                <w:vertAlign w:val="superscript"/>
              </w:rPr>
              <w:t>21</w:t>
            </w:r>
            <w:r w:rsidRPr="00990D5A">
              <w:t xml:space="preserve"> punktu. Vēršam uzmanību, ka noteikumos Nr. 416 jau ir 171.</w:t>
            </w:r>
            <w:r w:rsidRPr="00990D5A">
              <w:rPr>
                <w:vertAlign w:val="superscript"/>
              </w:rPr>
              <w:t xml:space="preserve">19 </w:t>
            </w:r>
            <w:r w:rsidRPr="00990D5A">
              <w:t>punkts, kas paredz spēkā stāšanās laiku noteikumu Nr.416 11.</w:t>
            </w:r>
            <w:r w:rsidRPr="00990D5A">
              <w:rPr>
                <w:vertAlign w:val="superscript"/>
              </w:rPr>
              <w:t>2</w:t>
            </w:r>
            <w:r w:rsidRPr="00990D5A">
              <w:t xml:space="preserve"> punktam. Tāpat projekta 6. punkts paredz papildināt noteikumus Nr. 416 ar 171.</w:t>
            </w:r>
            <w:r w:rsidRPr="00990D5A">
              <w:rPr>
                <w:vertAlign w:val="superscript"/>
              </w:rPr>
              <w:t>19</w:t>
            </w:r>
            <w:r w:rsidRPr="00990D5A">
              <w:t>, 171.</w:t>
            </w:r>
            <w:r w:rsidRPr="00990D5A">
              <w:rPr>
                <w:vertAlign w:val="superscript"/>
              </w:rPr>
              <w:t>20</w:t>
            </w:r>
            <w:r w:rsidRPr="00990D5A">
              <w:t xml:space="preserve"> un 171.</w:t>
            </w:r>
            <w:r w:rsidRPr="00990D5A">
              <w:rPr>
                <w:vertAlign w:val="superscript"/>
              </w:rPr>
              <w:t>21</w:t>
            </w:r>
            <w:r w:rsidRPr="00990D5A">
              <w:t xml:space="preserve"> punktu, bet projektā ir iekļauts arī </w:t>
            </w:r>
            <w:r w:rsidRPr="00990D5A">
              <w:rPr>
                <w:bCs/>
              </w:rPr>
              <w:t>171.</w:t>
            </w:r>
            <w:r w:rsidRPr="00990D5A">
              <w:rPr>
                <w:bCs/>
                <w:vertAlign w:val="superscript"/>
              </w:rPr>
              <w:t>22 </w:t>
            </w:r>
            <w:r w:rsidRPr="00990D5A">
              <w:rPr>
                <w:bCs/>
              </w:rPr>
              <w:t xml:space="preserve">un </w:t>
            </w:r>
            <w:r w:rsidRPr="00990D5A">
              <w:t>171.</w:t>
            </w:r>
            <w:r w:rsidRPr="00990D5A">
              <w:rPr>
                <w:vertAlign w:val="superscript"/>
              </w:rPr>
              <w:t>23</w:t>
            </w:r>
            <w:r w:rsidRPr="00990D5A">
              <w:t xml:space="preserve"> punkts. Ņemot vērā minēto lūdzam precizēt projektu un atbilstoši arī projekta anotāciju.  </w:t>
            </w:r>
          </w:p>
        </w:tc>
        <w:tc>
          <w:tcPr>
            <w:tcW w:w="2551" w:type="dxa"/>
            <w:gridSpan w:val="2"/>
            <w:tcBorders>
              <w:left w:val="single" w:sz="6" w:space="0" w:color="000000"/>
              <w:bottom w:val="single" w:sz="4" w:space="0" w:color="auto"/>
              <w:right w:val="single" w:sz="6" w:space="0" w:color="000000"/>
            </w:tcBorders>
          </w:tcPr>
          <w:p w14:paraId="61B832AA" w14:textId="77777777" w:rsidR="00CA09F5" w:rsidRPr="00990D5A" w:rsidRDefault="00CA09F5" w:rsidP="00CA09F5">
            <w:pPr>
              <w:jc w:val="center"/>
              <w:rPr>
                <w:b/>
              </w:rPr>
            </w:pPr>
            <w:r w:rsidRPr="00990D5A">
              <w:rPr>
                <w:b/>
              </w:rPr>
              <w:t xml:space="preserve"> Ņemts vērā</w:t>
            </w:r>
          </w:p>
          <w:p w14:paraId="727C93FF" w14:textId="6A68EF68" w:rsidR="00E24084" w:rsidRPr="00990D5A" w:rsidRDefault="00990D5A" w:rsidP="003C70D2">
            <w:pPr>
              <w:pStyle w:val="naisc"/>
              <w:ind w:firstLine="5"/>
              <w:jc w:val="both"/>
            </w:pPr>
            <w:r w:rsidRPr="00990D5A">
              <w:t>Noteikumu projekts un anotācija ir precizēta.</w:t>
            </w:r>
          </w:p>
        </w:tc>
        <w:tc>
          <w:tcPr>
            <w:tcW w:w="3260" w:type="dxa"/>
            <w:tcBorders>
              <w:top w:val="single" w:sz="4" w:space="0" w:color="auto"/>
              <w:left w:val="single" w:sz="4" w:space="0" w:color="auto"/>
              <w:bottom w:val="single" w:sz="4" w:space="0" w:color="auto"/>
            </w:tcBorders>
          </w:tcPr>
          <w:p w14:paraId="0520B3A6" w14:textId="5FCF4DFC" w:rsidR="001C1764" w:rsidRDefault="00294148" w:rsidP="00444DFD">
            <w:pPr>
              <w:jc w:val="center"/>
            </w:pPr>
            <w:r w:rsidRPr="00990D5A">
              <w:t xml:space="preserve">Skatīt </w:t>
            </w:r>
            <w:r w:rsidR="00817A91">
              <w:t>anotāciju I. sadaļas 2. punkta 1., 2. 3. punktu.</w:t>
            </w:r>
          </w:p>
          <w:p w14:paraId="4309813E" w14:textId="77777777" w:rsidR="00A76822" w:rsidRDefault="00A76822" w:rsidP="00444DFD">
            <w:pPr>
              <w:jc w:val="center"/>
            </w:pPr>
          </w:p>
          <w:p w14:paraId="5EB0040F" w14:textId="77777777" w:rsidR="00A76822" w:rsidRPr="00BA3BE4" w:rsidRDefault="00A76822" w:rsidP="00A76822">
            <w:pPr>
              <w:jc w:val="both"/>
              <w:rPr>
                <w:sz w:val="28"/>
                <w:szCs w:val="28"/>
              </w:rPr>
            </w:pPr>
            <w:r w:rsidRPr="00BA3BE4">
              <w:rPr>
                <w:bCs/>
                <w:sz w:val="28"/>
                <w:szCs w:val="28"/>
              </w:rPr>
              <w:t xml:space="preserve">6. Papildināt noteikumus ar </w:t>
            </w:r>
            <w:r w:rsidRPr="00F17EF0">
              <w:rPr>
                <w:bCs/>
                <w:sz w:val="28"/>
                <w:szCs w:val="28"/>
              </w:rPr>
              <w:t>171.</w:t>
            </w:r>
            <w:r w:rsidRPr="00F17EF0">
              <w:rPr>
                <w:bCs/>
                <w:sz w:val="28"/>
                <w:szCs w:val="28"/>
                <w:vertAlign w:val="superscript"/>
              </w:rPr>
              <w:t>20</w:t>
            </w:r>
            <w:r w:rsidRPr="00F17EF0">
              <w:rPr>
                <w:bCs/>
                <w:sz w:val="28"/>
                <w:szCs w:val="28"/>
              </w:rPr>
              <w:t>, 171.</w:t>
            </w:r>
            <w:r w:rsidRPr="00F17EF0">
              <w:rPr>
                <w:bCs/>
                <w:sz w:val="28"/>
                <w:szCs w:val="28"/>
                <w:vertAlign w:val="superscript"/>
              </w:rPr>
              <w:t>21</w:t>
            </w:r>
            <w:r w:rsidRPr="00F17EF0">
              <w:rPr>
                <w:bCs/>
                <w:sz w:val="28"/>
                <w:szCs w:val="28"/>
              </w:rPr>
              <w:t>, 171.</w:t>
            </w:r>
            <w:r w:rsidRPr="00F17EF0">
              <w:rPr>
                <w:bCs/>
                <w:sz w:val="28"/>
                <w:szCs w:val="28"/>
                <w:vertAlign w:val="superscript"/>
              </w:rPr>
              <w:t>22</w:t>
            </w:r>
            <w:r w:rsidRPr="00F17EF0">
              <w:rPr>
                <w:bCs/>
                <w:sz w:val="28"/>
                <w:szCs w:val="28"/>
              </w:rPr>
              <w:t>, 171.</w:t>
            </w:r>
            <w:r w:rsidRPr="00F17EF0">
              <w:rPr>
                <w:bCs/>
                <w:sz w:val="28"/>
                <w:szCs w:val="28"/>
                <w:vertAlign w:val="superscript"/>
              </w:rPr>
              <w:t>23</w:t>
            </w:r>
            <w:r w:rsidRPr="00F17EF0">
              <w:rPr>
                <w:bCs/>
                <w:sz w:val="28"/>
                <w:szCs w:val="28"/>
              </w:rPr>
              <w:t xml:space="preserve">  un 171.</w:t>
            </w:r>
            <w:r w:rsidRPr="00F17EF0">
              <w:rPr>
                <w:bCs/>
                <w:sz w:val="28"/>
                <w:szCs w:val="28"/>
                <w:vertAlign w:val="superscript"/>
              </w:rPr>
              <w:t>24</w:t>
            </w:r>
            <w:r w:rsidRPr="00F17EF0">
              <w:rPr>
                <w:bCs/>
                <w:sz w:val="28"/>
                <w:szCs w:val="28"/>
              </w:rPr>
              <w:t xml:space="preserve"> punktu </w:t>
            </w:r>
            <w:r w:rsidRPr="00BA3BE4">
              <w:rPr>
                <w:bCs/>
                <w:sz w:val="28"/>
                <w:szCs w:val="28"/>
              </w:rPr>
              <w:t>šādā redakcijā:</w:t>
            </w:r>
          </w:p>
          <w:p w14:paraId="3F501FE8" w14:textId="668412AE" w:rsidR="00A76822" w:rsidRPr="00A76822" w:rsidRDefault="00A76822" w:rsidP="00A76822">
            <w:pPr>
              <w:pStyle w:val="xbezatstarpm1"/>
              <w:shd w:val="clear" w:color="auto" w:fill="FFFFFF"/>
              <w:spacing w:before="0" w:beforeAutospacing="0" w:after="0" w:afterAutospacing="0"/>
              <w:jc w:val="both"/>
              <w:rPr>
                <w:bCs/>
                <w:sz w:val="28"/>
                <w:szCs w:val="28"/>
              </w:rPr>
            </w:pPr>
            <w:r w:rsidRPr="00F17EF0">
              <w:rPr>
                <w:sz w:val="28"/>
                <w:szCs w:val="28"/>
              </w:rPr>
              <w:t>"</w:t>
            </w:r>
            <w:r w:rsidRPr="00F17EF0">
              <w:rPr>
                <w:bCs/>
                <w:sz w:val="28"/>
                <w:szCs w:val="28"/>
              </w:rPr>
              <w:t>171.</w:t>
            </w:r>
            <w:r w:rsidRPr="00F17EF0">
              <w:rPr>
                <w:bCs/>
                <w:sz w:val="28"/>
                <w:szCs w:val="28"/>
                <w:vertAlign w:val="superscript"/>
              </w:rPr>
              <w:t>20</w:t>
            </w:r>
            <w:r w:rsidRPr="00F17EF0">
              <w:rPr>
                <w:bCs/>
                <w:sz w:val="28"/>
                <w:szCs w:val="28"/>
              </w:rPr>
              <w:t> </w:t>
            </w:r>
            <w:r>
              <w:rPr>
                <w:bCs/>
                <w:sz w:val="28"/>
                <w:szCs w:val="28"/>
              </w:rPr>
              <w:t>(…).</w:t>
            </w:r>
          </w:p>
          <w:p w14:paraId="0C5ABFE4" w14:textId="3203BD62" w:rsidR="00A76822" w:rsidRPr="00BA3BE4" w:rsidRDefault="00A76822" w:rsidP="00A76822">
            <w:pPr>
              <w:jc w:val="both"/>
              <w:rPr>
                <w:bCs/>
                <w:sz w:val="28"/>
                <w:szCs w:val="28"/>
              </w:rPr>
            </w:pPr>
            <w:r w:rsidRPr="00BA3BE4">
              <w:rPr>
                <w:bCs/>
                <w:sz w:val="28"/>
                <w:szCs w:val="28"/>
              </w:rPr>
              <w:t>171.</w:t>
            </w:r>
            <w:r w:rsidRPr="00B65C33">
              <w:rPr>
                <w:bCs/>
                <w:color w:val="0070C0"/>
                <w:sz w:val="28"/>
                <w:szCs w:val="28"/>
                <w:vertAlign w:val="superscript"/>
              </w:rPr>
              <w:t>21</w:t>
            </w:r>
            <w:r w:rsidRPr="00B65C33">
              <w:rPr>
                <w:bCs/>
                <w:color w:val="0070C0"/>
                <w:sz w:val="28"/>
                <w:szCs w:val="28"/>
              </w:rPr>
              <w:t> </w:t>
            </w:r>
            <w:r>
              <w:rPr>
                <w:sz w:val="28"/>
                <w:szCs w:val="28"/>
              </w:rPr>
              <w:t>(…)</w:t>
            </w:r>
            <w:r w:rsidRPr="00BA3BE4">
              <w:rPr>
                <w:bCs/>
                <w:sz w:val="28"/>
                <w:szCs w:val="28"/>
              </w:rPr>
              <w:t>.</w:t>
            </w:r>
          </w:p>
          <w:p w14:paraId="254A4882" w14:textId="17DAA718" w:rsidR="00A76822" w:rsidRPr="00BA3BE4" w:rsidRDefault="00A76822" w:rsidP="00A76822">
            <w:pPr>
              <w:jc w:val="both"/>
              <w:rPr>
                <w:bCs/>
                <w:sz w:val="28"/>
                <w:szCs w:val="28"/>
                <w:u w:val="single"/>
              </w:rPr>
            </w:pPr>
            <w:r w:rsidRPr="00BA3BE4">
              <w:rPr>
                <w:bCs/>
                <w:sz w:val="28"/>
                <w:szCs w:val="28"/>
              </w:rPr>
              <w:t>171.</w:t>
            </w:r>
            <w:r w:rsidRPr="00BA3BE4">
              <w:rPr>
                <w:bCs/>
                <w:sz w:val="28"/>
                <w:szCs w:val="28"/>
                <w:vertAlign w:val="superscript"/>
              </w:rPr>
              <w:t>2</w:t>
            </w:r>
            <w:r>
              <w:rPr>
                <w:bCs/>
                <w:sz w:val="28"/>
                <w:szCs w:val="28"/>
                <w:vertAlign w:val="superscript"/>
              </w:rPr>
              <w:t>2</w:t>
            </w:r>
            <w:r w:rsidRPr="00BA3BE4">
              <w:rPr>
                <w:bCs/>
                <w:sz w:val="28"/>
                <w:szCs w:val="28"/>
                <w:vertAlign w:val="superscript"/>
              </w:rPr>
              <w:t> </w:t>
            </w:r>
            <w:r>
              <w:rPr>
                <w:bCs/>
                <w:sz w:val="28"/>
                <w:szCs w:val="28"/>
              </w:rPr>
              <w:t>(…).</w:t>
            </w:r>
          </w:p>
          <w:p w14:paraId="14DBF568" w14:textId="46431AE1" w:rsidR="00A76822" w:rsidRPr="00BA3BE4" w:rsidRDefault="00A76822" w:rsidP="00A76822">
            <w:pPr>
              <w:pStyle w:val="Bezatstarpm"/>
              <w:rPr>
                <w:bCs/>
                <w:sz w:val="28"/>
                <w:szCs w:val="28"/>
              </w:rPr>
            </w:pPr>
            <w:r w:rsidRPr="00BA3BE4">
              <w:rPr>
                <w:bCs/>
                <w:sz w:val="28"/>
                <w:szCs w:val="28"/>
              </w:rPr>
              <w:t>171.</w:t>
            </w:r>
            <w:r w:rsidRPr="00BA3BE4">
              <w:rPr>
                <w:bCs/>
                <w:sz w:val="28"/>
                <w:szCs w:val="28"/>
                <w:vertAlign w:val="superscript"/>
              </w:rPr>
              <w:t>2</w:t>
            </w:r>
            <w:r>
              <w:rPr>
                <w:bCs/>
                <w:sz w:val="28"/>
                <w:szCs w:val="28"/>
                <w:vertAlign w:val="superscript"/>
              </w:rPr>
              <w:t>3</w:t>
            </w:r>
            <w:r w:rsidRPr="00BA3BE4">
              <w:rPr>
                <w:bCs/>
                <w:sz w:val="28"/>
                <w:szCs w:val="28"/>
                <w:vertAlign w:val="superscript"/>
              </w:rPr>
              <w:t> </w:t>
            </w:r>
            <w:r>
              <w:rPr>
                <w:bCs/>
                <w:sz w:val="28"/>
                <w:szCs w:val="28"/>
              </w:rPr>
              <w:t>(…)</w:t>
            </w:r>
            <w:r w:rsidRPr="00BA3BE4">
              <w:rPr>
                <w:bCs/>
                <w:sz w:val="28"/>
                <w:szCs w:val="28"/>
              </w:rPr>
              <w:t>.</w:t>
            </w:r>
          </w:p>
          <w:p w14:paraId="3046A196" w14:textId="73CD93BF" w:rsidR="00A76822" w:rsidRPr="00A76822" w:rsidRDefault="00A76822" w:rsidP="00A76822">
            <w:pPr>
              <w:pStyle w:val="Bezatstarpm"/>
              <w:rPr>
                <w:sz w:val="28"/>
                <w:szCs w:val="28"/>
              </w:rPr>
            </w:pPr>
            <w:r w:rsidRPr="00F17EF0">
              <w:rPr>
                <w:sz w:val="28"/>
                <w:szCs w:val="28"/>
              </w:rPr>
              <w:t>171.</w:t>
            </w:r>
            <w:r w:rsidRPr="00F17EF0">
              <w:rPr>
                <w:sz w:val="28"/>
                <w:szCs w:val="28"/>
                <w:vertAlign w:val="superscript"/>
              </w:rPr>
              <w:t>24</w:t>
            </w:r>
            <w:r w:rsidRPr="00F17EF0">
              <w:rPr>
                <w:sz w:val="28"/>
                <w:szCs w:val="28"/>
              </w:rPr>
              <w:t> </w:t>
            </w:r>
            <w:r>
              <w:rPr>
                <w:sz w:val="28"/>
                <w:szCs w:val="28"/>
              </w:rPr>
              <w:t>(…)</w:t>
            </w:r>
            <w:r w:rsidRPr="00FC3DCF">
              <w:rPr>
                <w:sz w:val="28"/>
                <w:szCs w:val="28"/>
              </w:rPr>
              <w:t>.</w:t>
            </w:r>
            <w:r w:rsidRPr="00FC3DCF">
              <w:rPr>
                <w:bCs/>
                <w:sz w:val="28"/>
                <w:szCs w:val="28"/>
              </w:rPr>
              <w:t>".</w:t>
            </w:r>
          </w:p>
        </w:tc>
      </w:tr>
      <w:tr w:rsidR="00990D5A" w:rsidRPr="00146C5A" w14:paraId="4A18662D" w14:textId="77777777" w:rsidTr="00A76822">
        <w:tc>
          <w:tcPr>
            <w:tcW w:w="707" w:type="dxa"/>
            <w:tcBorders>
              <w:left w:val="single" w:sz="6" w:space="0" w:color="000000"/>
              <w:bottom w:val="single" w:sz="4" w:space="0" w:color="auto"/>
              <w:right w:val="single" w:sz="6" w:space="0" w:color="000000"/>
            </w:tcBorders>
          </w:tcPr>
          <w:p w14:paraId="7BA916D9" w14:textId="77777777" w:rsidR="00990D5A" w:rsidRPr="00990D5A" w:rsidRDefault="00990D5A" w:rsidP="001C1764">
            <w:pPr>
              <w:pStyle w:val="naisc"/>
              <w:numPr>
                <w:ilvl w:val="0"/>
                <w:numId w:val="7"/>
              </w:numPr>
              <w:spacing w:before="0" w:after="0"/>
            </w:pPr>
          </w:p>
        </w:tc>
        <w:tc>
          <w:tcPr>
            <w:tcW w:w="3254" w:type="dxa"/>
            <w:tcBorders>
              <w:left w:val="single" w:sz="6" w:space="0" w:color="000000"/>
              <w:bottom w:val="single" w:sz="4" w:space="0" w:color="auto"/>
              <w:right w:val="single" w:sz="6" w:space="0" w:color="000000"/>
            </w:tcBorders>
          </w:tcPr>
          <w:p w14:paraId="2E5F66B3" w14:textId="77777777" w:rsidR="00990D5A" w:rsidRPr="00990D5A" w:rsidRDefault="00990D5A" w:rsidP="00990D5A">
            <w:pPr>
              <w:jc w:val="both"/>
              <w:rPr>
                <w:bCs/>
                <w:u w:val="single"/>
              </w:rPr>
            </w:pPr>
            <w:r w:rsidRPr="00990D5A">
              <w:rPr>
                <w:bCs/>
              </w:rPr>
              <w:t>171.</w:t>
            </w:r>
            <w:r w:rsidRPr="00990D5A">
              <w:rPr>
                <w:bCs/>
                <w:vertAlign w:val="superscript"/>
              </w:rPr>
              <w:t>21 </w:t>
            </w:r>
            <w:r w:rsidRPr="00990D5A">
              <w:rPr>
                <w:bCs/>
              </w:rPr>
              <w:t xml:space="preserve">Ja </w:t>
            </w:r>
            <w:r w:rsidRPr="00990D5A">
              <w:t xml:space="preserve">Zāļu valsts </w:t>
            </w:r>
            <w:r w:rsidRPr="00990D5A">
              <w:rPr>
                <w:bCs/>
              </w:rPr>
              <w:t>aģentūra atliek šo noteikumu 171.</w:t>
            </w:r>
            <w:r w:rsidRPr="00990D5A">
              <w:rPr>
                <w:bCs/>
                <w:vertAlign w:val="superscript"/>
              </w:rPr>
              <w:t>20 </w:t>
            </w:r>
            <w:r w:rsidRPr="00990D5A">
              <w:rPr>
                <w:bCs/>
              </w:rPr>
              <w:t>punktā minētajā gadījumā, tad attiecīgais labas izplatīšanas prakses sertifikāta derīgums automātiski pagarinās līdz 2021. gada 31. decembrim.</w:t>
            </w:r>
          </w:p>
          <w:p w14:paraId="20DE861C" w14:textId="6D5E6DC5" w:rsidR="00990D5A" w:rsidRPr="00990D5A" w:rsidRDefault="00990D5A" w:rsidP="00990D5A">
            <w:pPr>
              <w:jc w:val="center"/>
            </w:pPr>
          </w:p>
        </w:tc>
        <w:tc>
          <w:tcPr>
            <w:tcW w:w="4395" w:type="dxa"/>
            <w:tcBorders>
              <w:left w:val="single" w:sz="6" w:space="0" w:color="000000"/>
              <w:bottom w:val="single" w:sz="4" w:space="0" w:color="auto"/>
              <w:right w:val="single" w:sz="6" w:space="0" w:color="000000"/>
            </w:tcBorders>
          </w:tcPr>
          <w:p w14:paraId="4CCF6E30" w14:textId="77777777" w:rsidR="00A76822" w:rsidRDefault="00990D5A" w:rsidP="00990D5A">
            <w:pPr>
              <w:ind w:right="12"/>
              <w:jc w:val="both"/>
              <w:rPr>
                <w:bCs/>
              </w:rPr>
            </w:pPr>
            <w:r w:rsidRPr="00990D5A">
              <w:t xml:space="preserve">2. </w:t>
            </w:r>
            <w:r w:rsidRPr="00990D5A">
              <w:rPr>
                <w:bCs/>
              </w:rPr>
              <w:t>Vēršam uzmanību, ka pašreizējā redakcijā projekta 6.punktā ietvertais 171.</w:t>
            </w:r>
            <w:r w:rsidRPr="00990D5A">
              <w:rPr>
                <w:bCs/>
                <w:vertAlign w:val="superscript"/>
              </w:rPr>
              <w:t>21</w:t>
            </w:r>
            <w:r w:rsidRPr="00990D5A">
              <w:rPr>
                <w:bCs/>
              </w:rPr>
              <w:t xml:space="preserve"> punkts nav skaidrs un saprotams, attiecīgi lūdzam precizēt minēto punktu, skaidri norādot, ko “</w:t>
            </w:r>
            <w:r w:rsidRPr="00990D5A">
              <w:rPr>
                <w:bCs/>
                <w:i/>
                <w:iCs/>
              </w:rPr>
              <w:t>Zāļu valsts aģentūra atliek</w:t>
            </w:r>
            <w:r w:rsidRPr="00990D5A">
              <w:rPr>
                <w:bCs/>
              </w:rPr>
              <w:t>”, lai būtu skaidri saprotamas tiesību normā norādītās sekas – “</w:t>
            </w:r>
            <w:r w:rsidRPr="00990D5A">
              <w:rPr>
                <w:bCs/>
                <w:i/>
                <w:iCs/>
              </w:rPr>
              <w:t>tad attiecīgais labas izplatīšanas prakses sertifikāta derīgums automātiski pagarinās līdz 2021. gada 31. decembrim</w:t>
            </w:r>
            <w:r w:rsidRPr="00990D5A">
              <w:rPr>
                <w:bCs/>
              </w:rPr>
              <w:t>”.</w:t>
            </w:r>
          </w:p>
          <w:p w14:paraId="13CB9CA4" w14:textId="480A4394" w:rsidR="00990D5A" w:rsidRPr="00990D5A" w:rsidRDefault="00990D5A" w:rsidP="00990D5A">
            <w:pPr>
              <w:ind w:right="12"/>
              <w:jc w:val="both"/>
              <w:rPr>
                <w:bCs/>
              </w:rPr>
            </w:pPr>
            <w:r w:rsidRPr="00990D5A">
              <w:rPr>
                <w:bCs/>
              </w:rPr>
              <w:t xml:space="preserve"> </w:t>
            </w:r>
          </w:p>
        </w:tc>
        <w:tc>
          <w:tcPr>
            <w:tcW w:w="2551" w:type="dxa"/>
            <w:gridSpan w:val="2"/>
            <w:tcBorders>
              <w:left w:val="single" w:sz="6" w:space="0" w:color="000000"/>
              <w:bottom w:val="single" w:sz="4" w:space="0" w:color="auto"/>
              <w:right w:val="single" w:sz="6" w:space="0" w:color="000000"/>
            </w:tcBorders>
          </w:tcPr>
          <w:p w14:paraId="37AC260E" w14:textId="77777777" w:rsidR="00990D5A" w:rsidRPr="00990D5A" w:rsidRDefault="00990D5A" w:rsidP="00CA09F5">
            <w:pPr>
              <w:jc w:val="center"/>
              <w:rPr>
                <w:b/>
              </w:rPr>
            </w:pPr>
            <w:r w:rsidRPr="00990D5A">
              <w:rPr>
                <w:b/>
              </w:rPr>
              <w:t>Ņemts vērā</w:t>
            </w:r>
          </w:p>
          <w:p w14:paraId="05450976" w14:textId="58E72417" w:rsidR="00990D5A" w:rsidRPr="00990D5A" w:rsidRDefault="00990D5A" w:rsidP="00CA09F5">
            <w:pPr>
              <w:jc w:val="center"/>
              <w:rPr>
                <w:b/>
              </w:rPr>
            </w:pPr>
            <w:r w:rsidRPr="00990D5A">
              <w:t>Noteikumu projekts ir precizēts.</w:t>
            </w:r>
          </w:p>
        </w:tc>
        <w:tc>
          <w:tcPr>
            <w:tcW w:w="3260" w:type="dxa"/>
            <w:tcBorders>
              <w:top w:val="single" w:sz="4" w:space="0" w:color="auto"/>
              <w:left w:val="single" w:sz="4" w:space="0" w:color="auto"/>
              <w:bottom w:val="single" w:sz="4" w:space="0" w:color="auto"/>
            </w:tcBorders>
          </w:tcPr>
          <w:p w14:paraId="5BB72905" w14:textId="77777777" w:rsidR="00A76822" w:rsidRPr="00A76822" w:rsidRDefault="00A76822" w:rsidP="00A76822">
            <w:pPr>
              <w:jc w:val="both"/>
              <w:rPr>
                <w:bCs/>
                <w:u w:val="single"/>
              </w:rPr>
            </w:pPr>
            <w:r w:rsidRPr="00A76822">
              <w:rPr>
                <w:bCs/>
              </w:rPr>
              <w:t>171.</w:t>
            </w:r>
            <w:r w:rsidRPr="00A76822">
              <w:rPr>
                <w:bCs/>
                <w:vertAlign w:val="superscript"/>
              </w:rPr>
              <w:t>22 </w:t>
            </w:r>
            <w:r w:rsidRPr="00A76822">
              <w:rPr>
                <w:bCs/>
              </w:rPr>
              <w:t xml:space="preserve">Ja </w:t>
            </w:r>
            <w:r w:rsidRPr="00A76822">
              <w:t xml:space="preserve">Zāļu valsts </w:t>
            </w:r>
            <w:r w:rsidRPr="00A76822">
              <w:rPr>
                <w:bCs/>
              </w:rPr>
              <w:t>aģentūra atliek pārbaudes šo noteikumu 171.</w:t>
            </w:r>
            <w:r w:rsidRPr="00A76822">
              <w:rPr>
                <w:bCs/>
                <w:vertAlign w:val="superscript"/>
              </w:rPr>
              <w:t>20 </w:t>
            </w:r>
            <w:r w:rsidRPr="00A76822">
              <w:rPr>
                <w:bCs/>
              </w:rPr>
              <w:t>punktā minētajā gadījumā, tad attiecīgais labas izplatīšanas prakses sertifikāta derīgums automātiski pagarinās līdz 2021. gada 31. decembrim.</w:t>
            </w:r>
          </w:p>
          <w:p w14:paraId="4488AB17" w14:textId="77777777" w:rsidR="00990D5A" w:rsidRPr="00A76822" w:rsidRDefault="00990D5A" w:rsidP="00444DFD">
            <w:pPr>
              <w:jc w:val="center"/>
            </w:pPr>
          </w:p>
        </w:tc>
      </w:tr>
      <w:tr w:rsidR="00990D5A" w:rsidRPr="00146C5A" w14:paraId="711C5983" w14:textId="77777777" w:rsidTr="00A76822">
        <w:tc>
          <w:tcPr>
            <w:tcW w:w="707" w:type="dxa"/>
            <w:tcBorders>
              <w:left w:val="single" w:sz="6" w:space="0" w:color="000000"/>
              <w:bottom w:val="single" w:sz="4" w:space="0" w:color="auto"/>
              <w:right w:val="single" w:sz="6" w:space="0" w:color="000000"/>
            </w:tcBorders>
          </w:tcPr>
          <w:p w14:paraId="4AF81DA0" w14:textId="77777777" w:rsidR="00990D5A" w:rsidRPr="00990D5A" w:rsidRDefault="00990D5A" w:rsidP="001C1764">
            <w:pPr>
              <w:pStyle w:val="naisc"/>
              <w:numPr>
                <w:ilvl w:val="0"/>
                <w:numId w:val="7"/>
              </w:numPr>
              <w:spacing w:before="0" w:after="0"/>
            </w:pPr>
          </w:p>
        </w:tc>
        <w:tc>
          <w:tcPr>
            <w:tcW w:w="3254" w:type="dxa"/>
            <w:tcBorders>
              <w:left w:val="single" w:sz="6" w:space="0" w:color="000000"/>
              <w:bottom w:val="single" w:sz="4" w:space="0" w:color="auto"/>
              <w:right w:val="single" w:sz="6" w:space="0" w:color="000000"/>
            </w:tcBorders>
          </w:tcPr>
          <w:p w14:paraId="3C21DCE3" w14:textId="77777777" w:rsidR="00A76822" w:rsidRPr="00A76822" w:rsidRDefault="00990D5A" w:rsidP="00A76822">
            <w:pPr>
              <w:pStyle w:val="Bezatstarpm"/>
              <w:rPr>
                <w:szCs w:val="24"/>
              </w:rPr>
            </w:pPr>
            <w:r w:rsidRPr="00A76822">
              <w:rPr>
                <w:szCs w:val="24"/>
              </w:rPr>
              <w:t>171.</w:t>
            </w:r>
            <w:r w:rsidRPr="00A76822">
              <w:rPr>
                <w:szCs w:val="24"/>
                <w:vertAlign w:val="superscript"/>
              </w:rPr>
              <w:t>23</w:t>
            </w:r>
            <w:r w:rsidRPr="00A76822">
              <w:rPr>
                <w:szCs w:val="24"/>
              </w:rPr>
              <w:t xml:space="preserve"> Līdz 2021. gada 31. decembrim zāļu vairumtirgotājs var aizstāt īsā laikā par labas izplatīšanas prakses ievērošanu atbildīgo amatpersonu īslaicīgi ar citu darbinieku, ja atbildīgā amatpersona ir karantīnā vai prombūtnē COVID − 19 izraisītas slimības vai </w:t>
            </w:r>
            <w:proofErr w:type="spellStart"/>
            <w:r w:rsidRPr="00A76822">
              <w:rPr>
                <w:szCs w:val="24"/>
              </w:rPr>
              <w:t>pašizolācijas</w:t>
            </w:r>
            <w:proofErr w:type="spellEnd"/>
            <w:r w:rsidRPr="00A76822">
              <w:rPr>
                <w:szCs w:val="24"/>
              </w:rPr>
              <w:t xml:space="preserve"> dēļ, un nodrošinot, ka attiecīgajam darbiniekam ir atbilstošas kompetences, pieredze un zināšanas par zāļu izplatīšanu, kā arī viņš ir apmācīts labas izplatīšanas prakses jautājumos, un viņam ir atbilstošas zināšanas par zāļu vairumtirgotāja kvalitātes vadības sistēmu. </w:t>
            </w:r>
          </w:p>
          <w:p w14:paraId="2B957252" w14:textId="082980D7" w:rsidR="00990D5A" w:rsidRPr="00A76822" w:rsidRDefault="00A76822" w:rsidP="00A76822">
            <w:pPr>
              <w:pStyle w:val="Bezatstarpm"/>
              <w:rPr>
                <w:szCs w:val="24"/>
              </w:rPr>
            </w:pPr>
            <w:r w:rsidRPr="00A76822">
              <w:rPr>
                <w:szCs w:val="24"/>
              </w:rPr>
              <w:t>(…)”.</w:t>
            </w:r>
          </w:p>
        </w:tc>
        <w:tc>
          <w:tcPr>
            <w:tcW w:w="4395" w:type="dxa"/>
            <w:tcBorders>
              <w:left w:val="single" w:sz="6" w:space="0" w:color="000000"/>
              <w:bottom w:val="single" w:sz="4" w:space="0" w:color="auto"/>
              <w:right w:val="single" w:sz="6" w:space="0" w:color="000000"/>
            </w:tcBorders>
          </w:tcPr>
          <w:p w14:paraId="1F4F7C8C" w14:textId="2703F2BA" w:rsidR="00990D5A" w:rsidRPr="00990D5A" w:rsidRDefault="00990D5A" w:rsidP="00990D5A">
            <w:pPr>
              <w:ind w:right="12"/>
              <w:jc w:val="both"/>
            </w:pPr>
            <w:r w:rsidRPr="00990D5A">
              <w:rPr>
                <w:bCs/>
              </w:rPr>
              <w:t xml:space="preserve">3. Vēršam uzmanību, ka pašreizējā redakcijā nav saprotams projekta 6.punkts, kas paredz papildināt noteikumus Nr. 416 ar </w:t>
            </w:r>
            <w:bookmarkStart w:id="0" w:name="_Hlk61961157"/>
            <w:r w:rsidRPr="00990D5A">
              <w:t>171.</w:t>
            </w:r>
            <w:r w:rsidRPr="00990D5A">
              <w:rPr>
                <w:vertAlign w:val="superscript"/>
              </w:rPr>
              <w:t>23</w:t>
            </w:r>
            <w:bookmarkEnd w:id="0"/>
            <w:r w:rsidRPr="00990D5A">
              <w:t> punktu. Pašreizējā redakcijā 171.</w:t>
            </w:r>
            <w:r w:rsidRPr="00990D5A">
              <w:rPr>
                <w:vertAlign w:val="superscript"/>
              </w:rPr>
              <w:t>23</w:t>
            </w:r>
            <w:r w:rsidRPr="00990D5A">
              <w:t> punkta pirmais teikums paredz, ka “</w:t>
            </w:r>
            <w:bookmarkStart w:id="1" w:name="_Hlk61961916"/>
            <w:r w:rsidRPr="00990D5A">
              <w:rPr>
                <w:i/>
                <w:iCs/>
              </w:rPr>
              <w:t xml:space="preserve">Līdz 2021. gada 31. decembrim </w:t>
            </w:r>
            <w:r w:rsidRPr="00990D5A">
              <w:rPr>
                <w:i/>
                <w:iCs/>
                <w:u w:val="single"/>
              </w:rPr>
              <w:t>zāļu vairumtirgotājs var aizstāt īsā laikā par labas izplatīšanas prakses ievērošanu atbildīgo amatpersonu īslaicīgi ar citu darbinieku</w:t>
            </w:r>
            <w:r w:rsidRPr="00990D5A">
              <w:rPr>
                <w:i/>
                <w:iCs/>
              </w:rPr>
              <w:t xml:space="preserve">, ja atbildīgā amatpersona ir karantīnā vai prombūtnē COVID − 19 izraisītas slimības vai </w:t>
            </w:r>
            <w:proofErr w:type="spellStart"/>
            <w:r w:rsidRPr="00990D5A">
              <w:rPr>
                <w:i/>
                <w:iCs/>
              </w:rPr>
              <w:t>pašizolācijas</w:t>
            </w:r>
            <w:proofErr w:type="spellEnd"/>
            <w:r w:rsidRPr="00990D5A">
              <w:rPr>
                <w:i/>
                <w:iCs/>
              </w:rPr>
              <w:t xml:space="preserve"> dēļ</w:t>
            </w:r>
            <w:bookmarkEnd w:id="1"/>
            <w:r w:rsidRPr="00990D5A">
              <w:rPr>
                <w:i/>
                <w:iCs/>
              </w:rPr>
              <w:t xml:space="preserve"> [..]</w:t>
            </w:r>
            <w:r w:rsidRPr="00990D5A">
              <w:t>”. Lūdzam precizēt tiesību normu, lai tā būtu skaidra. Tieslietu ministrija norāda, ka normatīvā akta tekstam jābūt skaidram, nepārprotamam un viennozīmīgam. Veidojot normatīvā akta tekstu, ne tikai jācenšas skaidri un precīzi identificēt subjektu un darbību, bet arī jāizvērtē, vai tiesību normu adresāts, lasot un interpretējot normatīvā akta tekstu, sapratīs tā mērķi.</w:t>
            </w:r>
          </w:p>
        </w:tc>
        <w:tc>
          <w:tcPr>
            <w:tcW w:w="2551" w:type="dxa"/>
            <w:gridSpan w:val="2"/>
            <w:tcBorders>
              <w:left w:val="single" w:sz="6" w:space="0" w:color="000000"/>
              <w:bottom w:val="single" w:sz="4" w:space="0" w:color="auto"/>
              <w:right w:val="single" w:sz="6" w:space="0" w:color="000000"/>
            </w:tcBorders>
          </w:tcPr>
          <w:p w14:paraId="4BA85382" w14:textId="77777777" w:rsidR="00990D5A" w:rsidRPr="00512FD2" w:rsidRDefault="00990D5A" w:rsidP="00CA09F5">
            <w:pPr>
              <w:jc w:val="center"/>
              <w:rPr>
                <w:b/>
              </w:rPr>
            </w:pPr>
            <w:r w:rsidRPr="00512FD2">
              <w:rPr>
                <w:b/>
              </w:rPr>
              <w:t>Ņemts vērā</w:t>
            </w:r>
          </w:p>
          <w:p w14:paraId="4769C8A5" w14:textId="13987C5E" w:rsidR="00990D5A" w:rsidRPr="00512FD2" w:rsidRDefault="00990D5A" w:rsidP="00CA09F5">
            <w:pPr>
              <w:jc w:val="center"/>
              <w:rPr>
                <w:b/>
              </w:rPr>
            </w:pPr>
            <w:r w:rsidRPr="00512FD2">
              <w:t>Noteikumu projekts ir precizēts.</w:t>
            </w:r>
          </w:p>
        </w:tc>
        <w:tc>
          <w:tcPr>
            <w:tcW w:w="3260" w:type="dxa"/>
            <w:tcBorders>
              <w:top w:val="single" w:sz="4" w:space="0" w:color="auto"/>
              <w:left w:val="single" w:sz="4" w:space="0" w:color="auto"/>
              <w:bottom w:val="single" w:sz="4" w:space="0" w:color="auto"/>
            </w:tcBorders>
          </w:tcPr>
          <w:p w14:paraId="3793A2D9" w14:textId="19157E7C" w:rsidR="00512FD2" w:rsidRPr="00512FD2" w:rsidRDefault="00C60E2C" w:rsidP="00512FD2">
            <w:pPr>
              <w:pStyle w:val="Bezatstarpm"/>
              <w:rPr>
                <w:szCs w:val="24"/>
              </w:rPr>
            </w:pPr>
            <w:r w:rsidRPr="00C60E2C">
              <w:rPr>
                <w:szCs w:val="24"/>
              </w:rPr>
              <w:t>171.</w:t>
            </w:r>
            <w:r w:rsidRPr="00C60E2C">
              <w:rPr>
                <w:szCs w:val="24"/>
                <w:vertAlign w:val="superscript"/>
              </w:rPr>
              <w:t>24</w:t>
            </w:r>
            <w:r w:rsidRPr="00C60E2C">
              <w:rPr>
                <w:szCs w:val="24"/>
              </w:rPr>
              <w:t xml:space="preserve"> Līdz 2021. gada 31. decembrim zāļu vairumtirgotājs var īslaicīgi aizstāt par labas izplatīšanas prakses ievērošanu atbildīgo amatpersonu ar citu personu, ja atbildīgā amatpersona ir karantīnā vai prombūtnē COVID − 19 izraisītas slimības vai </w:t>
            </w:r>
            <w:proofErr w:type="spellStart"/>
            <w:r w:rsidRPr="00C60E2C">
              <w:rPr>
                <w:szCs w:val="24"/>
              </w:rPr>
              <w:t>pašizolācijas</w:t>
            </w:r>
            <w:proofErr w:type="spellEnd"/>
            <w:r w:rsidRPr="00C60E2C">
              <w:rPr>
                <w:szCs w:val="24"/>
              </w:rPr>
              <w:t xml:space="preserve"> dēļ, nodrošinot, ka attiecīgajai personai, ar kuru aizstāj atbildīgo amatpersonu, ir atbilstošas kompetences, pieredze un zināšanas par zāļu izplatīšanu, viņa ir apmācīta labas izplatīšanas prakses jautājumos, un viņai ir atbilstošas zināšanas par zāļu vairumtirgotāja kvalitātes vadības sistēmu.</w:t>
            </w:r>
            <w:r w:rsidR="00512FD2" w:rsidRPr="00512FD2">
              <w:rPr>
                <w:szCs w:val="24"/>
              </w:rPr>
              <w:t xml:space="preserve"> (…).</w:t>
            </w:r>
            <w:r w:rsidR="00512FD2" w:rsidRPr="00512FD2">
              <w:rPr>
                <w:bCs/>
                <w:szCs w:val="24"/>
              </w:rPr>
              <w:t>".</w:t>
            </w:r>
          </w:p>
          <w:p w14:paraId="40434E37" w14:textId="77777777" w:rsidR="00990D5A" w:rsidRPr="00512FD2" w:rsidRDefault="00990D5A" w:rsidP="00444DFD">
            <w:pPr>
              <w:jc w:val="center"/>
            </w:pPr>
          </w:p>
        </w:tc>
      </w:tr>
      <w:tr w:rsidR="00990D5A" w:rsidRPr="00146C5A" w14:paraId="0ED961FE" w14:textId="77777777" w:rsidTr="00A76822">
        <w:tc>
          <w:tcPr>
            <w:tcW w:w="707" w:type="dxa"/>
            <w:tcBorders>
              <w:left w:val="single" w:sz="6" w:space="0" w:color="000000"/>
              <w:bottom w:val="single" w:sz="4" w:space="0" w:color="auto"/>
              <w:right w:val="single" w:sz="6" w:space="0" w:color="000000"/>
            </w:tcBorders>
          </w:tcPr>
          <w:p w14:paraId="11D9D5C8" w14:textId="77777777" w:rsidR="00990D5A" w:rsidRPr="00990D5A" w:rsidRDefault="00990D5A" w:rsidP="001C1764">
            <w:pPr>
              <w:pStyle w:val="naisc"/>
              <w:numPr>
                <w:ilvl w:val="0"/>
                <w:numId w:val="7"/>
              </w:numPr>
              <w:spacing w:before="0" w:after="0"/>
            </w:pPr>
          </w:p>
        </w:tc>
        <w:tc>
          <w:tcPr>
            <w:tcW w:w="3254" w:type="dxa"/>
            <w:tcBorders>
              <w:left w:val="single" w:sz="6" w:space="0" w:color="000000"/>
              <w:bottom w:val="single" w:sz="4" w:space="0" w:color="auto"/>
              <w:right w:val="single" w:sz="6" w:space="0" w:color="000000"/>
            </w:tcBorders>
          </w:tcPr>
          <w:p w14:paraId="6E97A033" w14:textId="77777777" w:rsidR="00A76822" w:rsidRPr="00A76822" w:rsidRDefault="00A76822" w:rsidP="00A76822">
            <w:pPr>
              <w:pStyle w:val="Bezatstarpm"/>
              <w:rPr>
                <w:szCs w:val="24"/>
              </w:rPr>
            </w:pPr>
            <w:r w:rsidRPr="00A76822">
              <w:rPr>
                <w:szCs w:val="24"/>
              </w:rPr>
              <w:t>171.</w:t>
            </w:r>
            <w:r w:rsidRPr="00A76822">
              <w:rPr>
                <w:szCs w:val="24"/>
                <w:vertAlign w:val="superscript"/>
              </w:rPr>
              <w:t>23</w:t>
            </w:r>
            <w:r w:rsidRPr="00A76822">
              <w:rPr>
                <w:szCs w:val="24"/>
              </w:rPr>
              <w:t xml:space="preserve"> Līdz 2021. gada 31. decembrim zāļu vairumtirgotājs var aizstāt īsā laikā par labas izplatīšanas prakses ievērošanu atbildīgo amatpersonu īslaicīgi ar citu darbinieku, ja atbildīgā amatpersona ir karantīnā vai prombūtnē COVID − 19 izraisītas slimības vai </w:t>
            </w:r>
            <w:proofErr w:type="spellStart"/>
            <w:r w:rsidRPr="00A76822">
              <w:rPr>
                <w:szCs w:val="24"/>
              </w:rPr>
              <w:t>pašizolācijas</w:t>
            </w:r>
            <w:proofErr w:type="spellEnd"/>
            <w:r w:rsidRPr="00A76822">
              <w:rPr>
                <w:szCs w:val="24"/>
              </w:rPr>
              <w:t xml:space="preserve"> dēļ, un nodrošinot, ka attiecīgajam darbiniekam ir atbilstošas kompetences, pieredze un zināšanas par zāļu izplatīšanu, kā arī viņš ir apmācīts labas izplatīšanas prakses jautājumos, un viņam ir atbilstošas zināšanas par zāļu vairumtirgotāja kvalitātes vadības sistēmu. Šajā gadījumā uzdevumi un pienākumi, kas veicami atbildīgajai amatpersonai, nemainās, bet zāļu vairumtirgotājs par atbildīgās amatpersonas aizstāšanu paziņo Zāļu valsts aģentūrai, paziņojumam pievienojot atbildīgās amatpersonas CV un norādot tās kompetences, pieredzi un zināšanas par zāļu izplatīšanu, kā arī apmācību labas izplatīšanas prakses jautājumos. Ja Zāļu valsts aģentūra atzīst, ka minēto zāļu vairumtirgotāja paziņojumu par konkrēto personu nevar apstiprināt, tā informē par to zāļu vairumtirgotāju un Veselības inspekciju norādot nelabvēlīgā atzinuma pamatojumu.</w:t>
            </w:r>
            <w:r w:rsidRPr="00A76822">
              <w:rPr>
                <w:bCs/>
                <w:szCs w:val="24"/>
              </w:rPr>
              <w:t>".</w:t>
            </w:r>
          </w:p>
          <w:p w14:paraId="6CEB24CF" w14:textId="77777777" w:rsidR="00990D5A" w:rsidRPr="00A76822" w:rsidRDefault="00990D5A" w:rsidP="00294148">
            <w:pPr>
              <w:pStyle w:val="naisc"/>
              <w:ind w:firstLine="5"/>
            </w:pPr>
          </w:p>
        </w:tc>
        <w:tc>
          <w:tcPr>
            <w:tcW w:w="4395" w:type="dxa"/>
            <w:tcBorders>
              <w:left w:val="single" w:sz="6" w:space="0" w:color="000000"/>
              <w:bottom w:val="single" w:sz="4" w:space="0" w:color="auto"/>
              <w:right w:val="single" w:sz="6" w:space="0" w:color="000000"/>
            </w:tcBorders>
          </w:tcPr>
          <w:p w14:paraId="2BD3BCC2" w14:textId="77777777" w:rsidR="00990D5A" w:rsidRPr="00990D5A" w:rsidRDefault="00990D5A" w:rsidP="00990D5A">
            <w:pPr>
              <w:ind w:right="12"/>
              <w:jc w:val="both"/>
            </w:pPr>
            <w:r w:rsidRPr="00990D5A">
              <w:t xml:space="preserve">4. Projekta 6.punkts paredz papildināt noteikumus Nr. 416 ar </w:t>
            </w:r>
            <w:bookmarkStart w:id="2" w:name="_Hlk61961811"/>
            <w:r w:rsidRPr="00990D5A">
              <w:t>171.</w:t>
            </w:r>
            <w:r w:rsidRPr="00990D5A">
              <w:rPr>
                <w:vertAlign w:val="superscript"/>
              </w:rPr>
              <w:t>23</w:t>
            </w:r>
            <w:r w:rsidRPr="00990D5A">
              <w:t> </w:t>
            </w:r>
            <w:bookmarkEnd w:id="2"/>
            <w:r w:rsidRPr="00990D5A">
              <w:t xml:space="preserve">punktu, norādām, ka ne no projekta, ne no projekta anotācijas nav saprotams, kādēļ īslaicīgi aizstājot par labas izplatīšanas prakses ievērošanu atbildīgo </w:t>
            </w:r>
            <w:r w:rsidRPr="00990D5A">
              <w:rPr>
                <w:u w:val="single"/>
              </w:rPr>
              <w:t>amatpersonu</w:t>
            </w:r>
            <w:r w:rsidRPr="00990D5A">
              <w:t xml:space="preserve"> ar citu darbinieku nepieciešams tieši atbildīgās amatpersonas CV (nevis,  piemēram, sertifikāts, kvalifikāciju apliecinošs dokuments, apliecinājums par atbilstību Farmācijas likuma 46.</w:t>
            </w:r>
            <w:r w:rsidRPr="00990D5A">
              <w:rPr>
                <w:vertAlign w:val="superscript"/>
              </w:rPr>
              <w:t>1</w:t>
            </w:r>
            <w:r w:rsidRPr="00990D5A">
              <w:t xml:space="preserve"> pantam un citi dokumenti). Tāpat nav norādīts, vai Zāļu valsts aģentūra sniegs apstiprinājumu, atzīstot, ka minēto zāļu vairumtirgotāja paziņojumu par konkrēto personu var apstiprināt, jo pašlaik normā tiek norādīta kārtība tikai gadījumā, ja konkrēto personu nevar apstiprināt. Tāpat ne no projekta, ne projekta anotācijas nav saprotams, kā notiks saziņa ar Zāļu valsts aģentūru, ņemot vērā to, ka normā norādīts, ka aizvietošana notiek īslaicīgi, tāpat netiek norādīts, cik ilgā laikā tiek sniegta atbilde no Zāļu valsts aģentūras. Attiecīgi būtu nepieciešams skaidrot minētos </w:t>
            </w:r>
            <w:proofErr w:type="spellStart"/>
            <w:r w:rsidRPr="00990D5A">
              <w:t>problēmjautājumus</w:t>
            </w:r>
            <w:proofErr w:type="spellEnd"/>
            <w:r w:rsidRPr="00990D5A">
              <w:t xml:space="preserve"> projekta anotācijā. </w:t>
            </w:r>
          </w:p>
          <w:p w14:paraId="74FD2B6D" w14:textId="5B164090" w:rsidR="00990D5A" w:rsidRPr="00990D5A" w:rsidRDefault="00990D5A" w:rsidP="00990D5A">
            <w:pPr>
              <w:ind w:right="12"/>
              <w:jc w:val="both"/>
            </w:pPr>
            <w:r w:rsidRPr="00990D5A">
              <w:t>Vienlaikus norādām, ka norma ir precizējama attiecībā uz personu, kura aizstāj par labas izplatīšanas prakses ievērošanu atbildīgo amatpersonu. Pašreiz normā tiek norādīts gan “darbinieks”, gan “amatpersona”, kas aizstāj atbildīgo amatpersonu. Attiecīgi pašreiz ar minēto terminu lietošanu norma nav skaidra (piemēram, tiek norādīts, ka “</w:t>
            </w:r>
            <w:r w:rsidRPr="00990D5A">
              <w:rPr>
                <w:i/>
                <w:iCs/>
              </w:rPr>
              <w:t xml:space="preserve">zāļu vairumtirgotājs var aizstāt īsā laikā par labas izplatīšanas prakses ievērošanu atbildīgo amatpersonu īslaicīgi ar citu </w:t>
            </w:r>
            <w:r w:rsidRPr="00990D5A">
              <w:rPr>
                <w:i/>
                <w:iCs/>
                <w:u w:val="single"/>
              </w:rPr>
              <w:t>darbinieku</w:t>
            </w:r>
            <w:r w:rsidRPr="00990D5A">
              <w:t>”, bet tai pat laikā tiek norādīts, ka “</w:t>
            </w:r>
            <w:r w:rsidRPr="00990D5A">
              <w:rPr>
                <w:i/>
                <w:iCs/>
              </w:rPr>
              <w:t xml:space="preserve">paziņojumam pievienojot atbildīgās </w:t>
            </w:r>
            <w:r w:rsidRPr="00990D5A">
              <w:rPr>
                <w:i/>
                <w:iCs/>
                <w:u w:val="single"/>
              </w:rPr>
              <w:t>amatpersonas</w:t>
            </w:r>
            <w:r w:rsidRPr="00990D5A">
              <w:rPr>
                <w:i/>
                <w:iCs/>
              </w:rPr>
              <w:t xml:space="preserve"> CV un norādot tās kompetences, pieredzi un zināšanas par zāļu izplatīšanu, kā arī apmācību labas izplatīšanas prakses jautājumos</w:t>
            </w:r>
            <w:r w:rsidRPr="00990D5A">
              <w:t xml:space="preserve">”, attiecīgi nav skaidrs vai runa iet par vienu un to pašu personu). </w:t>
            </w:r>
          </w:p>
          <w:p w14:paraId="13EFFA29" w14:textId="77777777" w:rsidR="00990D5A" w:rsidRPr="00990D5A" w:rsidRDefault="00990D5A" w:rsidP="00990D5A">
            <w:pPr>
              <w:ind w:firstLine="720"/>
              <w:contextualSpacing/>
              <w:jc w:val="both"/>
              <w:rPr>
                <w:b/>
                <w:bCs/>
                <w:color w:val="0D0D0D" w:themeColor="text1" w:themeTint="F2"/>
              </w:rPr>
            </w:pPr>
          </w:p>
        </w:tc>
        <w:tc>
          <w:tcPr>
            <w:tcW w:w="2551" w:type="dxa"/>
            <w:gridSpan w:val="2"/>
            <w:tcBorders>
              <w:left w:val="single" w:sz="6" w:space="0" w:color="000000"/>
              <w:bottom w:val="single" w:sz="4" w:space="0" w:color="auto"/>
              <w:right w:val="single" w:sz="6" w:space="0" w:color="000000"/>
            </w:tcBorders>
          </w:tcPr>
          <w:p w14:paraId="6AEF2AC8" w14:textId="77777777" w:rsidR="00990D5A" w:rsidRPr="00A76822" w:rsidRDefault="00990D5A" w:rsidP="00CA09F5">
            <w:pPr>
              <w:jc w:val="center"/>
              <w:rPr>
                <w:b/>
              </w:rPr>
            </w:pPr>
            <w:r w:rsidRPr="00A76822">
              <w:rPr>
                <w:b/>
              </w:rPr>
              <w:t>Ņemts vērā</w:t>
            </w:r>
          </w:p>
          <w:p w14:paraId="785CAC2A" w14:textId="79350B5E" w:rsidR="00990D5A" w:rsidRPr="00A76822" w:rsidRDefault="00990D5A" w:rsidP="00CA09F5">
            <w:pPr>
              <w:jc w:val="center"/>
              <w:rPr>
                <w:b/>
              </w:rPr>
            </w:pPr>
            <w:r w:rsidRPr="00A76822">
              <w:t>Noteikumu projekts un anotācija ir precizēta.</w:t>
            </w:r>
          </w:p>
        </w:tc>
        <w:tc>
          <w:tcPr>
            <w:tcW w:w="3260" w:type="dxa"/>
            <w:tcBorders>
              <w:top w:val="single" w:sz="4" w:space="0" w:color="auto"/>
              <w:left w:val="single" w:sz="4" w:space="0" w:color="auto"/>
              <w:bottom w:val="single" w:sz="4" w:space="0" w:color="auto"/>
            </w:tcBorders>
          </w:tcPr>
          <w:p w14:paraId="6C85FEAE" w14:textId="77777777" w:rsidR="00A76822" w:rsidRPr="00C60E2C" w:rsidRDefault="00A76822" w:rsidP="00A76822">
            <w:pPr>
              <w:pStyle w:val="Bezatstarpm"/>
              <w:rPr>
                <w:szCs w:val="24"/>
              </w:rPr>
            </w:pPr>
          </w:p>
          <w:p w14:paraId="39B18FC5" w14:textId="1E08D38D" w:rsidR="00A76822" w:rsidRPr="00C60E2C" w:rsidRDefault="00A76822" w:rsidP="00A76822">
            <w:pPr>
              <w:pStyle w:val="Bezatstarpm"/>
              <w:rPr>
                <w:szCs w:val="24"/>
              </w:rPr>
            </w:pPr>
            <w:r w:rsidRPr="00C60E2C">
              <w:rPr>
                <w:szCs w:val="24"/>
              </w:rPr>
              <w:t xml:space="preserve">Skatīt anotāciju I. sadaļas 2. punkta 3. punktu. </w:t>
            </w:r>
          </w:p>
          <w:p w14:paraId="53CB9D2A" w14:textId="77777777" w:rsidR="00A76822" w:rsidRPr="00C60E2C" w:rsidRDefault="00A76822" w:rsidP="00A76822">
            <w:pPr>
              <w:pStyle w:val="Bezatstarpm"/>
              <w:rPr>
                <w:szCs w:val="24"/>
              </w:rPr>
            </w:pPr>
          </w:p>
          <w:p w14:paraId="1645CD15" w14:textId="3CB00113" w:rsidR="00990D5A" w:rsidRPr="00C60E2C" w:rsidRDefault="00C60E2C" w:rsidP="00C60E2C">
            <w:pPr>
              <w:pStyle w:val="Bezatstarpm"/>
              <w:rPr>
                <w:szCs w:val="24"/>
              </w:rPr>
            </w:pPr>
            <w:r w:rsidRPr="00C60E2C">
              <w:rPr>
                <w:szCs w:val="24"/>
              </w:rPr>
              <w:t>171.</w:t>
            </w:r>
            <w:r w:rsidRPr="00C60E2C">
              <w:rPr>
                <w:szCs w:val="24"/>
                <w:vertAlign w:val="superscript"/>
              </w:rPr>
              <w:t>24</w:t>
            </w:r>
            <w:r w:rsidRPr="00C60E2C">
              <w:rPr>
                <w:szCs w:val="24"/>
              </w:rPr>
              <w:t xml:space="preserve"> Līdz 2021. gada 31. decembrim zāļu vairumtirgotājs var īslaicīgi aizstāt par labas izplatīšanas prakses ievērošanu atbildīgo amatpersonu ar citu personu, ja atbildīgā amatpersona ir karantīnā vai prombūtnē COVID − 19 izraisītas slimības vai </w:t>
            </w:r>
            <w:proofErr w:type="spellStart"/>
            <w:r w:rsidRPr="00C60E2C">
              <w:rPr>
                <w:szCs w:val="24"/>
              </w:rPr>
              <w:t>pašizolācijas</w:t>
            </w:r>
            <w:proofErr w:type="spellEnd"/>
            <w:r w:rsidRPr="00C60E2C">
              <w:rPr>
                <w:szCs w:val="24"/>
              </w:rPr>
              <w:t xml:space="preserve"> dēļ, nodrošinot, ka attiecīgajai personai, ar kuru aizstāj atbildīgo amatpersonu, ir atbilstošas kompetences, pieredze un zināšanas par zāļu izplatīšanu, viņa ir apmācīta labas izplatīšanas prakses jautājumos, un viņai ir atbilstošas zināšanas par zāļu vairumtirgotāja kvalitātes vadības sistēmu. Šajā gadījumā uzdevumi un pienākumi, kas veicami atbildīgajai amatpersonai, nemainās, bet zāļu vairumtirgotājs par atbildīgās amatpersonas aizstāšanu paziņo Zāļu valsts aģentūrai, paziņojumam pievienojot personas, ar kuru aizstāj atbildīgo amatpersonu, CV un norādot tās kvalifikāciju,</w:t>
            </w:r>
            <w:r w:rsidRPr="00C60E2C">
              <w:rPr>
                <w:color w:val="FF0000"/>
                <w:szCs w:val="24"/>
              </w:rPr>
              <w:t xml:space="preserve"> </w:t>
            </w:r>
            <w:r w:rsidRPr="00C60E2C">
              <w:rPr>
                <w:szCs w:val="24"/>
              </w:rPr>
              <w:t>kompetences, pieredzi un zināšanas par zāļu izplatīšanu, kā arī apmācību labas izplatīšanas prakses jautājumos. Ja Zāļu valsts aģentūra atzīst, ka minēto zāļu vairumtirgotāja paziņojumu par konkrēto personu nevar apstiprināt, tā informē par to zāļu vairumtirgotāju un Veselības inspekciju, norādot nelabvēlīgā atzinuma pamatojumu.</w:t>
            </w:r>
            <w:r w:rsidRPr="00C60E2C">
              <w:rPr>
                <w:bCs/>
                <w:szCs w:val="24"/>
              </w:rPr>
              <w:t>".</w:t>
            </w:r>
          </w:p>
        </w:tc>
      </w:tr>
      <w:tr w:rsidR="00BB2395" w:rsidRPr="00990D5A" w14:paraId="3AF8ABAA" w14:textId="77777777" w:rsidTr="00990D5A">
        <w:tblPrEx>
          <w:tblBorders>
            <w:top w:val="none" w:sz="0" w:space="0" w:color="auto"/>
            <w:left w:val="none" w:sz="0" w:space="0" w:color="auto"/>
            <w:bottom w:val="none" w:sz="0" w:space="0" w:color="auto"/>
            <w:right w:val="none" w:sz="0" w:space="0" w:color="auto"/>
          </w:tblBorders>
        </w:tblPrEx>
        <w:trPr>
          <w:gridAfter w:val="2"/>
          <w:wAfter w:w="4879" w:type="dxa"/>
        </w:trPr>
        <w:tc>
          <w:tcPr>
            <w:tcW w:w="3961" w:type="dxa"/>
            <w:gridSpan w:val="2"/>
          </w:tcPr>
          <w:p w14:paraId="53AF1D82" w14:textId="77777777" w:rsidR="00BB2395" w:rsidRPr="00990D5A" w:rsidRDefault="00BB2395" w:rsidP="00BB2395">
            <w:pPr>
              <w:pStyle w:val="naiskr"/>
              <w:spacing w:before="0" w:after="0"/>
            </w:pPr>
          </w:p>
          <w:p w14:paraId="000BEB68" w14:textId="77777777" w:rsidR="00BB2395" w:rsidRPr="00990D5A" w:rsidRDefault="00BB2395" w:rsidP="00BB2395">
            <w:pPr>
              <w:pStyle w:val="naiskr"/>
              <w:spacing w:before="0" w:after="0"/>
            </w:pPr>
          </w:p>
          <w:p w14:paraId="6452ACD3" w14:textId="77777777" w:rsidR="00BB2395" w:rsidRPr="00990D5A" w:rsidRDefault="00BB2395" w:rsidP="00BB2395">
            <w:pPr>
              <w:pStyle w:val="naiskr"/>
              <w:spacing w:before="0" w:after="0"/>
            </w:pPr>
            <w:r w:rsidRPr="00990D5A">
              <w:t>Atbildīgā amatpersona</w:t>
            </w:r>
          </w:p>
        </w:tc>
        <w:tc>
          <w:tcPr>
            <w:tcW w:w="5327" w:type="dxa"/>
            <w:gridSpan w:val="2"/>
          </w:tcPr>
          <w:p w14:paraId="52BD15C3" w14:textId="77777777" w:rsidR="00BB2395" w:rsidRPr="00990D5A" w:rsidRDefault="00BB2395" w:rsidP="000C7419">
            <w:pPr>
              <w:pStyle w:val="naiskr"/>
              <w:spacing w:before="0" w:after="0"/>
              <w:ind w:firstLine="720"/>
              <w:jc w:val="both"/>
            </w:pPr>
            <w:r w:rsidRPr="00990D5A">
              <w:t>  </w:t>
            </w:r>
          </w:p>
        </w:tc>
      </w:tr>
      <w:tr w:rsidR="00BB2395" w:rsidRPr="00990D5A" w14:paraId="28ED2874" w14:textId="77777777" w:rsidTr="00990D5A">
        <w:tblPrEx>
          <w:tblBorders>
            <w:top w:val="none" w:sz="0" w:space="0" w:color="auto"/>
            <w:left w:val="none" w:sz="0" w:space="0" w:color="auto"/>
            <w:bottom w:val="none" w:sz="0" w:space="0" w:color="auto"/>
            <w:right w:val="none" w:sz="0" w:space="0" w:color="auto"/>
          </w:tblBorders>
        </w:tblPrEx>
        <w:trPr>
          <w:gridAfter w:val="2"/>
          <w:wAfter w:w="4879" w:type="dxa"/>
        </w:trPr>
        <w:tc>
          <w:tcPr>
            <w:tcW w:w="3961" w:type="dxa"/>
            <w:gridSpan w:val="2"/>
          </w:tcPr>
          <w:p w14:paraId="70DE59B8" w14:textId="77777777" w:rsidR="00BB2395" w:rsidRPr="00990D5A" w:rsidRDefault="00BB2395" w:rsidP="00BB2395">
            <w:pPr>
              <w:pStyle w:val="naiskr"/>
              <w:spacing w:before="0" w:after="0"/>
              <w:ind w:firstLine="720"/>
            </w:pPr>
          </w:p>
        </w:tc>
        <w:tc>
          <w:tcPr>
            <w:tcW w:w="5327" w:type="dxa"/>
            <w:gridSpan w:val="2"/>
            <w:tcBorders>
              <w:top w:val="single" w:sz="6" w:space="0" w:color="000000"/>
            </w:tcBorders>
          </w:tcPr>
          <w:p w14:paraId="1D24D431" w14:textId="77777777" w:rsidR="00BB2395" w:rsidRPr="00990D5A" w:rsidRDefault="00BB2395" w:rsidP="000C7419">
            <w:pPr>
              <w:pStyle w:val="naisc"/>
              <w:spacing w:before="0" w:after="0"/>
              <w:ind w:firstLine="720"/>
              <w:jc w:val="both"/>
            </w:pPr>
            <w:r w:rsidRPr="00990D5A">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4EBB2B9E" w14:textId="77777777" w:rsidR="009200B5" w:rsidRDefault="009200B5" w:rsidP="0032040B">
      <w:pPr>
        <w:pStyle w:val="naisf"/>
        <w:spacing w:before="0" w:after="0"/>
        <w:ind w:firstLine="0"/>
      </w:pPr>
    </w:p>
    <w:p w14:paraId="527E04A5" w14:textId="2BC20EB6" w:rsidR="00C020BD" w:rsidRPr="00712B66" w:rsidRDefault="00C55F03" w:rsidP="0032040B">
      <w:pPr>
        <w:pStyle w:val="naisf"/>
        <w:spacing w:before="0" w:after="0"/>
        <w:ind w:firstLine="0"/>
      </w:pPr>
      <w:r>
        <w:t>Ingūna Mača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24813ABE" w:rsidR="008655A2" w:rsidRPr="00712B66" w:rsidRDefault="0032040B" w:rsidP="0036160E">
            <w:r>
              <w:t xml:space="preserve">Veselības ministrijas </w:t>
            </w:r>
            <w:r w:rsidR="00C55F03">
              <w:t>Farmācijas departamenta</w:t>
            </w:r>
            <w:r w:rsidR="005E0CD9">
              <w:t xml:space="preserve"> </w:t>
            </w:r>
            <w:r>
              <w:t>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5E200CA3" w:rsidR="008655A2" w:rsidRPr="00712B66" w:rsidRDefault="0032040B" w:rsidP="0036160E">
            <w:r>
              <w:t>Tālr.:67876</w:t>
            </w:r>
            <w:r w:rsidR="00C55F03">
              <w:t>117</w:t>
            </w:r>
            <w:r>
              <w:t xml:space="preserve">; fakss: </w:t>
            </w:r>
            <w:r w:rsidRPr="0032040B">
              <w:t>67876006</w:t>
            </w:r>
            <w:r w:rsidR="00C55F03">
              <w:t xml:space="preserve">; </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68C1F868" w:rsidR="008655A2" w:rsidRPr="00712B66" w:rsidRDefault="00C55F03" w:rsidP="0036160E">
            <w:r>
              <w:t>inguna</w:t>
            </w:r>
            <w:r w:rsidR="0032040B">
              <w:t>.</w:t>
            </w:r>
            <w:r>
              <w:t>maca</w:t>
            </w:r>
            <w:r w:rsidR="0032040B">
              <w:t>@vm.gov.lv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9"/>
      <w:headerReference w:type="default" r:id="rId10"/>
      <w:footerReference w:type="default" r:id="rId11"/>
      <w:footerReference w:type="first" r:id="rId12"/>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43AA" w14:textId="77777777" w:rsidR="007309A9" w:rsidRDefault="007309A9">
      <w:r>
        <w:separator/>
      </w:r>
    </w:p>
  </w:endnote>
  <w:endnote w:type="continuationSeparator" w:id="0">
    <w:p w14:paraId="2EE6E714" w14:textId="77777777" w:rsidR="007309A9" w:rsidRDefault="0073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DokChampa"/>
    <w:panose1 w:val="020B0604020202020204"/>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788C" w14:textId="77777777" w:rsidR="009200B5" w:rsidRDefault="009200B5" w:rsidP="000C7419">
    <w:pPr>
      <w:pStyle w:val="Kjene"/>
      <w:rPr>
        <w:sz w:val="20"/>
        <w:szCs w:val="20"/>
      </w:rPr>
    </w:pPr>
  </w:p>
  <w:p w14:paraId="5CA69B72" w14:textId="56ED351C" w:rsidR="00561D3C" w:rsidRPr="003C70D2" w:rsidRDefault="000C7419" w:rsidP="000C7419">
    <w:pPr>
      <w:pStyle w:val="Kjene"/>
      <w:rPr>
        <w:sz w:val="20"/>
        <w:szCs w:val="20"/>
      </w:rPr>
    </w:pPr>
    <w:r>
      <w:rPr>
        <w:sz w:val="20"/>
        <w:szCs w:val="20"/>
      </w:rPr>
      <w:t>VM</w:t>
    </w:r>
    <w:r w:rsidRPr="00015C84">
      <w:rPr>
        <w:sz w:val="20"/>
        <w:szCs w:val="20"/>
      </w:rPr>
      <w:t>izz_</w:t>
    </w:r>
    <w:r w:rsidR="00990D5A">
      <w:rPr>
        <w:sz w:val="20"/>
        <w:szCs w:val="20"/>
      </w:rPr>
      <w:t>2</w:t>
    </w:r>
    <w:r w:rsidR="0035373D">
      <w:rPr>
        <w:sz w:val="20"/>
        <w:szCs w:val="20"/>
      </w:rPr>
      <w:t>8</w:t>
    </w:r>
    <w:r w:rsidR="00990D5A">
      <w:rPr>
        <w:sz w:val="20"/>
        <w:szCs w:val="20"/>
      </w:rPr>
      <w:t>0121</w:t>
    </w:r>
    <w:r>
      <w:rPr>
        <w:sz w:val="20"/>
        <w:szCs w:val="20"/>
      </w:rPr>
      <w:t>_mk</w:t>
    </w:r>
    <w:r w:rsidR="00D34483">
      <w:rPr>
        <w:sz w:val="20"/>
        <w:szCs w:val="20"/>
      </w:rPr>
      <w:t>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4D2B" w14:textId="77777777" w:rsidR="00F1577C" w:rsidRDefault="00F1577C" w:rsidP="00364BB6">
    <w:pPr>
      <w:pStyle w:val="Kjene"/>
      <w:rPr>
        <w:sz w:val="20"/>
        <w:szCs w:val="20"/>
      </w:rPr>
    </w:pPr>
  </w:p>
  <w:p w14:paraId="4F32A14C" w14:textId="79A41076" w:rsidR="006455E7" w:rsidRPr="00015C84" w:rsidRDefault="00B65834" w:rsidP="00364BB6">
    <w:pPr>
      <w:pStyle w:val="Kjene"/>
      <w:rPr>
        <w:sz w:val="20"/>
        <w:szCs w:val="20"/>
      </w:rPr>
    </w:pPr>
    <w:r>
      <w:rPr>
        <w:sz w:val="20"/>
        <w:szCs w:val="20"/>
      </w:rPr>
      <w:t>VM</w:t>
    </w:r>
    <w:r w:rsidR="00015C84" w:rsidRPr="00015C84">
      <w:rPr>
        <w:sz w:val="20"/>
        <w:szCs w:val="20"/>
      </w:rPr>
      <w:t>izz_</w:t>
    </w:r>
    <w:r w:rsidR="00990D5A">
      <w:rPr>
        <w:sz w:val="20"/>
        <w:szCs w:val="20"/>
      </w:rPr>
      <w:t>2</w:t>
    </w:r>
    <w:r w:rsidR="00A22FA5">
      <w:rPr>
        <w:sz w:val="20"/>
        <w:szCs w:val="20"/>
      </w:rPr>
      <w:t>8</w:t>
    </w:r>
    <w:r w:rsidR="00990D5A">
      <w:rPr>
        <w:sz w:val="20"/>
        <w:szCs w:val="20"/>
      </w:rPr>
      <w:t>0121</w:t>
    </w:r>
    <w:r w:rsidR="00F1768E">
      <w:rPr>
        <w:sz w:val="20"/>
        <w:szCs w:val="20"/>
      </w:rPr>
      <w:t>_</w:t>
    </w:r>
    <w:r w:rsidR="000C7419">
      <w:rPr>
        <w:sz w:val="20"/>
        <w:szCs w:val="20"/>
      </w:rPr>
      <w:t>mk</w:t>
    </w:r>
    <w:r w:rsidR="00D34483">
      <w:rPr>
        <w:sz w:val="20"/>
        <w:szCs w:val="20"/>
      </w:rPr>
      <w:t>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2922" w14:textId="77777777" w:rsidR="007309A9" w:rsidRDefault="007309A9">
      <w:r>
        <w:separator/>
      </w:r>
    </w:p>
  </w:footnote>
  <w:footnote w:type="continuationSeparator" w:id="0">
    <w:p w14:paraId="7ED17B5C" w14:textId="77777777" w:rsidR="007309A9" w:rsidRDefault="0073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077F"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994DA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C8DD"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F320D">
      <w:rPr>
        <w:rStyle w:val="Lappusesnumurs"/>
        <w:noProof/>
      </w:rPr>
      <w:t>9</w:t>
    </w:r>
    <w:r>
      <w:rPr>
        <w:rStyle w:val="Lappusesnumurs"/>
      </w:rPr>
      <w:fldChar w:fldCharType="end"/>
    </w:r>
  </w:p>
  <w:p w14:paraId="4FC2B7CD" w14:textId="131083FD" w:rsidR="006455E7" w:rsidRDefault="006455E7">
    <w:pPr>
      <w:pStyle w:val="Galvene"/>
    </w:pPr>
  </w:p>
  <w:p w14:paraId="7BA44D8F" w14:textId="77777777" w:rsidR="009200B5" w:rsidRDefault="009200B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928"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3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549"/>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419"/>
    <w:rsid w:val="000C7907"/>
    <w:rsid w:val="000C7A11"/>
    <w:rsid w:val="000C7F5E"/>
    <w:rsid w:val="000D00AC"/>
    <w:rsid w:val="000D0AED"/>
    <w:rsid w:val="000D3602"/>
    <w:rsid w:val="000D4D89"/>
    <w:rsid w:val="000D586B"/>
    <w:rsid w:val="000D6600"/>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E6CC4"/>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74"/>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2E48"/>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B76"/>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54F1"/>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148"/>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3C06"/>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ED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5B75"/>
    <w:rsid w:val="0034671A"/>
    <w:rsid w:val="00346EB6"/>
    <w:rsid w:val="00347DB4"/>
    <w:rsid w:val="00347EDB"/>
    <w:rsid w:val="00350797"/>
    <w:rsid w:val="00351A85"/>
    <w:rsid w:val="003522E8"/>
    <w:rsid w:val="0035373D"/>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6B1E"/>
    <w:rsid w:val="003C70D2"/>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4DFD"/>
    <w:rsid w:val="004454DF"/>
    <w:rsid w:val="00446804"/>
    <w:rsid w:val="004478D4"/>
    <w:rsid w:val="00450380"/>
    <w:rsid w:val="004505C6"/>
    <w:rsid w:val="004520CD"/>
    <w:rsid w:val="00452DF3"/>
    <w:rsid w:val="00452EA6"/>
    <w:rsid w:val="004534F5"/>
    <w:rsid w:val="00453765"/>
    <w:rsid w:val="00453988"/>
    <w:rsid w:val="0045402B"/>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46AF"/>
    <w:rsid w:val="004A52F5"/>
    <w:rsid w:val="004A5D3A"/>
    <w:rsid w:val="004A6897"/>
    <w:rsid w:val="004A692B"/>
    <w:rsid w:val="004A6EB6"/>
    <w:rsid w:val="004A794C"/>
    <w:rsid w:val="004B3EC7"/>
    <w:rsid w:val="004B5664"/>
    <w:rsid w:val="004C17F7"/>
    <w:rsid w:val="004C2107"/>
    <w:rsid w:val="004C4BC0"/>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2FD2"/>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0A6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0C21"/>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6CE"/>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B0A"/>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14D"/>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09A9"/>
    <w:rsid w:val="00731C24"/>
    <w:rsid w:val="0073257E"/>
    <w:rsid w:val="00732A32"/>
    <w:rsid w:val="00733066"/>
    <w:rsid w:val="00733469"/>
    <w:rsid w:val="00733539"/>
    <w:rsid w:val="00735557"/>
    <w:rsid w:val="00736AE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11D9"/>
    <w:rsid w:val="007722ED"/>
    <w:rsid w:val="0077408B"/>
    <w:rsid w:val="00774AF6"/>
    <w:rsid w:val="00774EC8"/>
    <w:rsid w:val="00775863"/>
    <w:rsid w:val="00776781"/>
    <w:rsid w:val="00777379"/>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17A9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58B5"/>
    <w:rsid w:val="0090680D"/>
    <w:rsid w:val="0091045D"/>
    <w:rsid w:val="0091281A"/>
    <w:rsid w:val="00912B24"/>
    <w:rsid w:val="009131C4"/>
    <w:rsid w:val="009139B5"/>
    <w:rsid w:val="00914514"/>
    <w:rsid w:val="00914549"/>
    <w:rsid w:val="00914C08"/>
    <w:rsid w:val="00914F2F"/>
    <w:rsid w:val="00916057"/>
    <w:rsid w:val="00916AD1"/>
    <w:rsid w:val="00917637"/>
    <w:rsid w:val="00917FEE"/>
    <w:rsid w:val="009200B5"/>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20EE"/>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0D5A"/>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16ED"/>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2FA5"/>
    <w:rsid w:val="00A23138"/>
    <w:rsid w:val="00A23940"/>
    <w:rsid w:val="00A23ECC"/>
    <w:rsid w:val="00A2413A"/>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82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784"/>
    <w:rsid w:val="00AD2B03"/>
    <w:rsid w:val="00AD2E07"/>
    <w:rsid w:val="00AD38A9"/>
    <w:rsid w:val="00AD4071"/>
    <w:rsid w:val="00AD44EA"/>
    <w:rsid w:val="00AD4782"/>
    <w:rsid w:val="00AD5236"/>
    <w:rsid w:val="00AD527D"/>
    <w:rsid w:val="00AD54E0"/>
    <w:rsid w:val="00AD758E"/>
    <w:rsid w:val="00AD7AB5"/>
    <w:rsid w:val="00AE08B7"/>
    <w:rsid w:val="00AE0DBA"/>
    <w:rsid w:val="00AE1072"/>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2963"/>
    <w:rsid w:val="00B3313B"/>
    <w:rsid w:val="00B331E8"/>
    <w:rsid w:val="00B331EA"/>
    <w:rsid w:val="00B34732"/>
    <w:rsid w:val="00B353B8"/>
    <w:rsid w:val="00B35C56"/>
    <w:rsid w:val="00B3613F"/>
    <w:rsid w:val="00B36F17"/>
    <w:rsid w:val="00B372ED"/>
    <w:rsid w:val="00B40087"/>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8B0"/>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72F"/>
    <w:rsid w:val="00C55A32"/>
    <w:rsid w:val="00C55F03"/>
    <w:rsid w:val="00C564F2"/>
    <w:rsid w:val="00C56F11"/>
    <w:rsid w:val="00C60E2C"/>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6CE6"/>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08E2"/>
    <w:rsid w:val="00D31813"/>
    <w:rsid w:val="00D3257F"/>
    <w:rsid w:val="00D340E2"/>
    <w:rsid w:val="00D34483"/>
    <w:rsid w:val="00D35CBD"/>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633"/>
    <w:rsid w:val="00E139EE"/>
    <w:rsid w:val="00E14D83"/>
    <w:rsid w:val="00E14FA6"/>
    <w:rsid w:val="00E15A0D"/>
    <w:rsid w:val="00E16640"/>
    <w:rsid w:val="00E1740F"/>
    <w:rsid w:val="00E200CF"/>
    <w:rsid w:val="00E24084"/>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577C"/>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AC9"/>
    <w:rsid w:val="00FA7CC6"/>
    <w:rsid w:val="00FB1D9D"/>
    <w:rsid w:val="00FB3304"/>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549D"/>
    <w:rsid w:val="00FC6356"/>
    <w:rsid w:val="00FC6F1C"/>
    <w:rsid w:val="00FC7D01"/>
    <w:rsid w:val="00FD0130"/>
    <w:rsid w:val="00FD0373"/>
    <w:rsid w:val="00FD0582"/>
    <w:rsid w:val="00FD0C93"/>
    <w:rsid w:val="00FD1062"/>
    <w:rsid w:val="00FD15E1"/>
    <w:rsid w:val="00FD2589"/>
    <w:rsid w:val="00FD4876"/>
    <w:rsid w:val="00FD52A3"/>
    <w:rsid w:val="00FD68D4"/>
    <w:rsid w:val="00FD7700"/>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semiHidden/>
    <w:unhideWhenUsed/>
    <w:qFormat/>
    <w:locked/>
    <w:rsid w:val="003C6B1E"/>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Vresteksts">
    <w:name w:val="footnote text"/>
    <w:basedOn w:val="Parasts"/>
    <w:link w:val="VrestekstsRakstz"/>
    <w:uiPriority w:val="99"/>
    <w:semiHidden/>
    <w:unhideWhenUsed/>
    <w:rsid w:val="00637AB7"/>
    <w:pPr>
      <w:widowControl w:val="0"/>
    </w:pPr>
    <w:rPr>
      <w:rFonts w:ascii="Calibri" w:eastAsia="Calibri" w:hAnsi="Calibri"/>
      <w:sz w:val="20"/>
      <w:szCs w:val="20"/>
      <w:lang w:eastAsia="en-US"/>
    </w:rPr>
  </w:style>
  <w:style w:type="character" w:customStyle="1" w:styleId="VrestekstsRakstz">
    <w:name w:val="Vēres teksts Rakstz."/>
    <w:link w:val="Vresteksts"/>
    <w:uiPriority w:val="99"/>
    <w:semiHidden/>
    <w:rsid w:val="00637AB7"/>
    <w:rPr>
      <w:rFonts w:ascii="Calibri" w:eastAsia="Calibri" w:hAnsi="Calibri"/>
      <w:lang w:eastAsia="en-US"/>
    </w:rPr>
  </w:style>
  <w:style w:type="character" w:styleId="Vresatsauce">
    <w:name w:val="footnote reference"/>
    <w:uiPriority w:val="99"/>
    <w:semiHidden/>
    <w:unhideWhenUsed/>
    <w:rsid w:val="00637AB7"/>
    <w:rPr>
      <w:vertAlign w:val="superscript"/>
    </w:rPr>
  </w:style>
  <w:style w:type="paragraph" w:styleId="Pamatteksts2">
    <w:name w:val="Body Text 2"/>
    <w:basedOn w:val="Parasts"/>
    <w:link w:val="Pamatteksts2Rakstz"/>
    <w:uiPriority w:val="99"/>
    <w:unhideWhenUsed/>
    <w:rsid w:val="000914C7"/>
    <w:pPr>
      <w:spacing w:after="120" w:line="480" w:lineRule="auto"/>
    </w:pPr>
  </w:style>
  <w:style w:type="character" w:customStyle="1" w:styleId="Pamatteksts2Rakstz">
    <w:name w:val="Pamatteksts 2 Rakstz."/>
    <w:link w:val="Pamatteksts2"/>
    <w:uiPriority w:val="99"/>
    <w:rsid w:val="000914C7"/>
    <w:rPr>
      <w:sz w:val="24"/>
      <w:szCs w:val="24"/>
    </w:rPr>
  </w:style>
  <w:style w:type="paragraph" w:styleId="Bezatstarpm">
    <w:name w:val="No Spacing"/>
    <w:basedOn w:val="Parasts"/>
    <w:next w:val="Parasts"/>
    <w:link w:val="BezatstarpmRakstz"/>
    <w:uiPriority w:val="1"/>
    <w:qFormat/>
    <w:rsid w:val="00FD7700"/>
    <w:pPr>
      <w:widowControl w:val="0"/>
      <w:jc w:val="both"/>
    </w:pPr>
    <w:rPr>
      <w:rFonts w:eastAsia="Calibri"/>
      <w:szCs w:val="22"/>
      <w:lang w:eastAsia="en-US"/>
    </w:rPr>
  </w:style>
  <w:style w:type="paragraph" w:customStyle="1" w:styleId="Bezatstarpm1">
    <w:name w:val="Bez atstarpēm1"/>
    <w:uiPriority w:val="1"/>
    <w:qFormat/>
    <w:rsid w:val="000C7419"/>
    <w:rPr>
      <w:rFonts w:ascii="Calibri" w:eastAsia="Calibri" w:hAnsi="Calibri"/>
      <w:sz w:val="22"/>
      <w:szCs w:val="22"/>
      <w:lang w:val="en-US" w:eastAsia="en-US"/>
    </w:rPr>
  </w:style>
  <w:style w:type="character" w:customStyle="1" w:styleId="Noklusjumarindkopasfonts1">
    <w:name w:val="Noklusējuma rindkopas fonts1"/>
    <w:rsid w:val="000C7419"/>
  </w:style>
  <w:style w:type="character" w:customStyle="1" w:styleId="Hipersaite1">
    <w:name w:val="Hipersaite1"/>
    <w:rsid w:val="000C7419"/>
    <w:rPr>
      <w:color w:val="0000FF"/>
      <w:u w:val="single"/>
    </w:rPr>
  </w:style>
  <w:style w:type="character" w:customStyle="1" w:styleId="Virsraksts3Rakstz">
    <w:name w:val="Virsraksts 3 Rakstz."/>
    <w:basedOn w:val="Noklusjumarindkopasfonts"/>
    <w:link w:val="Virsraksts3"/>
    <w:semiHidden/>
    <w:rsid w:val="003C6B1E"/>
    <w:rPr>
      <w:rFonts w:asciiTheme="majorHAnsi" w:eastAsiaTheme="majorEastAsia" w:hAnsiTheme="majorHAnsi" w:cstheme="majorBidi"/>
      <w:color w:val="1F3763" w:themeColor="accent1" w:themeShade="7F"/>
      <w:sz w:val="24"/>
      <w:szCs w:val="24"/>
    </w:rPr>
  </w:style>
  <w:style w:type="paragraph" w:customStyle="1" w:styleId="liknoteik">
    <w:name w:val="lik_noteik"/>
    <w:basedOn w:val="Parasts"/>
    <w:rsid w:val="003C6B1E"/>
    <w:pPr>
      <w:spacing w:before="100" w:beforeAutospacing="1" w:after="100" w:afterAutospacing="1"/>
    </w:pPr>
    <w:rPr>
      <w:lang w:bidi="hi-IN"/>
    </w:rPr>
  </w:style>
  <w:style w:type="paragraph" w:customStyle="1" w:styleId="likdat">
    <w:name w:val="lik_dat"/>
    <w:basedOn w:val="Parasts"/>
    <w:rsid w:val="003C6B1E"/>
    <w:pPr>
      <w:spacing w:before="100" w:beforeAutospacing="1" w:after="100" w:afterAutospacing="1"/>
    </w:pPr>
    <w:rPr>
      <w:lang w:bidi="hi-IN"/>
    </w:rPr>
  </w:style>
  <w:style w:type="character" w:customStyle="1" w:styleId="BezatstarpmRakstz">
    <w:name w:val="Bez atstarpēm Rakstz."/>
    <w:link w:val="Bezatstarpm"/>
    <w:uiPriority w:val="1"/>
    <w:rsid w:val="00990D5A"/>
    <w:rPr>
      <w:rFonts w:eastAsia="Calibri"/>
      <w:sz w:val="24"/>
      <w:szCs w:val="22"/>
      <w:lang w:eastAsia="en-US"/>
    </w:rPr>
  </w:style>
  <w:style w:type="paragraph" w:customStyle="1" w:styleId="xbezatstarpm1">
    <w:name w:val="x_bezatstarpm1"/>
    <w:basedOn w:val="Parasts"/>
    <w:rsid w:val="00990D5A"/>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6860667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DE842-88C1-48C2-A1C5-5DF9F3C6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6550</Words>
  <Characters>3735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2007. gada 26. jūnijas noteikumos Nr. 416 "Zāļu izplatīšanas un kvalitātes kontroles kārtība"""</vt:lpstr>
      <vt:lpstr>Izziņa par atzinumos sniegtajiem iebildumiem par Ministru kabineta noteikumu projektu "Grozījumi Ministru kabineta 2007. gada 26. jūnijas noteikumos Nr. 416 "Zāļu izplatīšanas un kvalitātes kontroles kārtība"""</vt:lpstr>
    </vt:vector>
  </TitlesOfParts>
  <Company>Veselības ministrija</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2007. gada 26. jūnijas noteikumos Nr. 416 "Zāļu izplatīšanas un kvalitātes kontroles kārtība"""</dc:title>
  <dc:subject>Izziņa</dc:subject>
  <dc:creator>Ingūna Mača</dc:creator>
  <cp:keywords/>
  <dc:description>6787617, inguna.maca@vm.gov.lv</dc:description>
  <cp:lastModifiedBy>Inguna Maca</cp:lastModifiedBy>
  <cp:revision>5</cp:revision>
  <cp:lastPrinted>2020-03-16T07:14:00Z</cp:lastPrinted>
  <dcterms:created xsi:type="dcterms:W3CDTF">2021-01-28T10:19:00Z</dcterms:created>
  <dcterms:modified xsi:type="dcterms:W3CDTF">2021-01-28T13:17:00Z</dcterms:modified>
</cp:coreProperties>
</file>