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6DFC6D84" w:rsidR="006068C9" w:rsidRPr="008A0212" w:rsidRDefault="00697A39" w:rsidP="006068C9">
      <w:pPr>
        <w:pStyle w:val="naisnod"/>
        <w:spacing w:before="0" w:after="0"/>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8A0212" w:rsidRPr="008A0212">
        <w:rPr>
          <w:color w:val="000000" w:themeColor="text1"/>
        </w:rPr>
        <w:t xml:space="preserve">Par valsts </w:t>
      </w:r>
      <w:r w:rsidR="000E4DE2">
        <w:rPr>
          <w:color w:val="000000" w:themeColor="text1"/>
        </w:rPr>
        <w:t xml:space="preserve">meža zemes </w:t>
      </w:r>
      <w:r w:rsidR="00DE7D8B">
        <w:rPr>
          <w:color w:val="000000" w:themeColor="text1"/>
        </w:rPr>
        <w:t xml:space="preserve">nodošanu </w:t>
      </w:r>
      <w:r w:rsidR="007F179B">
        <w:rPr>
          <w:color w:val="000000" w:themeColor="text1"/>
        </w:rPr>
        <w:t>Madonas</w:t>
      </w:r>
      <w:r w:rsidR="00D728DE">
        <w:rPr>
          <w:color w:val="000000" w:themeColor="text1"/>
        </w:rPr>
        <w:t xml:space="preserve"> </w:t>
      </w:r>
      <w:r w:rsidR="00B838CA" w:rsidRPr="008A0212">
        <w:rPr>
          <w:color w:val="000000" w:themeColor="text1"/>
        </w:rPr>
        <w:t>novada pašvaldības īpašumā</w:t>
      </w:r>
      <w:r w:rsidRPr="008A0212">
        <w:rPr>
          <w:color w:val="000000" w:themeColor="text1"/>
        </w:rPr>
        <w:t xml:space="preserve">" </w:t>
      </w:r>
      <w:r w:rsidR="00D6588E" w:rsidRPr="008A0212">
        <w:rPr>
          <w:bCs w:val="0"/>
          <w:color w:val="000000" w:themeColor="text1"/>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7EAECB88" w:rsidR="00127F4C" w:rsidRPr="008A0212" w:rsidRDefault="007F179B" w:rsidP="00513CED">
                  <w:pPr>
                    <w:pStyle w:val="Paraststmeklis"/>
                    <w:spacing w:before="0" w:beforeAutospacing="0" w:after="0" w:afterAutospacing="0" w:line="276" w:lineRule="auto"/>
                    <w:rPr>
                      <w:color w:val="000000" w:themeColor="text1"/>
                      <w:lang w:eastAsia="en-US"/>
                    </w:rPr>
                  </w:pPr>
                  <w:r>
                    <w:rPr>
                      <w:color w:val="000000" w:themeColor="text1"/>
                      <w:lang w:eastAsia="en-US"/>
                    </w:rPr>
                    <w:t>02.-10.02.</w:t>
                  </w:r>
                  <w:r w:rsidR="00840650">
                    <w:rPr>
                      <w:color w:val="000000" w:themeColor="text1"/>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18983E13" w:rsidR="006068C9" w:rsidRPr="008A0212" w:rsidRDefault="00DE7D8B" w:rsidP="008A0212">
                  <w:pPr>
                    <w:pStyle w:val="naiskr"/>
                    <w:spacing w:before="0" w:after="0" w:line="276" w:lineRule="auto"/>
                    <w:ind w:right="500"/>
                    <w:jc w:val="both"/>
                    <w:rPr>
                      <w:color w:val="000000" w:themeColor="text1"/>
                      <w:lang w:eastAsia="en-US"/>
                    </w:rPr>
                  </w:pPr>
                  <w:r>
                    <w:rPr>
                      <w:color w:val="000000" w:themeColor="text1"/>
                      <w:lang w:eastAsia="en-US"/>
                    </w:rPr>
                    <w:t>Tieslietu ministrija</w:t>
                  </w:r>
                  <w:r w:rsidR="00C90A02">
                    <w:rPr>
                      <w:color w:val="000000" w:themeColor="text1"/>
                      <w:lang w:eastAsia="en-US"/>
                    </w:rPr>
                    <w:t>s</w:t>
                  </w:r>
                  <w:r w:rsidR="00D728DE">
                    <w:rPr>
                      <w:color w:val="000000" w:themeColor="text1"/>
                      <w:lang w:eastAsia="en-US"/>
                    </w:rPr>
                    <w:t>, Finanšu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1"/>
        <w:gridCol w:w="3157"/>
        <w:gridCol w:w="3514"/>
        <w:gridCol w:w="2843"/>
        <w:gridCol w:w="3848"/>
      </w:tblGrid>
      <w:tr w:rsidR="00A67381" w:rsidRPr="008A0212" w14:paraId="3E7FF993" w14:textId="77777777" w:rsidTr="00AB4A9C">
        <w:tc>
          <w:tcPr>
            <w:tcW w:w="319"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1106" w:type="pct"/>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231"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99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348"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67381" w:rsidRPr="008A0212" w14:paraId="19E2E3EC" w14:textId="77777777" w:rsidTr="00AB4A9C">
        <w:tc>
          <w:tcPr>
            <w:tcW w:w="319"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1106" w:type="pct"/>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231"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99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348"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AB4A9C">
        <w:tc>
          <w:tcPr>
            <w:tcW w:w="5000" w:type="pct"/>
            <w:gridSpan w:val="5"/>
            <w:tcBorders>
              <w:top w:val="single" w:sz="6" w:space="0" w:color="000000"/>
              <w:left w:val="single" w:sz="6" w:space="0" w:color="000000"/>
              <w:bottom w:val="single" w:sz="6" w:space="0" w:color="000000"/>
              <w:right w:val="single" w:sz="4" w:space="0" w:color="auto"/>
            </w:tcBorders>
          </w:tcPr>
          <w:p w14:paraId="304E921A" w14:textId="222FA955" w:rsidR="00D16746" w:rsidRPr="00914E46" w:rsidRDefault="00D728DE" w:rsidP="00914E46">
            <w:pPr>
              <w:jc w:val="center"/>
              <w:rPr>
                <w:b/>
                <w:color w:val="000000" w:themeColor="text1"/>
              </w:rPr>
            </w:pPr>
            <w:r>
              <w:rPr>
                <w:b/>
                <w:color w:val="000000" w:themeColor="text1"/>
              </w:rPr>
              <w:t>Finanšu ministrija</w:t>
            </w:r>
          </w:p>
        </w:tc>
      </w:tr>
      <w:tr w:rsidR="00A67381" w:rsidRPr="008A0212" w14:paraId="6D4658A6" w14:textId="77777777" w:rsidTr="00AB4A9C">
        <w:tc>
          <w:tcPr>
            <w:tcW w:w="319" w:type="pct"/>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D5045D">
            <w:pPr>
              <w:pStyle w:val="Sarakstarindkopa"/>
              <w:numPr>
                <w:ilvl w:val="0"/>
                <w:numId w:val="27"/>
              </w:numPr>
              <w:ind w:left="357" w:hanging="357"/>
              <w:rPr>
                <w:color w:val="000000" w:themeColor="text1"/>
              </w:rPr>
            </w:pPr>
          </w:p>
        </w:tc>
        <w:tc>
          <w:tcPr>
            <w:tcW w:w="1106" w:type="pct"/>
            <w:tcBorders>
              <w:top w:val="single" w:sz="6" w:space="0" w:color="000000"/>
              <w:left w:val="single" w:sz="4" w:space="0" w:color="auto"/>
              <w:bottom w:val="single" w:sz="6" w:space="0" w:color="000000"/>
              <w:right w:val="single" w:sz="4" w:space="0" w:color="auto"/>
            </w:tcBorders>
          </w:tcPr>
          <w:p w14:paraId="4F6D1B20" w14:textId="77777777" w:rsidR="007F179B" w:rsidRPr="007F179B" w:rsidRDefault="007F179B" w:rsidP="007F179B">
            <w:pPr>
              <w:jc w:val="both"/>
              <w:rPr>
                <w:color w:val="000000" w:themeColor="text1"/>
              </w:rPr>
            </w:pPr>
            <w:r w:rsidRPr="007F179B">
              <w:rPr>
                <w:color w:val="000000" w:themeColor="text1"/>
              </w:rPr>
              <w:t>1.</w:t>
            </w:r>
            <w:r w:rsidRPr="007F179B">
              <w:rPr>
                <w:color w:val="000000" w:themeColor="text1"/>
              </w:rPr>
              <w:tab/>
              <w:t>Pamatojoties uz Meža likuma 44. panta ceturtās daļas 2. punkta "c" apakšpunktu, Publiskas personas mantas atsavināšanas likuma 42. panta pirmo daļu un 43. pantu, atļaut Zemkopības ministrijai nodot bez atlīdzības Madonas novada pašvaldības īpašumā šādus valsts nekustamos īpašumus Lazdonas pagastā, Madonas novadā, lai saskaņā ar likuma "Par pašvaldībām" 15. panta pirmo daļu tos izmantotu pašvaldības autonomās funkcijas īstenošanai – teritorijas labiekārtošanai (parka ierīkošanai un uzturēšanai):</w:t>
            </w:r>
          </w:p>
          <w:p w14:paraId="27B68D7E" w14:textId="77777777" w:rsidR="007F179B" w:rsidRPr="007F179B" w:rsidRDefault="007F179B" w:rsidP="007F179B">
            <w:pPr>
              <w:jc w:val="both"/>
              <w:rPr>
                <w:color w:val="000000" w:themeColor="text1"/>
              </w:rPr>
            </w:pPr>
            <w:r w:rsidRPr="007F179B">
              <w:rPr>
                <w:color w:val="000000" w:themeColor="text1"/>
              </w:rPr>
              <w:t>1.1.</w:t>
            </w:r>
            <w:r w:rsidRPr="007F179B">
              <w:rPr>
                <w:color w:val="000000" w:themeColor="text1"/>
              </w:rPr>
              <w:tab/>
              <w:t xml:space="preserve">nekustamo īpašumu "Karjera parks" (nekustamā īpašuma kadastra Nr. 7066 002 0210) – valsts meža zemi – </w:t>
            </w:r>
            <w:r w:rsidRPr="007F179B">
              <w:rPr>
                <w:color w:val="000000" w:themeColor="text1"/>
              </w:rPr>
              <w:lastRenderedPageBreak/>
              <w:t>zemes vienību (zemes vienības kadastra apzīmējums 7066 002 0206) 7,93 ha platībā;</w:t>
            </w:r>
          </w:p>
          <w:p w14:paraId="21FB6F6C" w14:textId="215EDFB6" w:rsidR="00FE09FF" w:rsidRPr="008A0212" w:rsidRDefault="007F179B" w:rsidP="007F179B">
            <w:pPr>
              <w:jc w:val="both"/>
              <w:rPr>
                <w:color w:val="000000" w:themeColor="text1"/>
              </w:rPr>
            </w:pPr>
            <w:r w:rsidRPr="007F179B">
              <w:rPr>
                <w:color w:val="000000" w:themeColor="text1"/>
              </w:rPr>
              <w:t>1.2.</w:t>
            </w:r>
            <w:r w:rsidRPr="007F179B">
              <w:rPr>
                <w:color w:val="000000" w:themeColor="text1"/>
              </w:rPr>
              <w:tab/>
              <w:t xml:space="preserve">nekustamo īpašumu "Karjera </w:t>
            </w:r>
            <w:proofErr w:type="spellStart"/>
            <w:r w:rsidRPr="007F179B">
              <w:rPr>
                <w:color w:val="000000" w:themeColor="text1"/>
              </w:rPr>
              <w:t>Sauleskrasti</w:t>
            </w:r>
            <w:proofErr w:type="spellEnd"/>
            <w:r w:rsidRPr="007F179B">
              <w:rPr>
                <w:color w:val="000000" w:themeColor="text1"/>
              </w:rPr>
              <w:t>" (nekustamā īpašuma kadastra Nr. 7066 002 0211) – valsts meža zemi – zemes vienību (zemes vienības kadastra apzīmējums 7066 002 0059) 5,45 ha platībā, zemes vienību (zemes vienības kadastra apzīmējums 7066 002 0060) 0,49 ha platībā, zemes vienību (zemes vienības kadastra apzīmējums 7066 002 0061) 26,32 ha platībā un zemes vienību (zemes vienības kadastra apzīmējums 7066 002 0062) 0,96 ha platībā (turpmāk – nekustamie īpašumi).</w:t>
            </w:r>
          </w:p>
        </w:tc>
        <w:tc>
          <w:tcPr>
            <w:tcW w:w="1231" w:type="pct"/>
            <w:tcBorders>
              <w:top w:val="single" w:sz="6" w:space="0" w:color="000000"/>
              <w:left w:val="single" w:sz="4" w:space="0" w:color="auto"/>
              <w:bottom w:val="single" w:sz="6" w:space="0" w:color="000000"/>
              <w:right w:val="single" w:sz="4" w:space="0" w:color="auto"/>
            </w:tcBorders>
          </w:tcPr>
          <w:p w14:paraId="47014E47" w14:textId="77777777" w:rsidR="007F179B" w:rsidRPr="007F179B" w:rsidRDefault="007F179B" w:rsidP="007F179B">
            <w:pPr>
              <w:widowControl w:val="0"/>
              <w:numPr>
                <w:ilvl w:val="0"/>
                <w:numId w:val="31"/>
              </w:numPr>
              <w:ind w:left="0" w:firstLine="217"/>
              <w:contextualSpacing/>
              <w:jc w:val="both"/>
              <w:rPr>
                <w:color w:val="000000" w:themeColor="text1"/>
              </w:rPr>
            </w:pPr>
            <w:r w:rsidRPr="007F179B">
              <w:rPr>
                <w:color w:val="000000" w:themeColor="text1"/>
              </w:rPr>
              <w:lastRenderedPageBreak/>
              <w:t>Saskaņā ar rīkojuma projekta 1.punktu Zemkopības ministrijai paredzēts atļaut nekustamos īpašumus nodot bez atlīdzības Madonas novada pašvaldības īpašumā cita starpā pamatojoties uz Meža likuma 44.panta ceturtās daļas 2.punkta “c” apakšpunktu.</w:t>
            </w:r>
          </w:p>
          <w:p w14:paraId="1824CB18" w14:textId="77777777" w:rsidR="007F179B" w:rsidRPr="007F179B" w:rsidRDefault="007F179B" w:rsidP="007F179B">
            <w:pPr>
              <w:widowControl w:val="0"/>
              <w:ind w:firstLine="720"/>
              <w:contextualSpacing/>
              <w:jc w:val="both"/>
              <w:rPr>
                <w:color w:val="000000" w:themeColor="text1"/>
              </w:rPr>
            </w:pPr>
            <w:r w:rsidRPr="007F179B">
              <w:rPr>
                <w:color w:val="000000" w:themeColor="text1"/>
              </w:rPr>
              <w:t xml:space="preserve">Meža likuma 44.panta ceturtās daļas 2.punkts noteic, ka zemesgrāmatā ierakstītās valsts meža zemes atsavināšanu vai privatizāciju var atļaut ar ikreizēju Ministru kabineta rīkojumu, ja valsts meža zeme nepieciešama likumā “Par pašvaldībām” noteikto pašvaldības autonomo funkciju veikšanai, tai skaitā Meža likuma 44.panta ceturtās daļas 2.punkta “c” apakšpunktā minētās </w:t>
            </w:r>
            <w:r w:rsidRPr="007F179B">
              <w:rPr>
                <w:color w:val="000000" w:themeColor="text1"/>
                <w:u w:val="single"/>
              </w:rPr>
              <w:t>parku ierīkošanas un uzturēšanas</w:t>
            </w:r>
            <w:r w:rsidRPr="007F179B">
              <w:rPr>
                <w:color w:val="000000" w:themeColor="text1"/>
              </w:rPr>
              <w:t xml:space="preserve"> funkcijas veikšanai.</w:t>
            </w:r>
          </w:p>
          <w:p w14:paraId="56900E44" w14:textId="77777777" w:rsidR="007F179B" w:rsidRPr="007F179B" w:rsidRDefault="007F179B" w:rsidP="007F179B">
            <w:pPr>
              <w:widowControl w:val="0"/>
              <w:ind w:firstLine="720"/>
              <w:contextualSpacing/>
              <w:jc w:val="both"/>
              <w:rPr>
                <w:color w:val="000000" w:themeColor="text1"/>
              </w:rPr>
            </w:pPr>
            <w:r w:rsidRPr="007F179B">
              <w:rPr>
                <w:color w:val="000000" w:themeColor="text1"/>
              </w:rPr>
              <w:lastRenderedPageBreak/>
              <w:t xml:space="preserve">Meža likuma 44.panta ceturtās daļas 2.punkta “c” apakšpunktā minētā funkcija ir ietverta likuma “Par pašvaldībām” 15.panta pirmās daļas 2.punktā noteiktajā pašvaldības autonomajā funkcijā gādāt par savas administratīvās teritorijas labiekārtošanu un sanitāro tīrību (ielu, ceļu un laukumu būvniecība, rekonstruēšana un uzturēšana; ielu, laukumu un citu publiskai lietošanai paredzēto teritoriju apgaismošana; </w:t>
            </w:r>
            <w:r w:rsidRPr="007F179B">
              <w:rPr>
                <w:color w:val="000000" w:themeColor="text1"/>
                <w:u w:val="single"/>
              </w:rPr>
              <w:t>parku, skvēru un zaļo zonu ierīkošana un uzturēšana</w:t>
            </w:r>
            <w:r w:rsidRPr="007F179B">
              <w:rPr>
                <w:color w:val="000000" w:themeColor="text1"/>
              </w:rPr>
              <w:t>; atkritumu savākšanas un izvešanas kontrole; pretplūdu pasākumi; kapsētu un beigto dzīvnieku apbedīšanas vietu izveidošana un uzturēšana).</w:t>
            </w:r>
          </w:p>
          <w:p w14:paraId="3D547559" w14:textId="7B06B590" w:rsidR="00FE09FF" w:rsidRPr="008A0212" w:rsidRDefault="007F179B" w:rsidP="007F179B">
            <w:pPr>
              <w:widowControl w:val="0"/>
              <w:ind w:firstLine="720"/>
              <w:contextualSpacing/>
              <w:jc w:val="both"/>
              <w:rPr>
                <w:color w:val="000000" w:themeColor="text1"/>
              </w:rPr>
            </w:pPr>
            <w:r w:rsidRPr="007F179B">
              <w:rPr>
                <w:color w:val="000000" w:themeColor="text1"/>
              </w:rPr>
              <w:t>Ņemot vērā minēto un ievērojot vienotu praksi līdzīgu Ministru kabineta rīkojumu pieņemšanā, lūdzam rīkojuma projekta 1.punktā iekļaut atsauci uz likuma “Par pašvaldībām” 15.panta pirmās daļas 2.punktu</w:t>
            </w:r>
            <w:r>
              <w:rPr>
                <w:color w:val="000000" w:themeColor="text1"/>
              </w:rPr>
              <w:t>.</w:t>
            </w:r>
          </w:p>
        </w:tc>
        <w:tc>
          <w:tcPr>
            <w:tcW w:w="996" w:type="pct"/>
            <w:tcBorders>
              <w:top w:val="single" w:sz="6" w:space="0" w:color="000000"/>
              <w:left w:val="single" w:sz="4" w:space="0" w:color="auto"/>
              <w:bottom w:val="single" w:sz="6" w:space="0" w:color="000000"/>
              <w:right w:val="single" w:sz="4" w:space="0" w:color="auto"/>
            </w:tcBorders>
          </w:tcPr>
          <w:p w14:paraId="0E58CA62" w14:textId="77777777" w:rsidR="007F179B" w:rsidRPr="007F179B" w:rsidRDefault="007F179B" w:rsidP="00165433">
            <w:pPr>
              <w:jc w:val="both"/>
              <w:rPr>
                <w:b/>
                <w:bCs/>
                <w:color w:val="000000" w:themeColor="text1"/>
              </w:rPr>
            </w:pPr>
            <w:r w:rsidRPr="007F179B">
              <w:rPr>
                <w:b/>
                <w:bCs/>
                <w:color w:val="000000" w:themeColor="text1"/>
              </w:rPr>
              <w:lastRenderedPageBreak/>
              <w:t>Ņemts vērā.</w:t>
            </w:r>
          </w:p>
          <w:p w14:paraId="6D264AF7" w14:textId="472ABA09" w:rsidR="00523B3D" w:rsidRPr="00165433" w:rsidRDefault="007F179B" w:rsidP="00165433">
            <w:pPr>
              <w:jc w:val="both"/>
              <w:rPr>
                <w:color w:val="000000" w:themeColor="text1"/>
              </w:rPr>
            </w:pPr>
            <w:r>
              <w:rPr>
                <w:color w:val="000000" w:themeColor="text1"/>
              </w:rPr>
              <w:t xml:space="preserve">Rīkojuma projekta 1.punkts papildināts ar atsauci uz likuma “Par pašvaldībām” 15. panta pirmās daļas 2. punktu. </w:t>
            </w:r>
          </w:p>
        </w:tc>
        <w:tc>
          <w:tcPr>
            <w:tcW w:w="1348" w:type="pct"/>
            <w:tcBorders>
              <w:top w:val="single" w:sz="6" w:space="0" w:color="000000"/>
              <w:left w:val="single" w:sz="4" w:space="0" w:color="auto"/>
              <w:bottom w:val="single" w:sz="6" w:space="0" w:color="000000"/>
              <w:right w:val="single" w:sz="4" w:space="0" w:color="auto"/>
            </w:tcBorders>
          </w:tcPr>
          <w:p w14:paraId="6A8858BB" w14:textId="77777777" w:rsidR="007F179B" w:rsidRPr="007F179B" w:rsidRDefault="007F179B" w:rsidP="007F179B">
            <w:pPr>
              <w:jc w:val="both"/>
              <w:rPr>
                <w:color w:val="000000" w:themeColor="text1"/>
              </w:rPr>
            </w:pPr>
            <w:r w:rsidRPr="007F179B">
              <w:rPr>
                <w:color w:val="000000" w:themeColor="text1"/>
              </w:rPr>
              <w:t>1.</w:t>
            </w:r>
            <w:r w:rsidRPr="007F179B">
              <w:rPr>
                <w:color w:val="000000" w:themeColor="text1"/>
              </w:rPr>
              <w:tab/>
              <w:t>Pamatojoties uz Meža likuma 44. panta ceturtās daļas 2. punkta "c" apakšpunktu, Publiskas personas mantas atsavināšanas likuma 42. panta pirmo daļu un 43. pantu, atļaut Zemkopības ministrijai nodot bez atlīdzības Madonas novada pašvaldības īpašumā šādus valsts nekustamos īpašumus Lazdonas pagastā, Madonas novadā, lai saskaņā ar likuma "Par pašvaldībām"</w:t>
            </w:r>
            <w:r w:rsidRPr="007F179B">
              <w:rPr>
                <w:color w:val="000000" w:themeColor="text1"/>
                <w:u w:val="single"/>
              </w:rPr>
              <w:t xml:space="preserve"> 15. panta pirmās daļas 2. punktu</w:t>
            </w:r>
            <w:r w:rsidRPr="007F179B">
              <w:rPr>
                <w:color w:val="000000" w:themeColor="text1"/>
              </w:rPr>
              <w:t xml:space="preserve"> tos izmantotu pašvaldības autonomās funkcijas īstenošanai – teritorijas labiekārtošanai (parka ierīkošanai un uzturēšanai):</w:t>
            </w:r>
          </w:p>
          <w:p w14:paraId="0BC0EFD4" w14:textId="77777777" w:rsidR="007F179B" w:rsidRPr="007F179B" w:rsidRDefault="007F179B" w:rsidP="007F179B">
            <w:pPr>
              <w:jc w:val="both"/>
              <w:rPr>
                <w:color w:val="000000" w:themeColor="text1"/>
              </w:rPr>
            </w:pPr>
            <w:r w:rsidRPr="007F179B">
              <w:rPr>
                <w:color w:val="000000" w:themeColor="text1"/>
              </w:rPr>
              <w:t>1.1.</w:t>
            </w:r>
            <w:r w:rsidRPr="007F179B">
              <w:rPr>
                <w:color w:val="000000" w:themeColor="text1"/>
              </w:rPr>
              <w:tab/>
              <w:t>nekustamo īpašumu "Karjera parks" (nekustamā īpašuma kadastra Nr. 7066 002 0210) – valsts meža zemi – zemes vienību (zemes vienības kadastra apzīmējums 7066 002 0206) 7,93 ha platībā;</w:t>
            </w:r>
          </w:p>
          <w:p w14:paraId="02FADEEA" w14:textId="03BD4F18" w:rsidR="00BA0E9A" w:rsidRPr="00523B3D" w:rsidRDefault="007F179B" w:rsidP="007F179B">
            <w:pPr>
              <w:jc w:val="both"/>
              <w:rPr>
                <w:color w:val="000000" w:themeColor="text1"/>
              </w:rPr>
            </w:pPr>
            <w:r w:rsidRPr="007F179B">
              <w:rPr>
                <w:color w:val="000000" w:themeColor="text1"/>
              </w:rPr>
              <w:lastRenderedPageBreak/>
              <w:t>1.2.</w:t>
            </w:r>
            <w:r w:rsidRPr="007F179B">
              <w:rPr>
                <w:color w:val="000000" w:themeColor="text1"/>
              </w:rPr>
              <w:tab/>
              <w:t xml:space="preserve">nekustamo īpašumu "Karjera </w:t>
            </w:r>
            <w:proofErr w:type="spellStart"/>
            <w:r w:rsidRPr="007F179B">
              <w:rPr>
                <w:color w:val="000000" w:themeColor="text1"/>
              </w:rPr>
              <w:t>Sauleskrasti</w:t>
            </w:r>
            <w:proofErr w:type="spellEnd"/>
            <w:r w:rsidRPr="007F179B">
              <w:rPr>
                <w:color w:val="000000" w:themeColor="text1"/>
              </w:rPr>
              <w:t>" (nekustamā īpašuma kadastra Nr. 7066 002 0211) – valsts meža zemi – zemes vienību (zemes vienības kadastra apzīmējums 7066 002 0059) 5,45 ha platībā, zemes vienību (zemes vienības kadastra apzīmējums 7066 002 0060) 0,49 ha platībā, zemes vienību (zemes vienības kadastra apzīmējums 7066 002 0061) 26,32 ha platībā un zemes vienību (zemes vienības kadastra apzīmējums 7066 002 0062) 0,96 ha platībā (turpmāk – nekustamie īpašumi).</w:t>
            </w:r>
          </w:p>
        </w:tc>
      </w:tr>
      <w:tr w:rsidR="00A67381" w:rsidRPr="008A0212" w14:paraId="090EC947" w14:textId="77777777" w:rsidTr="00AB4A9C">
        <w:tc>
          <w:tcPr>
            <w:tcW w:w="319" w:type="pct"/>
            <w:tcBorders>
              <w:top w:val="single" w:sz="6" w:space="0" w:color="000000"/>
              <w:left w:val="single" w:sz="6" w:space="0" w:color="000000"/>
              <w:bottom w:val="single" w:sz="6" w:space="0" w:color="000000"/>
              <w:right w:val="single" w:sz="4" w:space="0" w:color="auto"/>
            </w:tcBorders>
          </w:tcPr>
          <w:p w14:paraId="68A36411" w14:textId="77777777" w:rsidR="00581072" w:rsidRPr="000E4DE2" w:rsidRDefault="00581072" w:rsidP="00D5045D">
            <w:pPr>
              <w:pStyle w:val="Sarakstarindkopa"/>
              <w:numPr>
                <w:ilvl w:val="0"/>
                <w:numId w:val="27"/>
              </w:numPr>
              <w:ind w:left="357" w:hanging="357"/>
              <w:rPr>
                <w:color w:val="000000" w:themeColor="text1"/>
              </w:rPr>
            </w:pPr>
          </w:p>
        </w:tc>
        <w:tc>
          <w:tcPr>
            <w:tcW w:w="1106" w:type="pct"/>
            <w:tcBorders>
              <w:top w:val="single" w:sz="6" w:space="0" w:color="000000"/>
              <w:left w:val="single" w:sz="4" w:space="0" w:color="auto"/>
              <w:bottom w:val="single" w:sz="6" w:space="0" w:color="000000"/>
              <w:right w:val="single" w:sz="4" w:space="0" w:color="auto"/>
            </w:tcBorders>
          </w:tcPr>
          <w:p w14:paraId="5F42D19E" w14:textId="46C61ADA" w:rsidR="00581072" w:rsidRPr="00FB692E" w:rsidRDefault="00581072" w:rsidP="00FB692E">
            <w:pPr>
              <w:jc w:val="both"/>
              <w:rPr>
                <w:color w:val="000000" w:themeColor="text1"/>
              </w:rPr>
            </w:pPr>
            <w:r>
              <w:rPr>
                <w:color w:val="000000" w:themeColor="text1"/>
              </w:rPr>
              <w:t xml:space="preserve">Anotācijas I sadaļas </w:t>
            </w:r>
            <w:r w:rsidR="00C1398E">
              <w:rPr>
                <w:color w:val="000000" w:themeColor="text1"/>
              </w:rPr>
              <w:t>2</w:t>
            </w:r>
            <w:r>
              <w:rPr>
                <w:color w:val="000000" w:themeColor="text1"/>
              </w:rPr>
              <w:t>. punkts</w:t>
            </w:r>
          </w:p>
        </w:tc>
        <w:tc>
          <w:tcPr>
            <w:tcW w:w="1231" w:type="pct"/>
            <w:tcBorders>
              <w:top w:val="single" w:sz="6" w:space="0" w:color="000000"/>
              <w:left w:val="single" w:sz="4" w:space="0" w:color="auto"/>
              <w:bottom w:val="single" w:sz="6" w:space="0" w:color="000000"/>
              <w:right w:val="single" w:sz="4" w:space="0" w:color="auto"/>
            </w:tcBorders>
          </w:tcPr>
          <w:p w14:paraId="1507FCBC" w14:textId="2AA3A723" w:rsidR="00C1398E" w:rsidRPr="00C1398E" w:rsidRDefault="00C1398E" w:rsidP="00C1398E">
            <w:pPr>
              <w:ind w:firstLine="359"/>
              <w:jc w:val="both"/>
              <w:rPr>
                <w:rFonts w:eastAsia="Calibri"/>
                <w:lang w:eastAsia="en-US"/>
              </w:rPr>
            </w:pPr>
            <w:r>
              <w:rPr>
                <w:rFonts w:eastAsia="Calibri"/>
                <w:lang w:eastAsia="en-US"/>
              </w:rPr>
              <w:t xml:space="preserve">2. </w:t>
            </w:r>
            <w:r w:rsidRPr="00C1398E">
              <w:rPr>
                <w:rFonts w:eastAsia="Calibri"/>
                <w:lang w:eastAsia="en-US"/>
              </w:rPr>
              <w:t xml:space="preserve">Rīkojuma projekta anotācijā norādīts par Madonas novada pašvaldības plānoto, ka atsavināmajā teritorijā ap karjera ūdenskrātuvi paredzēta zona </w:t>
            </w:r>
            <w:r w:rsidRPr="00C1398E">
              <w:rPr>
                <w:rFonts w:eastAsia="Calibri"/>
                <w:lang w:eastAsia="en-US"/>
              </w:rPr>
              <w:lastRenderedPageBreak/>
              <w:t>aktīvajam sportam, ūdenssporta (</w:t>
            </w:r>
            <w:proofErr w:type="spellStart"/>
            <w:r w:rsidRPr="00C1398E">
              <w:rPr>
                <w:rFonts w:eastAsia="Calibri"/>
                <w:lang w:eastAsia="en-US"/>
              </w:rPr>
              <w:t>veikparka</w:t>
            </w:r>
            <w:proofErr w:type="spellEnd"/>
            <w:r w:rsidRPr="00C1398E">
              <w:rPr>
                <w:rFonts w:eastAsia="Calibri"/>
                <w:lang w:eastAsia="en-US"/>
              </w:rPr>
              <w:t xml:space="preserve">) izveidei un uzturēšanai, plānots ierīkot labiekārtotas un drošas peldvietas, nodrošinot ērtu pieeju ūdenim, izveidojot laipas, pludmales zonā plānots izvietot rotaļu laukumu aprīkojumu, āra trenažierus, ierīkot atpūtas vietas ar ugunskura vietām, kā arī plānota zona makšķerēšanai. Pludmales labiekārtojumam paredzēts izvietot atsevišķi stāvošus stendus neatliekamās medicīnas palīdzības un glābšanas aprīkojumam, ģērbtuves, pārvietojamās </w:t>
            </w:r>
            <w:proofErr w:type="spellStart"/>
            <w:r w:rsidRPr="00C1398E">
              <w:rPr>
                <w:rFonts w:eastAsia="Calibri"/>
                <w:lang w:eastAsia="en-US"/>
              </w:rPr>
              <w:t>biotualetes</w:t>
            </w:r>
            <w:proofErr w:type="spellEnd"/>
            <w:r w:rsidRPr="00C1398E">
              <w:rPr>
                <w:rFonts w:eastAsia="Calibri"/>
                <w:lang w:eastAsia="en-US"/>
              </w:rPr>
              <w:t xml:space="preserve"> un atkritumu konteinerus. Ap ūdenskrātuves teritoriju paredzēts ierīkot autostāvvietas, koka gājēju celiņus, sakopt ūdenskrātuves teritoriju un karjera izstrādes laikā izveidojušos salu. Vienlaikus rīkojuma projekta anotācijā ir minēts, ka daļa zemes iznomātas biedrībai “Par aktīvu dzīvesveidu”, lai teritorijas uzturētu rekreācijas vajadzībām, paredzot lineārās </w:t>
            </w:r>
            <w:proofErr w:type="spellStart"/>
            <w:r w:rsidRPr="00C1398E">
              <w:rPr>
                <w:rFonts w:eastAsia="Calibri"/>
                <w:lang w:eastAsia="en-US"/>
              </w:rPr>
              <w:t>veikborda</w:t>
            </w:r>
            <w:proofErr w:type="spellEnd"/>
            <w:r w:rsidRPr="00C1398E">
              <w:rPr>
                <w:rFonts w:eastAsia="Calibri"/>
                <w:lang w:eastAsia="en-US"/>
              </w:rPr>
              <w:t xml:space="preserve"> kabeļu sistēmas izveidošanu un ekspluatāciju un valsts meža zemes atsavināšanas gadījumā tiek </w:t>
            </w:r>
            <w:r w:rsidRPr="00C1398E">
              <w:rPr>
                <w:rFonts w:eastAsia="Calibri"/>
                <w:lang w:eastAsia="en-US"/>
              </w:rPr>
              <w:lastRenderedPageBreak/>
              <w:t>izvirzīts nosacījums zemes nomas līguma pārjaunošanai, Madonas novada pašvaldībai stājoties akciju sabiedrības “Latvijas valsts meži” vietā.</w:t>
            </w:r>
          </w:p>
          <w:p w14:paraId="6E776BC5" w14:textId="77777777" w:rsidR="00C1398E" w:rsidRPr="00C1398E" w:rsidRDefault="00C1398E" w:rsidP="00C1398E">
            <w:pPr>
              <w:ind w:firstLine="501"/>
              <w:jc w:val="both"/>
              <w:rPr>
                <w:rFonts w:eastAsia="Calibri"/>
                <w:lang w:eastAsia="en-US"/>
              </w:rPr>
            </w:pPr>
            <w:r w:rsidRPr="00C1398E">
              <w:rPr>
                <w:rFonts w:eastAsia="Calibri"/>
                <w:lang w:eastAsia="en-US"/>
              </w:rPr>
              <w:t>Saskaņā ar Publiskas personas mantas atsavināšanas likuma 42.panta 2.</w:t>
            </w:r>
            <w:r w:rsidRPr="00C1398E">
              <w:rPr>
                <w:rFonts w:eastAsia="Calibri"/>
                <w:vertAlign w:val="superscript"/>
                <w:lang w:eastAsia="en-US"/>
              </w:rPr>
              <w:t>5</w:t>
            </w:r>
            <w:r w:rsidRPr="00C1398E">
              <w:rPr>
                <w:rFonts w:eastAsia="Calibri"/>
                <w:lang w:eastAsia="en-US"/>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21707464" w14:textId="475EC8BD" w:rsidR="00581072" w:rsidRPr="00581072" w:rsidRDefault="00C1398E" w:rsidP="00C1398E">
            <w:pPr>
              <w:ind w:firstLine="501"/>
              <w:jc w:val="both"/>
              <w:rPr>
                <w:rFonts w:eastAsia="Calibri"/>
                <w:lang w:eastAsia="en-US"/>
              </w:rPr>
            </w:pPr>
            <w:r w:rsidRPr="00C1398E">
              <w:rPr>
                <w:rFonts w:eastAsia="Calibri"/>
                <w:lang w:eastAsia="en-US"/>
              </w:rPr>
              <w:t xml:space="preserve">Ņemot vērā, ka nododot īpašumu pašvaldībai, tai ir tiesības izmantot nekustamo īpašumu papildinošu saimniecisku darbību veikšanai, lūdzam ar atbilstošu informāciju papildināt rīkojuma projekta anotāciju, tai skaitā aprakstot kā un kas nodrošinās papildinošas saimnieciskas darbības apmēra nosacījuma </w:t>
            </w:r>
            <w:r w:rsidRPr="00C1398E">
              <w:rPr>
                <w:rFonts w:eastAsia="Calibri"/>
                <w:lang w:eastAsia="en-US"/>
              </w:rPr>
              <w:lastRenderedPageBreak/>
              <w:t>uzraudzību. Vienlaikus lūdzam anotācijā iekļaut arī informāciju, ka visa teritorija būs pieejama jebkuram interesentam bez maksas.</w:t>
            </w:r>
          </w:p>
        </w:tc>
        <w:tc>
          <w:tcPr>
            <w:tcW w:w="996" w:type="pct"/>
            <w:tcBorders>
              <w:top w:val="single" w:sz="6" w:space="0" w:color="000000"/>
              <w:left w:val="single" w:sz="4" w:space="0" w:color="auto"/>
              <w:bottom w:val="single" w:sz="6" w:space="0" w:color="000000"/>
              <w:right w:val="single" w:sz="4" w:space="0" w:color="auto"/>
            </w:tcBorders>
          </w:tcPr>
          <w:p w14:paraId="7EC21ED3" w14:textId="52E5119D" w:rsidR="00581072" w:rsidRDefault="00581072" w:rsidP="00165433">
            <w:pPr>
              <w:jc w:val="both"/>
              <w:rPr>
                <w:b/>
                <w:color w:val="000000" w:themeColor="text1"/>
              </w:rPr>
            </w:pPr>
            <w:r>
              <w:rPr>
                <w:b/>
                <w:color w:val="000000" w:themeColor="text1"/>
              </w:rPr>
              <w:lastRenderedPageBreak/>
              <w:t>Ņemts vērā.</w:t>
            </w:r>
          </w:p>
          <w:p w14:paraId="722DD992" w14:textId="065F9663" w:rsidR="00581072" w:rsidRPr="00581072" w:rsidRDefault="00581072" w:rsidP="00165433">
            <w:pPr>
              <w:jc w:val="both"/>
              <w:rPr>
                <w:bCs/>
                <w:color w:val="000000" w:themeColor="text1"/>
              </w:rPr>
            </w:pPr>
            <w:r>
              <w:rPr>
                <w:bCs/>
                <w:color w:val="000000" w:themeColor="text1"/>
              </w:rPr>
              <w:t xml:space="preserve">Anotācijas I sadaļas </w:t>
            </w:r>
            <w:r w:rsidR="00C1398E">
              <w:rPr>
                <w:bCs/>
                <w:color w:val="000000" w:themeColor="text1"/>
              </w:rPr>
              <w:t>2</w:t>
            </w:r>
            <w:r>
              <w:rPr>
                <w:bCs/>
                <w:color w:val="000000" w:themeColor="text1"/>
              </w:rPr>
              <w:t>.punkts attiecīgi papildināts</w:t>
            </w:r>
            <w:r w:rsidR="00C1398E">
              <w:rPr>
                <w:bCs/>
                <w:color w:val="000000" w:themeColor="text1"/>
              </w:rPr>
              <w:t xml:space="preserve"> ar informāciju par papildinošu </w:t>
            </w:r>
            <w:r w:rsidR="00C1398E">
              <w:rPr>
                <w:bCs/>
                <w:color w:val="000000" w:themeColor="text1"/>
              </w:rPr>
              <w:lastRenderedPageBreak/>
              <w:t>saimniecisku darbību veikšanu</w:t>
            </w:r>
            <w:r>
              <w:rPr>
                <w:bCs/>
                <w:color w:val="000000" w:themeColor="text1"/>
              </w:rPr>
              <w:t>.</w:t>
            </w:r>
          </w:p>
        </w:tc>
        <w:tc>
          <w:tcPr>
            <w:tcW w:w="1348" w:type="pct"/>
            <w:tcBorders>
              <w:top w:val="single" w:sz="6" w:space="0" w:color="000000"/>
              <w:left w:val="single" w:sz="4" w:space="0" w:color="auto"/>
              <w:bottom w:val="single" w:sz="6" w:space="0" w:color="000000"/>
              <w:right w:val="single" w:sz="4" w:space="0" w:color="auto"/>
            </w:tcBorders>
          </w:tcPr>
          <w:p w14:paraId="5633B20D" w14:textId="4EF1FEF4" w:rsidR="00581072" w:rsidRDefault="00C1398E" w:rsidP="00C1398E">
            <w:pPr>
              <w:spacing w:after="160" w:line="252" w:lineRule="auto"/>
              <w:contextualSpacing/>
              <w:jc w:val="both"/>
              <w:rPr>
                <w:color w:val="000000" w:themeColor="text1"/>
              </w:rPr>
            </w:pPr>
            <w:r>
              <w:rPr>
                <w:color w:val="000000" w:themeColor="text1"/>
              </w:rPr>
              <w:lastRenderedPageBreak/>
              <w:t>Skatīt anotācijas I sadaļas 2. punktu (4.-5. lpp.), kas papildināts ar šādu informāciju.</w:t>
            </w:r>
          </w:p>
          <w:p w14:paraId="6228BDC6" w14:textId="77777777" w:rsidR="00C1398E" w:rsidRPr="00C1398E" w:rsidRDefault="00C1398E" w:rsidP="00C1398E">
            <w:pPr>
              <w:pStyle w:val="Pamatteksts"/>
              <w:spacing w:after="0"/>
              <w:ind w:left="54" w:right="57" w:firstLine="567"/>
              <w:jc w:val="both"/>
              <w:rPr>
                <w:color w:val="000000"/>
              </w:rPr>
            </w:pPr>
            <w:r w:rsidRPr="00C1398E">
              <w:rPr>
                <w:color w:val="000000"/>
              </w:rPr>
              <w:lastRenderedPageBreak/>
              <w:t>Publiskas personas mantas atsavināšanas likuma 42.panta 2.</w:t>
            </w:r>
            <w:r w:rsidRPr="00C1398E">
              <w:rPr>
                <w:color w:val="000000"/>
                <w:vertAlign w:val="superscript"/>
              </w:rPr>
              <w:t>5</w:t>
            </w:r>
            <w:r w:rsidRPr="00C1398E">
              <w:rPr>
                <w:color w:val="000000"/>
              </w:rPr>
              <w:t xml:space="preserve"> daļa nosaka, ka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 </w:t>
            </w:r>
          </w:p>
          <w:p w14:paraId="5005392F" w14:textId="77777777" w:rsidR="00C1398E" w:rsidRPr="00C1398E" w:rsidRDefault="00C1398E" w:rsidP="00C1398E">
            <w:pPr>
              <w:pStyle w:val="Pamatteksts"/>
              <w:spacing w:after="0"/>
              <w:ind w:left="54" w:right="57" w:firstLine="567"/>
              <w:jc w:val="both"/>
              <w:rPr>
                <w:color w:val="000000"/>
              </w:rPr>
            </w:pPr>
            <w:r w:rsidRPr="00C1398E">
              <w:rPr>
                <w:color w:val="000000"/>
              </w:rPr>
              <w:t xml:space="preserve">Lēmumā Nr.300 </w:t>
            </w:r>
            <w:r w:rsidRPr="00C1398E">
              <w:t xml:space="preserve">Madonas novada pašvaldība norādīja, ka nekustamie īpašumi nepieciešami pašvaldības autonomās funkcijas veikšanai, kas noteikta likuma “Par pašvaldībām” 15. panta pirmās daļas 2. punktā - gādāt par savas administratīvās teritorijas labiekārtošanu un sanitāro tīrību (parku, skvēru un zaļo zonu ierīkošanai un uzturēšanai). Līdz ar to, pārņemot nekustamos īpašumus, Madonas novada pašvaldībai ir tiesības tos izmantot papildinošu saimniecisku darbību veikšanai, bet papildinošās </w:t>
            </w:r>
            <w:r w:rsidRPr="00C1398E">
              <w:rPr>
                <w:color w:val="000000"/>
              </w:rPr>
              <w:t xml:space="preserve">saimnieciskās darbības apjomam ir jāpaliek ierobežotam </w:t>
            </w:r>
            <w:r w:rsidRPr="00C1398E">
              <w:rPr>
                <w:color w:val="000000"/>
              </w:rPr>
              <w:lastRenderedPageBreak/>
              <w:t>platības, laika vai finanšu izteiksmē (šai darbībai ik gadu atvēlētā jauda nedrīkst nepārsniegt 20% no kopējās gada jaudas).</w:t>
            </w:r>
          </w:p>
          <w:p w14:paraId="736F9B42" w14:textId="77777777" w:rsidR="00C1398E" w:rsidRPr="00C1398E" w:rsidRDefault="00C1398E" w:rsidP="00D724C1">
            <w:pPr>
              <w:pStyle w:val="Pamatteksts"/>
              <w:spacing w:after="0"/>
              <w:ind w:left="57" w:right="57" w:firstLine="567"/>
              <w:jc w:val="both"/>
              <w:rPr>
                <w:color w:val="000000"/>
              </w:rPr>
            </w:pPr>
            <w:r w:rsidRPr="00C1398E">
              <w:t xml:space="preserve">Labiekārtotā teritorija būs </w:t>
            </w:r>
            <w:r w:rsidRPr="00C1398E">
              <w:rPr>
                <w:color w:val="000000"/>
              </w:rPr>
              <w:t>publiski pieejama ikvienam interesentam bez maksas un pašvaldības līgumattiecības ar biedrību “Par aktīvu dzīvesveidu”, tai īstenojot Lauku atbalsta dienesta apstiprināto projektu “</w:t>
            </w:r>
            <w:proofErr w:type="spellStart"/>
            <w:r w:rsidRPr="00C1398E">
              <w:rPr>
                <w:color w:val="000000"/>
              </w:rPr>
              <w:t>Veikparka</w:t>
            </w:r>
            <w:proofErr w:type="spellEnd"/>
            <w:r w:rsidRPr="00C1398E">
              <w:rPr>
                <w:color w:val="000000"/>
              </w:rPr>
              <w:t xml:space="preserve"> izveide Madonā”, kvalificējama kā pašvaldības papildinoša saimnieciska darbība, līdz ar to, pārņemot nekustamos īpašumus Madonas novada pašvaldības īpašumā, komercdarbības atbalsta nosacījumi nav jāpiemēro.</w:t>
            </w:r>
          </w:p>
          <w:p w14:paraId="6400AD8C" w14:textId="380A2EAD" w:rsidR="00AB4A9C" w:rsidRPr="00581072" w:rsidRDefault="00C1398E" w:rsidP="00D724C1">
            <w:pPr>
              <w:pStyle w:val="Pamatteksts"/>
              <w:spacing w:after="0"/>
              <w:ind w:left="57" w:right="57" w:firstLine="567"/>
              <w:jc w:val="both"/>
              <w:rPr>
                <w:color w:val="000000" w:themeColor="text1"/>
              </w:rPr>
            </w:pPr>
            <w:r w:rsidRPr="00C1398E">
              <w:rPr>
                <w:color w:val="000000"/>
              </w:rPr>
              <w:t xml:space="preserve">Likuma “Par pašvaldībām” 5. pants nosaka, ka pašvaldības savas kompetences un likuma ietvaros darbojas patstāvīgi un pašvaldību darbību likuma ietvaros pārrauga Vides aizsardzības un reģionālās attīstības ministrija. Saskaņā ar šī likuma 7. pantu, 15. pantā noteiktās pašvaldību autonomās funkcijas pildāmas kārtībā, kāda paredzēta attiecīgajos likumos un Ministru kabineta noteikumos. Likuma 15. pantā paredzēto autonomo funkciju izpildi organizē un par to atbild </w:t>
            </w:r>
            <w:r w:rsidRPr="00C1398E">
              <w:rPr>
                <w:color w:val="000000"/>
              </w:rPr>
              <w:lastRenderedPageBreak/>
              <w:t>pašvaldības. Atbilstoši likumam, par to, kādā veidā pašvaldība organizē pašvaldības autonomo funkciju izpildi, ir atbildīga pašvaldība.</w:t>
            </w:r>
          </w:p>
        </w:tc>
      </w:tr>
      <w:tr w:rsidR="009A5B72" w:rsidRPr="008A0212" w14:paraId="5D116CCB" w14:textId="77777777" w:rsidTr="00AB4A9C">
        <w:tc>
          <w:tcPr>
            <w:tcW w:w="5000" w:type="pct"/>
            <w:gridSpan w:val="5"/>
            <w:tcBorders>
              <w:top w:val="single" w:sz="6" w:space="0" w:color="000000"/>
              <w:left w:val="single" w:sz="6" w:space="0" w:color="000000"/>
              <w:bottom w:val="single" w:sz="6" w:space="0" w:color="000000"/>
              <w:right w:val="single" w:sz="4" w:space="0" w:color="auto"/>
            </w:tcBorders>
          </w:tcPr>
          <w:p w14:paraId="684FEBAE" w14:textId="7B8556F0" w:rsidR="009A5B72" w:rsidRPr="009A5B72" w:rsidRDefault="009A5B72" w:rsidP="009A5B72">
            <w:pPr>
              <w:spacing w:after="160" w:line="252" w:lineRule="auto"/>
              <w:contextualSpacing/>
              <w:jc w:val="center"/>
              <w:rPr>
                <w:b/>
                <w:bCs/>
                <w:szCs w:val="20"/>
                <w:lang w:eastAsia="en-US"/>
              </w:rPr>
            </w:pPr>
            <w:r w:rsidRPr="009A5B72">
              <w:rPr>
                <w:b/>
                <w:bCs/>
                <w:szCs w:val="20"/>
                <w:lang w:eastAsia="en-US"/>
              </w:rPr>
              <w:lastRenderedPageBreak/>
              <w:t>Tieslietu ministrija</w:t>
            </w:r>
          </w:p>
        </w:tc>
      </w:tr>
      <w:tr w:rsidR="00A67381" w:rsidRPr="008A0212" w14:paraId="0A422EE1" w14:textId="77777777" w:rsidTr="00AB4A9C">
        <w:tc>
          <w:tcPr>
            <w:tcW w:w="319" w:type="pct"/>
            <w:tcBorders>
              <w:top w:val="single" w:sz="6" w:space="0" w:color="000000"/>
              <w:left w:val="single" w:sz="6" w:space="0" w:color="000000"/>
              <w:bottom w:val="single" w:sz="6" w:space="0" w:color="000000"/>
              <w:right w:val="single" w:sz="4" w:space="0" w:color="auto"/>
            </w:tcBorders>
          </w:tcPr>
          <w:p w14:paraId="101A55C1" w14:textId="77777777" w:rsidR="009A5B72" w:rsidRPr="000E4DE2" w:rsidRDefault="009A5B72" w:rsidP="00D5045D">
            <w:pPr>
              <w:pStyle w:val="Sarakstarindkopa"/>
              <w:numPr>
                <w:ilvl w:val="0"/>
                <w:numId w:val="27"/>
              </w:numPr>
              <w:ind w:left="357" w:hanging="357"/>
              <w:rPr>
                <w:color w:val="000000" w:themeColor="text1"/>
              </w:rPr>
            </w:pPr>
          </w:p>
        </w:tc>
        <w:tc>
          <w:tcPr>
            <w:tcW w:w="1106" w:type="pct"/>
            <w:tcBorders>
              <w:top w:val="single" w:sz="6" w:space="0" w:color="000000"/>
              <w:left w:val="single" w:sz="4" w:space="0" w:color="auto"/>
              <w:bottom w:val="single" w:sz="6" w:space="0" w:color="000000"/>
              <w:right w:val="single" w:sz="4" w:space="0" w:color="auto"/>
            </w:tcBorders>
          </w:tcPr>
          <w:p w14:paraId="5D5873C6" w14:textId="4DA072A4" w:rsidR="009A5B72" w:rsidRDefault="008D5B9D" w:rsidP="00FB692E">
            <w:pPr>
              <w:jc w:val="both"/>
              <w:rPr>
                <w:color w:val="000000" w:themeColor="text1"/>
              </w:rPr>
            </w:pPr>
            <w:r>
              <w:rPr>
                <w:color w:val="000000" w:themeColor="text1"/>
              </w:rPr>
              <w:t>Anotācijas I sadaļas 2. punkts</w:t>
            </w:r>
          </w:p>
        </w:tc>
        <w:tc>
          <w:tcPr>
            <w:tcW w:w="1231" w:type="pct"/>
            <w:tcBorders>
              <w:top w:val="single" w:sz="6" w:space="0" w:color="000000"/>
              <w:left w:val="single" w:sz="4" w:space="0" w:color="auto"/>
              <w:bottom w:val="single" w:sz="6" w:space="0" w:color="000000"/>
              <w:right w:val="single" w:sz="4" w:space="0" w:color="auto"/>
            </w:tcBorders>
          </w:tcPr>
          <w:p w14:paraId="41E2027A" w14:textId="77777777" w:rsidR="00AB4A9C" w:rsidRPr="00AB4A9C" w:rsidRDefault="00AB4A9C" w:rsidP="00AB4A9C">
            <w:pPr>
              <w:widowControl w:val="0"/>
              <w:ind w:firstLine="621"/>
              <w:jc w:val="both"/>
            </w:pPr>
            <w:r w:rsidRPr="00AB4A9C">
              <w:rPr>
                <w:iCs/>
              </w:rPr>
              <w:t xml:space="preserve">Projekta sākotnējās ietekmes novērtējuma ziņojuma (anotācijas) (turpmāk – anotācija) I sadaļas 2. punkta 7. lapaspusē norādīts, ka </w:t>
            </w:r>
            <w:r w:rsidRPr="00AB4A9C">
              <w:t>Madonas novada pašvaldība pēc Ministru kabineta rīkojuma pieņemšanas un nodošanas un pieņemšanas aktu parakstīšanas pārjaunos ar AS “Latvijas valsts meži” noslēgto zemes nomas līgumu (20.12.2016. Nr.5-7.1_0074_150_16_152), stājoties AS “Latvijas valsts meži” vietā.</w:t>
            </w:r>
          </w:p>
          <w:p w14:paraId="1685CF0D" w14:textId="77777777" w:rsidR="00AB4A9C" w:rsidRPr="00AB4A9C" w:rsidRDefault="00AB4A9C" w:rsidP="00AB4A9C">
            <w:pPr>
              <w:widowControl w:val="0"/>
              <w:ind w:firstLine="621"/>
              <w:jc w:val="both"/>
            </w:pPr>
            <w:r w:rsidRPr="00AB4A9C">
              <w:t xml:space="preserve">No projekta, projektam pievienotajiem paskaidrojošajiem dokumentiem un anotācijā ietvertās informācijas nav saprotams, </w:t>
            </w:r>
            <w:r w:rsidRPr="00AB4A9C">
              <w:rPr>
                <w:u w:val="single"/>
              </w:rPr>
              <w:t>par kāda zemesgabala lietošanu ir noslēgts minētais zemes nomas līgums un kāds ir tiesiskais pamatojums tā pārjaunojumam.</w:t>
            </w:r>
            <w:r w:rsidRPr="00AB4A9C">
              <w:t xml:space="preserve"> Vēršam uzmanību, ka pārjaunojuma sekas saskaņā ar Civillikuma 1869. pantu ir tās, ka agrākais prasījums </w:t>
            </w:r>
            <w:r w:rsidRPr="00AB4A9C">
              <w:lastRenderedPageBreak/>
              <w:t xml:space="preserve">ar visām pie tā piederīgām blakus tiesībām (ķīlu, galvojumu, procentiem, līgumsodu) izbeidzas, it kā tas būtu izpildīts, un tā vietā nodibinās jauns prasījums, uz kuru agrākā prasījuma blakus tiesības neattiecas, ja vien nav tieši norunāts pretējais. Turklāt projekta 1.1. un 1.2. apakšpunktā minētos nekustamos īpašumus paredzēts nodot bez atlīdzības </w:t>
            </w:r>
            <w:r w:rsidRPr="00AB4A9C">
              <w:rPr>
                <w:u w:val="single"/>
              </w:rPr>
              <w:t>Madonas novada pašvaldības īpašumā</w:t>
            </w:r>
            <w:r w:rsidRPr="00AB4A9C">
              <w:t xml:space="preserve"> uz laiku, kamēr Madonas novada pašvaldība tos izmantos pašvaldības autonomās funkcijas īstenošanai – teritorijas labiekārtošanai (parka ierīkošanai un uzturēšanai). Savukārt atbilstoši Civillikuma 2168. panta 3. punktam nomas līgums izbeidzas pats no sevis arī pirms termiņa notecējuma, kad tiesības sakrīt, t.i</w:t>
            </w:r>
            <w:r w:rsidRPr="00AB4A9C">
              <w:rPr>
                <w:u w:val="single"/>
              </w:rPr>
              <w:t>. kad nomnieks vai īrnieks iegūst iznomāto vai izīrēto lietu par īpašumu.</w:t>
            </w:r>
            <w:r w:rsidRPr="00AB4A9C">
              <w:t xml:space="preserve"> Ievērojot minēto, lūdzam projektam pievienot pārjaunojamo zemes nomas līgumu, kā arī anotāciju papildināt ar detalizētu informāciju par pārjaunojamo zemes nomas līgumu un tiesisko pamatojumu tā pārjaunojumam. </w:t>
            </w:r>
          </w:p>
          <w:p w14:paraId="255E68A5" w14:textId="7EFF695A" w:rsidR="009A5B72" w:rsidRPr="00397A56" w:rsidRDefault="009A5B72" w:rsidP="00A67381">
            <w:pPr>
              <w:widowControl w:val="0"/>
              <w:ind w:firstLine="621"/>
              <w:jc w:val="both"/>
            </w:pPr>
          </w:p>
        </w:tc>
        <w:tc>
          <w:tcPr>
            <w:tcW w:w="996" w:type="pct"/>
            <w:tcBorders>
              <w:top w:val="single" w:sz="6" w:space="0" w:color="000000"/>
              <w:left w:val="single" w:sz="4" w:space="0" w:color="auto"/>
              <w:bottom w:val="single" w:sz="6" w:space="0" w:color="000000"/>
              <w:right w:val="single" w:sz="4" w:space="0" w:color="auto"/>
            </w:tcBorders>
          </w:tcPr>
          <w:p w14:paraId="53C81755" w14:textId="5E6B75D3" w:rsidR="009A5B72" w:rsidRDefault="00155FC3" w:rsidP="00397A56">
            <w:pPr>
              <w:jc w:val="both"/>
              <w:rPr>
                <w:b/>
                <w:color w:val="000000" w:themeColor="text1"/>
              </w:rPr>
            </w:pPr>
            <w:r>
              <w:rPr>
                <w:b/>
                <w:color w:val="000000" w:themeColor="text1"/>
              </w:rPr>
              <w:lastRenderedPageBreak/>
              <w:t>Ņemts vērā.</w:t>
            </w:r>
          </w:p>
          <w:p w14:paraId="31E14321" w14:textId="2B647EA6" w:rsidR="00155FC3" w:rsidRPr="00155FC3" w:rsidRDefault="00155FC3" w:rsidP="00397A56">
            <w:pPr>
              <w:jc w:val="both"/>
              <w:rPr>
                <w:bCs/>
                <w:color w:val="000000" w:themeColor="text1"/>
              </w:rPr>
            </w:pPr>
            <w:r>
              <w:rPr>
                <w:bCs/>
                <w:color w:val="000000" w:themeColor="text1"/>
              </w:rPr>
              <w:t xml:space="preserve">Anotācijas I sadaļas 2.punkts precizēts attiecībā uz </w:t>
            </w:r>
            <w:r w:rsidR="00AB4A9C">
              <w:rPr>
                <w:bCs/>
                <w:color w:val="000000" w:themeColor="text1"/>
              </w:rPr>
              <w:t>pārjaunojamo zemes nomas līgumu un tiesisko pamatu</w:t>
            </w:r>
            <w:r w:rsidR="00E72330">
              <w:rPr>
                <w:bCs/>
                <w:color w:val="000000" w:themeColor="text1"/>
              </w:rPr>
              <w:t>, kā arī paskaidrojošajiem dokumentiem pievienots pārjaunojamais zemes nomas līgums.</w:t>
            </w:r>
          </w:p>
        </w:tc>
        <w:tc>
          <w:tcPr>
            <w:tcW w:w="1348" w:type="pct"/>
            <w:tcBorders>
              <w:top w:val="single" w:sz="6" w:space="0" w:color="000000"/>
              <w:left w:val="single" w:sz="4" w:space="0" w:color="auto"/>
              <w:bottom w:val="single" w:sz="6" w:space="0" w:color="000000"/>
              <w:right w:val="single" w:sz="4" w:space="0" w:color="auto"/>
            </w:tcBorders>
          </w:tcPr>
          <w:p w14:paraId="2BCD0FBB" w14:textId="65F1AA2D" w:rsidR="009A5B72" w:rsidRDefault="00155FC3" w:rsidP="00397A56">
            <w:pPr>
              <w:spacing w:after="160" w:line="252" w:lineRule="auto"/>
              <w:contextualSpacing/>
              <w:jc w:val="both"/>
              <w:rPr>
                <w:szCs w:val="20"/>
                <w:lang w:eastAsia="en-US"/>
              </w:rPr>
            </w:pPr>
            <w:r>
              <w:rPr>
                <w:szCs w:val="20"/>
                <w:lang w:eastAsia="en-US"/>
              </w:rPr>
              <w:t>Skatīt anotācijas I sadaļas 2. punktu (</w:t>
            </w:r>
            <w:r w:rsidR="00AB4A9C">
              <w:rPr>
                <w:szCs w:val="20"/>
                <w:lang w:eastAsia="en-US"/>
              </w:rPr>
              <w:t xml:space="preserve">4.-5. </w:t>
            </w:r>
            <w:r>
              <w:rPr>
                <w:szCs w:val="20"/>
                <w:lang w:eastAsia="en-US"/>
              </w:rPr>
              <w:t>lpp.), kas papildināts ar šādu informāciju.</w:t>
            </w:r>
          </w:p>
          <w:p w14:paraId="106D08DA" w14:textId="77777777" w:rsidR="00AB4A9C" w:rsidRPr="00AB4A9C" w:rsidRDefault="00AB4A9C" w:rsidP="00D724C1">
            <w:pPr>
              <w:spacing w:after="160" w:line="252" w:lineRule="auto"/>
              <w:ind w:firstLine="513"/>
              <w:contextualSpacing/>
              <w:jc w:val="both"/>
              <w:rPr>
                <w:szCs w:val="20"/>
                <w:lang w:eastAsia="en-US"/>
              </w:rPr>
            </w:pPr>
            <w:r w:rsidRPr="00AB4A9C">
              <w:rPr>
                <w:szCs w:val="20"/>
                <w:lang w:eastAsia="en-US"/>
              </w:rPr>
              <w:t xml:space="preserve">Papildus AS “Latvijas valsts meži” norādīja, ka zemes vienības ar kadastra apzīmējumu 7066 002 0061 daļa 1,68 ha platībā ar 2016. gada 20. decembra zemes nomas līgumu Nr. 5-7.1_0074_150_16_152 ir iznomāta biedrībai “Par aktīvu dzīvesveidu” uz laiku līdz 2023. gada 19. decembrim, ar mērķi – teritorijas uzturēšana rekreācijas vajadzībām, paredzot lineārās </w:t>
            </w:r>
            <w:proofErr w:type="spellStart"/>
            <w:r w:rsidRPr="00AB4A9C">
              <w:rPr>
                <w:szCs w:val="20"/>
                <w:lang w:eastAsia="en-US"/>
              </w:rPr>
              <w:t>veikborda</w:t>
            </w:r>
            <w:proofErr w:type="spellEnd"/>
            <w:r w:rsidRPr="00AB4A9C">
              <w:rPr>
                <w:szCs w:val="20"/>
                <w:lang w:eastAsia="en-US"/>
              </w:rPr>
              <w:t xml:space="preserve"> kabeļu sistēmas izveidošanu un ekspluatāciju. Nomnieks – biedrība “Par aktīvu dzīvesveidu”, īstenojot Lauku atbalsta dienesta apstiprināto projektu “</w:t>
            </w:r>
            <w:proofErr w:type="spellStart"/>
            <w:r w:rsidRPr="00AB4A9C">
              <w:rPr>
                <w:szCs w:val="20"/>
                <w:lang w:eastAsia="en-US"/>
              </w:rPr>
              <w:t>Veikparka</w:t>
            </w:r>
            <w:proofErr w:type="spellEnd"/>
            <w:r w:rsidRPr="00AB4A9C">
              <w:rPr>
                <w:szCs w:val="20"/>
                <w:lang w:eastAsia="en-US"/>
              </w:rPr>
              <w:t xml:space="preserve"> izveide Madonā”, ir uzstādījis </w:t>
            </w:r>
            <w:proofErr w:type="spellStart"/>
            <w:r w:rsidRPr="00AB4A9C">
              <w:rPr>
                <w:szCs w:val="20"/>
                <w:lang w:eastAsia="en-US"/>
              </w:rPr>
              <w:t>veikparka</w:t>
            </w:r>
            <w:proofErr w:type="spellEnd"/>
            <w:r w:rsidRPr="00AB4A9C">
              <w:rPr>
                <w:szCs w:val="20"/>
                <w:lang w:eastAsia="en-US"/>
              </w:rPr>
              <w:t xml:space="preserve"> lineāro sistēmu, kā arī saliekamu servisa mājiņu. </w:t>
            </w:r>
            <w:proofErr w:type="spellStart"/>
            <w:r w:rsidRPr="00AB4A9C">
              <w:rPr>
                <w:szCs w:val="20"/>
                <w:lang w:eastAsia="en-US"/>
              </w:rPr>
              <w:t>Veikparks</w:t>
            </w:r>
            <w:proofErr w:type="spellEnd"/>
            <w:r w:rsidRPr="00AB4A9C">
              <w:rPr>
                <w:szCs w:val="20"/>
                <w:lang w:eastAsia="en-US"/>
              </w:rPr>
              <w:t xml:space="preserve"> iznomātajā platībā darbojas kopš 2017. gada augusta.</w:t>
            </w:r>
            <w:r w:rsidRPr="00AB4A9C">
              <w:rPr>
                <w:szCs w:val="20"/>
                <w:u w:val="single"/>
                <w:lang w:eastAsia="en-US"/>
              </w:rPr>
              <w:t xml:space="preserve"> </w:t>
            </w:r>
            <w:r w:rsidRPr="00AB4A9C">
              <w:rPr>
                <w:szCs w:val="20"/>
                <w:lang w:eastAsia="en-US"/>
              </w:rPr>
              <w:t xml:space="preserve">Ņemot vērā nomnieka ieguldījumus teritorijas attīstībā, mērķi, kuram </w:t>
            </w:r>
            <w:r w:rsidRPr="00AB4A9C">
              <w:rPr>
                <w:szCs w:val="20"/>
                <w:lang w:eastAsia="en-US"/>
              </w:rPr>
              <w:lastRenderedPageBreak/>
              <w:t xml:space="preserve">teritorija iznomāta, kā arī nomnieka saistības noteiktus gadus pēc ierīkošanas objektu uzturēt,  valsts meža zemes atsavināšanas gadījumā tiek izvirzīts nosacījums zemes nomas līguma pārjaunošanai, Madonas novada pašvaldībai stājoties AS “Latvijas valsts meži” vietā. </w:t>
            </w:r>
          </w:p>
          <w:p w14:paraId="41F95A9A" w14:textId="77777777" w:rsidR="00AB4A9C" w:rsidRPr="00AB4A9C" w:rsidRDefault="00AB4A9C" w:rsidP="00D724C1">
            <w:pPr>
              <w:spacing w:after="160" w:line="252" w:lineRule="auto"/>
              <w:ind w:firstLine="513"/>
              <w:contextualSpacing/>
              <w:jc w:val="both"/>
              <w:rPr>
                <w:szCs w:val="20"/>
                <w:lang w:eastAsia="en-US"/>
              </w:rPr>
            </w:pPr>
            <w:r w:rsidRPr="00AB4A9C">
              <w:rPr>
                <w:szCs w:val="20"/>
                <w:lang w:eastAsia="en-US"/>
              </w:rPr>
              <w:t>Publiskas personas mantas atsavināšanas likuma 42.panta 2.</w:t>
            </w:r>
            <w:r w:rsidRPr="00AB4A9C">
              <w:rPr>
                <w:szCs w:val="20"/>
                <w:vertAlign w:val="superscript"/>
                <w:lang w:eastAsia="en-US"/>
              </w:rPr>
              <w:t>5</w:t>
            </w:r>
            <w:r w:rsidRPr="00AB4A9C">
              <w:rPr>
                <w:szCs w:val="20"/>
                <w:lang w:eastAsia="en-US"/>
              </w:rPr>
              <w:t xml:space="preserve"> daļa nosaka, ka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 </w:t>
            </w:r>
          </w:p>
          <w:p w14:paraId="1615A3C2" w14:textId="77777777" w:rsidR="00AB4A9C" w:rsidRPr="00AB4A9C" w:rsidRDefault="00AB4A9C" w:rsidP="00D724C1">
            <w:pPr>
              <w:spacing w:after="160" w:line="252" w:lineRule="auto"/>
              <w:ind w:firstLine="513"/>
              <w:contextualSpacing/>
              <w:jc w:val="both"/>
              <w:rPr>
                <w:szCs w:val="20"/>
                <w:lang w:eastAsia="en-US"/>
              </w:rPr>
            </w:pPr>
            <w:r w:rsidRPr="00AB4A9C">
              <w:rPr>
                <w:szCs w:val="20"/>
                <w:lang w:eastAsia="en-US"/>
              </w:rPr>
              <w:t xml:space="preserve">Lēmumā Nr.300 Madonas novada pašvaldība norādīja, ka nekustamie īpašumi nepieciešami pašvaldības autonomās funkcijas veikšanai, kas noteikta likuma “Par pašvaldībām” 15. panta pirmās daļas 2. punktā - gādāt par savas administratīvās teritorijas </w:t>
            </w:r>
            <w:r w:rsidRPr="00AB4A9C">
              <w:rPr>
                <w:szCs w:val="20"/>
                <w:lang w:eastAsia="en-US"/>
              </w:rPr>
              <w:lastRenderedPageBreak/>
              <w:t>labiekārtošanu un sanitāro tīrību (parku, skvēru un zaļo zonu ierīkošanai un uzturēšanai). Līdz ar to, pārņemot nekustamos īpašumus, Madonas novada pašvaldībai ir tiesības tos izmantot papildinošu saimniecisku darbību veikšanai, bet papildinošās saimnieciskās darbības apjomam ir jāpaliek ierobežotam platības, laika vai finanšu izteiksmē (šai darbībai ik gadu atvēlētā jauda nedrīkst nepārsniegt 20% no kopējās gada jaudas).</w:t>
            </w:r>
          </w:p>
          <w:p w14:paraId="57380CD6" w14:textId="77777777" w:rsidR="00AB4A9C" w:rsidRPr="00AB4A9C" w:rsidRDefault="00AB4A9C" w:rsidP="00D724C1">
            <w:pPr>
              <w:spacing w:after="160" w:line="252" w:lineRule="auto"/>
              <w:ind w:firstLine="513"/>
              <w:contextualSpacing/>
              <w:jc w:val="both"/>
              <w:rPr>
                <w:szCs w:val="20"/>
                <w:lang w:eastAsia="en-US"/>
              </w:rPr>
            </w:pPr>
            <w:r w:rsidRPr="00AB4A9C">
              <w:rPr>
                <w:szCs w:val="20"/>
                <w:lang w:eastAsia="en-US"/>
              </w:rPr>
              <w:t>Labiekārtotā teritorija būs publiski pieejama ikvienam interesentam bez maksas un pašvaldības līgumattiecības ar biedrību “Par aktīvu dzīvesveidu”, tai īstenojot Lauku atbalsta dienesta apstiprināto projektu “</w:t>
            </w:r>
            <w:proofErr w:type="spellStart"/>
            <w:r w:rsidRPr="00AB4A9C">
              <w:rPr>
                <w:szCs w:val="20"/>
                <w:lang w:eastAsia="en-US"/>
              </w:rPr>
              <w:t>Veikparka</w:t>
            </w:r>
            <w:proofErr w:type="spellEnd"/>
            <w:r w:rsidRPr="00AB4A9C">
              <w:rPr>
                <w:szCs w:val="20"/>
                <w:lang w:eastAsia="en-US"/>
              </w:rPr>
              <w:t xml:space="preserve"> izveide Madonā”, kvalificējama kā pašvaldības papildinoša saimnieciska darbība, līdz ar to, pārņemot nekustamos īpašumus Madonas novada pašvaldības īpašumā, komercdarbības atbalsta nosacījumi nav jāpiemēro.</w:t>
            </w:r>
          </w:p>
          <w:p w14:paraId="29D923E1" w14:textId="196464D8" w:rsidR="00155FC3" w:rsidRDefault="00AB4A9C" w:rsidP="00D724C1">
            <w:pPr>
              <w:spacing w:after="160" w:line="252" w:lineRule="auto"/>
              <w:ind w:firstLine="513"/>
              <w:contextualSpacing/>
              <w:jc w:val="both"/>
              <w:rPr>
                <w:szCs w:val="20"/>
                <w:lang w:eastAsia="en-US"/>
              </w:rPr>
            </w:pPr>
            <w:r w:rsidRPr="00AB4A9C">
              <w:rPr>
                <w:szCs w:val="20"/>
                <w:lang w:eastAsia="en-US"/>
              </w:rPr>
              <w:t xml:space="preserve">Likuma “Par pašvaldībām” 5. pants nosaka, ka pašvaldības savas kompetences un likuma ietvaros darbojas patstāvīgi un pašvaldību </w:t>
            </w:r>
            <w:r w:rsidRPr="00AB4A9C">
              <w:rPr>
                <w:szCs w:val="20"/>
                <w:lang w:eastAsia="en-US"/>
              </w:rPr>
              <w:lastRenderedPageBreak/>
              <w:t>darbību likuma ietvaros pārrauga Vides aizsardzības un reģionālās attīstības ministrija. Saskaņā ar šī likuma 7. pantu, 15. pantā noteiktās pašvaldību autonomās funkcijas pildāmas kārtībā, kāda paredzēta attiecīgajos likumos un Ministru kabineta noteikumos. Likuma 15. pantā paredzēto autonomo funkciju izpildi organizē un par to atbild pašvaldības. Atbilstoši likumam, par to, kādā veidā pašvaldība organizē pašvaldības autonomo funkciju izpildi, ir atbildīga pašvaldība.</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1A05BB1D" w14:textId="02DDDBBD" w:rsidR="002B30E2" w:rsidRPr="008A0212" w:rsidRDefault="00697A39" w:rsidP="002B30E2">
      <w:pPr>
        <w:pStyle w:val="naisf"/>
        <w:spacing w:before="0" w:after="0"/>
        <w:ind w:left="2160" w:firstLine="720"/>
        <w:jc w:val="left"/>
        <w:rPr>
          <w:color w:val="000000" w:themeColor="text1"/>
        </w:rPr>
      </w:pPr>
      <w:r w:rsidRPr="008A0212">
        <w:rPr>
          <w:color w:val="000000" w:themeColor="text1"/>
        </w:rPr>
        <w:t xml:space="preserve">       </w:t>
      </w:r>
      <w:r w:rsidR="00103CFB">
        <w:rPr>
          <w:color w:val="000000" w:themeColor="text1"/>
        </w:rPr>
        <w:t>Inga</w:t>
      </w:r>
      <w:r w:rsidR="00971364">
        <w:rPr>
          <w:color w:val="000000" w:themeColor="text1"/>
        </w:rPr>
        <w:t xml:space="preserve"> </w:t>
      </w:r>
      <w:r w:rsidR="00103CFB">
        <w:rPr>
          <w:color w:val="000000" w:themeColor="text1"/>
        </w:rPr>
        <w:t>Žagare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0D077D9F" w:rsidR="002B30E2" w:rsidRPr="008A0212" w:rsidRDefault="00697A39" w:rsidP="005A7BDF">
            <w:pPr>
              <w:jc w:val="center"/>
              <w:rPr>
                <w:color w:val="000000" w:themeColor="text1"/>
              </w:rPr>
            </w:pPr>
            <w:proofErr w:type="spellStart"/>
            <w:r w:rsidRPr="008A0212">
              <w:rPr>
                <w:color w:val="000000" w:themeColor="text1"/>
              </w:rPr>
              <w:t>Tālr</w:t>
            </w:r>
            <w:proofErr w:type="spellEnd"/>
            <w:r w:rsidRPr="008A0212">
              <w:rPr>
                <w:color w:val="000000" w:themeColor="text1"/>
              </w:rPr>
              <w:t>: 67027</w:t>
            </w:r>
            <w:r w:rsidR="00103CFB">
              <w:rPr>
                <w:color w:val="000000" w:themeColor="text1"/>
              </w:rPr>
              <w:t>55</w:t>
            </w:r>
            <w:r w:rsidR="00971364">
              <w:rPr>
                <w:color w:val="000000" w:themeColor="text1"/>
              </w:rPr>
              <w:t>8</w:t>
            </w:r>
          </w:p>
        </w:tc>
        <w:bookmarkStart w:id="2" w:name="_GoBack"/>
        <w:bookmarkEnd w:id="2"/>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6BD3FC80" w:rsidR="002B30E2" w:rsidRPr="008A0212" w:rsidRDefault="000260C8" w:rsidP="005A7BDF">
            <w:pPr>
              <w:jc w:val="center"/>
              <w:rPr>
                <w:color w:val="000000" w:themeColor="text1"/>
              </w:rPr>
            </w:pPr>
            <w:hyperlink r:id="rId8" w:history="1">
              <w:r w:rsidR="00E72330" w:rsidRPr="00F04861">
                <w:rPr>
                  <w:rStyle w:val="Hipersaite"/>
                </w:rPr>
                <w:t>Inga.Zagare@zm.gov.lv</w:t>
              </w:r>
            </w:hyperlink>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77777777" w:rsidR="00094F24" w:rsidRPr="005A7BDF" w:rsidRDefault="005A7BDF" w:rsidP="005A7BDF">
      <w:pPr>
        <w:tabs>
          <w:tab w:val="left" w:pos="7530"/>
        </w:tabs>
      </w:pPr>
      <w:r>
        <w:tab/>
      </w:r>
    </w:p>
    <w:sectPr w:rsidR="00094F24" w:rsidRPr="005A7BDF" w:rsidSect="00BC51A5">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DF5F" w14:textId="77777777" w:rsidR="00F17111" w:rsidRDefault="00697A39">
      <w:r>
        <w:separator/>
      </w:r>
    </w:p>
  </w:endnote>
  <w:endnote w:type="continuationSeparator" w:id="0">
    <w:p w14:paraId="1DB4F8A3" w14:textId="77777777" w:rsidR="00F17111" w:rsidRDefault="006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016BA40F" w:rsidR="00135240" w:rsidRPr="000260C8" w:rsidRDefault="000260C8" w:rsidP="000260C8">
    <w:pPr>
      <w:pStyle w:val="Kjene"/>
    </w:pPr>
    <w:r w:rsidRPr="000260C8">
      <w:rPr>
        <w:sz w:val="20"/>
        <w:szCs w:val="20"/>
      </w:rPr>
      <w:t>ZMIzz_110221_Madona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29C" w14:textId="5A1DE21A" w:rsidR="00BC51A5" w:rsidRPr="000260C8" w:rsidRDefault="000260C8" w:rsidP="000260C8">
    <w:pPr>
      <w:pStyle w:val="Kjene"/>
    </w:pPr>
    <w:r w:rsidRPr="000260C8">
      <w:rPr>
        <w:sz w:val="20"/>
        <w:szCs w:val="20"/>
      </w:rPr>
      <w:t>ZMIzz_110221_Madona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B88A" w14:textId="77777777" w:rsidR="00F17111" w:rsidRDefault="00697A39">
      <w:r>
        <w:separator/>
      </w:r>
    </w:p>
  </w:footnote>
  <w:footnote w:type="continuationSeparator" w:id="0">
    <w:p w14:paraId="7658A503" w14:textId="77777777" w:rsidR="00F17111" w:rsidRDefault="006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63934"/>
      <w:docPartObj>
        <w:docPartGallery w:val="Page Numbers (Top of Page)"/>
        <w:docPartUnique/>
      </w:docPartObj>
    </w:sdtPr>
    <w:sdtEndPr/>
    <w:sdtContent>
      <w:p w14:paraId="36A30ACD" w14:textId="3634CB70" w:rsidR="00135240" w:rsidRDefault="00697A39" w:rsidP="00BC51A5">
        <w:pPr>
          <w:pStyle w:val="Galvene"/>
          <w:jc w:val="center"/>
        </w:pPr>
        <w:r>
          <w:fldChar w:fldCharType="begin"/>
        </w:r>
        <w:r>
          <w:instrText>PAGE   \* MERGEFORMAT</w:instrText>
        </w:r>
        <w:r>
          <w:fldChar w:fldCharType="separate"/>
        </w:r>
        <w:r w:rsidR="00513CED">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0">
    <w:nsid w:val="07CA0422"/>
    <w:multiLevelType w:val="hybridMultilevel"/>
    <w:tmpl w:val="AFA259AC"/>
    <w:lvl w:ilvl="0" w:tplc="925C3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3" w15:restartNumberingAfterBreak="0">
    <w:nsid w:val="1A12596E"/>
    <w:multiLevelType w:val="hybridMultilevel"/>
    <w:tmpl w:val="DA3CCB42"/>
    <w:lvl w:ilvl="0" w:tplc="14F08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47F5082"/>
    <w:multiLevelType w:val="hybridMultilevel"/>
    <w:tmpl w:val="782CC32C"/>
    <w:lvl w:ilvl="0" w:tplc="2A1AB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0">
    <w:nsid w:val="3F74031B"/>
    <w:multiLevelType w:val="hybridMultilevel"/>
    <w:tmpl w:val="782CC32C"/>
    <w:lvl w:ilvl="0" w:tplc="2A1AB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3"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4" w15:restartNumberingAfterBreak="0">
    <w:nsid w:val="4AA8492B"/>
    <w:multiLevelType w:val="hybridMultilevel"/>
    <w:tmpl w:val="DA3CCB42"/>
    <w:lvl w:ilvl="0" w:tplc="14F08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6"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8"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2"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3"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4"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6"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7"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8"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9" w15:restartNumberingAfterBreak="0">
    <w:nsid w:val="7D434014"/>
    <w:multiLevelType w:val="hybridMultilevel"/>
    <w:tmpl w:val="728CC07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6"/>
  </w:num>
  <w:num w:numId="2">
    <w:abstractNumId w:val="5"/>
  </w:num>
  <w:num w:numId="3">
    <w:abstractNumId w:val="27"/>
  </w:num>
  <w:num w:numId="4">
    <w:abstractNumId w:val="22"/>
  </w:num>
  <w:num w:numId="5">
    <w:abstractNumId w:val="21"/>
  </w:num>
  <w:num w:numId="6">
    <w:abstractNumId w:val="9"/>
  </w:num>
  <w:num w:numId="7">
    <w:abstractNumId w:val="0"/>
  </w:num>
  <w:num w:numId="8">
    <w:abstractNumId w:val="1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5"/>
  </w:num>
  <w:num w:numId="12">
    <w:abstractNumId w:val="13"/>
  </w:num>
  <w:num w:numId="13">
    <w:abstractNumId w:val="26"/>
  </w:num>
  <w:num w:numId="14">
    <w:abstractNumId w:val="23"/>
  </w:num>
  <w:num w:numId="15">
    <w:abstractNumId w:val="4"/>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17"/>
  </w:num>
  <w:num w:numId="20">
    <w:abstractNumId w:val="2"/>
  </w:num>
  <w:num w:numId="21">
    <w:abstractNumId w:val="12"/>
  </w:num>
  <w:num w:numId="22">
    <w:abstractNumId w:val="24"/>
  </w:num>
  <w:num w:numId="23">
    <w:abstractNumId w:val="20"/>
  </w:num>
  <w:num w:numId="24">
    <w:abstractNumId w:val="16"/>
  </w:num>
  <w:num w:numId="25">
    <w:abstractNumId w:val="30"/>
  </w:num>
  <w:num w:numId="26">
    <w:abstractNumId w:val="19"/>
  </w:num>
  <w:num w:numId="27">
    <w:abstractNumId w:val="29"/>
  </w:num>
  <w:num w:numId="28">
    <w:abstractNumId w:val="14"/>
  </w:num>
  <w:num w:numId="29">
    <w:abstractNumId w:val="3"/>
  </w:num>
  <w:num w:numId="30">
    <w:abstractNumId w:val="1"/>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2055"/>
    <w:rsid w:val="000037AD"/>
    <w:rsid w:val="00013966"/>
    <w:rsid w:val="00021663"/>
    <w:rsid w:val="000260C8"/>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128"/>
    <w:rsid w:val="000B7E8D"/>
    <w:rsid w:val="000D0267"/>
    <w:rsid w:val="000D0C3E"/>
    <w:rsid w:val="000D4B8F"/>
    <w:rsid w:val="000E2B0C"/>
    <w:rsid w:val="000E4DE2"/>
    <w:rsid w:val="000E5A4D"/>
    <w:rsid w:val="000E7A9E"/>
    <w:rsid w:val="000F26C5"/>
    <w:rsid w:val="000F7D2F"/>
    <w:rsid w:val="00103CFB"/>
    <w:rsid w:val="001117D0"/>
    <w:rsid w:val="00111BE6"/>
    <w:rsid w:val="001212BC"/>
    <w:rsid w:val="00121BD3"/>
    <w:rsid w:val="00127414"/>
    <w:rsid w:val="00127F4C"/>
    <w:rsid w:val="00135240"/>
    <w:rsid w:val="001375D8"/>
    <w:rsid w:val="001430B2"/>
    <w:rsid w:val="00151278"/>
    <w:rsid w:val="0015355D"/>
    <w:rsid w:val="00155FC3"/>
    <w:rsid w:val="0015728E"/>
    <w:rsid w:val="00165433"/>
    <w:rsid w:val="00171078"/>
    <w:rsid w:val="0018191F"/>
    <w:rsid w:val="001B1BED"/>
    <w:rsid w:val="001C5C19"/>
    <w:rsid w:val="001D1911"/>
    <w:rsid w:val="001E16C6"/>
    <w:rsid w:val="001E4A49"/>
    <w:rsid w:val="001E52CB"/>
    <w:rsid w:val="00202F5C"/>
    <w:rsid w:val="002119FD"/>
    <w:rsid w:val="00223FDA"/>
    <w:rsid w:val="00227B6F"/>
    <w:rsid w:val="00234662"/>
    <w:rsid w:val="0023759B"/>
    <w:rsid w:val="00240F0E"/>
    <w:rsid w:val="002459C8"/>
    <w:rsid w:val="002500C0"/>
    <w:rsid w:val="00261564"/>
    <w:rsid w:val="0026361D"/>
    <w:rsid w:val="00270BF5"/>
    <w:rsid w:val="002761BA"/>
    <w:rsid w:val="00280D16"/>
    <w:rsid w:val="002824BE"/>
    <w:rsid w:val="00287D79"/>
    <w:rsid w:val="002A745C"/>
    <w:rsid w:val="002A7C35"/>
    <w:rsid w:val="002B291F"/>
    <w:rsid w:val="002B30E2"/>
    <w:rsid w:val="002C03A2"/>
    <w:rsid w:val="002C5E38"/>
    <w:rsid w:val="002D448B"/>
    <w:rsid w:val="002D6861"/>
    <w:rsid w:val="002E0101"/>
    <w:rsid w:val="002E6821"/>
    <w:rsid w:val="00302D94"/>
    <w:rsid w:val="00307C0A"/>
    <w:rsid w:val="003148D4"/>
    <w:rsid w:val="0031575C"/>
    <w:rsid w:val="00316E0B"/>
    <w:rsid w:val="00324BAA"/>
    <w:rsid w:val="003253C3"/>
    <w:rsid w:val="00337CEA"/>
    <w:rsid w:val="00343198"/>
    <w:rsid w:val="00347A63"/>
    <w:rsid w:val="003512F4"/>
    <w:rsid w:val="00365A16"/>
    <w:rsid w:val="00376A07"/>
    <w:rsid w:val="00376E5B"/>
    <w:rsid w:val="00381959"/>
    <w:rsid w:val="00390DF9"/>
    <w:rsid w:val="00392257"/>
    <w:rsid w:val="003957DC"/>
    <w:rsid w:val="00397A56"/>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7AD0"/>
    <w:rsid w:val="0045741B"/>
    <w:rsid w:val="004607D8"/>
    <w:rsid w:val="00463025"/>
    <w:rsid w:val="00467E30"/>
    <w:rsid w:val="00473C57"/>
    <w:rsid w:val="00475868"/>
    <w:rsid w:val="0048171F"/>
    <w:rsid w:val="004A19B5"/>
    <w:rsid w:val="004B0FB4"/>
    <w:rsid w:val="004B6A47"/>
    <w:rsid w:val="004B7680"/>
    <w:rsid w:val="004B7A30"/>
    <w:rsid w:val="004C3D7E"/>
    <w:rsid w:val="004D1A1D"/>
    <w:rsid w:val="004D2D73"/>
    <w:rsid w:val="004D3196"/>
    <w:rsid w:val="004E4E7D"/>
    <w:rsid w:val="004F3C60"/>
    <w:rsid w:val="004F46F9"/>
    <w:rsid w:val="004F79A5"/>
    <w:rsid w:val="004F7E89"/>
    <w:rsid w:val="00507529"/>
    <w:rsid w:val="00511A94"/>
    <w:rsid w:val="00511F5B"/>
    <w:rsid w:val="00512F51"/>
    <w:rsid w:val="00513CED"/>
    <w:rsid w:val="005149C3"/>
    <w:rsid w:val="005218C8"/>
    <w:rsid w:val="005226ED"/>
    <w:rsid w:val="00522776"/>
    <w:rsid w:val="00523B3D"/>
    <w:rsid w:val="005246F8"/>
    <w:rsid w:val="005419A9"/>
    <w:rsid w:val="00543CDE"/>
    <w:rsid w:val="0055064A"/>
    <w:rsid w:val="00551E9F"/>
    <w:rsid w:val="00552FFB"/>
    <w:rsid w:val="00566A43"/>
    <w:rsid w:val="00567681"/>
    <w:rsid w:val="00581072"/>
    <w:rsid w:val="005910CC"/>
    <w:rsid w:val="00595128"/>
    <w:rsid w:val="00597A46"/>
    <w:rsid w:val="005A0C9A"/>
    <w:rsid w:val="005A219B"/>
    <w:rsid w:val="005A46EA"/>
    <w:rsid w:val="005A4FEE"/>
    <w:rsid w:val="005A62C9"/>
    <w:rsid w:val="005A7BDF"/>
    <w:rsid w:val="005A7E9D"/>
    <w:rsid w:val="005B0C23"/>
    <w:rsid w:val="005C0681"/>
    <w:rsid w:val="005C5EBA"/>
    <w:rsid w:val="005D1D6A"/>
    <w:rsid w:val="005E5761"/>
    <w:rsid w:val="005F01D1"/>
    <w:rsid w:val="0060377F"/>
    <w:rsid w:val="00604AAA"/>
    <w:rsid w:val="006068C9"/>
    <w:rsid w:val="00611DE9"/>
    <w:rsid w:val="0061541F"/>
    <w:rsid w:val="00622E96"/>
    <w:rsid w:val="00625544"/>
    <w:rsid w:val="0063060D"/>
    <w:rsid w:val="00636E33"/>
    <w:rsid w:val="00645361"/>
    <w:rsid w:val="00654080"/>
    <w:rsid w:val="006546A2"/>
    <w:rsid w:val="00661714"/>
    <w:rsid w:val="00661FB8"/>
    <w:rsid w:val="0066429A"/>
    <w:rsid w:val="0068125B"/>
    <w:rsid w:val="006833FE"/>
    <w:rsid w:val="00684774"/>
    <w:rsid w:val="00696008"/>
    <w:rsid w:val="0069774F"/>
    <w:rsid w:val="00697A39"/>
    <w:rsid w:val="006A08F2"/>
    <w:rsid w:val="006B64F6"/>
    <w:rsid w:val="006C0A09"/>
    <w:rsid w:val="006C155F"/>
    <w:rsid w:val="006C79D0"/>
    <w:rsid w:val="006F58A1"/>
    <w:rsid w:val="00703A8C"/>
    <w:rsid w:val="0071122E"/>
    <w:rsid w:val="00717FCB"/>
    <w:rsid w:val="00723F8B"/>
    <w:rsid w:val="00730462"/>
    <w:rsid w:val="00734A84"/>
    <w:rsid w:val="0073545E"/>
    <w:rsid w:val="007437FC"/>
    <w:rsid w:val="007449C4"/>
    <w:rsid w:val="007619F0"/>
    <w:rsid w:val="00770403"/>
    <w:rsid w:val="00777A5C"/>
    <w:rsid w:val="00782005"/>
    <w:rsid w:val="00782861"/>
    <w:rsid w:val="0078664E"/>
    <w:rsid w:val="007933C1"/>
    <w:rsid w:val="007963F8"/>
    <w:rsid w:val="007A1096"/>
    <w:rsid w:val="007A2876"/>
    <w:rsid w:val="007A4438"/>
    <w:rsid w:val="007A6640"/>
    <w:rsid w:val="007B3CDC"/>
    <w:rsid w:val="007B583B"/>
    <w:rsid w:val="007B6E13"/>
    <w:rsid w:val="007C0941"/>
    <w:rsid w:val="007C2EC0"/>
    <w:rsid w:val="007D15FF"/>
    <w:rsid w:val="007E7D10"/>
    <w:rsid w:val="007F179B"/>
    <w:rsid w:val="00800167"/>
    <w:rsid w:val="0080251F"/>
    <w:rsid w:val="00803D88"/>
    <w:rsid w:val="008113CF"/>
    <w:rsid w:val="00814C30"/>
    <w:rsid w:val="008301DD"/>
    <w:rsid w:val="008314D0"/>
    <w:rsid w:val="00837396"/>
    <w:rsid w:val="00840650"/>
    <w:rsid w:val="008509A3"/>
    <w:rsid w:val="00851F7E"/>
    <w:rsid w:val="00852ADD"/>
    <w:rsid w:val="00853449"/>
    <w:rsid w:val="00856AAB"/>
    <w:rsid w:val="00870A1C"/>
    <w:rsid w:val="00886F62"/>
    <w:rsid w:val="00891B25"/>
    <w:rsid w:val="008A0212"/>
    <w:rsid w:val="008A2110"/>
    <w:rsid w:val="008A2F59"/>
    <w:rsid w:val="008A4809"/>
    <w:rsid w:val="008B1037"/>
    <w:rsid w:val="008B16F2"/>
    <w:rsid w:val="008C0685"/>
    <w:rsid w:val="008D3258"/>
    <w:rsid w:val="008D46A0"/>
    <w:rsid w:val="008D5B9D"/>
    <w:rsid w:val="008E0056"/>
    <w:rsid w:val="008E0C06"/>
    <w:rsid w:val="008E0DD2"/>
    <w:rsid w:val="008E47AC"/>
    <w:rsid w:val="008F0344"/>
    <w:rsid w:val="008F3D70"/>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A5B72"/>
    <w:rsid w:val="009B2CCB"/>
    <w:rsid w:val="009B65C5"/>
    <w:rsid w:val="009C77FD"/>
    <w:rsid w:val="009D280D"/>
    <w:rsid w:val="009D6E18"/>
    <w:rsid w:val="009E17B2"/>
    <w:rsid w:val="009E3D85"/>
    <w:rsid w:val="009E741D"/>
    <w:rsid w:val="009F40F8"/>
    <w:rsid w:val="009F6AA2"/>
    <w:rsid w:val="00A032D3"/>
    <w:rsid w:val="00A169DF"/>
    <w:rsid w:val="00A17BF9"/>
    <w:rsid w:val="00A24D06"/>
    <w:rsid w:val="00A30CEE"/>
    <w:rsid w:val="00A377E7"/>
    <w:rsid w:val="00A42C17"/>
    <w:rsid w:val="00A446CF"/>
    <w:rsid w:val="00A453F2"/>
    <w:rsid w:val="00A45AD5"/>
    <w:rsid w:val="00A530EF"/>
    <w:rsid w:val="00A565E2"/>
    <w:rsid w:val="00A67381"/>
    <w:rsid w:val="00A758B8"/>
    <w:rsid w:val="00A86343"/>
    <w:rsid w:val="00A870E8"/>
    <w:rsid w:val="00A87F55"/>
    <w:rsid w:val="00A95A32"/>
    <w:rsid w:val="00A97021"/>
    <w:rsid w:val="00A97FB2"/>
    <w:rsid w:val="00AB1EC3"/>
    <w:rsid w:val="00AB39F5"/>
    <w:rsid w:val="00AB4A9C"/>
    <w:rsid w:val="00AB66EB"/>
    <w:rsid w:val="00AC1C68"/>
    <w:rsid w:val="00AC3FE3"/>
    <w:rsid w:val="00AC6D48"/>
    <w:rsid w:val="00AD5A8D"/>
    <w:rsid w:val="00AE1C28"/>
    <w:rsid w:val="00AF0547"/>
    <w:rsid w:val="00AF1EC2"/>
    <w:rsid w:val="00AF2E27"/>
    <w:rsid w:val="00AF39D3"/>
    <w:rsid w:val="00B01F7B"/>
    <w:rsid w:val="00B046B3"/>
    <w:rsid w:val="00B07BB9"/>
    <w:rsid w:val="00B152E5"/>
    <w:rsid w:val="00B25C9C"/>
    <w:rsid w:val="00B26284"/>
    <w:rsid w:val="00B32F37"/>
    <w:rsid w:val="00B37EAB"/>
    <w:rsid w:val="00B61A0C"/>
    <w:rsid w:val="00B61F75"/>
    <w:rsid w:val="00B620D9"/>
    <w:rsid w:val="00B77B70"/>
    <w:rsid w:val="00B81E07"/>
    <w:rsid w:val="00B838CA"/>
    <w:rsid w:val="00B9575D"/>
    <w:rsid w:val="00BA0E9A"/>
    <w:rsid w:val="00BB6A2C"/>
    <w:rsid w:val="00BC51A5"/>
    <w:rsid w:val="00BD6962"/>
    <w:rsid w:val="00BD6ECB"/>
    <w:rsid w:val="00BE273F"/>
    <w:rsid w:val="00BE306E"/>
    <w:rsid w:val="00BF23AD"/>
    <w:rsid w:val="00BF6F59"/>
    <w:rsid w:val="00C01067"/>
    <w:rsid w:val="00C05C04"/>
    <w:rsid w:val="00C12081"/>
    <w:rsid w:val="00C13386"/>
    <w:rsid w:val="00C1398E"/>
    <w:rsid w:val="00C1706C"/>
    <w:rsid w:val="00C211C6"/>
    <w:rsid w:val="00C2332F"/>
    <w:rsid w:val="00C27391"/>
    <w:rsid w:val="00C31883"/>
    <w:rsid w:val="00C33EEB"/>
    <w:rsid w:val="00C3793D"/>
    <w:rsid w:val="00C41EB3"/>
    <w:rsid w:val="00C4403D"/>
    <w:rsid w:val="00C443CD"/>
    <w:rsid w:val="00C52735"/>
    <w:rsid w:val="00C70643"/>
    <w:rsid w:val="00C71503"/>
    <w:rsid w:val="00C762CF"/>
    <w:rsid w:val="00C77E8A"/>
    <w:rsid w:val="00C83B0C"/>
    <w:rsid w:val="00C86607"/>
    <w:rsid w:val="00C90A02"/>
    <w:rsid w:val="00C95E0A"/>
    <w:rsid w:val="00CA0008"/>
    <w:rsid w:val="00CA0A4D"/>
    <w:rsid w:val="00CA34E1"/>
    <w:rsid w:val="00CA5E2C"/>
    <w:rsid w:val="00CE059A"/>
    <w:rsid w:val="00CE0683"/>
    <w:rsid w:val="00CE1A9F"/>
    <w:rsid w:val="00CE332F"/>
    <w:rsid w:val="00D026E3"/>
    <w:rsid w:val="00D10FF6"/>
    <w:rsid w:val="00D15208"/>
    <w:rsid w:val="00D16746"/>
    <w:rsid w:val="00D20412"/>
    <w:rsid w:val="00D32661"/>
    <w:rsid w:val="00D5045D"/>
    <w:rsid w:val="00D513ED"/>
    <w:rsid w:val="00D51999"/>
    <w:rsid w:val="00D57914"/>
    <w:rsid w:val="00D61A65"/>
    <w:rsid w:val="00D647FC"/>
    <w:rsid w:val="00D6588E"/>
    <w:rsid w:val="00D65CC3"/>
    <w:rsid w:val="00D70E2C"/>
    <w:rsid w:val="00D724C1"/>
    <w:rsid w:val="00D728DE"/>
    <w:rsid w:val="00D765C9"/>
    <w:rsid w:val="00D77E00"/>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3374"/>
    <w:rsid w:val="00DF7CA5"/>
    <w:rsid w:val="00E04B66"/>
    <w:rsid w:val="00E06BB2"/>
    <w:rsid w:val="00E14CC4"/>
    <w:rsid w:val="00E16B0D"/>
    <w:rsid w:val="00E178DF"/>
    <w:rsid w:val="00E20C7D"/>
    <w:rsid w:val="00E24C3F"/>
    <w:rsid w:val="00E26E25"/>
    <w:rsid w:val="00E33507"/>
    <w:rsid w:val="00E51FF3"/>
    <w:rsid w:val="00E52EE2"/>
    <w:rsid w:val="00E54216"/>
    <w:rsid w:val="00E54887"/>
    <w:rsid w:val="00E578B9"/>
    <w:rsid w:val="00E61782"/>
    <w:rsid w:val="00E67CF5"/>
    <w:rsid w:val="00E72330"/>
    <w:rsid w:val="00E74F3F"/>
    <w:rsid w:val="00E7715C"/>
    <w:rsid w:val="00E83B36"/>
    <w:rsid w:val="00E84A5D"/>
    <w:rsid w:val="00E84C1E"/>
    <w:rsid w:val="00E85FC5"/>
    <w:rsid w:val="00E941B2"/>
    <w:rsid w:val="00EA3E85"/>
    <w:rsid w:val="00EA4225"/>
    <w:rsid w:val="00EB14EA"/>
    <w:rsid w:val="00EB2394"/>
    <w:rsid w:val="00EB26EA"/>
    <w:rsid w:val="00EB6CD5"/>
    <w:rsid w:val="00EC116A"/>
    <w:rsid w:val="00EC2098"/>
    <w:rsid w:val="00ED4BAB"/>
    <w:rsid w:val="00ED5024"/>
    <w:rsid w:val="00EE580D"/>
    <w:rsid w:val="00EE681E"/>
    <w:rsid w:val="00EF6F8C"/>
    <w:rsid w:val="00F00B50"/>
    <w:rsid w:val="00F0192A"/>
    <w:rsid w:val="00F03139"/>
    <w:rsid w:val="00F05A88"/>
    <w:rsid w:val="00F07E5D"/>
    <w:rsid w:val="00F1228B"/>
    <w:rsid w:val="00F1360F"/>
    <w:rsid w:val="00F17111"/>
    <w:rsid w:val="00F24BE2"/>
    <w:rsid w:val="00F311B8"/>
    <w:rsid w:val="00F372F6"/>
    <w:rsid w:val="00F559BD"/>
    <w:rsid w:val="00F62DCA"/>
    <w:rsid w:val="00F95826"/>
    <w:rsid w:val="00FB0087"/>
    <w:rsid w:val="00FB19BC"/>
    <w:rsid w:val="00FB47C0"/>
    <w:rsid w:val="00FB6776"/>
    <w:rsid w:val="00FB692E"/>
    <w:rsid w:val="00FC01E1"/>
    <w:rsid w:val="00FC7726"/>
    <w:rsid w:val="00FC7B32"/>
    <w:rsid w:val="00FD3A93"/>
    <w:rsid w:val="00FD7A87"/>
    <w:rsid w:val="00FE09FF"/>
    <w:rsid w:val="00FE2574"/>
    <w:rsid w:val="00FE3FDF"/>
    <w:rsid w:val="00FE70C7"/>
    <w:rsid w:val="00FF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5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E741D"/>
    <w:rPr>
      <w:color w:val="605E5C"/>
      <w:shd w:val="clear" w:color="auto" w:fill="E1DFDD"/>
    </w:rPr>
  </w:style>
  <w:style w:type="paragraph" w:styleId="Pamatteksts">
    <w:name w:val="Body Text"/>
    <w:basedOn w:val="Parasts"/>
    <w:link w:val="PamattekstsRakstz"/>
    <w:rsid w:val="00C1398E"/>
    <w:pPr>
      <w:spacing w:after="120"/>
    </w:pPr>
  </w:style>
  <w:style w:type="character" w:customStyle="1" w:styleId="PamattekstsRakstz">
    <w:name w:val="Pamatteksts Rakstz."/>
    <w:basedOn w:val="Noklusjumarindkopasfonts"/>
    <w:link w:val="Pamatteksts"/>
    <w:rsid w:val="00C1398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47584">
      <w:bodyDiv w:val="1"/>
      <w:marLeft w:val="0"/>
      <w:marRight w:val="0"/>
      <w:marTop w:val="0"/>
      <w:marBottom w:val="0"/>
      <w:divBdr>
        <w:top w:val="none" w:sz="0" w:space="0" w:color="auto"/>
        <w:left w:val="none" w:sz="0" w:space="0" w:color="auto"/>
        <w:bottom w:val="none" w:sz="0" w:space="0" w:color="auto"/>
        <w:right w:val="none" w:sz="0" w:space="0" w:color="auto"/>
      </w:divBdr>
      <w:divsChild>
        <w:div w:id="189612630">
          <w:marLeft w:val="0"/>
          <w:marRight w:val="0"/>
          <w:marTop w:val="0"/>
          <w:marBottom w:val="0"/>
          <w:divBdr>
            <w:top w:val="none" w:sz="0" w:space="0" w:color="auto"/>
            <w:left w:val="none" w:sz="0" w:space="0" w:color="auto"/>
            <w:bottom w:val="none" w:sz="0" w:space="0" w:color="auto"/>
            <w:right w:val="none" w:sz="0" w:space="0" w:color="auto"/>
          </w:divBdr>
        </w:div>
        <w:div w:id="1805391748">
          <w:marLeft w:val="0"/>
          <w:marRight w:val="0"/>
          <w:marTop w:val="0"/>
          <w:marBottom w:val="0"/>
          <w:divBdr>
            <w:top w:val="none" w:sz="0" w:space="0" w:color="auto"/>
            <w:left w:val="none" w:sz="0" w:space="0" w:color="auto"/>
            <w:bottom w:val="none" w:sz="0" w:space="0" w:color="auto"/>
            <w:right w:val="none" w:sz="0" w:space="0" w:color="auto"/>
          </w:divBdr>
        </w:div>
      </w:divsChild>
    </w:div>
    <w:div w:id="802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agar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E053-66BE-4A69-9633-55727DDF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10233</Words>
  <Characters>5833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Baldones novada pašvaldības īpašumā” (VSS-885)</vt:lpstr>
      <vt:lpstr/>
    </vt:vector>
  </TitlesOfParts>
  <Company>Zemkopības Ministrija</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Baldones novada pašvaldības īpašumā” (VSS-885)</dc:title>
  <dc:subject>izziņa</dc:subject>
  <dc:creator>Inga.Zagare@zm.gov.lv</dc:creator>
  <dc:description>Žagare 67027558 Inga.Zagare@zm.gov.lv</dc:description>
  <cp:lastModifiedBy>Sanita Papinova</cp:lastModifiedBy>
  <cp:revision>6</cp:revision>
  <cp:lastPrinted>2018-07-17T12:29:00Z</cp:lastPrinted>
  <dcterms:created xsi:type="dcterms:W3CDTF">2021-02-11T10:14:00Z</dcterms:created>
  <dcterms:modified xsi:type="dcterms:W3CDTF">2021-02-12T11:04:00Z</dcterms:modified>
</cp:coreProperties>
</file>