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98D" w:rsidRDefault="009C4C53">
      <w:pPr>
        <w:pBdr>
          <w:top w:val="nil"/>
          <w:left w:val="nil"/>
          <w:bottom w:val="nil"/>
          <w:right w:val="nil"/>
          <w:between w:val="nil"/>
        </w:pBdr>
        <w:shd w:val="solid" w:color="FFFFFF" w:fill="auto"/>
        <w:spacing w:after="0" w:line="240" w:lineRule="auto"/>
        <w:jc w:val="center"/>
        <w:rPr>
          <w:rFonts w:ascii="Times New Roman" w:eastAsia="Times New Roman" w:hAnsi="Times New Roman"/>
          <w:b/>
          <w:bCs/>
          <w:sz w:val="28"/>
          <w:szCs w:val="24"/>
        </w:rPr>
      </w:pPr>
      <w:r>
        <w:rPr>
          <w:rFonts w:ascii="Times New Roman" w:eastAsia="Times New Roman" w:hAnsi="Times New Roman"/>
          <w:b/>
          <w:bCs/>
          <w:sz w:val="28"/>
          <w:szCs w:val="24"/>
        </w:rPr>
        <w:t>Ministru kabineta noteikumu projekta “Grozījumi Ministru kabineta 2005. gada 25. janvāra noteikumos Nr. 62 “Zivsaimniecības konsultatīvās padomes nolikums”” sākotnējās ietekmes novērtējuma ziņojums (anotācija)</w:t>
      </w:r>
    </w:p>
    <w:p w:rsidR="0081198D" w:rsidRDefault="0081198D">
      <w:pPr>
        <w:pBdr>
          <w:top w:val="nil"/>
          <w:left w:val="nil"/>
          <w:bottom w:val="nil"/>
          <w:right w:val="nil"/>
          <w:between w:val="nil"/>
        </w:pBdr>
        <w:shd w:val="solid" w:color="FFFFFF" w:fill="auto"/>
        <w:spacing w:after="120" w:line="240" w:lineRule="auto"/>
        <w:jc w:val="center"/>
        <w:rPr>
          <w:rFonts w:ascii="Times New Roman" w:eastAsia="Times New Roman" w:hAnsi="Times New Roman"/>
          <w:b/>
          <w:bCs/>
          <w:sz w:val="28"/>
          <w:szCs w:val="24"/>
        </w:rPr>
      </w:pPr>
    </w:p>
    <w:tbl>
      <w:tblPr>
        <w:tblW w:w="8964" w:type="dxa"/>
        <w:tblInd w:w="-15" w:type="dxa"/>
        <w:tblLook w:val="04A0" w:firstRow="1" w:lastRow="0" w:firstColumn="1" w:lastColumn="0" w:noHBand="0" w:noVBand="1"/>
      </w:tblPr>
      <w:tblGrid>
        <w:gridCol w:w="3585"/>
        <w:gridCol w:w="5379"/>
      </w:tblGrid>
      <w:tr w:rsidR="0081198D" w:rsidTr="00D309A9">
        <w:tc>
          <w:tcPr>
            <w:tcW w:w="8964"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1198D" w:rsidRDefault="009C4C53">
            <w:pPr>
              <w:spacing w:after="0" w:line="240" w:lineRule="auto"/>
              <w:rPr>
                <w:rFonts w:ascii="Times New Roman" w:eastAsia="Times New Roman" w:hAnsi="Times New Roman"/>
                <w:b/>
                <w:bCs/>
                <w:iCs/>
                <w:sz w:val="24"/>
                <w:szCs w:val="24"/>
                <w:lang w:val="sv-SE"/>
              </w:rPr>
            </w:pPr>
            <w:r>
              <w:rPr>
                <w:rFonts w:ascii="Times New Roman" w:eastAsia="Times New Roman" w:hAnsi="Times New Roman"/>
                <w:b/>
                <w:bCs/>
                <w:iCs/>
                <w:sz w:val="24"/>
                <w:szCs w:val="24"/>
                <w:lang w:val="sv-SE"/>
              </w:rPr>
              <w:t>Tiesību akta projekta anotācijas kopsavilkums</w:t>
            </w:r>
          </w:p>
        </w:tc>
      </w:tr>
      <w:tr w:rsidR="0081198D" w:rsidTr="00D309A9">
        <w:tc>
          <w:tcPr>
            <w:tcW w:w="358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lang w:val="sv-SE"/>
              </w:rPr>
            </w:pPr>
            <w:r>
              <w:rPr>
                <w:rFonts w:ascii="Times New Roman" w:eastAsia="Times New Roman" w:hAnsi="Times New Roman"/>
                <w:iCs/>
                <w:sz w:val="24"/>
                <w:szCs w:val="24"/>
                <w:lang w:val="sv-SE"/>
              </w:rPr>
              <w:t>Mērķis, risinājums un projekta spēkā stāšanās laiks (500 zīmes bez atstarpēm)</w:t>
            </w:r>
          </w:p>
        </w:tc>
        <w:tc>
          <w:tcPr>
            <w:tcW w:w="537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Nav attiecināms.</w:t>
            </w:r>
          </w:p>
        </w:tc>
      </w:tr>
    </w:tbl>
    <w:p w:rsidR="0081198D" w:rsidRDefault="009C4C53">
      <w:pPr>
        <w:spacing w:after="120" w:line="240" w:lineRule="auto"/>
        <w:rPr>
          <w:rFonts w:ascii="Times New Roman" w:eastAsia="Times New Roman" w:hAnsi="Times New Roman"/>
          <w:iCs/>
          <w:sz w:val="24"/>
          <w:szCs w:val="24"/>
          <w:lang w:val="sv-SE"/>
        </w:rPr>
      </w:pPr>
      <w:r>
        <w:rPr>
          <w:rFonts w:ascii="Times New Roman" w:eastAsia="Times New Roman" w:hAnsi="Times New Roman"/>
          <w:iCs/>
          <w:sz w:val="24"/>
          <w:szCs w:val="24"/>
          <w:lang w:val="sv-SE"/>
        </w:rPr>
        <w:t xml:space="preserve">  </w:t>
      </w:r>
    </w:p>
    <w:tbl>
      <w:tblPr>
        <w:tblW w:w="8654" w:type="dxa"/>
        <w:tblInd w:w="-15" w:type="dxa"/>
        <w:tblLook w:val="04A0" w:firstRow="1" w:lastRow="0" w:firstColumn="1" w:lastColumn="0" w:noHBand="0" w:noVBand="1"/>
      </w:tblPr>
      <w:tblGrid>
        <w:gridCol w:w="240"/>
        <w:gridCol w:w="3453"/>
        <w:gridCol w:w="4961"/>
      </w:tblGrid>
      <w:tr w:rsidR="00D309A9" w:rsidRPr="00FD4E0F" w:rsidTr="00FB6689">
        <w:tc>
          <w:tcPr>
            <w:tcW w:w="8654"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D309A9" w:rsidRPr="00FD4E0F" w:rsidRDefault="00D309A9" w:rsidP="00FD4E0F">
            <w:pPr>
              <w:spacing w:after="0" w:line="240" w:lineRule="auto"/>
              <w:rPr>
                <w:rFonts w:ascii="Times New Roman" w:hAnsi="Times New Roman"/>
                <w:sz w:val="24"/>
                <w:szCs w:val="24"/>
              </w:rPr>
            </w:pPr>
            <w:r>
              <w:rPr>
                <w:rFonts w:ascii="Times New Roman" w:eastAsia="Times New Roman" w:hAnsi="Times New Roman"/>
                <w:b/>
                <w:bCs/>
                <w:iCs/>
                <w:sz w:val="24"/>
                <w:szCs w:val="24"/>
                <w:lang w:val="sv-SE"/>
              </w:rPr>
              <w:t>I. Tiesību akta projekta izstrādes nepieciešamība</w:t>
            </w:r>
          </w:p>
        </w:tc>
      </w:tr>
      <w:tr w:rsidR="0081198D" w:rsidRPr="00FD4E0F" w:rsidTr="0045359B">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Pr="00FD4E0F" w:rsidRDefault="009C4C53" w:rsidP="00FD4E0F">
            <w:pPr>
              <w:spacing w:after="0" w:line="240" w:lineRule="auto"/>
              <w:rPr>
                <w:rFonts w:ascii="Times New Roman" w:eastAsia="Times New Roman" w:hAnsi="Times New Roman"/>
                <w:iCs/>
                <w:sz w:val="24"/>
                <w:szCs w:val="24"/>
                <w:lang w:val="en-US"/>
              </w:rPr>
            </w:pPr>
            <w:r w:rsidRPr="00FD4E0F">
              <w:rPr>
                <w:rFonts w:ascii="Times New Roman" w:eastAsia="Times New Roman" w:hAnsi="Times New Roman"/>
                <w:iCs/>
                <w:sz w:val="24"/>
                <w:szCs w:val="24"/>
                <w:lang w:val="en-US"/>
              </w:rPr>
              <w:t>1.</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Pr="00FD4E0F" w:rsidRDefault="009C4C53" w:rsidP="00FD4E0F">
            <w:pPr>
              <w:spacing w:after="0" w:line="240" w:lineRule="auto"/>
              <w:rPr>
                <w:rFonts w:ascii="Times New Roman" w:eastAsia="Times New Roman" w:hAnsi="Times New Roman"/>
                <w:iCs/>
                <w:sz w:val="24"/>
                <w:szCs w:val="24"/>
              </w:rPr>
            </w:pPr>
            <w:r w:rsidRPr="00FD4E0F">
              <w:rPr>
                <w:rFonts w:ascii="Times New Roman" w:eastAsia="Times New Roman" w:hAnsi="Times New Roman"/>
                <w:iCs/>
                <w:sz w:val="24"/>
                <w:szCs w:val="24"/>
              </w:rPr>
              <w:t>Pamatojums</w:t>
            </w:r>
          </w:p>
        </w:tc>
        <w:tc>
          <w:tcPr>
            <w:tcW w:w="49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Pr="00FD4E0F" w:rsidRDefault="009C4C53">
            <w:pPr>
              <w:spacing w:after="0" w:line="240" w:lineRule="auto"/>
              <w:jc w:val="both"/>
              <w:rPr>
                <w:rFonts w:ascii="Times New Roman" w:eastAsia="Times New Roman" w:hAnsi="Times New Roman"/>
                <w:sz w:val="24"/>
                <w:szCs w:val="24"/>
              </w:rPr>
            </w:pPr>
            <w:r w:rsidRPr="00FD4E0F">
              <w:rPr>
                <w:rFonts w:ascii="Times New Roman" w:hAnsi="Times New Roman"/>
                <w:sz w:val="24"/>
                <w:szCs w:val="24"/>
              </w:rPr>
              <w:t>Zivsaimniecības konsultatīvās padomes 2020.</w:t>
            </w:r>
            <w:r w:rsidR="006B6A09">
              <w:rPr>
                <w:rFonts w:ascii="Times New Roman" w:hAnsi="Times New Roman"/>
                <w:sz w:val="24"/>
                <w:szCs w:val="24"/>
              </w:rPr>
              <w:t> </w:t>
            </w:r>
            <w:r w:rsidRPr="00FD4E0F">
              <w:rPr>
                <w:rFonts w:ascii="Times New Roman" w:hAnsi="Times New Roman"/>
                <w:sz w:val="24"/>
                <w:szCs w:val="24"/>
              </w:rPr>
              <w:t xml:space="preserve">gada 16. septembra sēdes protokola Nr. </w:t>
            </w:r>
            <w:r w:rsidRPr="00FD4E0F">
              <w:rPr>
                <w:rFonts w:ascii="Times New Roman" w:hAnsi="Times New Roman"/>
                <w:color w:val="212121"/>
                <w:sz w:val="24"/>
                <w:szCs w:val="24"/>
              </w:rPr>
              <w:t>4.2-8e/</w:t>
            </w:r>
            <w:r w:rsidRPr="00FD4E0F">
              <w:rPr>
                <w:rFonts w:ascii="Times New Roman" w:hAnsi="Times New Roman"/>
                <w:sz w:val="24"/>
                <w:szCs w:val="24"/>
              </w:rPr>
              <w:t>3</w:t>
            </w:r>
            <w:r w:rsidRPr="00FD4E0F">
              <w:rPr>
                <w:rFonts w:ascii="Times New Roman" w:hAnsi="Times New Roman"/>
                <w:color w:val="212121"/>
                <w:sz w:val="24"/>
                <w:szCs w:val="24"/>
              </w:rPr>
              <w:t>/2020 3.</w:t>
            </w:r>
            <w:r w:rsidRPr="00FD4E0F">
              <w:rPr>
                <w:rFonts w:ascii="Times New Roman" w:hAnsi="Times New Roman"/>
                <w:sz w:val="24"/>
                <w:szCs w:val="24"/>
              </w:rPr>
              <w:t xml:space="preserve"> punkts.</w:t>
            </w:r>
          </w:p>
          <w:p w:rsidR="0081198D" w:rsidRPr="00FD4E0F" w:rsidRDefault="009C4C53" w:rsidP="00FD4E0F">
            <w:pPr>
              <w:spacing w:after="0" w:line="240" w:lineRule="auto"/>
              <w:jc w:val="both"/>
              <w:rPr>
                <w:rFonts w:ascii="Times New Roman" w:eastAsia="Times New Roman" w:hAnsi="Times New Roman"/>
                <w:sz w:val="24"/>
                <w:szCs w:val="24"/>
              </w:rPr>
            </w:pPr>
            <w:r w:rsidRPr="00FD4E0F">
              <w:rPr>
                <w:rFonts w:ascii="Times New Roman" w:hAnsi="Times New Roman"/>
                <w:sz w:val="24"/>
                <w:szCs w:val="24"/>
              </w:rPr>
              <w:t>Padomes 2016. gada 19. decembra Direktīva 2017/159/ES, ar ko īsteno Nolīgumu, ar ko īsteno Starptautiskās Darba organizācijas 2007. gada Konvenciju par darbu zvejniecībā, kas noslēgts 2012. gada 21. maijā starp Eiropas Savienības Lauksaimniecības kooperatīvu vispārējo konfederāciju (</w:t>
            </w:r>
            <w:r w:rsidRPr="00FD4E0F">
              <w:rPr>
                <w:rFonts w:ascii="Times New Roman" w:hAnsi="Times New Roman"/>
                <w:i/>
                <w:sz w:val="24"/>
                <w:szCs w:val="24"/>
              </w:rPr>
              <w:t>COGECA</w:t>
            </w:r>
            <w:r w:rsidRPr="00FD4E0F">
              <w:rPr>
                <w:rFonts w:ascii="Times New Roman" w:hAnsi="Times New Roman"/>
                <w:sz w:val="24"/>
                <w:szCs w:val="24"/>
              </w:rPr>
              <w:t>), Eiropas Transporta darbinieku federāciju (ETDF) un Eiropas Savienībā darbojošos Zvejnieku saimniecību nacionālo organizāciju asociāciju (</w:t>
            </w:r>
            <w:proofErr w:type="spellStart"/>
            <w:r w:rsidRPr="00FD4E0F">
              <w:rPr>
                <w:rFonts w:ascii="Times New Roman" w:hAnsi="Times New Roman"/>
                <w:i/>
                <w:sz w:val="24"/>
                <w:szCs w:val="24"/>
              </w:rPr>
              <w:t>Europêche</w:t>
            </w:r>
            <w:proofErr w:type="spellEnd"/>
            <w:r w:rsidRPr="00FD4E0F">
              <w:rPr>
                <w:rFonts w:ascii="Times New Roman" w:hAnsi="Times New Roman"/>
                <w:sz w:val="24"/>
                <w:szCs w:val="24"/>
              </w:rPr>
              <w:t>)</w:t>
            </w:r>
          </w:p>
        </w:tc>
      </w:tr>
      <w:tr w:rsidR="0081198D" w:rsidTr="0045359B">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Pašreizējā situācija un problēmas, kuru risināšanai tiesību akta projekts izstrādāts, tiesiskā regulējuma mērķis un būtība</w:t>
            </w: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rPr>
                <w:rFonts w:ascii="Times New Roman" w:eastAsia="Times New Roman" w:hAnsi="Times New Roman"/>
                <w:sz w:val="24"/>
                <w:szCs w:val="24"/>
              </w:rPr>
            </w:pPr>
          </w:p>
          <w:p w:rsidR="0081198D" w:rsidRDefault="0081198D">
            <w:pPr>
              <w:ind w:firstLine="720"/>
              <w:rPr>
                <w:rFonts w:ascii="Times New Roman" w:eastAsia="Times New Roman" w:hAnsi="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Noteikumu projekts sagatavots, ievērojot Zivsaimniecības konsultatīvās padomes (turpmāk</w:t>
            </w:r>
            <w:r w:rsidR="006B6A09">
              <w:rPr>
                <w:rFonts w:ascii="Times New Roman" w:eastAsia="Times New Roman" w:hAnsi="Times New Roman"/>
                <w:sz w:val="24"/>
                <w:szCs w:val="24"/>
              </w:rPr>
              <w:t> </w:t>
            </w:r>
            <w:r>
              <w:rPr>
                <w:rFonts w:ascii="Times New Roman" w:eastAsia="Times New Roman" w:hAnsi="Times New Roman"/>
                <w:sz w:val="24"/>
                <w:szCs w:val="24"/>
              </w:rPr>
              <w:t>– ZKP) 2020. gada 16. septembra sēdē izskatīto biedrības “Lauksaimnieku organizāciju sadarbības padome” (turpmāk – LOSP) iesniegumu par tā pārstāvja iekļaušanu ZKP sastāvā un pieņemot par to pozitīvu lēmumu.</w:t>
            </w:r>
          </w:p>
          <w:p w:rsidR="0081198D" w:rsidRDefault="009C4C5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Spēkā esošajā ZKP nolikumā noteikts, ka ZKP sastāvā ir pārstāvji no deviņām ar zivsaimniecību saistītām biedrībām un tās sastāvu var mainīt, ja tam ir ZKP atbalsts.</w:t>
            </w:r>
          </w:p>
          <w:p w:rsidR="006B6A09" w:rsidRDefault="009C4C53">
            <w:pPr>
              <w:spacing w:after="0" w:line="240" w:lineRule="auto"/>
              <w:jc w:val="both"/>
              <w:rPr>
                <w:rFonts w:ascii="Times New Roman" w:hAnsi="Times New Roman"/>
                <w:sz w:val="24"/>
                <w:szCs w:val="24"/>
              </w:rPr>
            </w:pPr>
            <w:r>
              <w:rPr>
                <w:rFonts w:ascii="Times New Roman" w:eastAsia="Times New Roman" w:hAnsi="Times New Roman"/>
                <w:sz w:val="24"/>
                <w:szCs w:val="24"/>
              </w:rPr>
              <w:t>ZKP sēdē tika konstatēts, ka LOSP ir izveidojusies laba sadarbība ar zvejniekiem, tiek īstenoti arī projekti zvejnieku apmācībai un zivju produktu degustācijai, turklāt LOSP sekmīgi sadarbojas ar Pārtikas drošības, dzīvnieku veselības un vides zinātnes institūtu “BIOR”.</w:t>
            </w:r>
          </w:p>
          <w:p w:rsidR="006B6A09" w:rsidRDefault="009C4C53" w:rsidP="00354E93">
            <w:pPr>
              <w:spacing w:after="0" w:line="240" w:lineRule="auto"/>
              <w:jc w:val="both"/>
              <w:rPr>
                <w:rFonts w:ascii="Times New Roman" w:hAnsi="Times New Roman"/>
                <w:sz w:val="24"/>
                <w:szCs w:val="24"/>
              </w:rPr>
            </w:pPr>
            <w:r>
              <w:rPr>
                <w:rFonts w:ascii="Times New Roman" w:hAnsi="Times New Roman"/>
                <w:sz w:val="24"/>
                <w:szCs w:val="24"/>
              </w:rPr>
              <w:t>Ar grozījumiem noteikumos tiek paredzētas arī apspriešanās iespējas par darbu zvejniecībā, kā to paredz Padomes 2016. gada 19. decembra Direktīva 2017/159/ES, ar ko īsteno Nolīgumu, ar ko īsteno Starptautiskās Darba organizācijas 2007.</w:t>
            </w:r>
            <w:r w:rsidR="006B6A09">
              <w:rPr>
                <w:rFonts w:ascii="Times New Roman" w:hAnsi="Times New Roman"/>
                <w:sz w:val="24"/>
                <w:szCs w:val="24"/>
              </w:rPr>
              <w:t> </w:t>
            </w:r>
            <w:r>
              <w:rPr>
                <w:rFonts w:ascii="Times New Roman" w:hAnsi="Times New Roman"/>
                <w:sz w:val="24"/>
                <w:szCs w:val="24"/>
              </w:rPr>
              <w:t xml:space="preserve">gada Konvenciju par darbu zvejniecībā, kas noslēgts 2012. gada 21. maijā starp Eiropas Savienības Lauksaimniecības kooperatīvu </w:t>
            </w:r>
            <w:r>
              <w:rPr>
                <w:rFonts w:ascii="Times New Roman" w:hAnsi="Times New Roman"/>
                <w:sz w:val="24"/>
                <w:szCs w:val="24"/>
              </w:rPr>
              <w:lastRenderedPageBreak/>
              <w:t>vispārējo konfederāciju (</w:t>
            </w:r>
            <w:r>
              <w:rPr>
                <w:rFonts w:ascii="Times New Roman" w:hAnsi="Times New Roman"/>
                <w:i/>
                <w:sz w:val="24"/>
                <w:szCs w:val="24"/>
              </w:rPr>
              <w:t>COGECA</w:t>
            </w:r>
            <w:r>
              <w:rPr>
                <w:rFonts w:ascii="Times New Roman" w:hAnsi="Times New Roman"/>
                <w:sz w:val="24"/>
                <w:szCs w:val="24"/>
              </w:rPr>
              <w:t>), Eiropas Transporta darbinieku federāciju (ETDF) un Eiropas Savienībā darbojošos Zvejnieku saimniecību nacionālo organizāciju asociāciju (</w:t>
            </w:r>
            <w:proofErr w:type="spellStart"/>
            <w:r>
              <w:rPr>
                <w:rFonts w:ascii="Times New Roman" w:hAnsi="Times New Roman"/>
                <w:i/>
                <w:sz w:val="24"/>
                <w:szCs w:val="24"/>
              </w:rPr>
              <w:t>Europêche</w:t>
            </w:r>
            <w:proofErr w:type="spellEnd"/>
            <w:r>
              <w:rPr>
                <w:rFonts w:ascii="Times New Roman" w:hAnsi="Times New Roman"/>
                <w:sz w:val="24"/>
                <w:szCs w:val="24"/>
              </w:rPr>
              <w:t>), (turpmāk – Direktīva 2017/159) un pārņemtas prasības par konsultēšanos jautājumos, kas skar zvejnieku nodarbinātību.</w:t>
            </w:r>
          </w:p>
          <w:p w:rsidR="006B6A09" w:rsidRPr="00600618" w:rsidRDefault="00600618" w:rsidP="00354E93">
            <w:pPr>
              <w:spacing w:after="0" w:line="240" w:lineRule="auto"/>
              <w:jc w:val="both"/>
              <w:rPr>
                <w:rFonts w:ascii="Times New Roman" w:hAnsi="Times New Roman"/>
                <w:sz w:val="24"/>
                <w:szCs w:val="24"/>
              </w:rPr>
            </w:pPr>
            <w:r>
              <w:rPr>
                <w:rFonts w:ascii="Times New Roman" w:hAnsi="Times New Roman"/>
                <w:sz w:val="24"/>
                <w:szCs w:val="24"/>
              </w:rPr>
              <w:t xml:space="preserve">Direktīvas 2017/159 pārējās normas ir iekļautas </w:t>
            </w:r>
            <w:bookmarkStart w:id="0" w:name="_Hlk60831802"/>
            <w:r w:rsidR="006B6A09">
              <w:rPr>
                <w:rFonts w:ascii="Times New Roman" w:hAnsi="Times New Roman"/>
                <w:sz w:val="24"/>
                <w:szCs w:val="24"/>
              </w:rPr>
              <w:t xml:space="preserve">Ministru kabineta </w:t>
            </w:r>
            <w:r>
              <w:rPr>
                <w:rFonts w:ascii="Times New Roman" w:hAnsi="Times New Roman"/>
                <w:sz w:val="24"/>
                <w:szCs w:val="24"/>
              </w:rPr>
              <w:t xml:space="preserve">2020. gada 17. novembra noteikumos </w:t>
            </w:r>
            <w:r w:rsidR="006B6A09">
              <w:rPr>
                <w:rFonts w:ascii="Times New Roman" w:hAnsi="Times New Roman"/>
                <w:sz w:val="24"/>
                <w:szCs w:val="24"/>
              </w:rPr>
              <w:t>N</w:t>
            </w:r>
            <w:r>
              <w:rPr>
                <w:rFonts w:ascii="Times New Roman" w:hAnsi="Times New Roman"/>
                <w:sz w:val="24"/>
                <w:szCs w:val="24"/>
              </w:rPr>
              <w:t xml:space="preserve">r. 686 “Zvejnieku nodarbināšanas noteikumi” </w:t>
            </w:r>
            <w:bookmarkEnd w:id="0"/>
            <w:r w:rsidRPr="00600618">
              <w:rPr>
                <w:rFonts w:ascii="Times New Roman" w:hAnsi="Times New Roman"/>
                <w:sz w:val="24"/>
                <w:szCs w:val="24"/>
              </w:rPr>
              <w:t>(turpmāk</w:t>
            </w:r>
            <w:r w:rsidR="006B6A09">
              <w:rPr>
                <w:rFonts w:ascii="Times New Roman" w:hAnsi="Times New Roman"/>
                <w:sz w:val="24"/>
                <w:szCs w:val="24"/>
              </w:rPr>
              <w:t> –</w:t>
            </w:r>
            <w:r w:rsidRPr="00600618">
              <w:rPr>
                <w:rFonts w:ascii="Times New Roman" w:hAnsi="Times New Roman"/>
                <w:sz w:val="24"/>
                <w:szCs w:val="24"/>
              </w:rPr>
              <w:t xml:space="preserve"> Zvejnieku nodarbināšanas noteikumi). Tomēr</w:t>
            </w:r>
            <w:r w:rsidR="006B6A09">
              <w:rPr>
                <w:rFonts w:ascii="Times New Roman" w:hAnsi="Times New Roman"/>
                <w:sz w:val="24"/>
                <w:szCs w:val="24"/>
              </w:rPr>
              <w:t>,</w:t>
            </w:r>
            <w:r w:rsidRPr="00600618">
              <w:rPr>
                <w:rFonts w:ascii="Times New Roman" w:hAnsi="Times New Roman"/>
                <w:sz w:val="24"/>
                <w:szCs w:val="24"/>
              </w:rPr>
              <w:t xml:space="preserve"> </w:t>
            </w:r>
            <w:r w:rsidR="006B6A09">
              <w:rPr>
                <w:rFonts w:ascii="Times New Roman" w:hAnsi="Times New Roman"/>
                <w:sz w:val="24"/>
                <w:szCs w:val="24"/>
              </w:rPr>
              <w:t>tā kā</w:t>
            </w:r>
            <w:r w:rsidRPr="00600618">
              <w:rPr>
                <w:rFonts w:ascii="Times New Roman" w:hAnsi="Times New Roman"/>
                <w:sz w:val="24"/>
                <w:szCs w:val="24"/>
              </w:rPr>
              <w:t xml:space="preserve"> apspriešanās institūcija ir paredzēta </w:t>
            </w:r>
            <w:r w:rsidR="006B6A09">
              <w:rPr>
                <w:rFonts w:ascii="Times New Roman" w:hAnsi="Times New Roman"/>
                <w:sz w:val="24"/>
                <w:szCs w:val="24"/>
              </w:rPr>
              <w:t xml:space="preserve">pašā </w:t>
            </w:r>
            <w:r w:rsidRPr="00600618">
              <w:rPr>
                <w:rFonts w:ascii="Times New Roman" w:hAnsi="Times New Roman"/>
                <w:sz w:val="24"/>
                <w:szCs w:val="24"/>
              </w:rPr>
              <w:t>Zivsaimniecības konsultatīv</w:t>
            </w:r>
            <w:r w:rsidR="006B6A09">
              <w:rPr>
                <w:rFonts w:ascii="Times New Roman" w:hAnsi="Times New Roman"/>
                <w:sz w:val="24"/>
                <w:szCs w:val="24"/>
              </w:rPr>
              <w:t>ajā</w:t>
            </w:r>
            <w:r w:rsidRPr="00600618">
              <w:rPr>
                <w:rFonts w:ascii="Times New Roman" w:hAnsi="Times New Roman"/>
                <w:sz w:val="24"/>
                <w:szCs w:val="24"/>
              </w:rPr>
              <w:t xml:space="preserve"> padom</w:t>
            </w:r>
            <w:r w:rsidR="006B6A09">
              <w:rPr>
                <w:rFonts w:ascii="Times New Roman" w:hAnsi="Times New Roman"/>
                <w:sz w:val="24"/>
                <w:szCs w:val="24"/>
              </w:rPr>
              <w:t>ē</w:t>
            </w:r>
            <w:r w:rsidRPr="00600618">
              <w:rPr>
                <w:rFonts w:ascii="Times New Roman" w:hAnsi="Times New Roman"/>
                <w:sz w:val="24"/>
                <w:szCs w:val="24"/>
              </w:rPr>
              <w:t xml:space="preserve">, kā arī ievērojot Valsts kancelejas iebildumus Zvejnieku nodarbināšanas noteikumu saskaņošanas procesā, Direktīvā paredzētās normas par apspriešanos tiek iekļautas nevis Zvejnieku nodarbināšanas noteikumos, bet </w:t>
            </w:r>
            <w:r w:rsidR="006B6A09">
              <w:rPr>
                <w:rFonts w:ascii="Times New Roman" w:hAnsi="Times New Roman"/>
                <w:sz w:val="24"/>
                <w:szCs w:val="24"/>
              </w:rPr>
              <w:t xml:space="preserve">gan </w:t>
            </w:r>
            <w:r w:rsidRPr="00600618">
              <w:rPr>
                <w:rFonts w:ascii="Times New Roman" w:hAnsi="Times New Roman"/>
                <w:sz w:val="24"/>
                <w:szCs w:val="24"/>
              </w:rPr>
              <w:t>šajos MK noteikumos. Šo normu iekļaušana nodrošinās pilnīgu Direktīvas 2017/159 pārņemšanu.</w:t>
            </w:r>
          </w:p>
          <w:p w:rsidR="006B6A09" w:rsidRDefault="00600618" w:rsidP="00354E93">
            <w:pPr>
              <w:spacing w:after="0" w:line="240" w:lineRule="auto"/>
              <w:jc w:val="both"/>
              <w:rPr>
                <w:rFonts w:ascii="Times New Roman" w:hAnsi="Times New Roman"/>
                <w:sz w:val="24"/>
                <w:szCs w:val="24"/>
              </w:rPr>
            </w:pPr>
            <w:r w:rsidRPr="00600618">
              <w:rPr>
                <w:rFonts w:ascii="Times New Roman" w:hAnsi="Times New Roman"/>
                <w:sz w:val="24"/>
                <w:szCs w:val="24"/>
              </w:rPr>
              <w:t xml:space="preserve">Attiecībā uz Konsultatīvajā komisijā izskatāmajiem jautājumiem piemērojamās un attiecīgi </w:t>
            </w:r>
            <w:r w:rsidRPr="001B774F">
              <w:rPr>
                <w:rFonts w:ascii="Times New Roman" w:hAnsi="Times New Roman"/>
                <w:sz w:val="24"/>
                <w:szCs w:val="24"/>
              </w:rPr>
              <w:t xml:space="preserve">apspriežamās normas par jūras zvejas </w:t>
            </w:r>
            <w:r w:rsidRPr="006B6A09">
              <w:rPr>
                <w:rFonts w:ascii="Times New Roman" w:hAnsi="Times New Roman"/>
                <w:sz w:val="24"/>
                <w:szCs w:val="24"/>
              </w:rPr>
              <w:t>kuģu drošību ir</w:t>
            </w:r>
            <w:r w:rsidR="006B6A09" w:rsidRPr="006B6A09">
              <w:rPr>
                <w:rFonts w:ascii="Times New Roman" w:hAnsi="Times New Roman"/>
                <w:sz w:val="24"/>
                <w:szCs w:val="24"/>
              </w:rPr>
              <w:t>,</w:t>
            </w:r>
            <w:r w:rsidRPr="006B6A09">
              <w:rPr>
                <w:rFonts w:ascii="Times New Roman" w:hAnsi="Times New Roman"/>
                <w:sz w:val="24"/>
                <w:szCs w:val="24"/>
              </w:rPr>
              <w:t xml:space="preserve"> piem</w:t>
            </w:r>
            <w:r w:rsidR="006B6A09" w:rsidRPr="006B6A09">
              <w:rPr>
                <w:rFonts w:ascii="Times New Roman" w:hAnsi="Times New Roman"/>
                <w:sz w:val="24"/>
                <w:szCs w:val="24"/>
              </w:rPr>
              <w:t>ēram,</w:t>
            </w:r>
            <w:r w:rsidRPr="006B6A09">
              <w:rPr>
                <w:rFonts w:ascii="Times New Roman" w:hAnsi="Times New Roman"/>
                <w:sz w:val="24"/>
                <w:szCs w:val="24"/>
              </w:rPr>
              <w:t xml:space="preserve"> M</w:t>
            </w:r>
            <w:r w:rsidR="006B6A09" w:rsidRPr="006B6A09">
              <w:rPr>
                <w:rFonts w:ascii="Times New Roman" w:hAnsi="Times New Roman"/>
                <w:sz w:val="24"/>
                <w:szCs w:val="24"/>
              </w:rPr>
              <w:t>inistru kabineta</w:t>
            </w:r>
            <w:r w:rsidRPr="006B6A09">
              <w:rPr>
                <w:rFonts w:ascii="Times New Roman" w:hAnsi="Times New Roman"/>
                <w:sz w:val="24"/>
                <w:szCs w:val="24"/>
              </w:rPr>
              <w:t xml:space="preserve"> </w:t>
            </w:r>
            <w:r w:rsidR="006B6A09" w:rsidRPr="00354E93">
              <w:rPr>
                <w:rFonts w:ascii="Times New Roman" w:hAnsi="Times New Roman"/>
                <w:sz w:val="24"/>
                <w:szCs w:val="24"/>
                <w:shd w:val="clear" w:color="auto" w:fill="FFFFFF"/>
              </w:rPr>
              <w:t>2006.gada 28.marta</w:t>
            </w:r>
            <w:r w:rsidR="006B6A09" w:rsidRPr="001B774F">
              <w:rPr>
                <w:rFonts w:ascii="Times New Roman" w:hAnsi="Times New Roman"/>
                <w:color w:val="414142"/>
                <w:sz w:val="24"/>
                <w:szCs w:val="24"/>
                <w:shd w:val="clear" w:color="auto" w:fill="FFFFFF"/>
              </w:rPr>
              <w:t xml:space="preserve"> </w:t>
            </w:r>
            <w:r w:rsidRPr="001B774F">
              <w:rPr>
                <w:rFonts w:ascii="Times New Roman" w:hAnsi="Times New Roman"/>
                <w:sz w:val="24"/>
                <w:szCs w:val="24"/>
              </w:rPr>
              <w:t xml:space="preserve">noteikumi Nr. </w:t>
            </w:r>
            <w:r w:rsidR="001B774F" w:rsidRPr="001B774F">
              <w:rPr>
                <w:rFonts w:ascii="Times New Roman" w:hAnsi="Times New Roman"/>
                <w:sz w:val="24"/>
                <w:szCs w:val="24"/>
              </w:rPr>
              <w:t>248</w:t>
            </w:r>
            <w:r w:rsidRPr="001B774F">
              <w:rPr>
                <w:rFonts w:ascii="Times New Roman" w:hAnsi="Times New Roman"/>
                <w:sz w:val="24"/>
                <w:szCs w:val="24"/>
              </w:rPr>
              <w:t xml:space="preserve"> “Noteikumi par jūras zvejas kuģu drošību”</w:t>
            </w:r>
            <w:r w:rsidR="006B6A09">
              <w:rPr>
                <w:rFonts w:ascii="Times New Roman" w:hAnsi="Times New Roman"/>
                <w:sz w:val="24"/>
                <w:szCs w:val="24"/>
              </w:rPr>
              <w:t>.</w:t>
            </w:r>
            <w:r w:rsidRPr="001B774F">
              <w:rPr>
                <w:rFonts w:ascii="Times New Roman" w:hAnsi="Times New Roman"/>
                <w:sz w:val="24"/>
                <w:szCs w:val="24"/>
              </w:rPr>
              <w:t xml:space="preserve"> </w:t>
            </w:r>
            <w:r w:rsidR="006B6A09">
              <w:rPr>
                <w:rFonts w:ascii="Times New Roman" w:hAnsi="Times New Roman"/>
                <w:sz w:val="24"/>
                <w:szCs w:val="24"/>
              </w:rPr>
              <w:t xml:space="preserve">Pēc </w:t>
            </w:r>
            <w:r w:rsidRPr="001B774F">
              <w:rPr>
                <w:rFonts w:ascii="Times New Roman" w:hAnsi="Times New Roman"/>
                <w:sz w:val="24"/>
                <w:szCs w:val="24"/>
              </w:rPr>
              <w:t xml:space="preserve">nepieciešamības </w:t>
            </w:r>
            <w:r w:rsidRPr="00600618">
              <w:rPr>
                <w:rFonts w:ascii="Times New Roman" w:hAnsi="Times New Roman"/>
                <w:sz w:val="24"/>
                <w:szCs w:val="24"/>
              </w:rPr>
              <w:t>var apspriesties arī par Jūras kodeksu u</w:t>
            </w:r>
            <w:r w:rsidR="006B6A09">
              <w:rPr>
                <w:rFonts w:ascii="Times New Roman" w:hAnsi="Times New Roman"/>
                <w:sz w:val="24"/>
                <w:szCs w:val="24"/>
              </w:rPr>
              <w:t>.</w:t>
            </w:r>
            <w:r w:rsidRPr="00600618">
              <w:rPr>
                <w:rFonts w:ascii="Times New Roman" w:hAnsi="Times New Roman"/>
                <w:sz w:val="24"/>
                <w:szCs w:val="24"/>
              </w:rPr>
              <w:t xml:space="preserve">tml. Savukārt apspriežamie jautājumi </w:t>
            </w:r>
            <w:r w:rsidR="006B6A09">
              <w:rPr>
                <w:rFonts w:ascii="Times New Roman" w:hAnsi="Times New Roman"/>
                <w:sz w:val="24"/>
                <w:szCs w:val="24"/>
              </w:rPr>
              <w:t>par</w:t>
            </w:r>
            <w:r w:rsidR="006B6A09" w:rsidRPr="00600618">
              <w:rPr>
                <w:rFonts w:ascii="Times New Roman" w:hAnsi="Times New Roman"/>
                <w:sz w:val="24"/>
                <w:szCs w:val="24"/>
              </w:rPr>
              <w:t xml:space="preserve"> zvejnieku nodarbinātību</w:t>
            </w:r>
            <w:r w:rsidR="006B6A09" w:rsidRPr="00600618">
              <w:rPr>
                <w:rFonts w:ascii="Times New Roman" w:hAnsi="Times New Roman"/>
                <w:color w:val="FF0000"/>
                <w:sz w:val="24"/>
                <w:szCs w:val="24"/>
              </w:rPr>
              <w:t xml:space="preserve"> </w:t>
            </w:r>
            <w:r w:rsidRPr="00600618">
              <w:rPr>
                <w:rFonts w:ascii="Times New Roman" w:hAnsi="Times New Roman"/>
                <w:sz w:val="24"/>
                <w:szCs w:val="24"/>
              </w:rPr>
              <w:t>ir ietverti Zvejnieku nodarbināšanas noteikumos.</w:t>
            </w:r>
          </w:p>
          <w:p w:rsidR="00C50F0C" w:rsidRDefault="006B6A09" w:rsidP="00354E93">
            <w:pPr>
              <w:spacing w:after="0" w:line="240" w:lineRule="auto"/>
              <w:jc w:val="both"/>
              <w:rPr>
                <w:rFonts w:ascii="Times New Roman" w:hAnsi="Times New Roman"/>
                <w:sz w:val="24"/>
                <w:szCs w:val="24"/>
              </w:rPr>
            </w:pPr>
            <w:r>
              <w:rPr>
                <w:rFonts w:ascii="Times New Roman" w:hAnsi="Times New Roman"/>
                <w:sz w:val="24"/>
                <w:szCs w:val="24"/>
              </w:rPr>
              <w:t xml:space="preserve">Tā kā </w:t>
            </w:r>
            <w:r w:rsidR="00C50F0C" w:rsidRPr="00256371">
              <w:rPr>
                <w:rFonts w:ascii="Times New Roman" w:hAnsi="Times New Roman"/>
                <w:sz w:val="24"/>
                <w:szCs w:val="24"/>
              </w:rPr>
              <w:t>konsultēšanas notiek konkrēt</w:t>
            </w:r>
            <w:r>
              <w:rPr>
                <w:rFonts w:ascii="Times New Roman" w:hAnsi="Times New Roman"/>
                <w:sz w:val="24"/>
                <w:szCs w:val="24"/>
              </w:rPr>
              <w:t>ajā</w:t>
            </w:r>
            <w:r w:rsidR="00C50F0C" w:rsidRPr="00256371">
              <w:rPr>
                <w:rFonts w:ascii="Times New Roman" w:hAnsi="Times New Roman"/>
                <w:sz w:val="24"/>
                <w:szCs w:val="24"/>
              </w:rPr>
              <w:t xml:space="preserve"> iestād</w:t>
            </w:r>
            <w:r>
              <w:rPr>
                <w:rFonts w:ascii="Times New Roman" w:hAnsi="Times New Roman"/>
                <w:sz w:val="24"/>
                <w:szCs w:val="24"/>
              </w:rPr>
              <w:t>ē</w:t>
            </w:r>
            <w:r w:rsidR="00C50F0C" w:rsidRPr="00256371">
              <w:rPr>
                <w:rFonts w:ascii="Times New Roman" w:hAnsi="Times New Roman"/>
                <w:sz w:val="24"/>
                <w:szCs w:val="24"/>
              </w:rPr>
              <w:t xml:space="preserve"> un regulējums neskar privātpersonas, </w:t>
            </w:r>
            <w:r>
              <w:rPr>
                <w:rFonts w:ascii="Times New Roman" w:hAnsi="Times New Roman"/>
                <w:sz w:val="24"/>
                <w:szCs w:val="24"/>
              </w:rPr>
              <w:t>turklāt</w:t>
            </w:r>
            <w:r w:rsidR="00C50F0C" w:rsidRPr="00256371">
              <w:rPr>
                <w:rFonts w:ascii="Times New Roman" w:hAnsi="Times New Roman"/>
                <w:sz w:val="24"/>
                <w:szCs w:val="24"/>
              </w:rPr>
              <w:t xml:space="preserve"> var būt </w:t>
            </w:r>
            <w:r>
              <w:rPr>
                <w:rFonts w:ascii="Times New Roman" w:hAnsi="Times New Roman"/>
                <w:sz w:val="24"/>
                <w:szCs w:val="24"/>
              </w:rPr>
              <w:t>jā</w:t>
            </w:r>
            <w:r w:rsidR="00C50F0C" w:rsidRPr="00256371">
              <w:rPr>
                <w:rFonts w:ascii="Times New Roman" w:hAnsi="Times New Roman"/>
                <w:sz w:val="24"/>
                <w:szCs w:val="24"/>
              </w:rPr>
              <w:t>apsprie</w:t>
            </w:r>
            <w:r>
              <w:rPr>
                <w:rFonts w:ascii="Times New Roman" w:hAnsi="Times New Roman"/>
                <w:sz w:val="24"/>
                <w:szCs w:val="24"/>
              </w:rPr>
              <w:t>žas</w:t>
            </w:r>
            <w:r w:rsidR="00C50F0C" w:rsidRPr="00256371">
              <w:rPr>
                <w:rFonts w:ascii="Times New Roman" w:hAnsi="Times New Roman"/>
                <w:sz w:val="24"/>
                <w:szCs w:val="24"/>
              </w:rPr>
              <w:t xml:space="preserve"> par jautājumiem, kas nav ietverti </w:t>
            </w:r>
            <w:r w:rsidR="00400656" w:rsidRPr="00256371">
              <w:rPr>
                <w:rFonts w:ascii="Times New Roman" w:hAnsi="Times New Roman"/>
                <w:sz w:val="24"/>
                <w:szCs w:val="24"/>
              </w:rPr>
              <w:t xml:space="preserve">attiecīgos </w:t>
            </w:r>
            <w:r w:rsidR="00C50F0C" w:rsidRPr="00256371">
              <w:rPr>
                <w:rFonts w:ascii="Times New Roman" w:hAnsi="Times New Roman"/>
                <w:sz w:val="24"/>
                <w:szCs w:val="24"/>
              </w:rPr>
              <w:t>MK noteikumos,</w:t>
            </w:r>
            <w:r w:rsidR="00400656" w:rsidRPr="00256371">
              <w:rPr>
                <w:rFonts w:ascii="Times New Roman" w:hAnsi="Times New Roman"/>
                <w:sz w:val="24"/>
                <w:szCs w:val="24"/>
              </w:rPr>
              <w:t xml:space="preserve"> </w:t>
            </w:r>
            <w:r w:rsidR="00256371" w:rsidRPr="00256371">
              <w:rPr>
                <w:rFonts w:ascii="Times New Roman" w:hAnsi="Times New Roman"/>
                <w:sz w:val="24"/>
                <w:szCs w:val="24"/>
              </w:rPr>
              <w:t>ne visur ir</w:t>
            </w:r>
            <w:r w:rsidR="00400656" w:rsidRPr="00256371">
              <w:rPr>
                <w:rFonts w:ascii="Times New Roman" w:hAnsi="Times New Roman"/>
                <w:sz w:val="24"/>
                <w:szCs w:val="24"/>
              </w:rPr>
              <w:t xml:space="preserve"> nepieciešams </w:t>
            </w:r>
            <w:r w:rsidR="00256371" w:rsidRPr="00256371">
              <w:rPr>
                <w:rFonts w:ascii="Times New Roman" w:hAnsi="Times New Roman"/>
                <w:sz w:val="24"/>
                <w:szCs w:val="24"/>
              </w:rPr>
              <w:t xml:space="preserve">un lietderīgi </w:t>
            </w:r>
            <w:r w:rsidR="00400656" w:rsidRPr="00256371">
              <w:rPr>
                <w:rFonts w:ascii="Times New Roman" w:hAnsi="Times New Roman"/>
                <w:sz w:val="24"/>
                <w:szCs w:val="24"/>
              </w:rPr>
              <w:t>atsaukties uz konkrētiem MK noteikumiem</w:t>
            </w:r>
            <w:r w:rsidR="00C50F0C" w:rsidRPr="00256371">
              <w:rPr>
                <w:rFonts w:ascii="Times New Roman" w:hAnsi="Times New Roman"/>
                <w:sz w:val="24"/>
                <w:szCs w:val="24"/>
              </w:rPr>
              <w:t>.</w:t>
            </w:r>
            <w:r w:rsidR="00980BD0" w:rsidRPr="00256371">
              <w:rPr>
                <w:rFonts w:ascii="Times New Roman" w:hAnsi="Times New Roman"/>
                <w:sz w:val="24"/>
                <w:szCs w:val="24"/>
              </w:rPr>
              <w:t xml:space="preserve"> </w:t>
            </w:r>
            <w:r w:rsidR="0084233D" w:rsidRPr="00256371">
              <w:rPr>
                <w:rFonts w:ascii="Times New Roman" w:hAnsi="Times New Roman"/>
                <w:sz w:val="24"/>
                <w:szCs w:val="24"/>
              </w:rPr>
              <w:t xml:space="preserve">Īpaši tas attiecināms uz </w:t>
            </w:r>
            <w:r w:rsidR="001B774F" w:rsidRPr="00256371">
              <w:rPr>
                <w:rFonts w:ascii="Times New Roman" w:hAnsi="Times New Roman"/>
                <w:sz w:val="24"/>
                <w:szCs w:val="24"/>
              </w:rPr>
              <w:t>normatīvajiem aktiem, kas skar zvejas kuģu drošību un var ie</w:t>
            </w:r>
            <w:r>
              <w:rPr>
                <w:rFonts w:ascii="Times New Roman" w:hAnsi="Times New Roman"/>
                <w:sz w:val="24"/>
                <w:szCs w:val="24"/>
              </w:rPr>
              <w:t>tvert</w:t>
            </w:r>
            <w:r w:rsidR="001B774F" w:rsidRPr="00256371">
              <w:rPr>
                <w:rFonts w:ascii="Times New Roman" w:hAnsi="Times New Roman"/>
                <w:sz w:val="24"/>
                <w:szCs w:val="24"/>
              </w:rPr>
              <w:t xml:space="preserve"> ne tikai MK noteikumus </w:t>
            </w:r>
            <w:r>
              <w:rPr>
                <w:rFonts w:ascii="Times New Roman" w:hAnsi="Times New Roman"/>
                <w:sz w:val="24"/>
                <w:szCs w:val="24"/>
              </w:rPr>
              <w:t>N</w:t>
            </w:r>
            <w:r w:rsidR="001B774F" w:rsidRPr="00256371">
              <w:rPr>
                <w:rFonts w:ascii="Times New Roman" w:hAnsi="Times New Roman"/>
                <w:sz w:val="24"/>
                <w:szCs w:val="24"/>
              </w:rPr>
              <w:t>r. 248, bet arī citus noteikumus,</w:t>
            </w:r>
            <w:r>
              <w:rPr>
                <w:rFonts w:ascii="Times New Roman" w:hAnsi="Times New Roman"/>
                <w:sz w:val="24"/>
                <w:szCs w:val="24"/>
              </w:rPr>
              <w:t xml:space="preserve"> </w:t>
            </w:r>
            <w:r w:rsidR="001B774F" w:rsidRPr="00256371">
              <w:rPr>
                <w:rFonts w:ascii="Times New Roman" w:hAnsi="Times New Roman"/>
                <w:sz w:val="24"/>
                <w:szCs w:val="24"/>
              </w:rPr>
              <w:t xml:space="preserve"> īpaši t</w:t>
            </w:r>
            <w:r>
              <w:rPr>
                <w:rFonts w:ascii="Times New Roman" w:hAnsi="Times New Roman"/>
                <w:sz w:val="24"/>
                <w:szCs w:val="24"/>
              </w:rPr>
              <w:t>os</w:t>
            </w:r>
            <w:r w:rsidR="001B774F" w:rsidRPr="00256371">
              <w:rPr>
                <w:rFonts w:ascii="Times New Roman" w:hAnsi="Times New Roman"/>
                <w:sz w:val="24"/>
                <w:szCs w:val="24"/>
              </w:rPr>
              <w:t xml:space="preserve">, </w:t>
            </w:r>
            <w:r>
              <w:rPr>
                <w:rFonts w:ascii="Times New Roman" w:hAnsi="Times New Roman"/>
                <w:sz w:val="24"/>
                <w:szCs w:val="24"/>
              </w:rPr>
              <w:t>kas</w:t>
            </w:r>
            <w:r w:rsidR="001B774F" w:rsidRPr="00256371">
              <w:rPr>
                <w:rFonts w:ascii="Times New Roman" w:hAnsi="Times New Roman"/>
                <w:sz w:val="24"/>
                <w:szCs w:val="24"/>
              </w:rPr>
              <w:t xml:space="preserve"> ir Satiksmes ministrijas kompetencē, vai pat atsevišķas Jūras kodeksa un starptautiskās normas</w:t>
            </w:r>
            <w:r w:rsidR="001B774F" w:rsidRPr="00354E93">
              <w:rPr>
                <w:rFonts w:ascii="Times New Roman" w:hAnsi="Times New Roman"/>
                <w:sz w:val="24"/>
                <w:szCs w:val="24"/>
              </w:rPr>
              <w:t>.</w:t>
            </w:r>
          </w:p>
        </w:tc>
      </w:tr>
      <w:tr w:rsidR="0081198D" w:rsidTr="0045359B">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lastRenderedPageBreak/>
              <w:t>3.</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Projekta izstrādē iesaistītās institūcijas un publiskas personas kapitālsabiedrības</w:t>
            </w:r>
          </w:p>
        </w:tc>
        <w:tc>
          <w:tcPr>
            <w:tcW w:w="49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Zemkopības ministrija</w:t>
            </w:r>
          </w:p>
        </w:tc>
      </w:tr>
      <w:tr w:rsidR="0081198D" w:rsidTr="0045359B">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Cita informācija</w:t>
            </w:r>
          </w:p>
        </w:tc>
        <w:tc>
          <w:tcPr>
            <w:tcW w:w="49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Nav.</w:t>
            </w:r>
          </w:p>
        </w:tc>
      </w:tr>
    </w:tbl>
    <w:p w:rsidR="0081198D" w:rsidRDefault="009C4C53">
      <w:pPr>
        <w:spacing w:after="12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  </w:t>
      </w:r>
    </w:p>
    <w:tbl>
      <w:tblPr>
        <w:tblW w:w="9101" w:type="dxa"/>
        <w:tblInd w:w="-15" w:type="dxa"/>
        <w:tblLook w:val="04A0" w:firstRow="1" w:lastRow="0" w:firstColumn="1" w:lastColumn="0" w:noHBand="0" w:noVBand="1"/>
      </w:tblPr>
      <w:tblGrid>
        <w:gridCol w:w="240"/>
        <w:gridCol w:w="3453"/>
        <w:gridCol w:w="5408"/>
      </w:tblGrid>
      <w:tr w:rsidR="00D309A9" w:rsidTr="003B1296">
        <w:tc>
          <w:tcPr>
            <w:tcW w:w="910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D309A9" w:rsidRDefault="00D309A9" w:rsidP="00D309A9">
            <w:pPr>
              <w:spacing w:after="120" w:line="240" w:lineRule="auto"/>
              <w:rPr>
                <w:rFonts w:ascii="Times New Roman" w:eastAsia="Times New Roman" w:hAnsi="Times New Roman"/>
                <w:iCs/>
                <w:sz w:val="24"/>
                <w:szCs w:val="24"/>
              </w:rPr>
            </w:pPr>
            <w:r>
              <w:rPr>
                <w:rFonts w:ascii="Times New Roman" w:eastAsia="Times New Roman" w:hAnsi="Times New Roman"/>
                <w:b/>
                <w:bCs/>
                <w:iCs/>
                <w:sz w:val="24"/>
                <w:szCs w:val="24"/>
              </w:rPr>
              <w:t xml:space="preserve">II. Tiesību akta projekta ietekme uz sabiedrību, tautsaimniecības attīstību un </w:t>
            </w:r>
            <w:r>
              <w:rPr>
                <w:rFonts w:ascii="Times New Roman" w:eastAsia="Times New Roman" w:hAnsi="Times New Roman"/>
                <w:b/>
                <w:bCs/>
                <w:iCs/>
                <w:sz w:val="24"/>
                <w:szCs w:val="24"/>
              </w:rPr>
              <w:lastRenderedPageBreak/>
              <w:t>administratīvo slogu</w:t>
            </w:r>
          </w:p>
        </w:tc>
      </w:tr>
      <w:tr w:rsidR="0081198D" w:rsidTr="009F6153">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lastRenderedPageBreak/>
              <w:t>1.</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Sabiedrības mērķgrupas, kuras tiesiskais regulējums ietekmē vai varētu ietekmēt</w:t>
            </w:r>
          </w:p>
        </w:tc>
        <w:tc>
          <w:tcPr>
            <w:tcW w:w="540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Ievērotas biedrības “Lauksaimnieku organizāciju sadarbības padome” biedru – zvejnieku un zivju produktu apstrādes un ražošanas uzņēmumu – intereses. </w:t>
            </w:r>
          </w:p>
          <w:p w:rsidR="0081198D" w:rsidRDefault="009C4C53">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Zvejnieki un zvejnieku organizācijas, kam būs nodrošināta iespēja apspriesties ZKP par darbu zvejniecībā.</w:t>
            </w:r>
          </w:p>
        </w:tc>
      </w:tr>
      <w:tr w:rsidR="0081198D" w:rsidTr="009F6153">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Tiesiskā regulējuma ietekme uz tautsaimniecību un administratīvo slogu</w:t>
            </w:r>
          </w:p>
        </w:tc>
        <w:tc>
          <w:tcPr>
            <w:tcW w:w="540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Nav attiecināms.</w:t>
            </w:r>
          </w:p>
          <w:p w:rsidR="0081198D" w:rsidRDefault="0081198D">
            <w:pPr>
              <w:spacing w:after="0" w:line="240" w:lineRule="auto"/>
              <w:jc w:val="both"/>
              <w:rPr>
                <w:rFonts w:ascii="Times New Roman" w:eastAsia="Times New Roman" w:hAnsi="Times New Roman"/>
                <w:iCs/>
                <w:sz w:val="24"/>
                <w:szCs w:val="24"/>
              </w:rPr>
            </w:pPr>
          </w:p>
        </w:tc>
      </w:tr>
      <w:tr w:rsidR="0081198D" w:rsidTr="009F6153">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3.</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Administratīvo izmaksu monetārs novērtējums</w:t>
            </w:r>
          </w:p>
        </w:tc>
        <w:tc>
          <w:tcPr>
            <w:tcW w:w="540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Nav attiecināms.</w:t>
            </w:r>
          </w:p>
        </w:tc>
      </w:tr>
      <w:tr w:rsidR="0081198D" w:rsidTr="009F6153">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Atbilstības izmaksu monetārs novērtējums</w:t>
            </w:r>
          </w:p>
        </w:tc>
        <w:tc>
          <w:tcPr>
            <w:tcW w:w="540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Nav attiecināms.</w:t>
            </w:r>
          </w:p>
        </w:tc>
      </w:tr>
      <w:tr w:rsidR="0081198D" w:rsidTr="009F6153">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5.</w:t>
            </w:r>
          </w:p>
        </w:tc>
        <w:tc>
          <w:tcPr>
            <w:tcW w:w="3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Cita informācija</w:t>
            </w:r>
          </w:p>
        </w:tc>
        <w:tc>
          <w:tcPr>
            <w:tcW w:w="540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Nav.</w:t>
            </w:r>
          </w:p>
        </w:tc>
      </w:tr>
    </w:tbl>
    <w:p w:rsidR="0081198D" w:rsidRDefault="009C4C53">
      <w:pPr>
        <w:spacing w:after="120" w:line="240" w:lineRule="auto"/>
        <w:rPr>
          <w:rFonts w:ascii="Times New Roman" w:eastAsia="Times New Roman" w:hAnsi="Times New Roman"/>
          <w:iCs/>
          <w:sz w:val="24"/>
          <w:szCs w:val="24"/>
          <w:lang w:val="en-US"/>
        </w:rPr>
      </w:pPr>
      <w:r>
        <w:rPr>
          <w:rFonts w:ascii="Times New Roman" w:eastAsia="Times New Roman" w:hAnsi="Times New Roman"/>
          <w:iCs/>
          <w:sz w:val="24"/>
          <w:szCs w:val="24"/>
        </w:rPr>
        <w:t xml:space="preserve">  </w:t>
      </w:r>
    </w:p>
    <w:tbl>
      <w:tblPr>
        <w:tblW w:w="9055" w:type="dxa"/>
        <w:tblInd w:w="-15" w:type="dxa"/>
        <w:tblLook w:val="04A0" w:firstRow="1" w:lastRow="0" w:firstColumn="1" w:lastColumn="0" w:noHBand="0" w:noVBand="1"/>
      </w:tblPr>
      <w:tblGrid>
        <w:gridCol w:w="9055"/>
      </w:tblGrid>
      <w:tr w:rsidR="0081198D">
        <w:tc>
          <w:tcPr>
            <w:tcW w:w="90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81198D" w:rsidRDefault="009C4C53">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III. Tiesību akta projekta ietekme uz valsts budžetu un pašvaldību budžetiem</w:t>
            </w:r>
          </w:p>
        </w:tc>
      </w:tr>
      <w:tr w:rsidR="0081198D">
        <w:tc>
          <w:tcPr>
            <w:tcW w:w="9055"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81198D" w:rsidRDefault="009C4C53">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Projekts šo jomu neskar.</w:t>
            </w:r>
          </w:p>
        </w:tc>
      </w:tr>
    </w:tbl>
    <w:p w:rsidR="0081198D" w:rsidRDefault="0081198D">
      <w:pPr>
        <w:spacing w:after="120" w:line="240" w:lineRule="auto"/>
        <w:rPr>
          <w:rFonts w:ascii="Times New Roman" w:eastAsia="Times New Roman" w:hAnsi="Times New Roman"/>
          <w:iCs/>
          <w:sz w:val="24"/>
          <w:szCs w:val="24"/>
          <w:lang w:val="en-US"/>
        </w:rPr>
      </w:pPr>
    </w:p>
    <w:tbl>
      <w:tblPr>
        <w:tblW w:w="9055" w:type="dxa"/>
        <w:tblInd w:w="-15" w:type="dxa"/>
        <w:tblLook w:val="04A0" w:firstRow="1" w:lastRow="0" w:firstColumn="1" w:lastColumn="0" w:noHBand="0" w:noVBand="1"/>
      </w:tblPr>
      <w:tblGrid>
        <w:gridCol w:w="9055"/>
      </w:tblGrid>
      <w:tr w:rsidR="0081198D">
        <w:tc>
          <w:tcPr>
            <w:tcW w:w="905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81198D" w:rsidRDefault="009C4C53">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IV. Tiesību akta projekta ietekme uz spēkā esošo tiesību normu sistēmu</w:t>
            </w:r>
          </w:p>
        </w:tc>
      </w:tr>
      <w:tr w:rsidR="0081198D">
        <w:tc>
          <w:tcPr>
            <w:tcW w:w="496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pBdr>
                <w:top w:val="nil"/>
                <w:left w:val="nil"/>
                <w:bottom w:val="nil"/>
                <w:right w:val="nil"/>
                <w:between w:val="nil"/>
              </w:pBdr>
              <w:shd w:val="solid" w:color="FFFFFF" w:fill="auto"/>
              <w:spacing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Projekts šo jomu neskar.</w:t>
            </w:r>
          </w:p>
        </w:tc>
      </w:tr>
    </w:tbl>
    <w:p w:rsidR="0081198D" w:rsidRDefault="009C4C53">
      <w:pPr>
        <w:spacing w:after="12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  </w:t>
      </w:r>
    </w:p>
    <w:tbl>
      <w:tblPr>
        <w:tblW w:w="9055" w:type="dxa"/>
        <w:tblLook w:val="04A0" w:firstRow="1" w:lastRow="0" w:firstColumn="1" w:lastColumn="0" w:noHBand="0" w:noVBand="1"/>
      </w:tblPr>
      <w:tblGrid>
        <w:gridCol w:w="543"/>
        <w:gridCol w:w="3079"/>
        <w:gridCol w:w="5433"/>
      </w:tblGrid>
      <w:tr w:rsidR="0081198D">
        <w:tc>
          <w:tcPr>
            <w:tcW w:w="9055" w:type="dxa"/>
            <w:gridSpan w:val="3"/>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tcPr>
          <w:p w:rsidR="0081198D" w:rsidRDefault="009C4C53">
            <w:pPr>
              <w:spacing w:line="240" w:lineRule="auto"/>
              <w:rPr>
                <w:rFonts w:ascii="Times New Roman" w:hAnsi="Times New Roman"/>
                <w:b/>
                <w:bCs/>
                <w:sz w:val="24"/>
              </w:rPr>
            </w:pPr>
            <w:r>
              <w:rPr>
                <w:rFonts w:ascii="Times New Roman" w:hAnsi="Times New Roman"/>
                <w:b/>
                <w:bCs/>
                <w:sz w:val="24"/>
              </w:rPr>
              <w:t>V. Tiesību akta projekta atbilstība Latvijas Republikas starptautiskajām saistībām</w:t>
            </w:r>
          </w:p>
        </w:tc>
      </w:tr>
      <w:tr w:rsidR="0081198D">
        <w:tc>
          <w:tcPr>
            <w:tcW w:w="3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1.</w:t>
            </w:r>
          </w:p>
        </w:tc>
        <w:tc>
          <w:tcPr>
            <w:tcW w:w="17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Saistības pret Eiropas Savienību</w:t>
            </w:r>
          </w:p>
        </w:tc>
        <w:tc>
          <w:tcPr>
            <w:tcW w:w="30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jc w:val="both"/>
              <w:rPr>
                <w:rFonts w:ascii="Times New Roman" w:hAnsi="Times New Roman"/>
                <w:bCs/>
                <w:i/>
                <w:color w:val="000000"/>
                <w:sz w:val="24"/>
                <w:shd w:val="clear" w:color="auto" w:fill="FFFFFF"/>
              </w:rPr>
            </w:pPr>
            <w:r>
              <w:rPr>
                <w:rFonts w:ascii="Times New Roman" w:hAnsi="Times New Roman"/>
                <w:sz w:val="24"/>
              </w:rPr>
              <w:t xml:space="preserve">Tiek pārņemtas Padomes 2016. gada 19. decembra Direktīvas 2017/159, </w:t>
            </w:r>
            <w:r>
              <w:rPr>
                <w:rFonts w:ascii="Times New Roman" w:hAnsi="Times New Roman"/>
                <w:bCs/>
                <w:color w:val="000000"/>
                <w:sz w:val="24"/>
                <w:shd w:val="clear" w:color="auto" w:fill="FFFFFF"/>
              </w:rPr>
              <w:t>ar ko īsteno Nolīgumu, ar ko īsteno Starptautiskās Darba organizācijas 2007. gada Konvenciju par darbu zvejniecībā, kas noslēgts 2012. gada 21. maijā starp Eiropas Savienības Lauksaimniecības kooperatīvu vispārējo konfederāciju (</w:t>
            </w:r>
            <w:r>
              <w:rPr>
                <w:rFonts w:ascii="Times New Roman" w:hAnsi="Times New Roman"/>
                <w:bCs/>
                <w:i/>
                <w:iCs/>
                <w:color w:val="000000"/>
                <w:sz w:val="24"/>
                <w:shd w:val="clear" w:color="auto" w:fill="FFFFFF"/>
              </w:rPr>
              <w:t>COGECA</w:t>
            </w:r>
            <w:r>
              <w:rPr>
                <w:rFonts w:ascii="Times New Roman" w:hAnsi="Times New Roman"/>
                <w:bCs/>
                <w:color w:val="000000"/>
                <w:sz w:val="24"/>
                <w:shd w:val="clear" w:color="auto" w:fill="FFFFFF"/>
              </w:rPr>
              <w:t>), Eiropas Transporta darbinieku federāciju (ETDF) un Eiropas Savienībā darbojošos Zvejnieku saimniecību nacionālo organizāciju asociāciju</w:t>
            </w:r>
            <w:r>
              <w:rPr>
                <w:rFonts w:ascii="Times New Roman" w:hAnsi="Times New Roman"/>
                <w:bCs/>
                <w:i/>
                <w:color w:val="000000"/>
                <w:sz w:val="24"/>
                <w:shd w:val="clear" w:color="auto" w:fill="FFFFFF"/>
              </w:rPr>
              <w:t xml:space="preserve"> (</w:t>
            </w:r>
            <w:proofErr w:type="spellStart"/>
            <w:r>
              <w:rPr>
                <w:rFonts w:ascii="Times New Roman" w:hAnsi="Times New Roman"/>
                <w:bCs/>
                <w:i/>
                <w:iCs/>
                <w:color w:val="000000"/>
                <w:sz w:val="24"/>
                <w:shd w:val="clear" w:color="auto" w:fill="FFFFFF"/>
              </w:rPr>
              <w:t>Europêche</w:t>
            </w:r>
            <w:proofErr w:type="spellEnd"/>
            <w:r>
              <w:rPr>
                <w:rFonts w:ascii="Times New Roman" w:hAnsi="Times New Roman"/>
                <w:bCs/>
                <w:color w:val="000000"/>
                <w:sz w:val="24"/>
                <w:shd w:val="clear" w:color="auto" w:fill="FFFFFF"/>
              </w:rPr>
              <w:t>),</w:t>
            </w:r>
            <w:r>
              <w:rPr>
                <w:rFonts w:ascii="Times New Roman" w:hAnsi="Times New Roman"/>
                <w:bCs/>
                <w:i/>
                <w:color w:val="000000"/>
                <w:sz w:val="24"/>
                <w:shd w:val="clear" w:color="auto" w:fill="FFFFFF"/>
              </w:rPr>
              <w:t xml:space="preserve"> </w:t>
            </w:r>
            <w:r>
              <w:rPr>
                <w:rFonts w:ascii="Times New Roman" w:hAnsi="Times New Roman"/>
                <w:bCs/>
                <w:color w:val="000000"/>
                <w:sz w:val="24"/>
                <w:shd w:val="clear" w:color="auto" w:fill="FFFFFF"/>
              </w:rPr>
              <w:t>prasības attiecībā uz apspriešanās iespējas par nodarbinātību zvejniecībā (skatīt 1. tabulu).</w:t>
            </w:r>
          </w:p>
          <w:p w:rsidR="0081198D" w:rsidRDefault="009C4C53">
            <w:pPr>
              <w:spacing w:line="240" w:lineRule="auto"/>
              <w:jc w:val="both"/>
              <w:rPr>
                <w:rFonts w:ascii="Times New Roman" w:hAnsi="Times New Roman"/>
                <w:sz w:val="24"/>
              </w:rPr>
            </w:pPr>
            <w:r>
              <w:rPr>
                <w:rFonts w:ascii="Times New Roman" w:hAnsi="Times New Roman"/>
                <w:bCs/>
                <w:color w:val="000000"/>
                <w:sz w:val="24"/>
                <w:shd w:val="clear" w:color="auto" w:fill="FFFFFF"/>
              </w:rPr>
              <w:t xml:space="preserve">Direktīvas pārņemšanas termiņš </w:t>
            </w:r>
            <w:r>
              <w:rPr>
                <w:rFonts w:ascii="Times New Roman" w:hAnsi="Times New Roman"/>
                <w:sz w:val="24"/>
              </w:rPr>
              <w:t>–</w:t>
            </w:r>
            <w:r>
              <w:rPr>
                <w:rFonts w:ascii="Times New Roman" w:hAnsi="Times New Roman"/>
                <w:bCs/>
                <w:color w:val="000000"/>
                <w:sz w:val="24"/>
                <w:shd w:val="clear" w:color="auto" w:fill="FFFFFF"/>
              </w:rPr>
              <w:t xml:space="preserve"> 2019. gada 15. novembris.</w:t>
            </w:r>
          </w:p>
        </w:tc>
      </w:tr>
      <w:tr w:rsidR="0081198D">
        <w:tc>
          <w:tcPr>
            <w:tcW w:w="3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2.</w:t>
            </w:r>
          </w:p>
        </w:tc>
        <w:tc>
          <w:tcPr>
            <w:tcW w:w="17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Citas starptautiskās saistības</w:t>
            </w:r>
          </w:p>
        </w:tc>
        <w:tc>
          <w:tcPr>
            <w:tcW w:w="30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Nav.</w:t>
            </w:r>
          </w:p>
        </w:tc>
      </w:tr>
      <w:tr w:rsidR="0081198D">
        <w:tc>
          <w:tcPr>
            <w:tcW w:w="3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3.</w:t>
            </w:r>
          </w:p>
        </w:tc>
        <w:tc>
          <w:tcPr>
            <w:tcW w:w="17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Cita informācija</w:t>
            </w:r>
          </w:p>
        </w:tc>
        <w:tc>
          <w:tcPr>
            <w:tcW w:w="3000" w:type="pct"/>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Nav.</w:t>
            </w:r>
          </w:p>
        </w:tc>
      </w:tr>
    </w:tbl>
    <w:p w:rsidR="0081198D" w:rsidRDefault="009C4C53">
      <w:pPr>
        <w:spacing w:line="240" w:lineRule="auto"/>
        <w:rPr>
          <w:rFonts w:ascii="Times New Roman" w:hAnsi="Times New Roman"/>
          <w:sz w:val="24"/>
        </w:rPr>
      </w:pPr>
      <w:r>
        <w:rPr>
          <w:rFonts w:ascii="Times New Roman" w:hAnsi="Times New Roman"/>
          <w:sz w:val="24"/>
        </w:rPr>
        <w:t> </w:t>
      </w:r>
    </w:p>
    <w:tbl>
      <w:tblPr>
        <w:tblW w:w="9055" w:type="dxa"/>
        <w:tblLook w:val="04A0" w:firstRow="1" w:lastRow="0" w:firstColumn="1" w:lastColumn="0" w:noHBand="0" w:noVBand="1"/>
      </w:tblPr>
      <w:tblGrid>
        <w:gridCol w:w="2263"/>
        <w:gridCol w:w="2264"/>
        <w:gridCol w:w="2264"/>
        <w:gridCol w:w="2264"/>
      </w:tblGrid>
      <w:tr w:rsidR="0081198D">
        <w:tc>
          <w:tcPr>
            <w:tcW w:w="9055" w:type="dxa"/>
            <w:gridSpan w:val="4"/>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tcPr>
          <w:p w:rsidR="0081198D" w:rsidRDefault="009C4C53">
            <w:pPr>
              <w:spacing w:line="240" w:lineRule="auto"/>
              <w:rPr>
                <w:rFonts w:ascii="Times New Roman" w:hAnsi="Times New Roman"/>
                <w:b/>
                <w:bCs/>
                <w:sz w:val="24"/>
              </w:rPr>
            </w:pPr>
            <w:r>
              <w:rPr>
                <w:rFonts w:ascii="Times New Roman" w:hAnsi="Times New Roman"/>
                <w:b/>
                <w:bCs/>
                <w:sz w:val="24"/>
              </w:rPr>
              <w:t>1. tabula</w:t>
            </w:r>
            <w:r>
              <w:rPr>
                <w:rFonts w:ascii="Times New Roman" w:hAnsi="Times New Roman"/>
                <w:b/>
                <w:bCs/>
                <w:sz w:val="24"/>
              </w:rPr>
              <w:br/>
            </w:r>
            <w:r>
              <w:rPr>
                <w:rFonts w:ascii="Times New Roman" w:hAnsi="Times New Roman"/>
                <w:b/>
                <w:bCs/>
                <w:sz w:val="24"/>
              </w:rPr>
              <w:lastRenderedPageBreak/>
              <w:t>Tiesību akta projekta atbilstība ES tiesību aktiem</w:t>
            </w:r>
          </w:p>
        </w:tc>
      </w:tr>
      <w:tr w:rsidR="0081198D"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lastRenderedPageBreak/>
              <w:t>Attiecīgā ES tiesību akta datums, numurs un nosaukums</w:t>
            </w:r>
          </w:p>
        </w:tc>
        <w:tc>
          <w:tcPr>
            <w:tcW w:w="6792" w:type="dxa"/>
            <w:gridSpan w:val="3"/>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rsidP="00354E93">
            <w:pPr>
              <w:spacing w:line="240" w:lineRule="auto"/>
              <w:jc w:val="both"/>
              <w:rPr>
                <w:rFonts w:ascii="Times New Roman" w:hAnsi="Times New Roman"/>
                <w:sz w:val="24"/>
              </w:rPr>
            </w:pPr>
            <w:r>
              <w:rPr>
                <w:rFonts w:ascii="Times New Roman" w:hAnsi="Times New Roman"/>
                <w:sz w:val="24"/>
              </w:rPr>
              <w:t xml:space="preserve">Padomes 2016. gada 19. decembra Direktīva 2017/159, </w:t>
            </w:r>
            <w:r>
              <w:rPr>
                <w:rFonts w:ascii="Times New Roman" w:hAnsi="Times New Roman"/>
                <w:bCs/>
                <w:color w:val="000000"/>
                <w:sz w:val="24"/>
                <w:shd w:val="clear" w:color="auto" w:fill="FFFFFF"/>
              </w:rPr>
              <w:t>ar ko īsteno Nolīgumu, ar ko īsteno Starptautiskās Darba organizācijas 2007. gada Konvenciju par darbu zvejniecībā, kas noslēgts 2012. gada 21. maijā starp Eiropas Savienības Lauksaimniecības kooperatīvu vispārējo konfederāciju (</w:t>
            </w:r>
            <w:r>
              <w:rPr>
                <w:rFonts w:ascii="Times New Roman" w:hAnsi="Times New Roman"/>
                <w:bCs/>
                <w:i/>
                <w:iCs/>
                <w:color w:val="000000"/>
                <w:sz w:val="24"/>
                <w:shd w:val="clear" w:color="auto" w:fill="FFFFFF"/>
              </w:rPr>
              <w:t>COGECA</w:t>
            </w:r>
            <w:r>
              <w:rPr>
                <w:rFonts w:ascii="Times New Roman" w:hAnsi="Times New Roman"/>
                <w:bCs/>
                <w:color w:val="000000"/>
                <w:sz w:val="24"/>
                <w:shd w:val="clear" w:color="auto" w:fill="FFFFFF"/>
              </w:rPr>
              <w:t>), Eiropas Transporta darbinieku federāciju (ETDF) un Eiropas Savienībā darbojošos Zvejnieku saimniecību nacionālo organizāciju asociāciju</w:t>
            </w:r>
            <w:r>
              <w:rPr>
                <w:rFonts w:ascii="Times New Roman" w:hAnsi="Times New Roman"/>
                <w:bCs/>
                <w:i/>
                <w:color w:val="000000"/>
                <w:sz w:val="24"/>
                <w:shd w:val="clear" w:color="auto" w:fill="FFFFFF"/>
              </w:rPr>
              <w:t xml:space="preserve"> (</w:t>
            </w:r>
            <w:proofErr w:type="spellStart"/>
            <w:r>
              <w:rPr>
                <w:rFonts w:ascii="Times New Roman" w:hAnsi="Times New Roman"/>
                <w:bCs/>
                <w:i/>
                <w:iCs/>
                <w:color w:val="000000"/>
                <w:sz w:val="24"/>
                <w:shd w:val="clear" w:color="auto" w:fill="FFFFFF"/>
              </w:rPr>
              <w:t>Europêche</w:t>
            </w:r>
            <w:proofErr w:type="spellEnd"/>
            <w:r>
              <w:rPr>
                <w:rFonts w:ascii="Times New Roman" w:hAnsi="Times New Roman"/>
                <w:bCs/>
                <w:color w:val="000000"/>
                <w:sz w:val="24"/>
                <w:shd w:val="clear" w:color="auto" w:fill="FFFFFF"/>
              </w:rPr>
              <w:t>) (turpmāk – Direktīva)</w:t>
            </w:r>
          </w:p>
        </w:tc>
      </w:tr>
      <w:tr w:rsidR="0081198D"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tcPr>
          <w:p w:rsidR="0081198D" w:rsidRDefault="009C4C53">
            <w:pPr>
              <w:spacing w:after="0" w:line="240" w:lineRule="auto"/>
              <w:rPr>
                <w:rFonts w:ascii="Times New Roman" w:hAnsi="Times New Roman"/>
                <w:sz w:val="24"/>
                <w:szCs w:val="24"/>
              </w:rPr>
            </w:pPr>
            <w:r>
              <w:rPr>
                <w:rFonts w:ascii="Times New Roman" w:hAnsi="Times New Roman"/>
                <w:sz w:val="24"/>
                <w:szCs w:val="24"/>
              </w:rPr>
              <w:t>A</w:t>
            </w:r>
          </w:p>
          <w:p w:rsidR="0081198D" w:rsidRDefault="009C4C53">
            <w:pPr>
              <w:spacing w:after="0" w:line="240" w:lineRule="auto"/>
              <w:rPr>
                <w:rFonts w:ascii="Times New Roman" w:hAnsi="Times New Roman"/>
                <w:sz w:val="24"/>
                <w:szCs w:val="24"/>
              </w:rPr>
            </w:pPr>
            <w:r>
              <w:rPr>
                <w:rFonts w:ascii="Times New Roman" w:hAnsi="Times New Roman"/>
                <w:sz w:val="24"/>
                <w:szCs w:val="24"/>
              </w:rPr>
              <w:t>Attiecīgā ES tiesību akta</w:t>
            </w:r>
          </w:p>
          <w:p w:rsidR="0081198D" w:rsidRDefault="009C4C53">
            <w:pPr>
              <w:spacing w:after="0" w:line="240" w:lineRule="auto"/>
              <w:rPr>
                <w:rFonts w:ascii="Times New Roman" w:hAnsi="Times New Roman"/>
                <w:sz w:val="24"/>
                <w:szCs w:val="24"/>
              </w:rPr>
            </w:pPr>
            <w:r>
              <w:rPr>
                <w:rFonts w:ascii="Times New Roman" w:hAnsi="Times New Roman"/>
                <w:sz w:val="24"/>
                <w:szCs w:val="24"/>
              </w:rPr>
              <w:t>panta numurs (uzskaitot</w:t>
            </w:r>
          </w:p>
          <w:p w:rsidR="0081198D" w:rsidRDefault="009C4C53">
            <w:pPr>
              <w:spacing w:after="0" w:line="240" w:lineRule="auto"/>
              <w:rPr>
                <w:rFonts w:ascii="Times New Roman" w:hAnsi="Times New Roman"/>
                <w:sz w:val="24"/>
                <w:szCs w:val="24"/>
              </w:rPr>
            </w:pPr>
            <w:r>
              <w:rPr>
                <w:rFonts w:ascii="Times New Roman" w:hAnsi="Times New Roman"/>
                <w:sz w:val="24"/>
                <w:szCs w:val="24"/>
              </w:rPr>
              <w:t>katru tiesību akta vienību –</w:t>
            </w:r>
          </w:p>
          <w:p w:rsidR="0081198D" w:rsidRDefault="009C4C53">
            <w:pPr>
              <w:spacing w:after="0" w:line="240" w:lineRule="auto"/>
              <w:rPr>
                <w:rFonts w:ascii="Times New Roman" w:hAnsi="Times New Roman"/>
                <w:sz w:val="24"/>
                <w:szCs w:val="24"/>
              </w:rPr>
            </w:pPr>
            <w:r>
              <w:rPr>
                <w:rFonts w:ascii="Times New Roman" w:hAnsi="Times New Roman"/>
                <w:sz w:val="24"/>
                <w:szCs w:val="24"/>
              </w:rPr>
              <w:t>pantu, daļu, punktu,</w:t>
            </w:r>
          </w:p>
          <w:p w:rsidR="0081198D" w:rsidRDefault="009C4C53">
            <w:pPr>
              <w:spacing w:after="0" w:line="240" w:lineRule="auto"/>
              <w:rPr>
                <w:rFonts w:ascii="Times New Roman" w:hAnsi="Times New Roman"/>
                <w:sz w:val="24"/>
                <w:szCs w:val="24"/>
              </w:rPr>
            </w:pPr>
            <w:r>
              <w:rPr>
                <w:rFonts w:ascii="Times New Roman" w:hAnsi="Times New Roman"/>
                <w:sz w:val="24"/>
                <w:szCs w:val="24"/>
              </w:rPr>
              <w:t>apakšpunktu)</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tcPr>
          <w:p w:rsidR="0081198D" w:rsidRDefault="009C4C53">
            <w:pPr>
              <w:spacing w:after="0" w:line="240" w:lineRule="auto"/>
              <w:rPr>
                <w:rFonts w:ascii="Times New Roman" w:hAnsi="Times New Roman"/>
                <w:sz w:val="24"/>
                <w:szCs w:val="24"/>
              </w:rPr>
            </w:pPr>
            <w:r>
              <w:rPr>
                <w:rFonts w:ascii="Times New Roman" w:hAnsi="Times New Roman"/>
                <w:sz w:val="24"/>
                <w:szCs w:val="24"/>
              </w:rPr>
              <w:t>B</w:t>
            </w:r>
          </w:p>
          <w:p w:rsidR="0081198D" w:rsidRDefault="009C4C53">
            <w:pPr>
              <w:spacing w:after="0" w:line="240" w:lineRule="auto"/>
              <w:rPr>
                <w:rFonts w:ascii="Times New Roman" w:hAnsi="Times New Roman"/>
                <w:sz w:val="24"/>
                <w:szCs w:val="24"/>
              </w:rPr>
            </w:pPr>
            <w:r>
              <w:rPr>
                <w:rFonts w:ascii="Times New Roman" w:hAnsi="Times New Roman"/>
                <w:sz w:val="24"/>
                <w:szCs w:val="24"/>
              </w:rPr>
              <w:t>Projekta vienība, kas pārņem</w:t>
            </w:r>
          </w:p>
          <w:p w:rsidR="0081198D" w:rsidRDefault="009C4C53">
            <w:pPr>
              <w:spacing w:after="0" w:line="240" w:lineRule="auto"/>
              <w:rPr>
                <w:rFonts w:ascii="Times New Roman" w:hAnsi="Times New Roman"/>
                <w:sz w:val="24"/>
                <w:szCs w:val="24"/>
              </w:rPr>
            </w:pPr>
            <w:r>
              <w:rPr>
                <w:rFonts w:ascii="Times New Roman" w:hAnsi="Times New Roman"/>
                <w:sz w:val="24"/>
                <w:szCs w:val="24"/>
              </w:rPr>
              <w:t>vai ievieš katru šīs tabulas A</w:t>
            </w:r>
          </w:p>
          <w:p w:rsidR="0081198D" w:rsidRDefault="009C4C53">
            <w:pPr>
              <w:spacing w:after="0" w:line="240" w:lineRule="auto"/>
              <w:rPr>
                <w:rFonts w:ascii="Times New Roman" w:hAnsi="Times New Roman"/>
                <w:sz w:val="24"/>
                <w:szCs w:val="24"/>
              </w:rPr>
            </w:pPr>
            <w:r>
              <w:rPr>
                <w:rFonts w:ascii="Times New Roman" w:hAnsi="Times New Roman"/>
                <w:sz w:val="24"/>
                <w:szCs w:val="24"/>
              </w:rPr>
              <w:t>ailē minēto ES tiesību akta</w:t>
            </w:r>
          </w:p>
          <w:p w:rsidR="0081198D" w:rsidRDefault="009C4C53">
            <w:pPr>
              <w:spacing w:after="0" w:line="240" w:lineRule="auto"/>
              <w:rPr>
                <w:rFonts w:ascii="Times New Roman" w:hAnsi="Times New Roman"/>
                <w:sz w:val="24"/>
                <w:szCs w:val="24"/>
              </w:rPr>
            </w:pPr>
            <w:r>
              <w:rPr>
                <w:rFonts w:ascii="Times New Roman" w:hAnsi="Times New Roman"/>
                <w:sz w:val="24"/>
                <w:szCs w:val="24"/>
              </w:rPr>
              <w:t>vienību, vai tiesību akts, kur</w:t>
            </w:r>
          </w:p>
          <w:p w:rsidR="0081198D" w:rsidRDefault="009C4C53">
            <w:pPr>
              <w:spacing w:after="0" w:line="240" w:lineRule="auto"/>
              <w:rPr>
                <w:rFonts w:ascii="Times New Roman" w:hAnsi="Times New Roman"/>
                <w:sz w:val="24"/>
                <w:szCs w:val="24"/>
              </w:rPr>
            </w:pPr>
            <w:r>
              <w:rPr>
                <w:rFonts w:ascii="Times New Roman" w:hAnsi="Times New Roman"/>
                <w:sz w:val="24"/>
                <w:szCs w:val="24"/>
              </w:rPr>
              <w:t>attiecīgā ES tiesību akta</w:t>
            </w:r>
          </w:p>
          <w:p w:rsidR="0081198D" w:rsidRDefault="009C4C53">
            <w:pPr>
              <w:spacing w:after="0" w:line="240" w:lineRule="auto"/>
              <w:rPr>
                <w:rFonts w:ascii="Times New Roman" w:hAnsi="Times New Roman"/>
                <w:sz w:val="24"/>
                <w:szCs w:val="24"/>
              </w:rPr>
            </w:pPr>
            <w:r>
              <w:rPr>
                <w:rFonts w:ascii="Times New Roman" w:hAnsi="Times New Roman"/>
                <w:sz w:val="24"/>
                <w:szCs w:val="24"/>
              </w:rPr>
              <w:t>vienība pārņemta vai ieviesta</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tcPr>
          <w:p w:rsidR="0081198D" w:rsidRDefault="009C4C53">
            <w:pPr>
              <w:spacing w:after="0" w:line="240" w:lineRule="auto"/>
              <w:rPr>
                <w:rFonts w:ascii="Times New Roman" w:hAnsi="Times New Roman"/>
                <w:sz w:val="24"/>
                <w:szCs w:val="24"/>
              </w:rPr>
            </w:pPr>
            <w:r>
              <w:rPr>
                <w:rFonts w:ascii="Times New Roman" w:hAnsi="Times New Roman"/>
                <w:sz w:val="24"/>
                <w:szCs w:val="24"/>
              </w:rPr>
              <w:t xml:space="preserve">C </w:t>
            </w:r>
          </w:p>
          <w:p w:rsidR="0081198D" w:rsidRDefault="009C4C53">
            <w:pPr>
              <w:spacing w:after="0" w:line="240" w:lineRule="auto"/>
              <w:rPr>
                <w:rFonts w:ascii="Times New Roman" w:hAnsi="Times New Roman"/>
                <w:sz w:val="24"/>
                <w:szCs w:val="24"/>
              </w:rPr>
            </w:pPr>
            <w:r>
              <w:rPr>
                <w:rFonts w:ascii="Times New Roman" w:hAnsi="Times New Roman"/>
                <w:sz w:val="24"/>
                <w:szCs w:val="24"/>
              </w:rPr>
              <w:t>Informācija par to, vai šīs</w:t>
            </w:r>
          </w:p>
          <w:p w:rsidR="0081198D" w:rsidRDefault="009C4C53">
            <w:pPr>
              <w:spacing w:after="0" w:line="240" w:lineRule="auto"/>
              <w:rPr>
                <w:rFonts w:ascii="Times New Roman" w:hAnsi="Times New Roman"/>
                <w:sz w:val="24"/>
                <w:szCs w:val="24"/>
              </w:rPr>
            </w:pPr>
            <w:r>
              <w:rPr>
                <w:rFonts w:ascii="Times New Roman" w:hAnsi="Times New Roman"/>
                <w:sz w:val="24"/>
                <w:szCs w:val="24"/>
              </w:rPr>
              <w:t>tabulas A ailē minētās ES</w:t>
            </w:r>
          </w:p>
          <w:p w:rsidR="0081198D" w:rsidRDefault="009C4C53">
            <w:pPr>
              <w:spacing w:after="0" w:line="240" w:lineRule="auto"/>
              <w:rPr>
                <w:rFonts w:ascii="Times New Roman" w:hAnsi="Times New Roman"/>
                <w:sz w:val="24"/>
                <w:szCs w:val="24"/>
              </w:rPr>
            </w:pPr>
            <w:r>
              <w:rPr>
                <w:rFonts w:ascii="Times New Roman" w:hAnsi="Times New Roman"/>
                <w:sz w:val="24"/>
                <w:szCs w:val="24"/>
              </w:rPr>
              <w:t>tiesību akta vienības tiek</w:t>
            </w:r>
          </w:p>
          <w:p w:rsidR="0081198D" w:rsidRDefault="009C4C53">
            <w:pPr>
              <w:spacing w:after="0" w:line="240" w:lineRule="auto"/>
              <w:rPr>
                <w:rFonts w:ascii="Times New Roman" w:hAnsi="Times New Roman"/>
                <w:sz w:val="24"/>
                <w:szCs w:val="24"/>
              </w:rPr>
            </w:pPr>
            <w:r>
              <w:rPr>
                <w:rFonts w:ascii="Times New Roman" w:hAnsi="Times New Roman"/>
                <w:sz w:val="24"/>
                <w:szCs w:val="24"/>
              </w:rPr>
              <w:t>pārņemtas vai ieviestas</w:t>
            </w:r>
          </w:p>
          <w:p w:rsidR="0081198D" w:rsidRDefault="009C4C53">
            <w:pPr>
              <w:spacing w:after="0" w:line="240" w:lineRule="auto"/>
              <w:rPr>
                <w:rFonts w:ascii="Times New Roman" w:hAnsi="Times New Roman"/>
                <w:sz w:val="24"/>
                <w:szCs w:val="24"/>
              </w:rPr>
            </w:pPr>
            <w:r>
              <w:rPr>
                <w:rFonts w:ascii="Times New Roman" w:hAnsi="Times New Roman"/>
                <w:sz w:val="24"/>
                <w:szCs w:val="24"/>
              </w:rPr>
              <w:t>pilnībā vai daļēji.</w:t>
            </w:r>
          </w:p>
          <w:p w:rsidR="0081198D" w:rsidRDefault="009C4C53">
            <w:pPr>
              <w:spacing w:after="0" w:line="240" w:lineRule="auto"/>
              <w:rPr>
                <w:rFonts w:ascii="Times New Roman" w:hAnsi="Times New Roman"/>
                <w:sz w:val="24"/>
                <w:szCs w:val="24"/>
              </w:rPr>
            </w:pPr>
            <w:r>
              <w:rPr>
                <w:rFonts w:ascii="Times New Roman" w:hAnsi="Times New Roman"/>
                <w:sz w:val="24"/>
                <w:szCs w:val="24"/>
              </w:rPr>
              <w:t>Norāda institūciju, kas ir</w:t>
            </w:r>
          </w:p>
          <w:p w:rsidR="0081198D" w:rsidRDefault="009C4C53">
            <w:pPr>
              <w:spacing w:after="0" w:line="240" w:lineRule="auto"/>
              <w:rPr>
                <w:rFonts w:ascii="Times New Roman" w:hAnsi="Times New Roman"/>
                <w:sz w:val="24"/>
                <w:szCs w:val="24"/>
              </w:rPr>
            </w:pPr>
            <w:r>
              <w:rPr>
                <w:rFonts w:ascii="Times New Roman" w:hAnsi="Times New Roman"/>
                <w:sz w:val="24"/>
                <w:szCs w:val="24"/>
              </w:rPr>
              <w:t>atbildīga par šo saistību izpildi pilnībā</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tcPr>
          <w:p w:rsidR="0081198D" w:rsidRDefault="009C4C53">
            <w:pPr>
              <w:spacing w:after="0" w:line="240" w:lineRule="auto"/>
              <w:rPr>
                <w:rFonts w:ascii="Times New Roman" w:hAnsi="Times New Roman"/>
                <w:sz w:val="24"/>
                <w:szCs w:val="24"/>
              </w:rPr>
            </w:pPr>
            <w:r>
              <w:rPr>
                <w:rFonts w:ascii="Times New Roman" w:hAnsi="Times New Roman"/>
                <w:sz w:val="24"/>
                <w:szCs w:val="24"/>
              </w:rPr>
              <w:t xml:space="preserve">D </w:t>
            </w:r>
          </w:p>
          <w:p w:rsidR="0081198D" w:rsidRDefault="009C4C53">
            <w:pPr>
              <w:spacing w:after="0" w:line="240" w:lineRule="auto"/>
              <w:rPr>
                <w:rFonts w:ascii="Times New Roman" w:hAnsi="Times New Roman"/>
                <w:sz w:val="24"/>
                <w:szCs w:val="24"/>
              </w:rPr>
            </w:pPr>
            <w:r>
              <w:rPr>
                <w:rFonts w:ascii="Times New Roman" w:hAnsi="Times New Roman"/>
                <w:sz w:val="24"/>
                <w:szCs w:val="24"/>
              </w:rPr>
              <w:t>Informācija par to, vai šīs</w:t>
            </w:r>
          </w:p>
          <w:p w:rsidR="0081198D" w:rsidRDefault="009C4C53">
            <w:pPr>
              <w:spacing w:after="0" w:line="240" w:lineRule="auto"/>
              <w:rPr>
                <w:rFonts w:ascii="Times New Roman" w:hAnsi="Times New Roman"/>
                <w:sz w:val="24"/>
                <w:szCs w:val="24"/>
              </w:rPr>
            </w:pPr>
            <w:r>
              <w:rPr>
                <w:rFonts w:ascii="Times New Roman" w:hAnsi="Times New Roman"/>
                <w:sz w:val="24"/>
                <w:szCs w:val="24"/>
              </w:rPr>
              <w:t>tabulas B ailē minētās</w:t>
            </w:r>
          </w:p>
          <w:p w:rsidR="0081198D" w:rsidRDefault="009C4C53">
            <w:pPr>
              <w:spacing w:after="0" w:line="240" w:lineRule="auto"/>
              <w:rPr>
                <w:rFonts w:ascii="Times New Roman" w:hAnsi="Times New Roman"/>
                <w:sz w:val="24"/>
                <w:szCs w:val="24"/>
              </w:rPr>
            </w:pPr>
            <w:r>
              <w:rPr>
                <w:rFonts w:ascii="Times New Roman" w:hAnsi="Times New Roman"/>
                <w:sz w:val="24"/>
                <w:szCs w:val="24"/>
              </w:rPr>
              <w:t>projekta vienības paredz</w:t>
            </w:r>
          </w:p>
          <w:p w:rsidR="0081198D" w:rsidRDefault="009C4C53">
            <w:pPr>
              <w:spacing w:after="0" w:line="240" w:lineRule="auto"/>
              <w:rPr>
                <w:rFonts w:ascii="Times New Roman" w:hAnsi="Times New Roman"/>
                <w:sz w:val="24"/>
                <w:szCs w:val="24"/>
              </w:rPr>
            </w:pPr>
            <w:r>
              <w:rPr>
                <w:rFonts w:ascii="Times New Roman" w:hAnsi="Times New Roman"/>
                <w:sz w:val="24"/>
                <w:szCs w:val="24"/>
              </w:rPr>
              <w:t>stingrākas prasības nekā šīs</w:t>
            </w:r>
          </w:p>
          <w:p w:rsidR="0081198D" w:rsidRDefault="009C4C53">
            <w:pPr>
              <w:spacing w:after="0" w:line="240" w:lineRule="auto"/>
              <w:rPr>
                <w:rFonts w:ascii="Times New Roman" w:hAnsi="Times New Roman"/>
                <w:sz w:val="24"/>
                <w:szCs w:val="24"/>
              </w:rPr>
            </w:pPr>
            <w:r>
              <w:rPr>
                <w:rFonts w:ascii="Times New Roman" w:hAnsi="Times New Roman"/>
                <w:sz w:val="24"/>
                <w:szCs w:val="24"/>
              </w:rPr>
              <w:t>tabulas A ailē minētās ES</w:t>
            </w:r>
          </w:p>
          <w:p w:rsidR="0081198D" w:rsidRDefault="009C4C53">
            <w:pPr>
              <w:spacing w:after="0" w:line="240" w:lineRule="auto"/>
              <w:rPr>
                <w:rFonts w:ascii="Times New Roman" w:hAnsi="Times New Roman"/>
                <w:sz w:val="24"/>
                <w:szCs w:val="24"/>
              </w:rPr>
            </w:pPr>
            <w:r>
              <w:rPr>
                <w:rFonts w:ascii="Times New Roman" w:hAnsi="Times New Roman"/>
                <w:sz w:val="24"/>
                <w:szCs w:val="24"/>
              </w:rPr>
              <w:t>tiesību akta vienības.</w:t>
            </w:r>
          </w:p>
          <w:p w:rsidR="0081198D" w:rsidRDefault="0081198D">
            <w:pPr>
              <w:spacing w:after="0" w:line="240" w:lineRule="auto"/>
              <w:rPr>
                <w:rFonts w:ascii="Times New Roman" w:hAnsi="Times New Roman"/>
                <w:sz w:val="24"/>
                <w:szCs w:val="24"/>
              </w:rPr>
            </w:pPr>
          </w:p>
        </w:tc>
      </w:tr>
      <w:tr w:rsidR="0081198D"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Pr="007A66FD" w:rsidRDefault="007A66FD">
            <w:pPr>
              <w:spacing w:line="240" w:lineRule="auto"/>
              <w:rPr>
                <w:rFonts w:ascii="Times New Roman" w:hAnsi="Times New Roman"/>
                <w:sz w:val="24"/>
                <w:szCs w:val="24"/>
              </w:rPr>
            </w:pPr>
            <w:r w:rsidRPr="007A66FD">
              <w:rPr>
                <w:rFonts w:ascii="Times New Roman" w:hAnsi="Times New Roman"/>
                <w:sz w:val="24"/>
                <w:szCs w:val="24"/>
              </w:rPr>
              <w:t xml:space="preserve">Direktīvas pielikuma II pielikuma </w:t>
            </w:r>
            <w:r w:rsidR="009C4C53" w:rsidRPr="007A66FD">
              <w:rPr>
                <w:rFonts w:ascii="Times New Roman" w:hAnsi="Times New Roman"/>
                <w:sz w:val="24"/>
                <w:szCs w:val="24"/>
              </w:rPr>
              <w:t>3. punkts</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25.4. apakšpunkts</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Pārņemta pilnībā.</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Neparedz stingrākas prasības.</w:t>
            </w:r>
          </w:p>
        </w:tc>
      </w:tr>
      <w:tr w:rsidR="004C77D1"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4C77D1" w:rsidRPr="007A66FD" w:rsidRDefault="007A66FD">
            <w:pPr>
              <w:spacing w:line="240" w:lineRule="auto"/>
              <w:rPr>
                <w:rFonts w:ascii="Times New Roman" w:hAnsi="Times New Roman"/>
                <w:sz w:val="24"/>
                <w:szCs w:val="24"/>
              </w:rPr>
            </w:pPr>
            <w:r w:rsidRPr="007A66FD">
              <w:rPr>
                <w:rFonts w:ascii="Times New Roman" w:hAnsi="Times New Roman"/>
                <w:sz w:val="24"/>
                <w:szCs w:val="24"/>
              </w:rPr>
              <w:t>Direktīvas pielikuma 2. panta 3. punkts</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4C77D1" w:rsidRDefault="004C77D1">
            <w:pPr>
              <w:spacing w:line="240" w:lineRule="auto"/>
              <w:rPr>
                <w:rFonts w:ascii="Times New Roman" w:hAnsi="Times New Roman"/>
                <w:sz w:val="24"/>
                <w:szCs w:val="24"/>
              </w:rPr>
            </w:pPr>
            <w:r>
              <w:rPr>
                <w:rFonts w:ascii="Times New Roman" w:hAnsi="Times New Roman"/>
                <w:sz w:val="24"/>
                <w:szCs w:val="24"/>
              </w:rPr>
              <w:t>25.5. apakšpunkts</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4C77D1" w:rsidRDefault="004C77D1">
            <w:pPr>
              <w:spacing w:line="240" w:lineRule="auto"/>
              <w:rPr>
                <w:rFonts w:ascii="Times New Roman" w:hAnsi="Times New Roman"/>
                <w:sz w:val="24"/>
                <w:szCs w:val="24"/>
              </w:rPr>
            </w:pPr>
            <w:r>
              <w:rPr>
                <w:rFonts w:ascii="Times New Roman" w:hAnsi="Times New Roman"/>
                <w:sz w:val="24"/>
                <w:szCs w:val="24"/>
              </w:rPr>
              <w:t>Pārņemta pilnībā</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4C77D1" w:rsidRDefault="004C77D1">
            <w:pPr>
              <w:spacing w:line="240" w:lineRule="auto"/>
              <w:rPr>
                <w:rFonts w:ascii="Times New Roman" w:hAnsi="Times New Roman"/>
                <w:sz w:val="24"/>
                <w:szCs w:val="24"/>
              </w:rPr>
            </w:pPr>
            <w:r>
              <w:rPr>
                <w:rFonts w:ascii="Times New Roman" w:hAnsi="Times New Roman"/>
                <w:sz w:val="24"/>
                <w:szCs w:val="24"/>
              </w:rPr>
              <w:t>Neparedz stingrākas prasības</w:t>
            </w:r>
          </w:p>
        </w:tc>
      </w:tr>
      <w:tr w:rsidR="0081198D"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Pr="007A66FD" w:rsidRDefault="007A66FD">
            <w:pPr>
              <w:spacing w:line="240" w:lineRule="auto"/>
              <w:rPr>
                <w:rFonts w:ascii="Times New Roman" w:hAnsi="Times New Roman"/>
                <w:sz w:val="24"/>
                <w:szCs w:val="24"/>
              </w:rPr>
            </w:pPr>
            <w:r w:rsidRPr="007A66FD">
              <w:rPr>
                <w:rFonts w:ascii="Times New Roman" w:hAnsi="Times New Roman"/>
                <w:sz w:val="24"/>
                <w:szCs w:val="24"/>
              </w:rPr>
              <w:t>Direktīvas pielikuma II pielikuma</w:t>
            </w:r>
            <w:r w:rsidR="009C4C53" w:rsidRPr="007A66FD">
              <w:rPr>
                <w:rFonts w:ascii="Times New Roman" w:hAnsi="Times New Roman"/>
                <w:sz w:val="24"/>
                <w:szCs w:val="24"/>
              </w:rPr>
              <w:t xml:space="preserve"> 7. punkts</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25.6. apakšpunkts</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Pārņemta pilnībā.</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Neparedz stingrākas prasības.</w:t>
            </w:r>
          </w:p>
        </w:tc>
      </w:tr>
      <w:tr w:rsidR="0081198D"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Pr="007A66FD" w:rsidRDefault="007A66FD">
            <w:pPr>
              <w:spacing w:line="240" w:lineRule="auto"/>
              <w:rPr>
                <w:rFonts w:ascii="Times New Roman" w:hAnsi="Times New Roman"/>
                <w:sz w:val="24"/>
                <w:szCs w:val="24"/>
              </w:rPr>
            </w:pPr>
            <w:r w:rsidRPr="007A66FD">
              <w:rPr>
                <w:rFonts w:ascii="Times New Roman" w:hAnsi="Times New Roman"/>
                <w:sz w:val="24"/>
                <w:szCs w:val="24"/>
              </w:rPr>
              <w:t xml:space="preserve">Direktīvas pielikuma II pielikuma </w:t>
            </w:r>
            <w:r w:rsidR="009C4C53" w:rsidRPr="007A66FD">
              <w:rPr>
                <w:rFonts w:ascii="Times New Roman" w:hAnsi="Times New Roman"/>
                <w:sz w:val="24"/>
                <w:szCs w:val="24"/>
              </w:rPr>
              <w:t>79. punkts</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25.7. apakšpunkts</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Pārņemta pilnībā.</w:t>
            </w:r>
          </w:p>
        </w:tc>
        <w:tc>
          <w:tcPr>
            <w:tcW w:w="226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Neparedz stingrākas prasības.</w:t>
            </w:r>
          </w:p>
        </w:tc>
      </w:tr>
      <w:tr w:rsidR="0081198D"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szCs w:val="24"/>
              </w:rPr>
            </w:pPr>
            <w:r>
              <w:rPr>
                <w:rFonts w:ascii="Times New Roman" w:hAnsi="Times New Roman"/>
                <w:sz w:val="24"/>
                <w:szCs w:val="24"/>
              </w:rPr>
              <w:t>Kā ir izmantota ES tiesību aktā paredzētā rīcības brīvība dalībvalstij pārņemt vai ieviest noteiktas ES tiesību akta normas? Kādēļ?</w:t>
            </w:r>
          </w:p>
        </w:tc>
        <w:tc>
          <w:tcPr>
            <w:tcW w:w="6792" w:type="dxa"/>
            <w:gridSpan w:val="3"/>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jc w:val="both"/>
              <w:rPr>
                <w:rFonts w:ascii="Times New Roman" w:hAnsi="Times New Roman"/>
                <w:sz w:val="24"/>
                <w:szCs w:val="24"/>
              </w:rPr>
            </w:pPr>
            <w:r>
              <w:rPr>
                <w:rFonts w:ascii="Times New Roman" w:hAnsi="Times New Roman"/>
                <w:sz w:val="24"/>
                <w:szCs w:val="24"/>
              </w:rPr>
              <w:t>Nav.</w:t>
            </w:r>
          </w:p>
        </w:tc>
      </w:tr>
      <w:tr w:rsidR="0081198D"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 xml:space="preserve">Saistības sniegt paziņojumu ES institūcijām un ES dalībvalstīm atbilstoši normatīvajiem aktiem, kas regulē informācijas </w:t>
            </w:r>
            <w:r>
              <w:rPr>
                <w:rFonts w:ascii="Times New Roman" w:hAnsi="Times New Roman"/>
                <w:sz w:val="24"/>
              </w:rPr>
              <w:lastRenderedPageBreak/>
              <w:t>sniegšanu par tehnisko noteikumu, valsts atbalsta piešķiršanas un finanšu noteikumu (attiecībā uz monetāro politiku) projektiem</w:t>
            </w:r>
          </w:p>
        </w:tc>
        <w:tc>
          <w:tcPr>
            <w:tcW w:w="6792" w:type="dxa"/>
            <w:gridSpan w:val="3"/>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lastRenderedPageBreak/>
              <w:t>Nav.</w:t>
            </w:r>
          </w:p>
        </w:tc>
      </w:tr>
      <w:tr w:rsidR="0081198D" w:rsidTr="006943E2">
        <w:tc>
          <w:tcPr>
            <w:tcW w:w="2263"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9C4C53">
            <w:pPr>
              <w:spacing w:line="240" w:lineRule="auto"/>
              <w:rPr>
                <w:rFonts w:ascii="Times New Roman" w:hAnsi="Times New Roman"/>
                <w:sz w:val="24"/>
              </w:rPr>
            </w:pPr>
            <w:r>
              <w:rPr>
                <w:rFonts w:ascii="Times New Roman" w:hAnsi="Times New Roman"/>
                <w:sz w:val="24"/>
              </w:rPr>
              <w:t>Cita informācija</w:t>
            </w:r>
          </w:p>
        </w:tc>
        <w:tc>
          <w:tcPr>
            <w:tcW w:w="6792" w:type="dxa"/>
            <w:gridSpan w:val="3"/>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rsidR="0081198D" w:rsidRDefault="0081198D">
            <w:pPr>
              <w:spacing w:line="240" w:lineRule="auto"/>
              <w:rPr>
                <w:rFonts w:ascii="Times New Roman" w:hAnsi="Times New Roman"/>
                <w:sz w:val="24"/>
              </w:rPr>
            </w:pPr>
          </w:p>
        </w:tc>
      </w:tr>
    </w:tbl>
    <w:p w:rsidR="0081198D" w:rsidRDefault="0081198D">
      <w:pPr>
        <w:spacing w:after="120" w:line="240" w:lineRule="auto"/>
        <w:rPr>
          <w:rFonts w:ascii="Times New Roman" w:eastAsia="Times New Roman" w:hAnsi="Times New Roman"/>
          <w:iCs/>
          <w:sz w:val="24"/>
          <w:szCs w:val="24"/>
        </w:rPr>
      </w:pPr>
    </w:p>
    <w:tbl>
      <w:tblPr>
        <w:tblW w:w="9101" w:type="dxa"/>
        <w:tblInd w:w="-15" w:type="dxa"/>
        <w:tblLook w:val="04A0" w:firstRow="1" w:lastRow="0" w:firstColumn="1" w:lastColumn="0" w:noHBand="0" w:noVBand="1"/>
      </w:tblPr>
      <w:tblGrid>
        <w:gridCol w:w="240"/>
        <w:gridCol w:w="3878"/>
        <w:gridCol w:w="4983"/>
      </w:tblGrid>
      <w:tr w:rsidR="009F6153" w:rsidTr="00AE3055">
        <w:tc>
          <w:tcPr>
            <w:tcW w:w="910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9F6153" w:rsidRDefault="009F6153">
            <w:pPr>
              <w:spacing w:after="0" w:line="240" w:lineRule="auto"/>
              <w:jc w:val="both"/>
              <w:rPr>
                <w:rFonts w:ascii="Times New Roman" w:hAnsi="Times New Roman"/>
                <w:sz w:val="24"/>
                <w:szCs w:val="24"/>
              </w:rPr>
            </w:pPr>
            <w:r>
              <w:rPr>
                <w:rFonts w:ascii="Times New Roman" w:eastAsia="Times New Roman" w:hAnsi="Times New Roman"/>
                <w:b/>
                <w:bCs/>
                <w:iCs/>
                <w:sz w:val="24"/>
                <w:szCs w:val="24"/>
              </w:rPr>
              <w:t>VI. Sabiedrības līdzdalība un komunikācijas aktivitātes</w:t>
            </w:r>
          </w:p>
        </w:tc>
      </w:tr>
      <w:tr w:rsidR="0081198D" w:rsidTr="006943E2">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w:t>
            </w:r>
          </w:p>
        </w:tc>
        <w:tc>
          <w:tcPr>
            <w:tcW w:w="387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Plānotās sabiedrības līdzdalības un komunikācijas aktivitātes saistībā ar projektu</w:t>
            </w:r>
          </w:p>
        </w:tc>
        <w:tc>
          <w:tcPr>
            <w:tcW w:w="498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jc w:val="both"/>
              <w:rPr>
                <w:rFonts w:ascii="Times New Roman" w:eastAsia="Times New Roman" w:hAnsi="Times New Roman"/>
                <w:iCs/>
                <w:sz w:val="24"/>
                <w:szCs w:val="24"/>
              </w:rPr>
            </w:pPr>
            <w:r>
              <w:rPr>
                <w:rFonts w:ascii="Times New Roman" w:hAnsi="Times New Roman"/>
                <w:sz w:val="24"/>
                <w:szCs w:val="24"/>
              </w:rPr>
              <w:t xml:space="preserve">Noteikumu projekts tika ievietots Zemkopības ministrijas un </w:t>
            </w:r>
            <w:r>
              <w:rPr>
                <w:rFonts w:ascii="Times New Roman" w:eastAsia="Times New Roman" w:hAnsi="Times New Roman"/>
                <w:iCs/>
                <w:sz w:val="24"/>
                <w:szCs w:val="24"/>
              </w:rPr>
              <w:t>Valsts kancelejas</w:t>
            </w:r>
            <w:r>
              <w:rPr>
                <w:rFonts w:ascii="Times New Roman" w:hAnsi="Times New Roman"/>
                <w:sz w:val="24"/>
                <w:szCs w:val="24"/>
              </w:rPr>
              <w:t xml:space="preserve"> tīmekļvietnē 2020. gada 8. oktobrī.</w:t>
            </w:r>
          </w:p>
        </w:tc>
      </w:tr>
      <w:tr w:rsidR="0081198D" w:rsidTr="006943E2">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w:t>
            </w:r>
          </w:p>
        </w:tc>
        <w:tc>
          <w:tcPr>
            <w:tcW w:w="387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Sabiedrības līdzdalība projekta izstrādē</w:t>
            </w:r>
          </w:p>
        </w:tc>
        <w:tc>
          <w:tcPr>
            <w:tcW w:w="498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jc w:val="both"/>
              <w:rPr>
                <w:rFonts w:ascii="Times New Roman" w:eastAsia="Times New Roman" w:hAnsi="Times New Roman"/>
                <w:iCs/>
                <w:sz w:val="24"/>
                <w:szCs w:val="24"/>
              </w:rPr>
            </w:pPr>
            <w:r>
              <w:rPr>
                <w:rFonts w:ascii="Times New Roman" w:hAnsi="Times New Roman"/>
                <w:sz w:val="24"/>
                <w:szCs w:val="24"/>
              </w:rPr>
              <w:t>Informācija par noteikumu projektu tika ievietota Zemkopības ministrijas tīmekļvietnes sadaļā „Sabiedrības līdzdalība”, kā arī Ministru kabineta tīmekļvietnes sadaļā „Sabiedrības līdzdalība” līdz 2020. gada 22. oktobrim.</w:t>
            </w:r>
          </w:p>
        </w:tc>
      </w:tr>
      <w:tr w:rsidR="0081198D" w:rsidTr="006943E2">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3.</w:t>
            </w:r>
          </w:p>
        </w:tc>
        <w:tc>
          <w:tcPr>
            <w:tcW w:w="387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Sabiedrības līdzdalības rezultāti</w:t>
            </w:r>
          </w:p>
        </w:tc>
        <w:tc>
          <w:tcPr>
            <w:tcW w:w="498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rsidP="00354E93">
            <w:pPr>
              <w:spacing w:after="0" w:line="240" w:lineRule="auto"/>
              <w:jc w:val="both"/>
              <w:rPr>
                <w:rFonts w:ascii="Times New Roman" w:eastAsia="Times New Roman" w:hAnsi="Times New Roman"/>
                <w:iCs/>
                <w:sz w:val="24"/>
                <w:szCs w:val="24"/>
              </w:rPr>
            </w:pPr>
            <w:r>
              <w:rPr>
                <w:rFonts w:ascii="Times New Roman" w:hAnsi="Times New Roman"/>
                <w:sz w:val="24"/>
                <w:szCs w:val="24"/>
              </w:rPr>
              <w:t xml:space="preserve">Par Ministru kabineta tīmekļvietnē </w:t>
            </w:r>
            <w:proofErr w:type="spellStart"/>
            <w:r>
              <w:rPr>
                <w:rFonts w:ascii="Times New Roman" w:hAnsi="Times New Roman"/>
                <w:sz w:val="24"/>
                <w:szCs w:val="24"/>
              </w:rPr>
              <w:t>www.mk.gov.lv</w:t>
            </w:r>
            <w:proofErr w:type="spellEnd"/>
            <w:r>
              <w:rPr>
                <w:rFonts w:ascii="Times New Roman" w:hAnsi="Times New Roman"/>
                <w:sz w:val="24"/>
                <w:szCs w:val="24"/>
              </w:rPr>
              <w:t xml:space="preserve"> un Zemkopības ministrijas tīmekļvietnē </w:t>
            </w:r>
            <w:proofErr w:type="spellStart"/>
            <w:r>
              <w:rPr>
                <w:rFonts w:ascii="Times New Roman" w:hAnsi="Times New Roman"/>
                <w:sz w:val="24"/>
                <w:szCs w:val="24"/>
              </w:rPr>
              <w:t>www.zm.gov.lv</w:t>
            </w:r>
            <w:proofErr w:type="spellEnd"/>
            <w:r>
              <w:rPr>
                <w:rFonts w:ascii="Times New Roman" w:hAnsi="Times New Roman"/>
                <w:sz w:val="24"/>
                <w:szCs w:val="24"/>
              </w:rPr>
              <w:t xml:space="preserve"> ievietoto noteikumu projektu netika saņemti iebildumi vai priekšlikumi.</w:t>
            </w:r>
          </w:p>
        </w:tc>
      </w:tr>
      <w:tr w:rsidR="0081198D" w:rsidTr="006943E2">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4.</w:t>
            </w:r>
          </w:p>
        </w:tc>
        <w:tc>
          <w:tcPr>
            <w:tcW w:w="387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Cita informācija</w:t>
            </w:r>
          </w:p>
        </w:tc>
        <w:tc>
          <w:tcPr>
            <w:tcW w:w="498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Nav.</w:t>
            </w:r>
          </w:p>
        </w:tc>
      </w:tr>
    </w:tbl>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  </w:t>
      </w:r>
    </w:p>
    <w:tbl>
      <w:tblPr>
        <w:tblW w:w="9101" w:type="dxa"/>
        <w:tblInd w:w="-15" w:type="dxa"/>
        <w:tblLook w:val="04A0" w:firstRow="1" w:lastRow="0" w:firstColumn="1" w:lastColumn="0" w:noHBand="0" w:noVBand="1"/>
      </w:tblPr>
      <w:tblGrid>
        <w:gridCol w:w="240"/>
        <w:gridCol w:w="4020"/>
        <w:gridCol w:w="4841"/>
      </w:tblGrid>
      <w:tr w:rsidR="006943E2" w:rsidTr="00A77239">
        <w:tc>
          <w:tcPr>
            <w:tcW w:w="910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943E2" w:rsidRDefault="006943E2">
            <w:pPr>
              <w:spacing w:after="0" w:line="240" w:lineRule="auto"/>
              <w:rPr>
                <w:rFonts w:ascii="Times New Roman" w:eastAsia="Times New Roman" w:hAnsi="Times New Roman"/>
                <w:iCs/>
                <w:sz w:val="24"/>
                <w:szCs w:val="24"/>
              </w:rPr>
            </w:pPr>
            <w:r>
              <w:rPr>
                <w:rFonts w:ascii="Times New Roman" w:eastAsia="Times New Roman" w:hAnsi="Times New Roman"/>
                <w:b/>
                <w:bCs/>
                <w:iCs/>
                <w:sz w:val="24"/>
                <w:szCs w:val="24"/>
              </w:rPr>
              <w:t>VII. Tiesību akta projekta izpildes nodrošināšana un tās ietekme uz institūcijām</w:t>
            </w:r>
          </w:p>
        </w:tc>
      </w:tr>
      <w:tr w:rsidR="0081198D" w:rsidTr="006943E2">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w:t>
            </w:r>
          </w:p>
        </w:tc>
        <w:tc>
          <w:tcPr>
            <w:tcW w:w="4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Projekta izpildē iesaistītās institūcijas</w:t>
            </w:r>
          </w:p>
        </w:tc>
        <w:tc>
          <w:tcPr>
            <w:tcW w:w="48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rsidP="00354E93">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Noteikumu projekta izpildi nodrošinās Zemkopības ministrija.</w:t>
            </w:r>
          </w:p>
        </w:tc>
      </w:tr>
      <w:tr w:rsidR="0081198D" w:rsidTr="006943E2">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w:t>
            </w:r>
          </w:p>
        </w:tc>
        <w:tc>
          <w:tcPr>
            <w:tcW w:w="4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Projekta izpildes ietekme uz pārvaldes funkcijām un institucionālo struktūru.</w:t>
            </w:r>
            <w:r>
              <w:rPr>
                <w:rFonts w:ascii="Times New Roman" w:eastAsia="Times New Roman" w:hAnsi="Times New Roman"/>
                <w:iCs/>
                <w:sz w:val="24"/>
                <w:szCs w:val="24"/>
              </w:rPr>
              <w:br/>
              <w:t>Jaunu institūciju izveide, esošu institūciju likvidācija vai reorganizācija, to ietekme uz institūcijas cilvēkresursiem</w:t>
            </w:r>
          </w:p>
        </w:tc>
        <w:tc>
          <w:tcPr>
            <w:tcW w:w="48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Nav.</w:t>
            </w:r>
          </w:p>
        </w:tc>
      </w:tr>
      <w:tr w:rsidR="0081198D" w:rsidTr="006943E2">
        <w:tc>
          <w:tcPr>
            <w:tcW w:w="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3.</w:t>
            </w:r>
          </w:p>
        </w:tc>
        <w:tc>
          <w:tcPr>
            <w:tcW w:w="4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Cita informācija</w:t>
            </w:r>
          </w:p>
        </w:tc>
        <w:tc>
          <w:tcPr>
            <w:tcW w:w="48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81198D" w:rsidRDefault="009C4C53">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Nav.</w:t>
            </w:r>
          </w:p>
        </w:tc>
      </w:tr>
    </w:tbl>
    <w:p w:rsidR="0081198D" w:rsidRDefault="0081198D">
      <w:pPr>
        <w:spacing w:after="0" w:line="240" w:lineRule="auto"/>
        <w:rPr>
          <w:rFonts w:ascii="Times New Roman" w:hAnsi="Times New Roman"/>
          <w:sz w:val="28"/>
          <w:szCs w:val="28"/>
        </w:rPr>
      </w:pPr>
    </w:p>
    <w:p w:rsidR="0081198D" w:rsidRDefault="0081198D">
      <w:pPr>
        <w:spacing w:after="0" w:line="240" w:lineRule="auto"/>
        <w:rPr>
          <w:rFonts w:ascii="Times New Roman" w:hAnsi="Times New Roman"/>
          <w:sz w:val="28"/>
          <w:szCs w:val="28"/>
        </w:rPr>
      </w:pPr>
    </w:p>
    <w:p w:rsidR="00B209F7" w:rsidRDefault="00B209F7">
      <w:pPr>
        <w:spacing w:after="0" w:line="240" w:lineRule="auto"/>
        <w:rPr>
          <w:rFonts w:ascii="Times New Roman" w:hAnsi="Times New Roman"/>
          <w:sz w:val="28"/>
          <w:szCs w:val="28"/>
        </w:rPr>
      </w:pPr>
    </w:p>
    <w:p w:rsidR="0081198D" w:rsidRDefault="009C4C53">
      <w:pPr>
        <w:tabs>
          <w:tab w:val="left" w:pos="6237"/>
        </w:tabs>
        <w:spacing w:after="0" w:line="240" w:lineRule="auto"/>
        <w:ind w:firstLine="720"/>
        <w:rPr>
          <w:rFonts w:ascii="Times New Roman" w:hAnsi="Times New Roman"/>
          <w:sz w:val="28"/>
          <w:szCs w:val="28"/>
        </w:rPr>
      </w:pPr>
      <w:r>
        <w:rPr>
          <w:rFonts w:ascii="Times New Roman" w:hAnsi="Times New Roman"/>
          <w:sz w:val="28"/>
          <w:szCs w:val="28"/>
        </w:rPr>
        <w:t>Zemkopības ministrs</w:t>
      </w:r>
      <w:r>
        <w:rPr>
          <w:rFonts w:ascii="Times New Roman" w:hAnsi="Times New Roman"/>
          <w:sz w:val="28"/>
          <w:szCs w:val="28"/>
        </w:rPr>
        <w:tab/>
      </w:r>
      <w:r w:rsidR="00B209F7">
        <w:rPr>
          <w:rFonts w:ascii="Times New Roman" w:hAnsi="Times New Roman"/>
          <w:sz w:val="28"/>
          <w:szCs w:val="28"/>
        </w:rPr>
        <w:tab/>
      </w:r>
      <w:r w:rsidR="00B209F7">
        <w:rPr>
          <w:rFonts w:ascii="Times New Roman" w:hAnsi="Times New Roman"/>
          <w:sz w:val="28"/>
          <w:szCs w:val="28"/>
        </w:rPr>
        <w:tab/>
      </w:r>
      <w:r>
        <w:rPr>
          <w:rFonts w:ascii="Times New Roman" w:hAnsi="Times New Roman"/>
          <w:sz w:val="28"/>
          <w:szCs w:val="28"/>
        </w:rPr>
        <w:t>K. Gerhards</w:t>
      </w:r>
    </w:p>
    <w:p w:rsidR="0081198D" w:rsidRDefault="0081198D">
      <w:pPr>
        <w:spacing w:after="0" w:line="240" w:lineRule="auto"/>
        <w:ind w:firstLine="720"/>
        <w:rPr>
          <w:rFonts w:ascii="Times New Roman" w:hAnsi="Times New Roman"/>
          <w:sz w:val="28"/>
          <w:szCs w:val="28"/>
        </w:rPr>
      </w:pPr>
    </w:p>
    <w:p w:rsidR="0081198D" w:rsidRDefault="0081198D">
      <w:pPr>
        <w:tabs>
          <w:tab w:val="left" w:pos="6237"/>
        </w:tabs>
        <w:spacing w:after="0" w:line="240" w:lineRule="auto"/>
        <w:rPr>
          <w:rFonts w:ascii="Times New Roman" w:hAnsi="Times New Roman"/>
          <w:sz w:val="20"/>
          <w:szCs w:val="20"/>
        </w:rPr>
      </w:pPr>
    </w:p>
    <w:p w:rsidR="0081198D" w:rsidRDefault="0081198D">
      <w:pPr>
        <w:tabs>
          <w:tab w:val="left" w:pos="6237"/>
        </w:tabs>
        <w:spacing w:after="0" w:line="240" w:lineRule="auto"/>
        <w:rPr>
          <w:rFonts w:ascii="Times New Roman" w:hAnsi="Times New Roman"/>
          <w:sz w:val="20"/>
          <w:szCs w:val="20"/>
        </w:rPr>
      </w:pPr>
    </w:p>
    <w:p w:rsidR="009C4C53" w:rsidRDefault="009C4C53">
      <w:pPr>
        <w:tabs>
          <w:tab w:val="left" w:pos="6237"/>
        </w:tabs>
        <w:spacing w:after="0" w:line="240" w:lineRule="auto"/>
        <w:rPr>
          <w:rFonts w:ascii="Times New Roman" w:hAnsi="Times New Roman"/>
          <w:sz w:val="20"/>
          <w:szCs w:val="20"/>
        </w:rPr>
      </w:pPr>
    </w:p>
    <w:p w:rsidR="009C4C53" w:rsidRDefault="009C4C53">
      <w:pPr>
        <w:tabs>
          <w:tab w:val="left" w:pos="6237"/>
        </w:tabs>
        <w:spacing w:after="0" w:line="240" w:lineRule="auto"/>
        <w:rPr>
          <w:rFonts w:ascii="Times New Roman" w:hAnsi="Times New Roman"/>
          <w:sz w:val="20"/>
          <w:szCs w:val="20"/>
        </w:rPr>
      </w:pPr>
      <w:bookmarkStart w:id="1" w:name="_GoBack"/>
      <w:bookmarkEnd w:id="1"/>
    </w:p>
    <w:p w:rsidR="009C4C53" w:rsidRDefault="009C4C53" w:rsidP="00B209F7">
      <w:pPr>
        <w:tabs>
          <w:tab w:val="left" w:pos="2385"/>
        </w:tabs>
        <w:spacing w:after="0" w:line="240" w:lineRule="auto"/>
        <w:rPr>
          <w:rFonts w:ascii="Times New Roman" w:hAnsi="Times New Roman"/>
          <w:sz w:val="20"/>
          <w:szCs w:val="20"/>
        </w:rPr>
      </w:pPr>
    </w:p>
    <w:p w:rsidR="0081198D" w:rsidRDefault="0081198D">
      <w:pPr>
        <w:tabs>
          <w:tab w:val="left" w:pos="6237"/>
        </w:tabs>
        <w:spacing w:after="0" w:line="240" w:lineRule="auto"/>
        <w:rPr>
          <w:rFonts w:ascii="Times New Roman" w:hAnsi="Times New Roman"/>
          <w:sz w:val="20"/>
          <w:szCs w:val="20"/>
        </w:rPr>
      </w:pPr>
    </w:p>
    <w:p w:rsidR="0081198D" w:rsidRPr="009C4C53" w:rsidRDefault="009C4C53">
      <w:pPr>
        <w:tabs>
          <w:tab w:val="left" w:pos="6237"/>
        </w:tabs>
        <w:spacing w:after="0" w:line="240" w:lineRule="auto"/>
        <w:rPr>
          <w:rFonts w:ascii="Times New Roman" w:hAnsi="Times New Roman"/>
          <w:sz w:val="24"/>
          <w:szCs w:val="24"/>
        </w:rPr>
      </w:pPr>
      <w:r w:rsidRPr="009C4C53">
        <w:rPr>
          <w:rFonts w:ascii="Times New Roman" w:hAnsi="Times New Roman"/>
          <w:sz w:val="24"/>
          <w:szCs w:val="24"/>
        </w:rPr>
        <w:t xml:space="preserve">Jansone 29194918 </w:t>
      </w:r>
    </w:p>
    <w:p w:rsidR="0081198D" w:rsidRPr="009C4C53" w:rsidRDefault="00B209F7">
      <w:pPr>
        <w:tabs>
          <w:tab w:val="left" w:pos="6237"/>
        </w:tabs>
        <w:spacing w:after="0" w:line="240" w:lineRule="auto"/>
        <w:rPr>
          <w:rFonts w:ascii="Times New Roman" w:hAnsi="Times New Roman"/>
          <w:sz w:val="24"/>
          <w:szCs w:val="24"/>
        </w:rPr>
      </w:pPr>
      <w:hyperlink r:id="rId7" w:history="1">
        <w:r w:rsidR="009C4C53" w:rsidRPr="009C4C53">
          <w:rPr>
            <w:rStyle w:val="Hipersaite"/>
            <w:rFonts w:ascii="Times New Roman" w:hAnsi="Times New Roman"/>
            <w:color w:val="auto"/>
            <w:sz w:val="24"/>
            <w:szCs w:val="24"/>
          </w:rPr>
          <w:t>Santa.Jansone@zm.gov.lv</w:t>
        </w:r>
      </w:hyperlink>
      <w:r w:rsidR="009C4C53" w:rsidRPr="009C4C53">
        <w:rPr>
          <w:rFonts w:ascii="Times New Roman" w:hAnsi="Times New Roman"/>
          <w:sz w:val="24"/>
          <w:szCs w:val="24"/>
        </w:rPr>
        <w:t xml:space="preserve"> </w:t>
      </w:r>
    </w:p>
    <w:sectPr w:rsidR="0081198D" w:rsidRPr="009C4C53" w:rsidSect="00FD3ED5">
      <w:headerReference w:type="default" r:id="rId8"/>
      <w:footerReference w:type="default" r:id="rId9"/>
      <w:footerReference w:type="first" r:id="rId10"/>
      <w:endnotePr>
        <w:numFmt w:val="decimal"/>
      </w:endnotePr>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132" w:rsidRDefault="00332132">
      <w:pPr>
        <w:spacing w:after="0" w:line="240" w:lineRule="auto"/>
      </w:pPr>
      <w:r>
        <w:separator/>
      </w:r>
    </w:p>
  </w:endnote>
  <w:endnote w:type="continuationSeparator" w:id="0">
    <w:p w:rsidR="00332132" w:rsidRDefault="0033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8D" w:rsidRPr="00B209F7" w:rsidRDefault="00B209F7" w:rsidP="00B209F7">
    <w:pPr>
      <w:pStyle w:val="Kjene"/>
    </w:pPr>
    <w:r w:rsidRPr="00B209F7">
      <w:rPr>
        <w:rFonts w:ascii="Times New Roman" w:hAnsi="Times New Roman"/>
        <w:sz w:val="20"/>
        <w:szCs w:val="20"/>
      </w:rPr>
      <w:t>ZManot_210121_grozZKP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8D" w:rsidRPr="00B209F7" w:rsidRDefault="00B209F7" w:rsidP="00B209F7">
    <w:pPr>
      <w:pStyle w:val="Kjene"/>
    </w:pPr>
    <w:r w:rsidRPr="00B209F7">
      <w:rPr>
        <w:rFonts w:ascii="Times New Roman" w:hAnsi="Times New Roman"/>
        <w:sz w:val="20"/>
        <w:szCs w:val="20"/>
      </w:rPr>
      <w:t>ZManot_210121_grozZKP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132" w:rsidRDefault="00332132">
      <w:pPr>
        <w:spacing w:after="0" w:line="240" w:lineRule="auto"/>
      </w:pPr>
      <w:r>
        <w:separator/>
      </w:r>
    </w:p>
  </w:footnote>
  <w:footnote w:type="continuationSeparator" w:id="0">
    <w:p w:rsidR="00332132" w:rsidRDefault="0033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8D" w:rsidRDefault="00FD3ED5">
    <w:pPr>
      <w:pStyle w:val="Galvene"/>
      <w:jc w:val="center"/>
      <w:rPr>
        <w:rFonts w:ascii="Times New Roman" w:hAnsi="Times New Roman"/>
        <w:sz w:val="24"/>
        <w:szCs w:val="20"/>
      </w:rPr>
    </w:pPr>
    <w:r>
      <w:rPr>
        <w:rFonts w:ascii="Times New Roman" w:hAnsi="Times New Roman"/>
        <w:sz w:val="24"/>
        <w:szCs w:val="20"/>
      </w:rPr>
      <w:fldChar w:fldCharType="begin"/>
    </w:r>
    <w:r w:rsidR="009C4C53">
      <w:rPr>
        <w:rFonts w:ascii="Times New Roman" w:hAnsi="Times New Roman"/>
        <w:sz w:val="24"/>
        <w:szCs w:val="20"/>
      </w:rPr>
      <w:instrText xml:space="preserve"> PAGE </w:instrText>
    </w:r>
    <w:r>
      <w:rPr>
        <w:rFonts w:ascii="Times New Roman" w:hAnsi="Times New Roman"/>
        <w:sz w:val="24"/>
        <w:szCs w:val="20"/>
      </w:rPr>
      <w:fldChar w:fldCharType="separate"/>
    </w:r>
    <w:r w:rsidR="006B6A09">
      <w:rPr>
        <w:rFonts w:ascii="Times New Roman" w:hAnsi="Times New Roman"/>
        <w:noProof/>
        <w:sz w:val="24"/>
        <w:szCs w:val="20"/>
      </w:rPr>
      <w:t>5</w:t>
    </w:r>
    <w:r>
      <w:rPr>
        <w:rFonts w:ascii="Times New Roman" w:hAnsi="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B7F2E"/>
    <w:multiLevelType w:val="hybridMultilevel"/>
    <w:tmpl w:val="B40E1AB0"/>
    <w:lvl w:ilvl="0" w:tplc="26F628E8">
      <w:numFmt w:val="none"/>
      <w:lvlText w:val=""/>
      <w:lvlJc w:val="left"/>
      <w:pPr>
        <w:tabs>
          <w:tab w:val="num" w:pos="360"/>
        </w:tabs>
        <w:ind w:left="360" w:hanging="360"/>
      </w:pPr>
    </w:lvl>
    <w:lvl w:ilvl="1" w:tplc="D9F046B8">
      <w:numFmt w:val="none"/>
      <w:lvlText w:val=""/>
      <w:lvlJc w:val="left"/>
      <w:pPr>
        <w:tabs>
          <w:tab w:val="num" w:pos="360"/>
        </w:tabs>
        <w:ind w:left="360" w:hanging="360"/>
      </w:pPr>
    </w:lvl>
    <w:lvl w:ilvl="2" w:tplc="9474AA3A">
      <w:numFmt w:val="none"/>
      <w:lvlText w:val=""/>
      <w:lvlJc w:val="left"/>
      <w:pPr>
        <w:tabs>
          <w:tab w:val="num" w:pos="360"/>
        </w:tabs>
        <w:ind w:left="360" w:hanging="360"/>
      </w:pPr>
    </w:lvl>
    <w:lvl w:ilvl="3" w:tplc="16262B08">
      <w:numFmt w:val="none"/>
      <w:lvlText w:val=""/>
      <w:lvlJc w:val="left"/>
      <w:pPr>
        <w:tabs>
          <w:tab w:val="num" w:pos="360"/>
        </w:tabs>
        <w:ind w:left="360" w:hanging="360"/>
      </w:pPr>
    </w:lvl>
    <w:lvl w:ilvl="4" w:tplc="4CFCD54A">
      <w:numFmt w:val="none"/>
      <w:lvlText w:val=""/>
      <w:lvlJc w:val="left"/>
      <w:pPr>
        <w:tabs>
          <w:tab w:val="num" w:pos="360"/>
        </w:tabs>
        <w:ind w:left="360" w:hanging="360"/>
      </w:pPr>
    </w:lvl>
    <w:lvl w:ilvl="5" w:tplc="F09C2910">
      <w:numFmt w:val="none"/>
      <w:lvlText w:val=""/>
      <w:lvlJc w:val="left"/>
      <w:pPr>
        <w:tabs>
          <w:tab w:val="num" w:pos="360"/>
        </w:tabs>
        <w:ind w:left="360" w:hanging="360"/>
      </w:pPr>
    </w:lvl>
    <w:lvl w:ilvl="6" w:tplc="9CD0630E">
      <w:numFmt w:val="none"/>
      <w:lvlText w:val=""/>
      <w:lvlJc w:val="left"/>
      <w:pPr>
        <w:tabs>
          <w:tab w:val="num" w:pos="360"/>
        </w:tabs>
        <w:ind w:left="360" w:hanging="360"/>
      </w:pPr>
    </w:lvl>
    <w:lvl w:ilvl="7" w:tplc="9F60B090">
      <w:numFmt w:val="none"/>
      <w:lvlText w:val=""/>
      <w:lvlJc w:val="left"/>
      <w:pPr>
        <w:tabs>
          <w:tab w:val="num" w:pos="360"/>
        </w:tabs>
        <w:ind w:left="360" w:hanging="360"/>
      </w:pPr>
    </w:lvl>
    <w:lvl w:ilvl="8" w:tplc="2D4AF6B6">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1198D"/>
    <w:rsid w:val="001B774F"/>
    <w:rsid w:val="00256371"/>
    <w:rsid w:val="00332132"/>
    <w:rsid w:val="00354E93"/>
    <w:rsid w:val="00400656"/>
    <w:rsid w:val="0045359B"/>
    <w:rsid w:val="004C77D1"/>
    <w:rsid w:val="005C44A4"/>
    <w:rsid w:val="00600618"/>
    <w:rsid w:val="006943E2"/>
    <w:rsid w:val="006B6A09"/>
    <w:rsid w:val="007A66FD"/>
    <w:rsid w:val="0081198D"/>
    <w:rsid w:val="0084233D"/>
    <w:rsid w:val="00855033"/>
    <w:rsid w:val="00980BD0"/>
    <w:rsid w:val="009C4C53"/>
    <w:rsid w:val="009F6153"/>
    <w:rsid w:val="00B209F7"/>
    <w:rsid w:val="00C07549"/>
    <w:rsid w:val="00C50F0C"/>
    <w:rsid w:val="00D309A9"/>
    <w:rsid w:val="00E46196"/>
    <w:rsid w:val="00F37A87"/>
    <w:rsid w:val="00FD3ED5"/>
    <w:rsid w:val="00FD4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ABE8"/>
  <w15:docId w15:val="{5ACA4991-8A24-49CE-B7CC-F53E2DCD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D3ED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qFormat/>
    <w:rsid w:val="00FD3ED5"/>
    <w:pPr>
      <w:spacing w:before="100" w:beforeAutospacing="1" w:after="100" w:afterAutospacing="1" w:line="240" w:lineRule="auto"/>
    </w:pPr>
    <w:rPr>
      <w:rFonts w:ascii="Times New Roman" w:eastAsia="Times New Roman" w:hAnsi="Times New Roman"/>
      <w:sz w:val="24"/>
      <w:szCs w:val="24"/>
    </w:rPr>
  </w:style>
  <w:style w:type="paragraph" w:customStyle="1" w:styleId="tvhtml">
    <w:name w:val="tv_html"/>
    <w:basedOn w:val="Parasts"/>
    <w:qFormat/>
    <w:rsid w:val="00FD3ED5"/>
    <w:pPr>
      <w:spacing w:before="100" w:beforeAutospacing="1" w:after="100" w:afterAutospacing="1" w:line="240" w:lineRule="auto"/>
    </w:pPr>
    <w:rPr>
      <w:rFonts w:ascii="Times New Roman" w:eastAsia="Times New Roman" w:hAnsi="Times New Roman"/>
      <w:sz w:val="24"/>
      <w:szCs w:val="24"/>
    </w:rPr>
  </w:style>
  <w:style w:type="paragraph" w:styleId="Galvene">
    <w:name w:val="header"/>
    <w:basedOn w:val="Parasts"/>
    <w:qFormat/>
    <w:rsid w:val="00FD3ED5"/>
    <w:pPr>
      <w:tabs>
        <w:tab w:val="center" w:pos="4153"/>
        <w:tab w:val="right" w:pos="8306"/>
      </w:tabs>
      <w:spacing w:after="0" w:line="240" w:lineRule="auto"/>
    </w:pPr>
  </w:style>
  <w:style w:type="paragraph" w:styleId="Kjene">
    <w:name w:val="footer"/>
    <w:basedOn w:val="Parasts"/>
    <w:qFormat/>
    <w:rsid w:val="00FD3ED5"/>
    <w:pPr>
      <w:tabs>
        <w:tab w:val="center" w:pos="4153"/>
        <w:tab w:val="right" w:pos="8306"/>
      </w:tabs>
      <w:spacing w:after="0" w:line="240" w:lineRule="auto"/>
    </w:pPr>
  </w:style>
  <w:style w:type="paragraph" w:styleId="Balonteksts">
    <w:name w:val="Balloon Text"/>
    <w:basedOn w:val="Parasts"/>
    <w:qFormat/>
    <w:rsid w:val="00FD3ED5"/>
    <w:pPr>
      <w:spacing w:after="0" w:line="240" w:lineRule="auto"/>
    </w:pPr>
    <w:rPr>
      <w:rFonts w:ascii="Tahoma" w:hAnsi="Tahoma" w:cs="Tahoma"/>
      <w:sz w:val="16"/>
      <w:szCs w:val="16"/>
    </w:rPr>
  </w:style>
  <w:style w:type="paragraph" w:styleId="Sarakstarindkopa">
    <w:name w:val="List Paragraph"/>
    <w:basedOn w:val="Parasts"/>
    <w:qFormat/>
    <w:rsid w:val="00FD3ED5"/>
    <w:pPr>
      <w:spacing w:after="200" w:line="276" w:lineRule="auto"/>
      <w:ind w:left="720"/>
      <w:contextualSpacing/>
    </w:pPr>
  </w:style>
  <w:style w:type="paragraph" w:customStyle="1" w:styleId="Komentrateksts1">
    <w:name w:val="Komentāra teksts1"/>
    <w:basedOn w:val="Parasts"/>
    <w:qFormat/>
    <w:rsid w:val="00FD3ED5"/>
    <w:pPr>
      <w:spacing w:line="240" w:lineRule="auto"/>
    </w:pPr>
    <w:rPr>
      <w:sz w:val="20"/>
      <w:szCs w:val="20"/>
    </w:rPr>
  </w:style>
  <w:style w:type="paragraph" w:customStyle="1" w:styleId="Komentratma1">
    <w:name w:val="Komentāra tēma1"/>
    <w:basedOn w:val="Komentrateksts1"/>
    <w:next w:val="Komentrateksts1"/>
    <w:qFormat/>
    <w:rsid w:val="00FD3ED5"/>
    <w:rPr>
      <w:b/>
      <w:bCs/>
    </w:rPr>
  </w:style>
  <w:style w:type="paragraph" w:customStyle="1" w:styleId="Prskatjums1">
    <w:name w:val="Pārskatījums1"/>
    <w:qFormat/>
    <w:rsid w:val="00FD3ED5"/>
    <w:pPr>
      <w:spacing w:after="0" w:line="240" w:lineRule="auto"/>
    </w:pPr>
  </w:style>
  <w:style w:type="paragraph" w:styleId="Paraststmeklis">
    <w:name w:val="Normal (Web)"/>
    <w:basedOn w:val="Parasts"/>
    <w:qFormat/>
    <w:rsid w:val="00FD3ED5"/>
    <w:pPr>
      <w:spacing w:before="75" w:after="75" w:line="240" w:lineRule="auto"/>
    </w:pPr>
    <w:rPr>
      <w:rFonts w:ascii="Times New Roman" w:eastAsia="Times New Roman" w:hAnsi="Times New Roman"/>
      <w:sz w:val="24"/>
      <w:szCs w:val="24"/>
    </w:rPr>
  </w:style>
  <w:style w:type="paragraph" w:customStyle="1" w:styleId="CommentText1">
    <w:name w:val="Comment Text1"/>
    <w:basedOn w:val="Parasts"/>
    <w:qFormat/>
    <w:rsid w:val="00FD3ED5"/>
    <w:pPr>
      <w:spacing w:after="0" w:line="240" w:lineRule="auto"/>
    </w:pPr>
    <w:rPr>
      <w:sz w:val="20"/>
      <w:szCs w:val="20"/>
    </w:rPr>
  </w:style>
  <w:style w:type="paragraph" w:customStyle="1" w:styleId="CommentSubject1">
    <w:name w:val="Comment Subject1"/>
    <w:basedOn w:val="CommentText1"/>
    <w:next w:val="CommentText1"/>
    <w:qFormat/>
    <w:rsid w:val="00FD3ED5"/>
    <w:rPr>
      <w:b/>
      <w:bCs/>
    </w:rPr>
  </w:style>
  <w:style w:type="character" w:customStyle="1" w:styleId="apple-converted-space">
    <w:name w:val="apple-converted-space"/>
    <w:basedOn w:val="Noklusjumarindkopasfonts"/>
    <w:rsid w:val="00FD3ED5"/>
  </w:style>
  <w:style w:type="character" w:styleId="Hipersaite">
    <w:name w:val="Hyperlink"/>
    <w:basedOn w:val="Noklusjumarindkopasfonts"/>
    <w:rsid w:val="00FD3ED5"/>
    <w:rPr>
      <w:color w:val="0000FF"/>
      <w:u w:val="single"/>
    </w:rPr>
  </w:style>
  <w:style w:type="character" w:customStyle="1" w:styleId="HeaderChar">
    <w:name w:val="Header Char"/>
    <w:basedOn w:val="Noklusjumarindkopasfonts"/>
    <w:rsid w:val="00FD3ED5"/>
  </w:style>
  <w:style w:type="character" w:customStyle="1" w:styleId="FooterChar">
    <w:name w:val="Footer Char"/>
    <w:basedOn w:val="Noklusjumarindkopasfonts"/>
    <w:rsid w:val="00FD3ED5"/>
  </w:style>
  <w:style w:type="character" w:styleId="Vietturateksts">
    <w:name w:val="Placeholder Text"/>
    <w:basedOn w:val="Noklusjumarindkopasfonts"/>
    <w:rsid w:val="00FD3ED5"/>
    <w:rPr>
      <w:color w:val="808080"/>
    </w:rPr>
  </w:style>
  <w:style w:type="character" w:styleId="Izmantotahipersaite">
    <w:name w:val="FollowedHyperlink"/>
    <w:basedOn w:val="Noklusjumarindkopasfonts"/>
    <w:rsid w:val="00FD3ED5"/>
    <w:rPr>
      <w:color w:val="954F72"/>
      <w:u w:val="single"/>
    </w:rPr>
  </w:style>
  <w:style w:type="character" w:customStyle="1" w:styleId="BalloonTextChar">
    <w:name w:val="Balloon Text Char"/>
    <w:basedOn w:val="Noklusjumarindkopasfonts"/>
    <w:rsid w:val="00FD3ED5"/>
    <w:rPr>
      <w:rFonts w:ascii="Tahoma" w:hAnsi="Tahoma" w:cs="Tahoma"/>
      <w:sz w:val="16"/>
      <w:szCs w:val="16"/>
    </w:rPr>
  </w:style>
  <w:style w:type="character" w:customStyle="1" w:styleId="UnresolvedMention1">
    <w:name w:val="Unresolved Mention1"/>
    <w:basedOn w:val="Noklusjumarindkopasfonts"/>
    <w:rsid w:val="00FD3ED5"/>
    <w:rPr>
      <w:color w:val="605E5C"/>
      <w:shd w:val="clear" w:color="auto" w:fill="E1DFDD"/>
    </w:rPr>
  </w:style>
  <w:style w:type="character" w:customStyle="1" w:styleId="Komentraatsauce1">
    <w:name w:val="Komentāra atsauce1"/>
    <w:basedOn w:val="Noklusjumarindkopasfonts"/>
    <w:rsid w:val="00FD3ED5"/>
    <w:rPr>
      <w:sz w:val="16"/>
      <w:szCs w:val="16"/>
    </w:rPr>
  </w:style>
  <w:style w:type="character" w:customStyle="1" w:styleId="CommentTextChar">
    <w:name w:val="Comment Text Char"/>
    <w:basedOn w:val="Noklusjumarindkopasfonts"/>
    <w:rsid w:val="00FD3ED5"/>
    <w:rPr>
      <w:sz w:val="20"/>
      <w:szCs w:val="20"/>
    </w:rPr>
  </w:style>
  <w:style w:type="character" w:customStyle="1" w:styleId="CommentSubjectChar">
    <w:name w:val="Comment Subject Char"/>
    <w:basedOn w:val="CommentTextChar"/>
    <w:rsid w:val="00FD3ED5"/>
    <w:rPr>
      <w:b/>
      <w:bCs/>
      <w:sz w:val="20"/>
      <w:szCs w:val="20"/>
    </w:rPr>
  </w:style>
  <w:style w:type="character" w:customStyle="1" w:styleId="UnresolvedMention2">
    <w:name w:val="Unresolved Mention2"/>
    <w:basedOn w:val="Noklusjumarindkopasfonts"/>
    <w:rsid w:val="00FD3ED5"/>
    <w:rPr>
      <w:color w:val="605E5C"/>
      <w:shd w:val="clear" w:color="auto" w:fill="E1DFDD"/>
    </w:rPr>
  </w:style>
  <w:style w:type="character" w:customStyle="1" w:styleId="Neatrisintapieminana1">
    <w:name w:val="Neatrisināta pieminēšana1"/>
    <w:basedOn w:val="Noklusjumarindkopasfonts"/>
    <w:rsid w:val="00FD3ED5"/>
    <w:rPr>
      <w:color w:val="605E5C"/>
      <w:shd w:val="clear" w:color="auto" w:fill="E1DFDD"/>
    </w:rPr>
  </w:style>
  <w:style w:type="table" w:styleId="Reatabula">
    <w:name w:val="Table Grid"/>
    <w:basedOn w:val="Parastatabula"/>
    <w:uiPriority w:val="59"/>
    <w:rsid w:val="00FD3ED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98322">
      <w:bodyDiv w:val="1"/>
      <w:marLeft w:val="0"/>
      <w:marRight w:val="0"/>
      <w:marTop w:val="0"/>
      <w:marBottom w:val="0"/>
      <w:divBdr>
        <w:top w:val="none" w:sz="0" w:space="0" w:color="auto"/>
        <w:left w:val="none" w:sz="0" w:space="0" w:color="auto"/>
        <w:bottom w:val="none" w:sz="0" w:space="0" w:color="auto"/>
        <w:right w:val="none" w:sz="0" w:space="0" w:color="auto"/>
      </w:divBdr>
    </w:div>
    <w:div w:id="19638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ta.Jansone@zm.gov.lv%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5907</Words>
  <Characters>3368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2005. gada 25. janvāra noteikumos Nr. 62 "Zivsaimniecības konsultatīvās padomes nolikums"</vt:lpstr>
    </vt:vector>
  </TitlesOfParts>
  <Company>Zemkopības ministrija</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2005. gada 25. janvāra noteikumos Nr. 62 “Zivsaimniecības konsultatīvās padomes nolikums”” (VSS-930)</dc:title>
  <dc:subject>Anotācija</dc:subject>
  <dc:creator>santa jansone</dc:creator>
  <dc:description>Jansone 29194918 _x000d_
Santa.Jansone@zm.gov.lv</dc:description>
  <cp:lastModifiedBy>Sanita Papinova</cp:lastModifiedBy>
  <cp:revision>3</cp:revision>
  <cp:lastPrinted>2020-02-04T10:55:00Z</cp:lastPrinted>
  <dcterms:created xsi:type="dcterms:W3CDTF">2021-01-20T08:30:00Z</dcterms:created>
  <dcterms:modified xsi:type="dcterms:W3CDTF">2021-01-21T10:27:00Z</dcterms:modified>
</cp:coreProperties>
</file>