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18" w:rsidRPr="00FE63FF" w:rsidRDefault="00B75637" w:rsidP="00B75637">
      <w:pPr>
        <w:jc w:val="center"/>
        <w:rPr>
          <w:b/>
          <w:sz w:val="28"/>
          <w:szCs w:val="28"/>
        </w:rPr>
      </w:pPr>
      <w:smartTag w:uri="schemas-tilde-lv/tildestengine" w:element="veidnes">
        <w:smartTagPr>
          <w:attr w:name="id" w:val="-1"/>
          <w:attr w:name="baseform" w:val="Izziņa"/>
          <w:attr w:name="text" w:val="Izziņa"/>
        </w:smartTagPr>
        <w:r w:rsidRPr="00FE63FF">
          <w:rPr>
            <w:b/>
            <w:sz w:val="28"/>
            <w:szCs w:val="28"/>
          </w:rPr>
          <w:t>Izziņa</w:t>
        </w:r>
      </w:smartTag>
      <w:r w:rsidRPr="00FE63FF">
        <w:rPr>
          <w:b/>
          <w:sz w:val="28"/>
          <w:szCs w:val="28"/>
        </w:rPr>
        <w:t xml:space="preserve"> par atzinumos sniegtajiem iebildumiem</w:t>
      </w:r>
    </w:p>
    <w:p w:rsidR="00E2323A" w:rsidRPr="00E3630A" w:rsidRDefault="00E2323A" w:rsidP="00E2323A">
      <w:pPr>
        <w:pStyle w:val="naislab"/>
        <w:spacing w:before="0" w:beforeAutospacing="0" w:after="0" w:afterAutospacing="0"/>
        <w:jc w:val="center"/>
        <w:rPr>
          <w:b/>
          <w:sz w:val="28"/>
          <w:szCs w:val="28"/>
          <w:lang w:val="lv-LV"/>
        </w:rPr>
      </w:pPr>
      <w:r w:rsidRPr="00FE63FF">
        <w:rPr>
          <w:b/>
          <w:sz w:val="28"/>
          <w:szCs w:val="28"/>
          <w:lang w:val="lv-LV"/>
        </w:rPr>
        <w:t xml:space="preserve">Ministru kabineta noteikumu projektam </w:t>
      </w:r>
      <w:r w:rsidRPr="00FE63FF">
        <w:rPr>
          <w:b/>
          <w:bCs/>
          <w:sz w:val="28"/>
          <w:szCs w:val="28"/>
          <w:lang w:val="lv-LV"/>
        </w:rPr>
        <w:t>„</w:t>
      </w:r>
      <w:r w:rsidR="00E3630A" w:rsidRPr="00E3630A">
        <w:rPr>
          <w:b/>
          <w:bCs/>
          <w:sz w:val="28"/>
          <w:szCs w:val="28"/>
          <w:lang w:val="lv-LV"/>
        </w:rPr>
        <w:t>Grozījum</w:t>
      </w:r>
      <w:r w:rsidR="009170E2">
        <w:rPr>
          <w:b/>
          <w:bCs/>
          <w:sz w:val="28"/>
          <w:szCs w:val="28"/>
          <w:lang w:val="lv-LV"/>
        </w:rPr>
        <w:t>i</w:t>
      </w:r>
      <w:r w:rsidR="00E3630A" w:rsidRPr="00E3630A">
        <w:rPr>
          <w:b/>
          <w:bCs/>
          <w:sz w:val="28"/>
          <w:szCs w:val="28"/>
          <w:lang w:val="lv-LV"/>
        </w:rPr>
        <w:t xml:space="preserve"> Ministru kabineta 2010.</w:t>
      </w:r>
      <w:r w:rsidR="00E3630A" w:rsidRPr="00E3630A">
        <w:rPr>
          <w:sz w:val="28"/>
          <w:szCs w:val="28"/>
          <w:lang w:val="lv-LV"/>
        </w:rPr>
        <w:t> </w:t>
      </w:r>
      <w:r w:rsidR="00E3630A" w:rsidRPr="00E3630A">
        <w:rPr>
          <w:b/>
          <w:bCs/>
          <w:sz w:val="28"/>
          <w:szCs w:val="28"/>
          <w:lang w:val="lv-LV"/>
        </w:rPr>
        <w:t>gada 27.</w:t>
      </w:r>
      <w:r w:rsidR="00E3630A" w:rsidRPr="00E3630A">
        <w:rPr>
          <w:sz w:val="28"/>
          <w:szCs w:val="28"/>
          <w:lang w:val="lv-LV"/>
        </w:rPr>
        <w:t> </w:t>
      </w:r>
      <w:r w:rsidR="00E3630A" w:rsidRPr="00E3630A">
        <w:rPr>
          <w:b/>
          <w:bCs/>
          <w:sz w:val="28"/>
          <w:szCs w:val="28"/>
          <w:lang w:val="lv-LV"/>
        </w:rPr>
        <w:t>jūlija noteikumos Nr.</w:t>
      </w:r>
      <w:r w:rsidR="00E3630A" w:rsidRPr="00E3630A">
        <w:rPr>
          <w:sz w:val="28"/>
          <w:szCs w:val="28"/>
          <w:lang w:val="lv-LV"/>
        </w:rPr>
        <w:t> </w:t>
      </w:r>
      <w:r w:rsidR="00E3630A" w:rsidRPr="00E3630A">
        <w:rPr>
          <w:b/>
          <w:bCs/>
          <w:sz w:val="28"/>
          <w:szCs w:val="28"/>
          <w:lang w:val="lv-LV"/>
        </w:rPr>
        <w:t>704 “Noteikumi par robežšķērsošanas vietām un tajās veicamajām pārbaudēm”</w:t>
      </w:r>
      <w:r w:rsidR="00E3630A" w:rsidRPr="00E3630A">
        <w:rPr>
          <w:b/>
          <w:sz w:val="28"/>
          <w:szCs w:val="28"/>
          <w:lang w:val="lv-LV"/>
        </w:rPr>
        <w:t>”</w:t>
      </w:r>
      <w:r w:rsidRPr="00E3630A">
        <w:rPr>
          <w:b/>
          <w:bCs/>
          <w:sz w:val="28"/>
          <w:szCs w:val="28"/>
          <w:lang w:val="lv-LV"/>
        </w:rPr>
        <w:t>”</w:t>
      </w:r>
    </w:p>
    <w:p w:rsidR="00B75637" w:rsidRPr="00E3630A" w:rsidRDefault="00B75637" w:rsidP="00B75637">
      <w:pPr>
        <w:jc w:val="center"/>
        <w:rPr>
          <w:rFonts w:eastAsia="Times New Roman"/>
          <w:b/>
          <w:sz w:val="28"/>
          <w:szCs w:val="28"/>
        </w:rPr>
      </w:pPr>
      <w:r w:rsidRPr="00E3630A">
        <w:rPr>
          <w:rFonts w:eastAsia="Times New Roman"/>
          <w:b/>
          <w:sz w:val="28"/>
          <w:szCs w:val="28"/>
        </w:rPr>
        <w:t>VSS</w:t>
      </w:r>
      <w:r w:rsidR="00367F2A" w:rsidRPr="00E3630A">
        <w:rPr>
          <w:rFonts w:eastAsia="Times New Roman"/>
          <w:b/>
          <w:sz w:val="28"/>
          <w:szCs w:val="28"/>
        </w:rPr>
        <w:t>–</w:t>
      </w:r>
      <w:r w:rsidR="007C174F" w:rsidRPr="00E3630A">
        <w:rPr>
          <w:rFonts w:eastAsia="Times New Roman"/>
          <w:b/>
          <w:sz w:val="28"/>
          <w:szCs w:val="28"/>
        </w:rPr>
        <w:t>1</w:t>
      </w:r>
      <w:r w:rsidR="00E3630A" w:rsidRPr="00E3630A">
        <w:rPr>
          <w:rFonts w:eastAsia="Times New Roman"/>
          <w:b/>
          <w:sz w:val="28"/>
          <w:szCs w:val="28"/>
        </w:rPr>
        <w:t>094</w:t>
      </w:r>
    </w:p>
    <w:p w:rsidR="00312046" w:rsidRDefault="00312046" w:rsidP="00B75637">
      <w:pPr>
        <w:jc w:val="center"/>
        <w:rPr>
          <w:rFonts w:eastAsia="Times New Roman"/>
          <w:b/>
          <w:szCs w:val="24"/>
        </w:rPr>
      </w:pPr>
    </w:p>
    <w:p w:rsidR="00312046" w:rsidRDefault="00312046" w:rsidP="00D40E7A">
      <w:pPr>
        <w:pStyle w:val="Sarakstarindkopa"/>
        <w:ind w:left="0"/>
        <w:jc w:val="center"/>
        <w:rPr>
          <w:rFonts w:eastAsia="Times New Roman"/>
          <w:b/>
          <w:szCs w:val="24"/>
        </w:rPr>
      </w:pPr>
      <w:r>
        <w:rPr>
          <w:rFonts w:eastAsia="Times New Roman"/>
          <w:b/>
          <w:szCs w:val="24"/>
        </w:rPr>
        <w:t xml:space="preserve">I. </w:t>
      </w:r>
      <w:r w:rsidRPr="00FE0028">
        <w:rPr>
          <w:rFonts w:eastAsia="Times New Roman"/>
          <w:b/>
          <w:szCs w:val="24"/>
        </w:rPr>
        <w:t>Jautājumi, par kuriem saskaņošanā vienošanās nav panākt</w:t>
      </w:r>
      <w:r>
        <w:rPr>
          <w:rFonts w:eastAsia="Times New Roman"/>
          <w:b/>
          <w:szCs w:val="24"/>
        </w:rPr>
        <w:t>a</w:t>
      </w:r>
    </w:p>
    <w:p w:rsidR="00312046" w:rsidRDefault="00312046" w:rsidP="00312046">
      <w:pPr>
        <w:pStyle w:val="Sarakstarindkopa"/>
        <w:ind w:left="1080"/>
        <w:rPr>
          <w:rFonts w:eastAsia="Times New Roman"/>
          <w:b/>
          <w:szCs w:val="24"/>
        </w:rPr>
      </w:pPr>
    </w:p>
    <w:tbl>
      <w:tblPr>
        <w:tblStyle w:val="Reatabula"/>
        <w:tblW w:w="0" w:type="auto"/>
        <w:tblInd w:w="-5" w:type="dxa"/>
        <w:tblLook w:val="04A0" w:firstRow="1" w:lastRow="0" w:firstColumn="1" w:lastColumn="0" w:noHBand="0" w:noVBand="1"/>
      </w:tblPr>
      <w:tblGrid>
        <w:gridCol w:w="709"/>
        <w:gridCol w:w="2977"/>
        <w:gridCol w:w="3996"/>
        <w:gridCol w:w="2199"/>
        <w:gridCol w:w="2200"/>
        <w:gridCol w:w="2200"/>
      </w:tblGrid>
      <w:tr w:rsidR="00EC537D" w:rsidTr="00D40E7A">
        <w:tc>
          <w:tcPr>
            <w:tcW w:w="709" w:type="dxa"/>
            <w:vAlign w:val="center"/>
          </w:tcPr>
          <w:p w:rsidR="00EC537D" w:rsidRPr="009E0B9E" w:rsidRDefault="00EC537D" w:rsidP="006D5A7A">
            <w:pPr>
              <w:pStyle w:val="Sarakstarindkopa"/>
              <w:ind w:left="0"/>
              <w:jc w:val="center"/>
              <w:rPr>
                <w:szCs w:val="24"/>
              </w:rPr>
            </w:pPr>
            <w:r w:rsidRPr="009E0B9E">
              <w:rPr>
                <w:szCs w:val="24"/>
              </w:rPr>
              <w:t>Nr. p.k.</w:t>
            </w:r>
          </w:p>
        </w:tc>
        <w:tc>
          <w:tcPr>
            <w:tcW w:w="2977" w:type="dxa"/>
            <w:vAlign w:val="center"/>
          </w:tcPr>
          <w:p w:rsidR="00EC537D" w:rsidRDefault="00EC537D" w:rsidP="006D5A7A">
            <w:pPr>
              <w:pStyle w:val="Sarakstarindkopa"/>
              <w:ind w:left="0"/>
              <w:jc w:val="center"/>
              <w:rPr>
                <w:b/>
                <w:szCs w:val="24"/>
              </w:rPr>
            </w:pPr>
            <w:r w:rsidRPr="00FE0028">
              <w:rPr>
                <w:rFonts w:eastAsia="Times New Roman"/>
                <w:szCs w:val="24"/>
              </w:rPr>
              <w:t>Saskaņošanai nosūtītā projekta redakcija (konkrēta punkta (panta) redakcija</w:t>
            </w:r>
            <w:r>
              <w:rPr>
                <w:rFonts w:eastAsia="Times New Roman"/>
                <w:szCs w:val="24"/>
              </w:rPr>
              <w:t>)</w:t>
            </w:r>
          </w:p>
        </w:tc>
        <w:tc>
          <w:tcPr>
            <w:tcW w:w="3996" w:type="dxa"/>
            <w:vAlign w:val="center"/>
          </w:tcPr>
          <w:p w:rsidR="00EC537D" w:rsidRDefault="00EC537D" w:rsidP="006D5A7A">
            <w:pPr>
              <w:pStyle w:val="Sarakstarindkopa"/>
              <w:ind w:left="0"/>
              <w:jc w:val="center"/>
              <w:rPr>
                <w:b/>
                <w:szCs w:val="24"/>
              </w:rPr>
            </w:pPr>
            <w:r w:rsidRPr="00FE0028">
              <w:rPr>
                <w:rFonts w:eastAsia="Times New Roman"/>
                <w:szCs w:val="24"/>
              </w:rPr>
              <w:t>Atzinumā norādītais ministrijas (citas institūcijas) iebildums, kā arī saskaņošanā papildus izteiktais iebildums par projekta konkrēto punktu (pantu</w:t>
            </w:r>
            <w:r>
              <w:rPr>
                <w:rFonts w:eastAsia="Times New Roman"/>
                <w:szCs w:val="24"/>
              </w:rPr>
              <w:t>)</w:t>
            </w:r>
          </w:p>
        </w:tc>
        <w:tc>
          <w:tcPr>
            <w:tcW w:w="2199" w:type="dxa"/>
            <w:vAlign w:val="center"/>
          </w:tcPr>
          <w:p w:rsidR="00EC537D" w:rsidRDefault="00EC537D" w:rsidP="006D5A7A">
            <w:pPr>
              <w:pStyle w:val="Sarakstarindkopa"/>
              <w:ind w:left="0"/>
              <w:jc w:val="center"/>
              <w:rPr>
                <w:b/>
                <w:szCs w:val="24"/>
              </w:rPr>
            </w:pPr>
            <w:r w:rsidRPr="00FE0028">
              <w:rPr>
                <w:rFonts w:eastAsia="Times New Roman"/>
                <w:szCs w:val="24"/>
              </w:rPr>
              <w:t>Atbildīgās ministrijas pamatojums iebilduma noraidījumam</w:t>
            </w:r>
          </w:p>
        </w:tc>
        <w:tc>
          <w:tcPr>
            <w:tcW w:w="2200" w:type="dxa"/>
            <w:vAlign w:val="center"/>
          </w:tcPr>
          <w:p w:rsidR="00EC537D" w:rsidRDefault="00EC537D" w:rsidP="006D5A7A">
            <w:pPr>
              <w:pStyle w:val="Sarakstarindkopa"/>
              <w:ind w:left="0"/>
              <w:jc w:val="center"/>
              <w:rPr>
                <w:b/>
                <w:szCs w:val="24"/>
              </w:rPr>
            </w:pPr>
            <w:r w:rsidRPr="00FE0028">
              <w:rPr>
                <w:rFonts w:eastAsia="Times New Roman"/>
                <w:szCs w:val="24"/>
              </w:rPr>
              <w:t>Atzinuma sniedzēja uzturētais iebildums, ja tas atšķiras no atzinumā norādītā iebilduma pamatojuma</w:t>
            </w:r>
          </w:p>
        </w:tc>
        <w:tc>
          <w:tcPr>
            <w:tcW w:w="2200" w:type="dxa"/>
            <w:vAlign w:val="center"/>
          </w:tcPr>
          <w:p w:rsidR="00EC537D" w:rsidRDefault="00EC537D" w:rsidP="006D5A7A">
            <w:pPr>
              <w:pStyle w:val="Sarakstarindkopa"/>
              <w:ind w:left="0"/>
              <w:jc w:val="center"/>
              <w:rPr>
                <w:b/>
                <w:szCs w:val="24"/>
              </w:rPr>
            </w:pPr>
            <w:r w:rsidRPr="00FE0028">
              <w:rPr>
                <w:rFonts w:eastAsia="Times New Roman"/>
                <w:szCs w:val="24"/>
              </w:rPr>
              <w:t>Projekta attiecīgā punkta (panta) galīgā redakcija</w:t>
            </w:r>
          </w:p>
        </w:tc>
      </w:tr>
      <w:tr w:rsidR="00EC537D" w:rsidRPr="009E0B9E" w:rsidTr="00D40E7A">
        <w:tc>
          <w:tcPr>
            <w:tcW w:w="709" w:type="dxa"/>
          </w:tcPr>
          <w:p w:rsidR="00EC537D" w:rsidRPr="009E0B9E" w:rsidRDefault="009E0B9E" w:rsidP="009E0B9E">
            <w:pPr>
              <w:pStyle w:val="Sarakstarindkopa"/>
              <w:ind w:left="0"/>
              <w:jc w:val="center"/>
              <w:rPr>
                <w:szCs w:val="24"/>
              </w:rPr>
            </w:pPr>
            <w:r w:rsidRPr="009E0B9E">
              <w:rPr>
                <w:szCs w:val="24"/>
              </w:rPr>
              <w:t>1</w:t>
            </w:r>
          </w:p>
        </w:tc>
        <w:tc>
          <w:tcPr>
            <w:tcW w:w="2977" w:type="dxa"/>
          </w:tcPr>
          <w:p w:rsidR="00EC537D" w:rsidRPr="009E0B9E" w:rsidRDefault="009E0B9E" w:rsidP="009E0B9E">
            <w:pPr>
              <w:pStyle w:val="Sarakstarindkopa"/>
              <w:ind w:left="0"/>
              <w:jc w:val="center"/>
              <w:rPr>
                <w:szCs w:val="24"/>
              </w:rPr>
            </w:pPr>
            <w:r w:rsidRPr="009E0B9E">
              <w:rPr>
                <w:szCs w:val="24"/>
              </w:rPr>
              <w:t>2</w:t>
            </w:r>
          </w:p>
        </w:tc>
        <w:tc>
          <w:tcPr>
            <w:tcW w:w="3996" w:type="dxa"/>
          </w:tcPr>
          <w:p w:rsidR="00EC537D" w:rsidRPr="009E0B9E" w:rsidRDefault="009E0B9E" w:rsidP="009E0B9E">
            <w:pPr>
              <w:pStyle w:val="Sarakstarindkopa"/>
              <w:ind w:left="0"/>
              <w:jc w:val="center"/>
              <w:rPr>
                <w:szCs w:val="24"/>
              </w:rPr>
            </w:pPr>
            <w:r w:rsidRPr="009E0B9E">
              <w:rPr>
                <w:szCs w:val="24"/>
              </w:rPr>
              <w:t>3</w:t>
            </w:r>
          </w:p>
        </w:tc>
        <w:tc>
          <w:tcPr>
            <w:tcW w:w="2199" w:type="dxa"/>
          </w:tcPr>
          <w:p w:rsidR="00EC537D" w:rsidRPr="009E0B9E" w:rsidRDefault="009E0B9E" w:rsidP="009E0B9E">
            <w:pPr>
              <w:pStyle w:val="Sarakstarindkopa"/>
              <w:ind w:left="0"/>
              <w:jc w:val="center"/>
              <w:rPr>
                <w:szCs w:val="24"/>
              </w:rPr>
            </w:pPr>
            <w:r w:rsidRPr="009E0B9E">
              <w:rPr>
                <w:szCs w:val="24"/>
              </w:rPr>
              <w:t>4</w:t>
            </w:r>
          </w:p>
        </w:tc>
        <w:tc>
          <w:tcPr>
            <w:tcW w:w="2200" w:type="dxa"/>
          </w:tcPr>
          <w:p w:rsidR="00EC537D" w:rsidRPr="009E0B9E" w:rsidRDefault="009E0B9E" w:rsidP="009E0B9E">
            <w:pPr>
              <w:pStyle w:val="Sarakstarindkopa"/>
              <w:ind w:left="0"/>
              <w:jc w:val="center"/>
              <w:rPr>
                <w:szCs w:val="24"/>
              </w:rPr>
            </w:pPr>
            <w:r w:rsidRPr="009E0B9E">
              <w:rPr>
                <w:szCs w:val="24"/>
              </w:rPr>
              <w:t>5</w:t>
            </w:r>
          </w:p>
        </w:tc>
        <w:tc>
          <w:tcPr>
            <w:tcW w:w="2200" w:type="dxa"/>
          </w:tcPr>
          <w:p w:rsidR="00EC537D" w:rsidRPr="009E0B9E" w:rsidRDefault="009E0B9E" w:rsidP="009E0B9E">
            <w:pPr>
              <w:pStyle w:val="Sarakstarindkopa"/>
              <w:ind w:left="0"/>
              <w:jc w:val="center"/>
              <w:rPr>
                <w:szCs w:val="24"/>
              </w:rPr>
            </w:pPr>
            <w:r w:rsidRPr="009E0B9E">
              <w:rPr>
                <w:szCs w:val="24"/>
              </w:rPr>
              <w:t>6</w:t>
            </w:r>
          </w:p>
        </w:tc>
      </w:tr>
      <w:tr w:rsidR="00EC537D" w:rsidTr="00D40E7A">
        <w:tc>
          <w:tcPr>
            <w:tcW w:w="709" w:type="dxa"/>
          </w:tcPr>
          <w:p w:rsidR="00EC537D" w:rsidRDefault="00EC537D" w:rsidP="00312046">
            <w:pPr>
              <w:pStyle w:val="Sarakstarindkopa"/>
              <w:ind w:left="0"/>
              <w:rPr>
                <w:b/>
                <w:szCs w:val="24"/>
              </w:rPr>
            </w:pPr>
          </w:p>
        </w:tc>
        <w:tc>
          <w:tcPr>
            <w:tcW w:w="2977" w:type="dxa"/>
          </w:tcPr>
          <w:p w:rsidR="00EC537D" w:rsidRDefault="00EC537D" w:rsidP="00312046">
            <w:pPr>
              <w:pStyle w:val="Sarakstarindkopa"/>
              <w:ind w:left="0"/>
              <w:rPr>
                <w:b/>
                <w:szCs w:val="24"/>
              </w:rPr>
            </w:pPr>
          </w:p>
        </w:tc>
        <w:tc>
          <w:tcPr>
            <w:tcW w:w="3996" w:type="dxa"/>
          </w:tcPr>
          <w:p w:rsidR="00EC537D" w:rsidRDefault="00EC537D" w:rsidP="00312046">
            <w:pPr>
              <w:pStyle w:val="Sarakstarindkopa"/>
              <w:ind w:left="0"/>
              <w:rPr>
                <w:b/>
                <w:szCs w:val="24"/>
              </w:rPr>
            </w:pPr>
          </w:p>
        </w:tc>
        <w:tc>
          <w:tcPr>
            <w:tcW w:w="2199"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r>
      <w:tr w:rsidR="00EC537D" w:rsidTr="00D40E7A">
        <w:tc>
          <w:tcPr>
            <w:tcW w:w="709" w:type="dxa"/>
          </w:tcPr>
          <w:p w:rsidR="00EC537D" w:rsidRDefault="00EC537D" w:rsidP="00312046">
            <w:pPr>
              <w:pStyle w:val="Sarakstarindkopa"/>
              <w:ind w:left="0"/>
              <w:rPr>
                <w:b/>
                <w:szCs w:val="24"/>
              </w:rPr>
            </w:pPr>
          </w:p>
        </w:tc>
        <w:tc>
          <w:tcPr>
            <w:tcW w:w="2977" w:type="dxa"/>
          </w:tcPr>
          <w:p w:rsidR="00EC537D" w:rsidRDefault="00EC537D" w:rsidP="00312046">
            <w:pPr>
              <w:pStyle w:val="Sarakstarindkopa"/>
              <w:ind w:left="0"/>
              <w:rPr>
                <w:b/>
                <w:szCs w:val="24"/>
              </w:rPr>
            </w:pPr>
          </w:p>
        </w:tc>
        <w:tc>
          <w:tcPr>
            <w:tcW w:w="3996" w:type="dxa"/>
          </w:tcPr>
          <w:p w:rsidR="00EC537D" w:rsidRDefault="00EC537D" w:rsidP="00312046">
            <w:pPr>
              <w:pStyle w:val="Sarakstarindkopa"/>
              <w:ind w:left="0"/>
              <w:rPr>
                <w:b/>
                <w:szCs w:val="24"/>
              </w:rPr>
            </w:pPr>
          </w:p>
        </w:tc>
        <w:tc>
          <w:tcPr>
            <w:tcW w:w="2199"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c>
          <w:tcPr>
            <w:tcW w:w="2200" w:type="dxa"/>
          </w:tcPr>
          <w:p w:rsidR="00EC537D" w:rsidRDefault="00EC537D" w:rsidP="00312046">
            <w:pPr>
              <w:pStyle w:val="Sarakstarindkopa"/>
              <w:ind w:left="0"/>
              <w:rPr>
                <w:b/>
                <w:szCs w:val="24"/>
              </w:rPr>
            </w:pPr>
          </w:p>
        </w:tc>
      </w:tr>
      <w:tr w:rsidR="00C162FB" w:rsidTr="00D40E7A">
        <w:tc>
          <w:tcPr>
            <w:tcW w:w="709" w:type="dxa"/>
          </w:tcPr>
          <w:p w:rsidR="00C162FB" w:rsidRDefault="00C162FB" w:rsidP="00312046">
            <w:pPr>
              <w:pStyle w:val="Sarakstarindkopa"/>
              <w:ind w:left="0"/>
              <w:rPr>
                <w:b/>
                <w:szCs w:val="24"/>
              </w:rPr>
            </w:pPr>
          </w:p>
        </w:tc>
        <w:tc>
          <w:tcPr>
            <w:tcW w:w="2977" w:type="dxa"/>
          </w:tcPr>
          <w:p w:rsidR="00C162FB" w:rsidRDefault="00C162FB" w:rsidP="00312046">
            <w:pPr>
              <w:pStyle w:val="Sarakstarindkopa"/>
              <w:ind w:left="0"/>
              <w:rPr>
                <w:b/>
                <w:szCs w:val="24"/>
              </w:rPr>
            </w:pPr>
          </w:p>
        </w:tc>
        <w:tc>
          <w:tcPr>
            <w:tcW w:w="3996" w:type="dxa"/>
          </w:tcPr>
          <w:p w:rsidR="00C162FB" w:rsidRDefault="00C162FB" w:rsidP="00312046">
            <w:pPr>
              <w:pStyle w:val="Sarakstarindkopa"/>
              <w:ind w:left="0"/>
              <w:rPr>
                <w:b/>
                <w:szCs w:val="24"/>
              </w:rPr>
            </w:pPr>
          </w:p>
        </w:tc>
        <w:tc>
          <w:tcPr>
            <w:tcW w:w="2199" w:type="dxa"/>
          </w:tcPr>
          <w:p w:rsidR="00C162FB" w:rsidRDefault="00C162FB" w:rsidP="00312046">
            <w:pPr>
              <w:pStyle w:val="Sarakstarindkopa"/>
              <w:ind w:left="0"/>
              <w:rPr>
                <w:b/>
                <w:szCs w:val="24"/>
              </w:rPr>
            </w:pPr>
          </w:p>
        </w:tc>
        <w:tc>
          <w:tcPr>
            <w:tcW w:w="2200" w:type="dxa"/>
          </w:tcPr>
          <w:p w:rsidR="00C162FB" w:rsidRDefault="00C162FB" w:rsidP="00312046">
            <w:pPr>
              <w:pStyle w:val="Sarakstarindkopa"/>
              <w:ind w:left="0"/>
              <w:rPr>
                <w:b/>
                <w:szCs w:val="24"/>
              </w:rPr>
            </w:pPr>
          </w:p>
        </w:tc>
        <w:tc>
          <w:tcPr>
            <w:tcW w:w="2200" w:type="dxa"/>
          </w:tcPr>
          <w:p w:rsidR="00C162FB" w:rsidRDefault="00C162FB" w:rsidP="00312046">
            <w:pPr>
              <w:pStyle w:val="Sarakstarindkopa"/>
              <w:ind w:left="0"/>
              <w:rPr>
                <w:b/>
                <w:szCs w:val="24"/>
              </w:rPr>
            </w:pPr>
          </w:p>
        </w:tc>
      </w:tr>
    </w:tbl>
    <w:p w:rsidR="00312046" w:rsidRDefault="00312046" w:rsidP="00312046">
      <w:pPr>
        <w:pStyle w:val="Sarakstarindkopa"/>
        <w:ind w:left="1080"/>
        <w:rPr>
          <w:b/>
          <w:szCs w:val="24"/>
        </w:rPr>
      </w:pPr>
    </w:p>
    <w:p w:rsidR="00094CCD" w:rsidRPr="00D40E7A" w:rsidRDefault="00094CCD" w:rsidP="00D40E7A">
      <w:pPr>
        <w:rPr>
          <w:rFonts w:eastAsia="Times New Roman"/>
          <w:b/>
          <w:szCs w:val="24"/>
        </w:rPr>
      </w:pPr>
      <w:r w:rsidRPr="00D40E7A">
        <w:rPr>
          <w:rFonts w:eastAsia="Times New Roman"/>
          <w:b/>
          <w:szCs w:val="24"/>
        </w:rPr>
        <w:t>Informācija par starpministriju (starpinstitūciju) elektronisko saskaņošanu</w:t>
      </w:r>
    </w:p>
    <w:p w:rsidR="00094CCD" w:rsidRDefault="00094CCD" w:rsidP="00312046">
      <w:pPr>
        <w:pStyle w:val="Sarakstarindkopa"/>
        <w:ind w:left="1080"/>
        <w:rPr>
          <w:rFonts w:eastAsia="Times New Roman"/>
          <w:b/>
          <w:szCs w:val="24"/>
        </w:rPr>
      </w:pPr>
    </w:p>
    <w:tbl>
      <w:tblPr>
        <w:tblStyle w:val="Reatabula"/>
        <w:tblW w:w="141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9072"/>
      </w:tblGrid>
      <w:tr w:rsidR="00F30006" w:rsidRPr="00F30006" w:rsidTr="005B2890">
        <w:tc>
          <w:tcPr>
            <w:tcW w:w="5108" w:type="dxa"/>
          </w:tcPr>
          <w:p w:rsidR="00F30006" w:rsidRPr="00F30006" w:rsidRDefault="00F30006" w:rsidP="00312046">
            <w:pPr>
              <w:pStyle w:val="Sarakstarindkopa"/>
              <w:ind w:left="0"/>
              <w:rPr>
                <w:szCs w:val="24"/>
              </w:rPr>
            </w:pPr>
            <w:r w:rsidRPr="00F30006">
              <w:rPr>
                <w:szCs w:val="24"/>
              </w:rPr>
              <w:t>Datums</w:t>
            </w:r>
          </w:p>
        </w:tc>
        <w:tc>
          <w:tcPr>
            <w:tcW w:w="9072" w:type="dxa"/>
          </w:tcPr>
          <w:p w:rsidR="00D7344B" w:rsidRPr="00F64F0D" w:rsidRDefault="00F64F0D" w:rsidP="00A679F3">
            <w:pPr>
              <w:pStyle w:val="Sarakstarindkopa"/>
              <w:ind w:left="0"/>
              <w:rPr>
                <w:bCs/>
                <w:szCs w:val="24"/>
              </w:rPr>
            </w:pPr>
            <w:r w:rsidRPr="00F64F0D">
              <w:rPr>
                <w:bCs/>
                <w:szCs w:val="24"/>
              </w:rPr>
              <w:t>2021. gada 4. februāris</w:t>
            </w:r>
          </w:p>
        </w:tc>
      </w:tr>
      <w:tr w:rsidR="00F30006" w:rsidRPr="00F30006" w:rsidTr="005B2890">
        <w:tc>
          <w:tcPr>
            <w:tcW w:w="5108" w:type="dxa"/>
          </w:tcPr>
          <w:p w:rsidR="00F30006" w:rsidRPr="00F30006" w:rsidRDefault="00F30006" w:rsidP="00312046">
            <w:pPr>
              <w:pStyle w:val="Sarakstarindkopa"/>
              <w:ind w:left="0"/>
              <w:rPr>
                <w:szCs w:val="24"/>
              </w:rPr>
            </w:pPr>
            <w:r>
              <w:rPr>
                <w:szCs w:val="24"/>
              </w:rPr>
              <w:t>Saskaņošanas dalībnieki</w:t>
            </w:r>
          </w:p>
        </w:tc>
        <w:tc>
          <w:tcPr>
            <w:tcW w:w="9072" w:type="dxa"/>
          </w:tcPr>
          <w:p w:rsidR="00E3630A" w:rsidRDefault="00621616" w:rsidP="00A679F3">
            <w:pPr>
              <w:rPr>
                <w:rFonts w:eastAsia="Times New Roman"/>
                <w:szCs w:val="24"/>
              </w:rPr>
            </w:pPr>
            <w:r w:rsidRPr="009B13DC">
              <w:rPr>
                <w:rFonts w:eastAsia="Times New Roman"/>
                <w:szCs w:val="24"/>
              </w:rPr>
              <w:t xml:space="preserve">Tieslietu </w:t>
            </w:r>
            <w:r w:rsidRPr="00596E09">
              <w:rPr>
                <w:rFonts w:eastAsia="Times New Roman"/>
                <w:szCs w:val="24"/>
              </w:rPr>
              <w:t>ministrija</w:t>
            </w:r>
            <w:r>
              <w:rPr>
                <w:rFonts w:eastAsia="Times New Roman"/>
                <w:szCs w:val="24"/>
              </w:rPr>
              <w:t xml:space="preserve">, </w:t>
            </w:r>
            <w:r w:rsidR="004C6C9C" w:rsidRPr="009B13DC">
              <w:rPr>
                <w:rFonts w:eastAsia="Times New Roman"/>
                <w:szCs w:val="24"/>
              </w:rPr>
              <w:t xml:space="preserve">Finanšu </w:t>
            </w:r>
            <w:r w:rsidR="004C6C9C" w:rsidRPr="00F473F6">
              <w:rPr>
                <w:rFonts w:eastAsia="Times New Roman"/>
                <w:szCs w:val="24"/>
              </w:rPr>
              <w:t>ministrija</w:t>
            </w:r>
            <w:r>
              <w:rPr>
                <w:rFonts w:eastAsia="Times New Roman"/>
                <w:szCs w:val="24"/>
              </w:rPr>
              <w:t xml:space="preserve">, </w:t>
            </w:r>
            <w:r>
              <w:t xml:space="preserve">Satiksmes ministrija, </w:t>
            </w:r>
            <w:r w:rsidR="00E3630A">
              <w:rPr>
                <w:rFonts w:eastAsia="Times New Roman"/>
                <w:szCs w:val="24"/>
              </w:rPr>
              <w:t>Iekšlietu ministrija</w:t>
            </w:r>
          </w:p>
          <w:p w:rsidR="00F548B7" w:rsidRPr="00F473F6" w:rsidRDefault="00F548B7" w:rsidP="00A679F3">
            <w:pPr>
              <w:rPr>
                <w:szCs w:val="24"/>
              </w:rPr>
            </w:pPr>
          </w:p>
        </w:tc>
      </w:tr>
      <w:tr w:rsidR="00F30006" w:rsidRPr="00F30006" w:rsidTr="005B2890">
        <w:tc>
          <w:tcPr>
            <w:tcW w:w="5108" w:type="dxa"/>
          </w:tcPr>
          <w:p w:rsidR="00F30006" w:rsidRPr="00F30006" w:rsidRDefault="00604BB3" w:rsidP="00312046">
            <w:pPr>
              <w:pStyle w:val="Sarakstarindkopa"/>
              <w:ind w:left="0"/>
              <w:rPr>
                <w:szCs w:val="24"/>
              </w:rPr>
            </w:pPr>
            <w:r w:rsidRPr="00FE0028">
              <w:rPr>
                <w:rFonts w:eastAsia="Times New Roman"/>
                <w:szCs w:val="24"/>
              </w:rPr>
              <w:t>Saskaņošanas dalībnieki izskatīja šādu ministriju (citu institūciju) iebildumus</w:t>
            </w:r>
          </w:p>
        </w:tc>
        <w:tc>
          <w:tcPr>
            <w:tcW w:w="9072" w:type="dxa"/>
          </w:tcPr>
          <w:p w:rsidR="00346A12" w:rsidRDefault="00346A12" w:rsidP="00346A12">
            <w:pPr>
              <w:rPr>
                <w:rFonts w:eastAsia="Times New Roman"/>
                <w:szCs w:val="24"/>
              </w:rPr>
            </w:pPr>
            <w:r w:rsidRPr="009B13DC">
              <w:rPr>
                <w:rFonts w:eastAsia="Times New Roman"/>
                <w:szCs w:val="24"/>
              </w:rPr>
              <w:t xml:space="preserve">Tieslietu </w:t>
            </w:r>
            <w:r w:rsidRPr="00596E09">
              <w:rPr>
                <w:rFonts w:eastAsia="Times New Roman"/>
                <w:szCs w:val="24"/>
              </w:rPr>
              <w:t>ministrija</w:t>
            </w:r>
          </w:p>
          <w:p w:rsidR="00E3630A" w:rsidRPr="00F473F6" w:rsidRDefault="00E3630A" w:rsidP="00E3630A">
            <w:pPr>
              <w:rPr>
                <w:szCs w:val="24"/>
              </w:rPr>
            </w:pPr>
            <w:r w:rsidRPr="009B13DC">
              <w:rPr>
                <w:rFonts w:eastAsia="Times New Roman"/>
                <w:szCs w:val="24"/>
              </w:rPr>
              <w:t xml:space="preserve">Finanšu </w:t>
            </w:r>
            <w:r w:rsidRPr="00F473F6">
              <w:rPr>
                <w:rFonts w:eastAsia="Times New Roman"/>
                <w:szCs w:val="24"/>
              </w:rPr>
              <w:t>ministrija</w:t>
            </w:r>
          </w:p>
          <w:p w:rsidR="007900CE" w:rsidRPr="00F30006" w:rsidRDefault="00E3630A" w:rsidP="00D962AC">
            <w:pPr>
              <w:pStyle w:val="Sarakstarindkopa"/>
              <w:ind w:left="0"/>
              <w:rPr>
                <w:szCs w:val="24"/>
              </w:rPr>
            </w:pPr>
            <w:r>
              <w:t>Satiksmes ministrija</w:t>
            </w:r>
          </w:p>
        </w:tc>
      </w:tr>
      <w:tr w:rsidR="00F30006" w:rsidRPr="00F30006" w:rsidTr="005B2890">
        <w:tc>
          <w:tcPr>
            <w:tcW w:w="5108" w:type="dxa"/>
          </w:tcPr>
          <w:p w:rsidR="00F30006" w:rsidRPr="00F30006" w:rsidRDefault="00604BB3" w:rsidP="00312046">
            <w:pPr>
              <w:pStyle w:val="Sarakstarindkopa"/>
              <w:ind w:left="0"/>
              <w:rPr>
                <w:szCs w:val="24"/>
              </w:rPr>
            </w:pPr>
            <w:r w:rsidRPr="00FE0028">
              <w:rPr>
                <w:rFonts w:eastAsia="Times New Roman"/>
                <w:szCs w:val="24"/>
              </w:rPr>
              <w:t>Ministrijas (citas institūcijas), kuras nav ieradušās uz sanāksmi vai kuras nav atbildējušas uz uzaicinājumu piedalīties elektroniskajā saskaņošanā</w:t>
            </w:r>
          </w:p>
        </w:tc>
        <w:tc>
          <w:tcPr>
            <w:tcW w:w="9072" w:type="dxa"/>
          </w:tcPr>
          <w:p w:rsidR="00F30006" w:rsidRPr="00F30006" w:rsidRDefault="00F30006" w:rsidP="00312046">
            <w:pPr>
              <w:pStyle w:val="Sarakstarindkopa"/>
              <w:ind w:left="0"/>
              <w:rPr>
                <w:szCs w:val="24"/>
              </w:rPr>
            </w:pPr>
          </w:p>
        </w:tc>
      </w:tr>
    </w:tbl>
    <w:p w:rsidR="00094CCD" w:rsidRDefault="00094CCD" w:rsidP="00312046">
      <w:pPr>
        <w:pStyle w:val="Sarakstarindkopa"/>
        <w:ind w:left="1080"/>
        <w:rPr>
          <w:b/>
          <w:szCs w:val="24"/>
        </w:rPr>
      </w:pPr>
    </w:p>
    <w:p w:rsidR="00604BB3" w:rsidRDefault="00604BB3" w:rsidP="00D40E7A">
      <w:pPr>
        <w:pStyle w:val="Sarakstarindkopa"/>
        <w:ind w:left="0"/>
        <w:jc w:val="center"/>
        <w:rPr>
          <w:rFonts w:eastAsia="Times New Roman"/>
          <w:b/>
          <w:szCs w:val="24"/>
        </w:rPr>
      </w:pPr>
      <w:r w:rsidRPr="00FE0028">
        <w:rPr>
          <w:rFonts w:eastAsia="Times New Roman"/>
          <w:b/>
          <w:szCs w:val="24"/>
        </w:rPr>
        <w:lastRenderedPageBreak/>
        <w:t>II. Jautājumi, par kuriem saskaņošanā vienošanās ir panākta</w:t>
      </w:r>
    </w:p>
    <w:p w:rsidR="00604BB3" w:rsidRDefault="00604BB3" w:rsidP="00312046">
      <w:pPr>
        <w:pStyle w:val="Sarakstarindkopa"/>
        <w:ind w:left="1080"/>
        <w:rPr>
          <w:rFonts w:eastAsia="Times New Roman"/>
          <w:b/>
          <w:szCs w:val="24"/>
        </w:rPr>
      </w:pPr>
    </w:p>
    <w:tbl>
      <w:tblPr>
        <w:tblStyle w:val="Reatabula"/>
        <w:tblW w:w="14601" w:type="dxa"/>
        <w:tblInd w:w="-5" w:type="dxa"/>
        <w:tblLook w:val="04A0" w:firstRow="1" w:lastRow="0" w:firstColumn="1" w:lastColumn="0" w:noHBand="0" w:noVBand="1"/>
      </w:tblPr>
      <w:tblGrid>
        <w:gridCol w:w="593"/>
        <w:gridCol w:w="2002"/>
        <w:gridCol w:w="5181"/>
        <w:gridCol w:w="1914"/>
        <w:gridCol w:w="4911"/>
      </w:tblGrid>
      <w:tr w:rsidR="00610204" w:rsidTr="007220B7">
        <w:tc>
          <w:tcPr>
            <w:tcW w:w="593" w:type="dxa"/>
            <w:vAlign w:val="center"/>
          </w:tcPr>
          <w:p w:rsidR="00610204" w:rsidRPr="005F1616" w:rsidRDefault="00610204" w:rsidP="0020342B">
            <w:pPr>
              <w:pStyle w:val="Sarakstarindkopa"/>
              <w:ind w:left="0"/>
              <w:jc w:val="center"/>
              <w:rPr>
                <w:szCs w:val="24"/>
              </w:rPr>
            </w:pPr>
            <w:r w:rsidRPr="005F1616">
              <w:rPr>
                <w:szCs w:val="24"/>
              </w:rPr>
              <w:t>Nr. p.k.</w:t>
            </w:r>
          </w:p>
        </w:tc>
        <w:tc>
          <w:tcPr>
            <w:tcW w:w="2002" w:type="dxa"/>
            <w:vAlign w:val="center"/>
          </w:tcPr>
          <w:p w:rsidR="00610204" w:rsidRDefault="00610204" w:rsidP="002F2B16">
            <w:pPr>
              <w:pStyle w:val="Sarakstarindkopa"/>
              <w:ind w:left="0"/>
              <w:jc w:val="center"/>
              <w:rPr>
                <w:b/>
                <w:szCs w:val="24"/>
              </w:rPr>
            </w:pPr>
            <w:r w:rsidRPr="00FE0028">
              <w:rPr>
                <w:rFonts w:eastAsia="Times New Roman"/>
                <w:szCs w:val="24"/>
              </w:rPr>
              <w:t>Saskaņošanai nosūtītā projekta redakcija (konkrēta punkta (panta) redakcija</w:t>
            </w:r>
            <w:r>
              <w:rPr>
                <w:rFonts w:eastAsia="Times New Roman"/>
                <w:szCs w:val="24"/>
              </w:rPr>
              <w:t>)</w:t>
            </w:r>
          </w:p>
        </w:tc>
        <w:tc>
          <w:tcPr>
            <w:tcW w:w="5181" w:type="dxa"/>
            <w:vAlign w:val="center"/>
          </w:tcPr>
          <w:p w:rsidR="00610204" w:rsidRDefault="00610204" w:rsidP="002F2B16">
            <w:pPr>
              <w:pStyle w:val="Sarakstarindkopa"/>
              <w:ind w:left="0"/>
              <w:jc w:val="center"/>
              <w:rPr>
                <w:b/>
                <w:szCs w:val="24"/>
              </w:rPr>
            </w:pPr>
            <w:r w:rsidRPr="00FE0028">
              <w:rPr>
                <w:rFonts w:eastAsia="Times New Roman"/>
                <w:szCs w:val="24"/>
              </w:rPr>
              <w:t>Atzinumā norādītais ministrijas (citas institūcijas) iebildums, kā arī saskaņošanā papildus izteiktais iebildums par projekta konkrēto punktu (pantu</w:t>
            </w:r>
            <w:r>
              <w:rPr>
                <w:rFonts w:eastAsia="Times New Roman"/>
                <w:szCs w:val="24"/>
              </w:rPr>
              <w:t>)</w:t>
            </w:r>
          </w:p>
        </w:tc>
        <w:tc>
          <w:tcPr>
            <w:tcW w:w="1914" w:type="dxa"/>
            <w:vAlign w:val="center"/>
          </w:tcPr>
          <w:p w:rsidR="00610204" w:rsidRDefault="00610204" w:rsidP="002F2B16">
            <w:pPr>
              <w:pStyle w:val="Sarakstarindkopa"/>
              <w:ind w:left="0"/>
              <w:jc w:val="center"/>
              <w:rPr>
                <w:b/>
                <w:szCs w:val="24"/>
              </w:rPr>
            </w:pPr>
            <w:r w:rsidRPr="00FE0028">
              <w:rPr>
                <w:rFonts w:eastAsia="Times New Roman"/>
                <w:szCs w:val="24"/>
              </w:rPr>
              <w:t>Atbildīgās ministrijas norāde par to, ka iebildums ir ņemts vērā, vai informācija par saskaņošanā panākto alternatīvo risinājumu</w:t>
            </w:r>
          </w:p>
        </w:tc>
        <w:tc>
          <w:tcPr>
            <w:tcW w:w="4911" w:type="dxa"/>
            <w:vAlign w:val="center"/>
          </w:tcPr>
          <w:p w:rsidR="00610204" w:rsidRDefault="00610204" w:rsidP="002F2B16">
            <w:pPr>
              <w:pStyle w:val="Sarakstarindkopa"/>
              <w:ind w:left="0"/>
              <w:jc w:val="center"/>
              <w:rPr>
                <w:b/>
                <w:szCs w:val="24"/>
              </w:rPr>
            </w:pPr>
            <w:r w:rsidRPr="00FE0028">
              <w:rPr>
                <w:rFonts w:eastAsia="Times New Roman"/>
                <w:szCs w:val="24"/>
              </w:rPr>
              <w:t>Projekta attiecīgā punkta (panta) galīgā redakcija</w:t>
            </w:r>
          </w:p>
        </w:tc>
      </w:tr>
      <w:tr w:rsidR="00610204" w:rsidRPr="009E0B9E" w:rsidTr="007220B7">
        <w:tc>
          <w:tcPr>
            <w:tcW w:w="593" w:type="dxa"/>
          </w:tcPr>
          <w:p w:rsidR="00610204" w:rsidRPr="005F1616" w:rsidRDefault="00610204" w:rsidP="0020342B">
            <w:pPr>
              <w:pStyle w:val="Sarakstarindkopa"/>
              <w:ind w:left="0"/>
              <w:jc w:val="center"/>
              <w:rPr>
                <w:szCs w:val="24"/>
              </w:rPr>
            </w:pPr>
            <w:r w:rsidRPr="005F1616">
              <w:rPr>
                <w:szCs w:val="24"/>
              </w:rPr>
              <w:t>1</w:t>
            </w:r>
          </w:p>
        </w:tc>
        <w:tc>
          <w:tcPr>
            <w:tcW w:w="2002" w:type="dxa"/>
          </w:tcPr>
          <w:p w:rsidR="00610204" w:rsidRPr="009E0B9E" w:rsidRDefault="00610204" w:rsidP="002F2B16">
            <w:pPr>
              <w:pStyle w:val="Sarakstarindkopa"/>
              <w:ind w:left="0"/>
              <w:jc w:val="center"/>
              <w:rPr>
                <w:szCs w:val="24"/>
              </w:rPr>
            </w:pPr>
            <w:r w:rsidRPr="009E0B9E">
              <w:rPr>
                <w:szCs w:val="24"/>
              </w:rPr>
              <w:t>2</w:t>
            </w:r>
          </w:p>
        </w:tc>
        <w:tc>
          <w:tcPr>
            <w:tcW w:w="5181" w:type="dxa"/>
          </w:tcPr>
          <w:p w:rsidR="00610204" w:rsidRPr="009E0B9E" w:rsidRDefault="00610204" w:rsidP="002F2B16">
            <w:pPr>
              <w:pStyle w:val="Sarakstarindkopa"/>
              <w:ind w:left="0"/>
              <w:jc w:val="center"/>
              <w:rPr>
                <w:szCs w:val="24"/>
              </w:rPr>
            </w:pPr>
            <w:r w:rsidRPr="009E0B9E">
              <w:rPr>
                <w:szCs w:val="24"/>
              </w:rPr>
              <w:t>3</w:t>
            </w:r>
          </w:p>
        </w:tc>
        <w:tc>
          <w:tcPr>
            <w:tcW w:w="1914" w:type="dxa"/>
          </w:tcPr>
          <w:p w:rsidR="00610204" w:rsidRPr="009E0B9E" w:rsidRDefault="00610204" w:rsidP="002F2B16">
            <w:pPr>
              <w:pStyle w:val="Sarakstarindkopa"/>
              <w:ind w:left="0"/>
              <w:jc w:val="center"/>
              <w:rPr>
                <w:szCs w:val="24"/>
              </w:rPr>
            </w:pPr>
            <w:r w:rsidRPr="009E0B9E">
              <w:rPr>
                <w:szCs w:val="24"/>
              </w:rPr>
              <w:t>4</w:t>
            </w:r>
          </w:p>
        </w:tc>
        <w:tc>
          <w:tcPr>
            <w:tcW w:w="4911" w:type="dxa"/>
          </w:tcPr>
          <w:p w:rsidR="00610204" w:rsidRPr="009E0B9E" w:rsidRDefault="00610204" w:rsidP="002F2B16">
            <w:pPr>
              <w:pStyle w:val="Sarakstarindkopa"/>
              <w:ind w:left="0"/>
              <w:jc w:val="center"/>
              <w:rPr>
                <w:szCs w:val="24"/>
              </w:rPr>
            </w:pPr>
            <w:r>
              <w:rPr>
                <w:szCs w:val="24"/>
              </w:rPr>
              <w:t>5</w:t>
            </w:r>
          </w:p>
        </w:tc>
      </w:tr>
      <w:tr w:rsidR="00610204" w:rsidTr="007220B7">
        <w:tc>
          <w:tcPr>
            <w:tcW w:w="593" w:type="dxa"/>
            <w:shd w:val="clear" w:color="auto" w:fill="auto"/>
          </w:tcPr>
          <w:p w:rsidR="0020342B" w:rsidRPr="0008136F" w:rsidRDefault="0020342B" w:rsidP="0020342B">
            <w:pPr>
              <w:pStyle w:val="Sarakstarindkopa"/>
              <w:ind w:left="0"/>
              <w:jc w:val="center"/>
              <w:rPr>
                <w:szCs w:val="24"/>
              </w:rPr>
            </w:pPr>
          </w:p>
          <w:p w:rsidR="00610204" w:rsidRPr="0008136F" w:rsidRDefault="005F1616" w:rsidP="0020342B">
            <w:pPr>
              <w:pStyle w:val="Sarakstarindkopa"/>
              <w:ind w:left="0"/>
              <w:jc w:val="center"/>
              <w:rPr>
                <w:szCs w:val="24"/>
              </w:rPr>
            </w:pPr>
            <w:r w:rsidRPr="0008136F">
              <w:rPr>
                <w:szCs w:val="24"/>
              </w:rPr>
              <w:t>1.</w:t>
            </w:r>
          </w:p>
        </w:tc>
        <w:tc>
          <w:tcPr>
            <w:tcW w:w="2002" w:type="dxa"/>
            <w:shd w:val="clear" w:color="auto" w:fill="auto"/>
          </w:tcPr>
          <w:p w:rsidR="00610204" w:rsidRPr="00E636F0" w:rsidRDefault="00610204" w:rsidP="002F2B16">
            <w:pPr>
              <w:pStyle w:val="Sarakstarindkopa"/>
              <w:ind w:left="0"/>
              <w:rPr>
                <w:b/>
                <w:szCs w:val="24"/>
              </w:rPr>
            </w:pPr>
          </w:p>
          <w:p w:rsidR="00032853" w:rsidRPr="001A0258" w:rsidRDefault="001A0258" w:rsidP="006826B9">
            <w:pPr>
              <w:pStyle w:val="Sarakstarindkopa"/>
              <w:ind w:left="0"/>
              <w:rPr>
                <w:bCs/>
                <w:szCs w:val="24"/>
              </w:rPr>
            </w:pPr>
            <w:r w:rsidRPr="001A0258">
              <w:rPr>
                <w:bCs/>
                <w:szCs w:val="24"/>
              </w:rPr>
              <w:t>Noteikumu projekts un anotācija</w:t>
            </w:r>
          </w:p>
        </w:tc>
        <w:tc>
          <w:tcPr>
            <w:tcW w:w="5181" w:type="dxa"/>
            <w:shd w:val="clear" w:color="auto" w:fill="auto"/>
          </w:tcPr>
          <w:p w:rsidR="00610204" w:rsidRPr="006F2864" w:rsidRDefault="00D04031" w:rsidP="00BD2494">
            <w:pPr>
              <w:pStyle w:val="Sarakstarindkopa"/>
              <w:ind w:left="0"/>
              <w:jc w:val="center"/>
              <w:rPr>
                <w:b/>
                <w:szCs w:val="24"/>
              </w:rPr>
            </w:pPr>
            <w:r w:rsidRPr="006F2864">
              <w:rPr>
                <w:b/>
                <w:szCs w:val="24"/>
              </w:rPr>
              <w:t>Tieslietu</w:t>
            </w:r>
            <w:r w:rsidR="008E6A06" w:rsidRPr="006F2864">
              <w:rPr>
                <w:b/>
                <w:szCs w:val="24"/>
              </w:rPr>
              <w:t xml:space="preserve"> ministrija</w:t>
            </w:r>
          </w:p>
          <w:p w:rsidR="006F2864" w:rsidRPr="006F2864" w:rsidRDefault="006F2864" w:rsidP="006F2864">
            <w:pPr>
              <w:ind w:right="12" w:firstLine="262"/>
              <w:rPr>
                <w:szCs w:val="24"/>
              </w:rPr>
            </w:pPr>
            <w:r w:rsidRPr="006F2864">
              <w:rPr>
                <w:szCs w:val="24"/>
              </w:rPr>
              <w:t>1. No projekta anotācijas izriet, ka projektā ieviesta Komisijas 2019. gada 12. jūnija Īstenošanas regula (ES) 2019/1014, ar ko nosaka sīki izstrādātus noteikumus par minimālajām prasībām robežkontroles punktiem, ieskaitot pārbaudes centrus, un par to, kāds formāts, kategorijas un saīsinājumi jāizmanto robežkontroles punktu un kontroles punktu sarakstos (turpmāk – Regula 2019/1014), tomēr projektā norādītas atsauces tikai uz Komisijas 2010. gada 16. septembris Regulu (EK) Nr. 817/2010, ar ko nosaka sīki izstrādātus noteikumus saskaņā ar Padomes Regulu (EK) Nr. 1234/2007 attiecībā uz prasībām eksporta kompensāciju piešķiršanai saistībā ar dzīvu liellopu labturību pārvadāšanas laikā turpmāk – Regula 817/2010).</w:t>
            </w:r>
          </w:p>
          <w:p w:rsidR="006F2864" w:rsidRPr="006F2864" w:rsidRDefault="006F2864" w:rsidP="006F2864">
            <w:pPr>
              <w:ind w:right="12" w:firstLine="262"/>
              <w:rPr>
                <w:szCs w:val="24"/>
              </w:rPr>
            </w:pPr>
            <w:r w:rsidRPr="006F2864">
              <w:rPr>
                <w:szCs w:val="24"/>
              </w:rPr>
              <w:t xml:space="preserve">Pirmkārt, lūdzam papildināt projektu ar atsaucēm uz Regulu 2019/1014 atbilstoši Ministru kabineta </w:t>
            </w:r>
            <w:r w:rsidRPr="006F2864">
              <w:rPr>
                <w:szCs w:val="24"/>
              </w:rPr>
              <w:lastRenderedPageBreak/>
              <w:t>2009. gada 3. februāra noteikumu Nr. 108 “Normatīvo aktu projektu sagatavošanas noteikumi” 170. - 172. punktam, tādējādi novēršot iespējamu Eiropas Savienības regulas dublēšanu, un identificējot, kuras prasības izriet no Regulas 2019/1014.</w:t>
            </w:r>
          </w:p>
          <w:p w:rsidR="005F1616" w:rsidRPr="00E636F0" w:rsidRDefault="006F2864" w:rsidP="006F2864">
            <w:pPr>
              <w:pStyle w:val="Sarakstarindkopa"/>
              <w:ind w:left="0"/>
              <w:rPr>
                <w:b/>
                <w:szCs w:val="24"/>
              </w:rPr>
            </w:pPr>
            <w:r w:rsidRPr="006F2864">
              <w:rPr>
                <w:szCs w:val="24"/>
              </w:rPr>
              <w:t>Otrkārt, pašlaik nav saprotams, kāpēc projektā ietverta atsauce uz Regulu 817/2010. Attiecīgi lūdzam to skaidrot, nepieciešamības gadījumā papildinot projekta anotācijas V sadaļas 1. punktu un 1. tabulu (turpmāk – Tabula) atbilstoši Ministru kabineta 2009. gada 15. decembra instrukcijas Nr. 19 “Tiesību akta projekta sākotnējās ietekmes izvērtēšanas kārtība” (turpmāk – instrukcija) 55. un 56. punktam.</w:t>
            </w:r>
          </w:p>
        </w:tc>
        <w:tc>
          <w:tcPr>
            <w:tcW w:w="1914" w:type="dxa"/>
            <w:shd w:val="clear" w:color="auto" w:fill="auto"/>
          </w:tcPr>
          <w:p w:rsidR="00610204" w:rsidRPr="009637A5" w:rsidRDefault="00610204" w:rsidP="002F2B16">
            <w:pPr>
              <w:pStyle w:val="Sarakstarindkopa"/>
              <w:ind w:left="0"/>
              <w:rPr>
                <w:bCs/>
                <w:szCs w:val="24"/>
              </w:rPr>
            </w:pPr>
          </w:p>
          <w:p w:rsidR="00F2713C" w:rsidRPr="009637A5" w:rsidRDefault="0008136F" w:rsidP="00F2713C">
            <w:pPr>
              <w:pStyle w:val="Sarakstarindkopa"/>
              <w:ind w:left="0"/>
              <w:jc w:val="center"/>
              <w:rPr>
                <w:rFonts w:eastAsia="Times New Roman"/>
                <w:bCs/>
                <w:szCs w:val="24"/>
              </w:rPr>
            </w:pPr>
            <w:r w:rsidRPr="0034642C">
              <w:rPr>
                <w:rFonts w:eastAsia="Times New Roman"/>
                <w:bCs/>
                <w:szCs w:val="24"/>
              </w:rPr>
              <w:t>Ņ</w:t>
            </w:r>
            <w:r w:rsidR="00F2713C" w:rsidRPr="0034642C">
              <w:rPr>
                <w:rFonts w:eastAsia="Times New Roman"/>
                <w:bCs/>
                <w:szCs w:val="24"/>
              </w:rPr>
              <w:t>emts vērā.</w:t>
            </w:r>
          </w:p>
          <w:p w:rsidR="00111F45" w:rsidRDefault="00111F45" w:rsidP="00A63102">
            <w:pPr>
              <w:pStyle w:val="Sarakstarindkopa"/>
              <w:ind w:left="0"/>
              <w:rPr>
                <w:bCs/>
                <w:szCs w:val="24"/>
              </w:rPr>
            </w:pPr>
          </w:p>
          <w:p w:rsidR="00160EDF" w:rsidRDefault="00160EDF" w:rsidP="00A63102">
            <w:pPr>
              <w:pStyle w:val="Sarakstarindkopa"/>
              <w:ind w:left="0"/>
              <w:rPr>
                <w:bCs/>
                <w:szCs w:val="24"/>
              </w:rPr>
            </w:pPr>
            <w:r>
              <w:rPr>
                <w:bCs/>
                <w:szCs w:val="24"/>
              </w:rPr>
              <w:t>Projekts papildin</w:t>
            </w:r>
            <w:r w:rsidR="00386DF6">
              <w:rPr>
                <w:bCs/>
                <w:szCs w:val="24"/>
              </w:rPr>
              <w:t xml:space="preserve">āts tikai </w:t>
            </w:r>
            <w:r>
              <w:rPr>
                <w:bCs/>
                <w:szCs w:val="24"/>
              </w:rPr>
              <w:t>ar atsaucēm uz Regul</w:t>
            </w:r>
            <w:r w:rsidR="00386DF6">
              <w:rPr>
                <w:bCs/>
                <w:szCs w:val="24"/>
              </w:rPr>
              <w:t>ā</w:t>
            </w:r>
            <w:r>
              <w:rPr>
                <w:bCs/>
                <w:szCs w:val="24"/>
              </w:rPr>
              <w:t xml:space="preserve"> 2019/1014</w:t>
            </w:r>
            <w:r w:rsidR="00386DF6">
              <w:rPr>
                <w:bCs/>
                <w:szCs w:val="24"/>
              </w:rPr>
              <w:t xml:space="preserve"> lietotajiem terminu skaidrojumiem</w:t>
            </w:r>
            <w:r w:rsidR="008D3109">
              <w:rPr>
                <w:bCs/>
                <w:szCs w:val="24"/>
              </w:rPr>
              <w:t xml:space="preserve">, jo regula nenosaka </w:t>
            </w:r>
            <w:r w:rsidR="00386DF6">
              <w:rPr>
                <w:bCs/>
                <w:szCs w:val="24"/>
              </w:rPr>
              <w:t>valstu RKP</w:t>
            </w:r>
            <w:r w:rsidR="008D3109">
              <w:rPr>
                <w:bCs/>
                <w:szCs w:val="24"/>
              </w:rPr>
              <w:t xml:space="preserve">, tajā noteiktas minimālās prasības </w:t>
            </w:r>
            <w:r w:rsidR="00386DF6">
              <w:rPr>
                <w:bCs/>
                <w:szCs w:val="24"/>
              </w:rPr>
              <w:t>RKP</w:t>
            </w:r>
            <w:r w:rsidR="008D3109">
              <w:rPr>
                <w:bCs/>
                <w:szCs w:val="24"/>
              </w:rPr>
              <w:t xml:space="preserve">, kas jāizpilda, lai tajos veiktu </w:t>
            </w:r>
            <w:r w:rsidR="008D3109">
              <w:rPr>
                <w:bCs/>
                <w:szCs w:val="24"/>
              </w:rPr>
              <w:lastRenderedPageBreak/>
              <w:t xml:space="preserve">oficiālo kontroli, un kas tiek izvērtētas pirms </w:t>
            </w:r>
            <w:r w:rsidR="00386DF6">
              <w:rPr>
                <w:bCs/>
                <w:szCs w:val="24"/>
              </w:rPr>
              <w:t>RKP</w:t>
            </w:r>
            <w:r w:rsidR="008D3109">
              <w:rPr>
                <w:bCs/>
                <w:szCs w:val="24"/>
              </w:rPr>
              <w:t xml:space="preserve"> saraksta veidošanas. Noteikumu Nr. 704 3. pielikums ir veidots pēc Regul</w:t>
            </w:r>
            <w:r w:rsidR="00981ECF">
              <w:rPr>
                <w:bCs/>
                <w:szCs w:val="24"/>
              </w:rPr>
              <w:t>as</w:t>
            </w:r>
            <w:r w:rsidR="008D3109">
              <w:rPr>
                <w:bCs/>
                <w:szCs w:val="24"/>
              </w:rPr>
              <w:t xml:space="preserve"> 2019/1014 </w:t>
            </w:r>
            <w:r w:rsidR="00981ECF">
              <w:rPr>
                <w:bCs/>
                <w:szCs w:val="24"/>
              </w:rPr>
              <w:t xml:space="preserve">pielikumos </w:t>
            </w:r>
            <w:r w:rsidR="008D3109">
              <w:rPr>
                <w:bCs/>
                <w:szCs w:val="24"/>
              </w:rPr>
              <w:t xml:space="preserve">minētajiem principiem. </w:t>
            </w:r>
          </w:p>
          <w:p w:rsidR="00111F45" w:rsidRPr="009637A5" w:rsidRDefault="00AE65D6" w:rsidP="00A63102">
            <w:pPr>
              <w:pStyle w:val="Sarakstarindkopa"/>
              <w:ind w:left="0"/>
              <w:rPr>
                <w:bCs/>
                <w:szCs w:val="24"/>
              </w:rPr>
            </w:pPr>
            <w:r>
              <w:rPr>
                <w:bCs/>
                <w:szCs w:val="24"/>
              </w:rPr>
              <w:t xml:space="preserve">Atsauce uz Regulu 817/2020 nepieciešama, </w:t>
            </w:r>
            <w:r w:rsidR="00B86319">
              <w:rPr>
                <w:bCs/>
                <w:szCs w:val="24"/>
              </w:rPr>
              <w:t xml:space="preserve">jo </w:t>
            </w:r>
            <w:r w:rsidR="00421382">
              <w:rPr>
                <w:bCs/>
                <w:szCs w:val="24"/>
              </w:rPr>
              <w:t>tikai noteiktos kontroles punktos var veikt</w:t>
            </w:r>
            <w:r>
              <w:rPr>
                <w:bCs/>
                <w:szCs w:val="24"/>
              </w:rPr>
              <w:t xml:space="preserve"> </w:t>
            </w:r>
            <w:r w:rsidR="008D3109">
              <w:rPr>
                <w:bCs/>
                <w:szCs w:val="24"/>
              </w:rPr>
              <w:t xml:space="preserve">šajā </w:t>
            </w:r>
            <w:r>
              <w:rPr>
                <w:bCs/>
                <w:szCs w:val="24"/>
              </w:rPr>
              <w:t>regulā</w:t>
            </w:r>
            <w:r w:rsidR="00421382">
              <w:rPr>
                <w:bCs/>
                <w:szCs w:val="24"/>
              </w:rPr>
              <w:t xml:space="preserve"> minēto kontroli</w:t>
            </w:r>
            <w:r>
              <w:rPr>
                <w:bCs/>
                <w:szCs w:val="24"/>
              </w:rPr>
              <w:t>.</w:t>
            </w:r>
          </w:p>
        </w:tc>
        <w:tc>
          <w:tcPr>
            <w:tcW w:w="4911" w:type="dxa"/>
            <w:shd w:val="clear" w:color="auto" w:fill="auto"/>
          </w:tcPr>
          <w:p w:rsidR="00610204" w:rsidRPr="009637A5" w:rsidRDefault="00610204" w:rsidP="002F2B16">
            <w:pPr>
              <w:pStyle w:val="Sarakstarindkopa"/>
              <w:ind w:left="0"/>
              <w:rPr>
                <w:bCs/>
                <w:szCs w:val="24"/>
              </w:rPr>
            </w:pPr>
          </w:p>
          <w:p w:rsidR="00547803" w:rsidRPr="009637A5" w:rsidRDefault="009637A5" w:rsidP="00D04031">
            <w:pPr>
              <w:rPr>
                <w:bCs/>
                <w:szCs w:val="24"/>
              </w:rPr>
            </w:pPr>
            <w:r w:rsidRPr="009637A5">
              <w:rPr>
                <w:bCs/>
                <w:szCs w:val="24"/>
              </w:rPr>
              <w:t>Skatīt anotācijas V sadaļas 1. tabulu.</w:t>
            </w:r>
          </w:p>
        </w:tc>
      </w:tr>
      <w:tr w:rsidR="006826B9" w:rsidTr="007220B7">
        <w:tc>
          <w:tcPr>
            <w:tcW w:w="593" w:type="dxa"/>
            <w:shd w:val="clear" w:color="auto" w:fill="auto"/>
          </w:tcPr>
          <w:p w:rsidR="006826B9" w:rsidRPr="0008136F" w:rsidRDefault="006826B9" w:rsidP="0020342B">
            <w:pPr>
              <w:pStyle w:val="Sarakstarindkopa"/>
              <w:ind w:left="0"/>
              <w:jc w:val="center"/>
              <w:rPr>
                <w:szCs w:val="24"/>
              </w:rPr>
            </w:pPr>
            <w:r>
              <w:rPr>
                <w:szCs w:val="24"/>
              </w:rPr>
              <w:t>2.</w:t>
            </w:r>
          </w:p>
        </w:tc>
        <w:tc>
          <w:tcPr>
            <w:tcW w:w="2002" w:type="dxa"/>
            <w:shd w:val="clear" w:color="auto" w:fill="auto"/>
          </w:tcPr>
          <w:p w:rsidR="006826B9" w:rsidRPr="001A0258" w:rsidRDefault="001A0258" w:rsidP="00745675">
            <w:pPr>
              <w:pStyle w:val="Sarakstarindkopa"/>
              <w:ind w:left="0"/>
              <w:rPr>
                <w:bCs/>
                <w:szCs w:val="24"/>
              </w:rPr>
            </w:pPr>
            <w:r w:rsidRPr="001A0258">
              <w:rPr>
                <w:bCs/>
                <w:szCs w:val="24"/>
              </w:rPr>
              <w:t>Anotācijas V</w:t>
            </w:r>
            <w:r w:rsidR="005F505C">
              <w:rPr>
                <w:bCs/>
                <w:szCs w:val="24"/>
              </w:rPr>
              <w:t> </w:t>
            </w:r>
            <w:r w:rsidRPr="001A0258">
              <w:rPr>
                <w:bCs/>
                <w:szCs w:val="24"/>
              </w:rPr>
              <w:t>sadaļa</w:t>
            </w:r>
          </w:p>
        </w:tc>
        <w:tc>
          <w:tcPr>
            <w:tcW w:w="5181" w:type="dxa"/>
            <w:shd w:val="clear" w:color="auto" w:fill="auto"/>
          </w:tcPr>
          <w:p w:rsidR="006F2864" w:rsidRPr="006F2864" w:rsidRDefault="006F2864" w:rsidP="006F2864">
            <w:pPr>
              <w:ind w:right="12" w:firstLine="262"/>
              <w:rPr>
                <w:szCs w:val="24"/>
              </w:rPr>
            </w:pPr>
            <w:r w:rsidRPr="006F2864">
              <w:rPr>
                <w:szCs w:val="24"/>
              </w:rPr>
              <w:t>2. Vēršam uzmanību, ka saskaņā ar instrukcijas 56.2. apakšpunktu Tabulā norāda “</w:t>
            </w:r>
            <w:r w:rsidRPr="006F2864">
              <w:rPr>
                <w:szCs w:val="24"/>
                <w:u w:val="single"/>
              </w:rPr>
              <w:t>katru projekta pantu, daļu, punktu, apakšpunktu,</w:t>
            </w:r>
            <w:r w:rsidRPr="006F2864">
              <w:rPr>
                <w:szCs w:val="24"/>
              </w:rPr>
              <w:t xml:space="preserve"> ar kuru tiks pārņemts vai ieviests </w:t>
            </w:r>
            <w:r w:rsidRPr="006F2864">
              <w:rPr>
                <w:szCs w:val="24"/>
                <w:u w:val="single"/>
              </w:rPr>
              <w:t>ES tiesību akta pants, daļa, punkts vai apakšpunkts, kas norādīts saskaņā ar šīs instrukcijas 56.1.apakšpunktu</w:t>
            </w:r>
            <w:r w:rsidRPr="006F2864">
              <w:rPr>
                <w:szCs w:val="24"/>
              </w:rPr>
              <w:t>, vai norāda vispārīgu atsauci uz tiesību aktu, kurā ir vai tiks pārņemtas šīs instrukcijas 56.1.apakšpunktā norādītās ES tiesību akta vienības (B aile)”.</w:t>
            </w:r>
          </w:p>
          <w:p w:rsidR="006826B9" w:rsidRPr="002D6EA9" w:rsidRDefault="006F2864" w:rsidP="006F2864">
            <w:pPr>
              <w:ind w:right="12"/>
              <w:rPr>
                <w:szCs w:val="24"/>
              </w:rPr>
            </w:pPr>
            <w:r w:rsidRPr="006F2864">
              <w:rPr>
                <w:szCs w:val="24"/>
              </w:rPr>
              <w:lastRenderedPageBreak/>
              <w:t>Ievērojot minēto, lūdzam precizēt Tabulā ietverto informāciju par Regulas 2019/1014 ieviešanu projektā, konkrēti un atsevišķi norādot projekta vienību, kurā pārņemta attiecīga Regulas 2019/1014 vienība, nevis visu informāciju ietverot vienā rindā. Uzsveram, ka pašlaik nav iespējams viennozīmīgi pārliecināties, kura Regulas 2019/1014 vienība pārņemta kurā projekta punktā.</w:t>
            </w:r>
          </w:p>
        </w:tc>
        <w:tc>
          <w:tcPr>
            <w:tcW w:w="1914" w:type="dxa"/>
            <w:shd w:val="clear" w:color="auto" w:fill="auto"/>
          </w:tcPr>
          <w:p w:rsidR="006826B9" w:rsidRPr="005273F8" w:rsidRDefault="008B08FF" w:rsidP="008B08FF">
            <w:pPr>
              <w:pStyle w:val="Sarakstarindkopa"/>
              <w:ind w:left="0"/>
              <w:jc w:val="center"/>
              <w:rPr>
                <w:szCs w:val="24"/>
              </w:rPr>
            </w:pPr>
            <w:r w:rsidRPr="005273F8">
              <w:rPr>
                <w:szCs w:val="24"/>
              </w:rPr>
              <w:lastRenderedPageBreak/>
              <w:t>Ņemts vērā</w:t>
            </w:r>
            <w:r w:rsidR="00B4769E" w:rsidRPr="005273F8">
              <w:rPr>
                <w:szCs w:val="24"/>
              </w:rPr>
              <w:t>.</w:t>
            </w:r>
          </w:p>
        </w:tc>
        <w:tc>
          <w:tcPr>
            <w:tcW w:w="4911" w:type="dxa"/>
            <w:shd w:val="clear" w:color="auto" w:fill="auto"/>
          </w:tcPr>
          <w:p w:rsidR="006826B9" w:rsidRPr="005273F8" w:rsidRDefault="008B08FF" w:rsidP="008B08FF">
            <w:pPr>
              <w:pStyle w:val="Sarakstarindkopa"/>
              <w:ind w:left="0"/>
              <w:rPr>
                <w:szCs w:val="24"/>
              </w:rPr>
            </w:pPr>
            <w:r w:rsidRPr="005273F8">
              <w:rPr>
                <w:szCs w:val="24"/>
              </w:rPr>
              <w:t xml:space="preserve">Skatīt anotācijas </w:t>
            </w:r>
            <w:r w:rsidR="00E636F0" w:rsidRPr="005273F8">
              <w:rPr>
                <w:szCs w:val="24"/>
              </w:rPr>
              <w:t>I</w:t>
            </w:r>
            <w:r w:rsidRPr="005273F8">
              <w:rPr>
                <w:szCs w:val="24"/>
              </w:rPr>
              <w:t> sadaļ</w:t>
            </w:r>
            <w:r w:rsidR="00E636F0" w:rsidRPr="005273F8">
              <w:rPr>
                <w:szCs w:val="24"/>
              </w:rPr>
              <w:t>as</w:t>
            </w:r>
            <w:r w:rsidR="001B04E4" w:rsidRPr="005273F8">
              <w:rPr>
                <w:szCs w:val="24"/>
              </w:rPr>
              <w:t xml:space="preserve"> 2. punktu</w:t>
            </w:r>
            <w:r w:rsidRPr="005273F8">
              <w:rPr>
                <w:szCs w:val="24"/>
              </w:rPr>
              <w:t>.</w:t>
            </w:r>
          </w:p>
          <w:p w:rsidR="00A208C8" w:rsidRPr="005273F8" w:rsidRDefault="00A208C8" w:rsidP="008B08FF">
            <w:pPr>
              <w:pStyle w:val="Sarakstarindkopa"/>
              <w:ind w:left="0"/>
              <w:rPr>
                <w:szCs w:val="24"/>
              </w:rPr>
            </w:pPr>
          </w:p>
        </w:tc>
      </w:tr>
      <w:tr w:rsidR="00BA74EC" w:rsidTr="007220B7">
        <w:tc>
          <w:tcPr>
            <w:tcW w:w="593" w:type="dxa"/>
            <w:shd w:val="clear" w:color="auto" w:fill="auto"/>
          </w:tcPr>
          <w:p w:rsidR="00E514BA" w:rsidRPr="00446539" w:rsidRDefault="00E514BA" w:rsidP="0020342B">
            <w:pPr>
              <w:pStyle w:val="Sarakstarindkopa"/>
              <w:ind w:left="0"/>
              <w:jc w:val="center"/>
              <w:rPr>
                <w:szCs w:val="24"/>
              </w:rPr>
            </w:pPr>
          </w:p>
          <w:p w:rsidR="00BA74EC" w:rsidRPr="00446539" w:rsidRDefault="00645CD3" w:rsidP="0020342B">
            <w:pPr>
              <w:pStyle w:val="Sarakstarindkopa"/>
              <w:ind w:left="0"/>
              <w:jc w:val="center"/>
              <w:rPr>
                <w:szCs w:val="24"/>
              </w:rPr>
            </w:pPr>
            <w:r w:rsidRPr="00446539">
              <w:rPr>
                <w:szCs w:val="24"/>
              </w:rPr>
              <w:t>3</w:t>
            </w:r>
            <w:r w:rsidR="00287951" w:rsidRPr="00446539">
              <w:rPr>
                <w:szCs w:val="24"/>
              </w:rPr>
              <w:t>.</w:t>
            </w:r>
          </w:p>
        </w:tc>
        <w:tc>
          <w:tcPr>
            <w:tcW w:w="2002" w:type="dxa"/>
            <w:shd w:val="clear" w:color="auto" w:fill="auto"/>
          </w:tcPr>
          <w:p w:rsidR="007D5ECF" w:rsidRPr="00446539" w:rsidRDefault="007D5ECF" w:rsidP="002F2B16">
            <w:pPr>
              <w:pStyle w:val="Sarakstarindkopa"/>
              <w:ind w:left="0"/>
              <w:rPr>
                <w:bCs/>
                <w:szCs w:val="24"/>
              </w:rPr>
            </w:pPr>
          </w:p>
          <w:p w:rsidR="00FE47CB" w:rsidRPr="00446539" w:rsidRDefault="00FE47CB" w:rsidP="002F2B16">
            <w:pPr>
              <w:pStyle w:val="Sarakstarindkopa"/>
              <w:ind w:left="0"/>
              <w:rPr>
                <w:b/>
                <w:szCs w:val="24"/>
              </w:rPr>
            </w:pPr>
            <w:r w:rsidRPr="00446539">
              <w:rPr>
                <w:bCs/>
                <w:szCs w:val="24"/>
              </w:rPr>
              <w:t>Noteikumu Nr. 704 2. pielikuma 9. punkts un anotācija</w:t>
            </w:r>
            <w:r w:rsidR="00E514BA" w:rsidRPr="00446539">
              <w:rPr>
                <w:bCs/>
                <w:szCs w:val="24"/>
              </w:rPr>
              <w:t>.</w:t>
            </w:r>
          </w:p>
        </w:tc>
        <w:tc>
          <w:tcPr>
            <w:tcW w:w="5181" w:type="dxa"/>
            <w:shd w:val="clear" w:color="auto" w:fill="auto"/>
          </w:tcPr>
          <w:p w:rsidR="003A793A" w:rsidRPr="00446539" w:rsidRDefault="003A793A" w:rsidP="003A793A">
            <w:pPr>
              <w:pStyle w:val="Sarakstarindkopa"/>
              <w:ind w:left="0"/>
              <w:jc w:val="center"/>
              <w:rPr>
                <w:b/>
              </w:rPr>
            </w:pPr>
            <w:r w:rsidRPr="00446539">
              <w:rPr>
                <w:b/>
              </w:rPr>
              <w:t>Finanšu ministrija</w:t>
            </w:r>
          </w:p>
          <w:p w:rsidR="003A793A" w:rsidRPr="00446539" w:rsidRDefault="003A793A" w:rsidP="003A793A">
            <w:pPr>
              <w:ind w:firstLine="316"/>
              <w:rPr>
                <w:szCs w:val="24"/>
              </w:rPr>
            </w:pPr>
            <w:r w:rsidRPr="00446539">
              <w:rPr>
                <w:szCs w:val="24"/>
              </w:rPr>
              <w:t>Atbilstoši noteikumu projekta anotācijā norādītajam ar 2021.gada 1.martu spēkā stāsies jauns 3.pielikums “Robežšķērsošanas vietas, kurās veic veterināro, fitosanitāro, pārtikas nekaitīguma un nepārtikas preču drošuma, kvalitātes un klasifikācijas kontroli, un tās veikšanas laiks”, kā arī tiks noteiktas vairākas izmaiņas esošajos Pārtikas un veterinārā dienesta (turpmāk – PVD) robežkontroles punktu darba laikos. Noteikumu projekts paredz izmaiņas attiecībā uz patlaban noteikto darba laiku PVD robežkontroles punktā “Lidosta “Rīga”” un “Liepājas osta”.</w:t>
            </w:r>
          </w:p>
          <w:p w:rsidR="003A793A" w:rsidRPr="00446539" w:rsidRDefault="003A793A" w:rsidP="003A793A">
            <w:pPr>
              <w:ind w:firstLine="316"/>
              <w:rPr>
                <w:szCs w:val="24"/>
              </w:rPr>
            </w:pPr>
            <w:r w:rsidRPr="00446539">
              <w:rPr>
                <w:szCs w:val="24"/>
              </w:rPr>
              <w:t xml:space="preserve">Samazinoties sūtījumu apjomam PVD robežkontroles punktā “Lidosta “Rīga”” (attiecībā uz veterināro kontroli), darba laiks pēc noteikumu spēkā stāšanās būs no 9.00 līdz 21.00 (esošā diennakts režīma vietā). Vienlaikus tiks saglabāta iespēja sūtījumu veterināro kontroli veikt laikā no 21.00 līdz 9.00, ja par šādu nepieciešamību 24 stundas iepriekš būs saņemta informācija no atbildīgā operatora (vai tā pilnvarotas personas). Savukārt PVD robežkontroles punkta “Liepājas </w:t>
            </w:r>
            <w:r w:rsidRPr="00446539">
              <w:rPr>
                <w:szCs w:val="24"/>
              </w:rPr>
              <w:lastRenderedPageBreak/>
              <w:t>osta” darba laiku plānots saīsināt no esošā darba laika 9.00–21.00 uz darba laiku 9.00–18.00.</w:t>
            </w:r>
          </w:p>
          <w:p w:rsidR="003A793A" w:rsidRPr="00446539" w:rsidRDefault="003A793A" w:rsidP="003A793A">
            <w:pPr>
              <w:ind w:firstLine="316"/>
              <w:rPr>
                <w:szCs w:val="24"/>
              </w:rPr>
            </w:pPr>
            <w:r w:rsidRPr="00446539">
              <w:rPr>
                <w:szCs w:val="24"/>
              </w:rPr>
              <w:t>Ministru kabineta 2010.gada 27.jūlija noteikumu Nr.704 "Noteikumi par robežšķērsošanas vietām un tajās veicamajām pārbaudēm" 2.pielikumā “Robežšķērsošanas vietas, kurās veic muitas kontroli, un tās veikšanas laiks” norādītie muitas iestāžu darba laiki ir savstarpēji saistīti ar PVD robežkontroles punktu darba laiku attiecībā uz veicamo muitas kontroli 1973.gada Vašingtonas konvencijas par starptautisko tirdzniecību ar apdraudētajām savvaļas dzīvnieku un augu sugām I, II un III pielikumā iekļauto savvaļas dzīvnieku un augu sugu īpatņu pārvietošanu pāri ārējai robežai un muitas kontroli Veselības ministrijas uzraudzībā esošo narkotisko un psihotropo vielu, zāļu un prekursoru pārvietošanu pāri ārējai robežai.</w:t>
            </w:r>
          </w:p>
          <w:p w:rsidR="003A793A" w:rsidRPr="00446539" w:rsidRDefault="003A793A" w:rsidP="003A793A">
            <w:pPr>
              <w:ind w:firstLine="316"/>
              <w:rPr>
                <w:szCs w:val="24"/>
              </w:rPr>
            </w:pPr>
            <w:r w:rsidRPr="00446539">
              <w:rPr>
                <w:szCs w:val="24"/>
              </w:rPr>
              <w:t>Attiecībā uz muitas kontroli robežšķērsošanas vietā lidostā “Rīga” izmaiņas nav nepieciešamas, taču attiecībā uz robežšķērsošanas vietu Liepājas ostā nepieciešams precizēt norādīto darba laiku no esošā 9.00–21.00 uz darba laiku 9.00–18.00.</w:t>
            </w:r>
          </w:p>
          <w:p w:rsidR="003A793A" w:rsidRPr="00446539" w:rsidRDefault="003A793A" w:rsidP="003A793A">
            <w:pPr>
              <w:ind w:firstLine="316"/>
              <w:rPr>
                <w:szCs w:val="24"/>
              </w:rPr>
            </w:pPr>
            <w:r w:rsidRPr="00446539">
              <w:rPr>
                <w:szCs w:val="24"/>
              </w:rPr>
              <w:t xml:space="preserve">Ņemot vērā minēto, noteikumu projekts ir papildināms ar jaunu punktu šādā redakcijā: </w:t>
            </w:r>
          </w:p>
          <w:p w:rsidR="003A793A" w:rsidRPr="00446539" w:rsidRDefault="003A793A" w:rsidP="003A793A">
            <w:pPr>
              <w:ind w:firstLine="316"/>
              <w:rPr>
                <w:szCs w:val="24"/>
              </w:rPr>
            </w:pPr>
            <w:r w:rsidRPr="00446539">
              <w:rPr>
                <w:szCs w:val="24"/>
              </w:rPr>
              <w:t>“Izteikt 2. pielikuma 9. punktu šādā redakcijā:</w:t>
            </w:r>
          </w:p>
          <w:tbl>
            <w:tblPr>
              <w:tblW w:w="5000" w:type="pct"/>
              <w:shd w:val="clear" w:color="auto" w:fill="FFFFFF"/>
              <w:tblCellMar>
                <w:left w:w="0" w:type="dxa"/>
                <w:right w:w="0" w:type="dxa"/>
              </w:tblCellMar>
              <w:tblLook w:val="04A0" w:firstRow="1" w:lastRow="0" w:firstColumn="1" w:lastColumn="0" w:noHBand="0" w:noVBand="1"/>
            </w:tblPr>
            <w:tblGrid>
              <w:gridCol w:w="210"/>
              <w:gridCol w:w="660"/>
              <w:gridCol w:w="805"/>
              <w:gridCol w:w="160"/>
              <w:gridCol w:w="160"/>
              <w:gridCol w:w="160"/>
              <w:gridCol w:w="160"/>
              <w:gridCol w:w="510"/>
              <w:gridCol w:w="510"/>
              <w:gridCol w:w="805"/>
              <w:gridCol w:w="805"/>
            </w:tblGrid>
            <w:tr w:rsidR="003A793A" w:rsidRPr="00446539" w:rsidTr="00FA6AA0">
              <w:tc>
                <w:tcPr>
                  <w:tcW w:w="212"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rPr>
                      <w:rFonts w:cs="Times New Roman"/>
                      <w:sz w:val="20"/>
                      <w:szCs w:val="20"/>
                      <w:lang w:eastAsia="lv-LV"/>
                    </w:rPr>
                  </w:pPr>
                  <w:bookmarkStart w:id="0" w:name="_Hlk62202637"/>
                  <w:r w:rsidRPr="00446539">
                    <w:rPr>
                      <w:rFonts w:cs="Times New Roman"/>
                      <w:sz w:val="20"/>
                      <w:szCs w:val="20"/>
                      <w:lang w:eastAsia="lv-LV"/>
                    </w:rPr>
                    <w:t>9.</w:t>
                  </w:r>
                </w:p>
              </w:tc>
              <w:tc>
                <w:tcPr>
                  <w:tcW w:w="667"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rPr>
                      <w:rFonts w:cs="Times New Roman"/>
                      <w:sz w:val="20"/>
                      <w:szCs w:val="20"/>
                      <w:lang w:eastAsia="lv-LV"/>
                    </w:rPr>
                  </w:pPr>
                  <w:r w:rsidRPr="00446539">
                    <w:rPr>
                      <w:rFonts w:cs="Times New Roman"/>
                      <w:sz w:val="20"/>
                      <w:szCs w:val="20"/>
                      <w:lang w:eastAsia="lv-LV"/>
                    </w:rPr>
                    <w:t>Liepāja (osta)</w:t>
                  </w:r>
                </w:p>
              </w:tc>
              <w:tc>
                <w:tcPr>
                  <w:tcW w:w="814"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visu diennakti</w:t>
                  </w:r>
                </w:p>
              </w:tc>
              <w:tc>
                <w:tcPr>
                  <w:tcW w:w="16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w:t>
                  </w:r>
                </w:p>
              </w:tc>
              <w:tc>
                <w:tcPr>
                  <w:tcW w:w="16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w:t>
                  </w:r>
                </w:p>
              </w:tc>
              <w:tc>
                <w:tcPr>
                  <w:tcW w:w="16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w:t>
                  </w:r>
                </w:p>
              </w:tc>
              <w:tc>
                <w:tcPr>
                  <w:tcW w:w="16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w:t>
                  </w:r>
                </w:p>
              </w:tc>
              <w:tc>
                <w:tcPr>
                  <w:tcW w:w="516"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9.00–18.00</w:t>
                  </w:r>
                </w:p>
              </w:tc>
              <w:tc>
                <w:tcPr>
                  <w:tcW w:w="516"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9.00–18.00</w:t>
                  </w:r>
                </w:p>
              </w:tc>
              <w:tc>
                <w:tcPr>
                  <w:tcW w:w="814"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visu diennakti</w:t>
                  </w:r>
                </w:p>
              </w:tc>
              <w:tc>
                <w:tcPr>
                  <w:tcW w:w="814"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visu</w:t>
                  </w:r>
                </w:p>
                <w:p w:rsidR="003A793A" w:rsidRPr="00446539" w:rsidRDefault="003A793A" w:rsidP="003A793A">
                  <w:pPr>
                    <w:spacing w:before="100" w:beforeAutospacing="1" w:after="100" w:afterAutospacing="1" w:line="293" w:lineRule="atLeast"/>
                    <w:jc w:val="center"/>
                    <w:rPr>
                      <w:rFonts w:cs="Times New Roman"/>
                      <w:sz w:val="20"/>
                      <w:szCs w:val="20"/>
                      <w:lang w:eastAsia="lv-LV"/>
                    </w:rPr>
                  </w:pPr>
                  <w:r w:rsidRPr="00446539">
                    <w:rPr>
                      <w:rFonts w:cs="Times New Roman"/>
                      <w:sz w:val="20"/>
                      <w:szCs w:val="20"/>
                      <w:lang w:eastAsia="lv-LV"/>
                    </w:rPr>
                    <w:t>diennakti</w:t>
                  </w:r>
                </w:p>
              </w:tc>
            </w:tr>
          </w:tbl>
          <w:bookmarkEnd w:id="0"/>
          <w:p w:rsidR="00BA74EC" w:rsidRDefault="003A793A" w:rsidP="00FA6AA0">
            <w:pPr>
              <w:ind w:firstLine="174"/>
              <w:rPr>
                <w:szCs w:val="24"/>
              </w:rPr>
            </w:pPr>
            <w:r w:rsidRPr="00446539">
              <w:rPr>
                <w:szCs w:val="24"/>
              </w:rPr>
              <w:t>Attiecīgi papildināma arī noteikumu projekta anotācija.</w:t>
            </w:r>
          </w:p>
          <w:p w:rsidR="00CA26AD" w:rsidRDefault="00CA26AD" w:rsidP="00FA6AA0">
            <w:pPr>
              <w:ind w:firstLine="174"/>
              <w:rPr>
                <w:szCs w:val="24"/>
              </w:rPr>
            </w:pPr>
          </w:p>
          <w:p w:rsidR="00CA26AD" w:rsidRPr="00446539" w:rsidRDefault="00CA26AD" w:rsidP="00FA6AA0">
            <w:pPr>
              <w:ind w:firstLine="174"/>
              <w:rPr>
                <w:szCs w:val="24"/>
              </w:rPr>
            </w:pPr>
          </w:p>
        </w:tc>
        <w:tc>
          <w:tcPr>
            <w:tcW w:w="1914" w:type="dxa"/>
            <w:shd w:val="clear" w:color="auto" w:fill="auto"/>
          </w:tcPr>
          <w:p w:rsidR="00605721" w:rsidRPr="00446539" w:rsidRDefault="00605721" w:rsidP="00F60A61">
            <w:pPr>
              <w:pStyle w:val="Sarakstarindkopa"/>
              <w:ind w:left="0"/>
              <w:jc w:val="center"/>
              <w:rPr>
                <w:szCs w:val="24"/>
              </w:rPr>
            </w:pPr>
          </w:p>
          <w:p w:rsidR="00112D07" w:rsidRPr="00446539" w:rsidRDefault="00287951" w:rsidP="00F60A61">
            <w:pPr>
              <w:pStyle w:val="Sarakstarindkopa"/>
              <w:ind w:left="0"/>
              <w:jc w:val="center"/>
              <w:rPr>
                <w:szCs w:val="24"/>
              </w:rPr>
            </w:pPr>
            <w:r w:rsidRPr="00446539">
              <w:rPr>
                <w:szCs w:val="24"/>
              </w:rPr>
              <w:t>Ņemts vērā</w:t>
            </w:r>
            <w:r w:rsidR="00B4769E" w:rsidRPr="00446539">
              <w:rPr>
                <w:szCs w:val="24"/>
              </w:rPr>
              <w:t>.</w:t>
            </w:r>
          </w:p>
        </w:tc>
        <w:tc>
          <w:tcPr>
            <w:tcW w:w="4911" w:type="dxa"/>
            <w:shd w:val="clear" w:color="auto" w:fill="auto"/>
          </w:tcPr>
          <w:p w:rsidR="00956F22" w:rsidRPr="00446539" w:rsidRDefault="00956F22" w:rsidP="008B08FF">
            <w:pPr>
              <w:pStyle w:val="Sarakstarindkopa"/>
              <w:ind w:left="0"/>
              <w:rPr>
                <w:szCs w:val="24"/>
              </w:rPr>
            </w:pPr>
          </w:p>
          <w:p w:rsidR="00BB1CA3" w:rsidRPr="00446539" w:rsidRDefault="00BB1CA3" w:rsidP="00BB1CA3">
            <w:pPr>
              <w:pStyle w:val="Kjene"/>
              <w:rPr>
                <w:szCs w:val="24"/>
              </w:rPr>
            </w:pPr>
            <w:r w:rsidRPr="00446539">
              <w:rPr>
                <w:szCs w:val="24"/>
              </w:rPr>
              <w:t>1.1. izteikt 2. pielikuma 9. punktu šādā redakcijā:</w:t>
            </w:r>
          </w:p>
          <w:tbl>
            <w:tblPr>
              <w:tblW w:w="5000" w:type="pct"/>
              <w:shd w:val="clear" w:color="auto" w:fill="FFFFFF"/>
              <w:tblCellMar>
                <w:left w:w="0" w:type="dxa"/>
                <w:right w:w="0" w:type="dxa"/>
              </w:tblCellMar>
              <w:tblLook w:val="04A0" w:firstRow="1" w:lastRow="0" w:firstColumn="1" w:lastColumn="0" w:noHBand="0" w:noVBand="1"/>
            </w:tblPr>
            <w:tblGrid>
              <w:gridCol w:w="275"/>
              <w:gridCol w:w="600"/>
              <w:gridCol w:w="730"/>
              <w:gridCol w:w="150"/>
              <w:gridCol w:w="150"/>
              <w:gridCol w:w="150"/>
              <w:gridCol w:w="150"/>
              <w:gridCol w:w="465"/>
              <w:gridCol w:w="465"/>
              <w:gridCol w:w="730"/>
              <w:gridCol w:w="810"/>
            </w:tblGrid>
            <w:tr w:rsidR="00BB1CA3" w:rsidRPr="00446539" w:rsidTr="00BB1CA3">
              <w:tc>
                <w:tcPr>
                  <w:tcW w:w="347" w:type="dxa"/>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rPr>
                      <w:rFonts w:cs="Times New Roman"/>
                      <w:sz w:val="18"/>
                      <w:szCs w:val="18"/>
                      <w:lang w:eastAsia="lv-LV"/>
                    </w:rPr>
                  </w:pPr>
                  <w:r w:rsidRPr="00446539">
                    <w:rPr>
                      <w:sz w:val="18"/>
                      <w:szCs w:val="18"/>
                      <w:lang w:eastAsia="lv-LV"/>
                    </w:rPr>
                    <w:t>“</w:t>
                  </w:r>
                  <w:r w:rsidRPr="00446539">
                    <w:rPr>
                      <w:rFonts w:cs="Times New Roman"/>
                      <w:sz w:val="18"/>
                      <w:szCs w:val="18"/>
                      <w:lang w:eastAsia="lv-LV"/>
                    </w:rPr>
                    <w:t>9.</w:t>
                  </w:r>
                </w:p>
              </w:tc>
              <w:tc>
                <w:tcPr>
                  <w:tcW w:w="780"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rPr>
                      <w:rFonts w:cs="Times New Roman"/>
                      <w:sz w:val="18"/>
                      <w:szCs w:val="18"/>
                      <w:lang w:eastAsia="lv-LV"/>
                    </w:rPr>
                  </w:pPr>
                  <w:r w:rsidRPr="00446539">
                    <w:rPr>
                      <w:rFonts w:cs="Times New Roman"/>
                      <w:sz w:val="18"/>
                      <w:szCs w:val="18"/>
                      <w:lang w:eastAsia="lv-LV"/>
                    </w:rPr>
                    <w:t>Liepāja (osta)</w:t>
                  </w:r>
                </w:p>
              </w:tc>
              <w:tc>
                <w:tcPr>
                  <w:tcW w:w="954"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visu diennakti</w:t>
                  </w:r>
                </w:p>
              </w:tc>
              <w:tc>
                <w:tcPr>
                  <w:tcW w:w="180"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w:t>
                  </w:r>
                </w:p>
              </w:tc>
              <w:tc>
                <w:tcPr>
                  <w:tcW w:w="180"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w:t>
                  </w:r>
                </w:p>
              </w:tc>
              <w:tc>
                <w:tcPr>
                  <w:tcW w:w="180"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w:t>
                  </w:r>
                </w:p>
              </w:tc>
              <w:tc>
                <w:tcPr>
                  <w:tcW w:w="180"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w:t>
                  </w:r>
                </w:p>
              </w:tc>
              <w:tc>
                <w:tcPr>
                  <w:tcW w:w="600"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9.00–18.00</w:t>
                  </w:r>
                </w:p>
              </w:tc>
              <w:tc>
                <w:tcPr>
                  <w:tcW w:w="600"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9.00–18.00</w:t>
                  </w:r>
                </w:p>
              </w:tc>
              <w:tc>
                <w:tcPr>
                  <w:tcW w:w="954"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visu diennakti</w:t>
                  </w:r>
                </w:p>
              </w:tc>
              <w:tc>
                <w:tcPr>
                  <w:tcW w:w="1060" w:type="dxa"/>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visu</w:t>
                  </w:r>
                </w:p>
                <w:p w:rsidR="00BB1CA3" w:rsidRPr="00446539" w:rsidRDefault="00BB1CA3" w:rsidP="00BB1CA3">
                  <w:pPr>
                    <w:jc w:val="center"/>
                    <w:rPr>
                      <w:rFonts w:cs="Times New Roman"/>
                      <w:sz w:val="18"/>
                      <w:szCs w:val="18"/>
                      <w:lang w:eastAsia="lv-LV"/>
                    </w:rPr>
                  </w:pPr>
                  <w:r w:rsidRPr="00446539">
                    <w:rPr>
                      <w:rFonts w:cs="Times New Roman"/>
                      <w:sz w:val="18"/>
                      <w:szCs w:val="18"/>
                      <w:lang w:eastAsia="lv-LV"/>
                    </w:rPr>
                    <w:t>diennakti</w:t>
                  </w:r>
                  <w:r w:rsidRPr="00446539">
                    <w:rPr>
                      <w:sz w:val="18"/>
                      <w:szCs w:val="18"/>
                      <w:lang w:eastAsia="lv-LV"/>
                    </w:rPr>
                    <w:t>”</w:t>
                  </w:r>
                </w:p>
              </w:tc>
            </w:tr>
          </w:tbl>
          <w:p w:rsidR="00BB1CA3" w:rsidRPr="00446539" w:rsidRDefault="00BB1CA3" w:rsidP="008B08FF">
            <w:pPr>
              <w:pStyle w:val="Sarakstarindkopa"/>
              <w:ind w:left="0"/>
              <w:rPr>
                <w:szCs w:val="24"/>
              </w:rPr>
            </w:pPr>
          </w:p>
          <w:p w:rsidR="00BB1CA3" w:rsidRPr="00446539" w:rsidRDefault="00BB1CA3" w:rsidP="008B08FF">
            <w:pPr>
              <w:pStyle w:val="Sarakstarindkopa"/>
              <w:ind w:left="0"/>
              <w:rPr>
                <w:szCs w:val="24"/>
              </w:rPr>
            </w:pPr>
            <w:r w:rsidRPr="00446539">
              <w:rPr>
                <w:szCs w:val="24"/>
              </w:rPr>
              <w:t>Skatīt anotācijas I sadaļas 2. punktu.</w:t>
            </w:r>
          </w:p>
        </w:tc>
      </w:tr>
      <w:tr w:rsidR="00F44453" w:rsidTr="007220B7">
        <w:tc>
          <w:tcPr>
            <w:tcW w:w="593" w:type="dxa"/>
            <w:shd w:val="clear" w:color="auto" w:fill="auto"/>
          </w:tcPr>
          <w:p w:rsidR="00645CD3" w:rsidRPr="008D27EE" w:rsidRDefault="00645CD3" w:rsidP="00F44453">
            <w:pPr>
              <w:pStyle w:val="Sarakstarindkopa"/>
              <w:ind w:left="0"/>
              <w:jc w:val="center"/>
              <w:rPr>
                <w:szCs w:val="24"/>
              </w:rPr>
            </w:pPr>
          </w:p>
          <w:p w:rsidR="00F44453" w:rsidRPr="008D27EE" w:rsidRDefault="00645CD3" w:rsidP="00F44453">
            <w:pPr>
              <w:pStyle w:val="Sarakstarindkopa"/>
              <w:ind w:left="0"/>
              <w:jc w:val="center"/>
              <w:rPr>
                <w:szCs w:val="24"/>
              </w:rPr>
            </w:pPr>
            <w:r w:rsidRPr="008D27EE">
              <w:rPr>
                <w:szCs w:val="24"/>
              </w:rPr>
              <w:t>4.</w:t>
            </w:r>
          </w:p>
        </w:tc>
        <w:tc>
          <w:tcPr>
            <w:tcW w:w="2002" w:type="dxa"/>
            <w:shd w:val="clear" w:color="auto" w:fill="auto"/>
          </w:tcPr>
          <w:p w:rsidR="00F44453" w:rsidRPr="00446539" w:rsidRDefault="00F44453" w:rsidP="00F44453">
            <w:pPr>
              <w:pStyle w:val="Sarakstarindkopa"/>
              <w:ind w:left="0"/>
              <w:rPr>
                <w:szCs w:val="24"/>
              </w:rPr>
            </w:pPr>
          </w:p>
          <w:p w:rsidR="004A115F" w:rsidRPr="00446539" w:rsidRDefault="004A115F" w:rsidP="00F44453">
            <w:pPr>
              <w:pStyle w:val="Sarakstarindkopa"/>
              <w:ind w:left="0"/>
              <w:rPr>
                <w:szCs w:val="24"/>
              </w:rPr>
            </w:pPr>
            <w:r w:rsidRPr="00446539">
              <w:rPr>
                <w:szCs w:val="24"/>
              </w:rPr>
              <w:t>Noteikumu 3. pielikuma 2. tabulas 13. aile.</w:t>
            </w:r>
          </w:p>
        </w:tc>
        <w:tc>
          <w:tcPr>
            <w:tcW w:w="5181" w:type="dxa"/>
            <w:shd w:val="clear" w:color="auto" w:fill="auto"/>
          </w:tcPr>
          <w:p w:rsidR="00645CD3" w:rsidRPr="00446539" w:rsidRDefault="00645CD3" w:rsidP="00645CD3">
            <w:pPr>
              <w:ind w:right="8"/>
              <w:jc w:val="center"/>
              <w:rPr>
                <w:b/>
                <w:bCs/>
              </w:rPr>
            </w:pPr>
            <w:r w:rsidRPr="00446539">
              <w:rPr>
                <w:b/>
                <w:bCs/>
              </w:rPr>
              <w:t>Satiksmes ministrija</w:t>
            </w:r>
          </w:p>
          <w:p w:rsidR="00F44453" w:rsidRPr="00446539" w:rsidRDefault="00645CD3" w:rsidP="00605721">
            <w:pPr>
              <w:ind w:right="8" w:firstLine="326"/>
            </w:pPr>
            <w:r w:rsidRPr="00446539">
              <w:t>Lai varētu nodrošināt, ka noteikumu projekta 3.pielikumā minēto produktu kontrole nepieciešamības gadījumā tiktu nodrošināta arī ārpus norādītā darba laika, lūdzam precizēt noteikumu projekta 3.pielikuma 2.tabulas 13.aili, norādot piezīmi, ka robežkontroles punktā Lidosta “Rīga” sūtījumu kontrole tiks veikta laikā no plkst. 21.00 līdz 9.00, ja 24 stundas iepriekš tiks saņemta informācija no atbildīgā operatora.</w:t>
            </w:r>
          </w:p>
        </w:tc>
        <w:tc>
          <w:tcPr>
            <w:tcW w:w="1914" w:type="dxa"/>
            <w:shd w:val="clear" w:color="auto" w:fill="auto"/>
          </w:tcPr>
          <w:p w:rsidR="00F44453" w:rsidRPr="00446539" w:rsidRDefault="00F44453" w:rsidP="00F44453">
            <w:pPr>
              <w:pStyle w:val="Sarakstarindkopa"/>
              <w:ind w:left="0"/>
              <w:jc w:val="center"/>
              <w:rPr>
                <w:szCs w:val="24"/>
              </w:rPr>
            </w:pPr>
          </w:p>
          <w:p w:rsidR="00645CD3" w:rsidRPr="00446539" w:rsidRDefault="00645CD3" w:rsidP="00F44453">
            <w:pPr>
              <w:pStyle w:val="Sarakstarindkopa"/>
              <w:ind w:left="0"/>
              <w:jc w:val="center"/>
              <w:rPr>
                <w:szCs w:val="24"/>
              </w:rPr>
            </w:pPr>
            <w:r w:rsidRPr="00446539">
              <w:rPr>
                <w:szCs w:val="24"/>
              </w:rPr>
              <w:t>Ņemts vērā.</w:t>
            </w:r>
          </w:p>
        </w:tc>
        <w:tc>
          <w:tcPr>
            <w:tcW w:w="4911" w:type="dxa"/>
            <w:shd w:val="clear" w:color="auto" w:fill="auto"/>
          </w:tcPr>
          <w:p w:rsidR="00F44453" w:rsidRPr="00446539" w:rsidRDefault="00F44453" w:rsidP="00FE1BA1">
            <w:pPr>
              <w:pStyle w:val="Sarakstarindkopa"/>
              <w:ind w:left="0"/>
              <w:rPr>
                <w:szCs w:val="24"/>
              </w:rPr>
            </w:pPr>
          </w:p>
          <w:p w:rsidR="00AD2BC9" w:rsidRPr="00446539" w:rsidRDefault="004A115F" w:rsidP="00FE1BA1">
            <w:pPr>
              <w:pStyle w:val="Sarakstarindkopa"/>
              <w:ind w:left="0"/>
              <w:rPr>
                <w:szCs w:val="24"/>
              </w:rPr>
            </w:pPr>
            <w:r w:rsidRPr="00446539">
              <w:rPr>
                <w:szCs w:val="24"/>
              </w:rPr>
              <w:t>Noteikumu 3. pie</w:t>
            </w:r>
            <w:r w:rsidR="00AD2BC9" w:rsidRPr="00446539">
              <w:rPr>
                <w:szCs w:val="24"/>
              </w:rPr>
              <w:t xml:space="preserve">likuma 2. tabulas 13. aile papildināta ar </w:t>
            </w:r>
            <w:r w:rsidR="0025406F">
              <w:rPr>
                <w:szCs w:val="24"/>
              </w:rPr>
              <w:t>8</w:t>
            </w:r>
            <w:r w:rsidR="00AD2BC9" w:rsidRPr="00446539">
              <w:rPr>
                <w:szCs w:val="24"/>
              </w:rPr>
              <w:t>. piezīmi:</w:t>
            </w:r>
          </w:p>
          <w:p w:rsidR="00AD2BC9" w:rsidRPr="00446539" w:rsidRDefault="00F5674C" w:rsidP="00FE1BA1">
            <w:pPr>
              <w:pStyle w:val="Sarakstarindkopa"/>
              <w:ind w:left="0"/>
              <w:rPr>
                <w:sz w:val="22"/>
              </w:rPr>
            </w:pPr>
            <w:r w:rsidRPr="00446539">
              <w:rPr>
                <w:szCs w:val="24"/>
                <w:vertAlign w:val="superscript"/>
              </w:rPr>
              <w:t>“</w:t>
            </w:r>
            <w:r w:rsidR="0025406F">
              <w:rPr>
                <w:szCs w:val="24"/>
                <w:vertAlign w:val="superscript"/>
              </w:rPr>
              <w:t>8</w:t>
            </w:r>
            <w:r w:rsidR="00AD2BC9" w:rsidRPr="00446539">
              <w:rPr>
                <w:szCs w:val="24"/>
              </w:rPr>
              <w:t xml:space="preserve"> Sūtījumu kontrole tiks veikta laikā no 21.00 līdz 9.00, ja 24 stundas iepriekš tiks saņemta informācija no atbildīgā operatora.</w:t>
            </w:r>
            <w:r w:rsidRPr="00446539">
              <w:rPr>
                <w:szCs w:val="24"/>
              </w:rPr>
              <w:t>”</w:t>
            </w:r>
          </w:p>
        </w:tc>
      </w:tr>
    </w:tbl>
    <w:p w:rsidR="00321889" w:rsidRDefault="00321889" w:rsidP="00BB0A56">
      <w:pPr>
        <w:rPr>
          <w:szCs w:val="24"/>
        </w:rPr>
      </w:pPr>
    </w:p>
    <w:tbl>
      <w:tblPr>
        <w:tblW w:w="9287" w:type="dxa"/>
        <w:tblInd w:w="8" w:type="dxa"/>
        <w:tblLayout w:type="fixed"/>
        <w:tblLook w:val="00A0" w:firstRow="1" w:lastRow="0" w:firstColumn="1" w:lastColumn="0" w:noHBand="0" w:noVBand="0"/>
      </w:tblPr>
      <w:tblGrid>
        <w:gridCol w:w="3108"/>
        <w:gridCol w:w="6179"/>
      </w:tblGrid>
      <w:tr w:rsidR="00FE63FF" w:rsidRPr="00862861" w:rsidTr="00554FC0">
        <w:tc>
          <w:tcPr>
            <w:tcW w:w="3108" w:type="dxa"/>
          </w:tcPr>
          <w:p w:rsidR="00FE63FF" w:rsidRPr="00862861" w:rsidRDefault="00FE63FF" w:rsidP="00554FC0">
            <w:pPr>
              <w:pStyle w:val="naiskr"/>
              <w:spacing w:before="0" w:after="0"/>
            </w:pPr>
            <w:r w:rsidRPr="00862861">
              <w:t>Atbildīgā amatpersona</w:t>
            </w:r>
          </w:p>
        </w:tc>
        <w:tc>
          <w:tcPr>
            <w:tcW w:w="6179" w:type="dxa"/>
          </w:tcPr>
          <w:p w:rsidR="00FE63FF" w:rsidRPr="00862861" w:rsidRDefault="00FE63FF" w:rsidP="00554FC0">
            <w:pPr>
              <w:pStyle w:val="naiskr"/>
              <w:spacing w:before="0" w:after="0"/>
              <w:ind w:firstLine="720"/>
            </w:pPr>
            <w:r w:rsidRPr="00862861">
              <w:t>  </w:t>
            </w:r>
          </w:p>
        </w:tc>
      </w:tr>
      <w:tr w:rsidR="00FE63FF" w:rsidRPr="00862861" w:rsidTr="00554FC0">
        <w:tc>
          <w:tcPr>
            <w:tcW w:w="3108" w:type="dxa"/>
          </w:tcPr>
          <w:p w:rsidR="00FE63FF" w:rsidRPr="00862861" w:rsidRDefault="00FE63FF" w:rsidP="00554FC0">
            <w:pPr>
              <w:pStyle w:val="naiskr"/>
              <w:spacing w:before="0" w:after="0"/>
              <w:ind w:firstLine="720"/>
            </w:pPr>
          </w:p>
        </w:tc>
        <w:tc>
          <w:tcPr>
            <w:tcW w:w="6179" w:type="dxa"/>
            <w:tcBorders>
              <w:top w:val="single" w:sz="6" w:space="0" w:color="000000"/>
            </w:tcBorders>
          </w:tcPr>
          <w:p w:rsidR="00FE63FF" w:rsidRPr="00862861" w:rsidRDefault="00FE63FF" w:rsidP="00554FC0">
            <w:pPr>
              <w:pStyle w:val="naisc"/>
              <w:spacing w:before="0" w:after="0"/>
              <w:ind w:firstLine="720"/>
            </w:pPr>
            <w:r w:rsidRPr="00862861">
              <w:t>(paraksts)</w:t>
            </w:r>
          </w:p>
        </w:tc>
      </w:tr>
    </w:tbl>
    <w:p w:rsidR="00FE63FF" w:rsidRDefault="00FE63FF" w:rsidP="00FE63FF">
      <w:pPr>
        <w:pStyle w:val="naisf"/>
        <w:spacing w:before="0" w:after="0"/>
        <w:ind w:firstLine="0"/>
      </w:pPr>
    </w:p>
    <w:p w:rsidR="00FE63FF" w:rsidRDefault="00FE63FF" w:rsidP="00FE63FF">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rsidR="00FE63FF" w:rsidRPr="00712B66" w:rsidRDefault="00FE63FF" w:rsidP="00FE63FF">
      <w:pPr>
        <w:pStyle w:val="naisf"/>
        <w:spacing w:before="0" w:after="0"/>
        <w:ind w:firstLine="720"/>
      </w:pPr>
    </w:p>
    <w:p w:rsidR="00FE63FF" w:rsidRPr="00862861" w:rsidRDefault="00FE63FF" w:rsidP="00FE63FF">
      <w:pPr>
        <w:pStyle w:val="naisf"/>
        <w:spacing w:before="0" w:after="0"/>
        <w:ind w:firstLine="3402"/>
        <w:jc w:val="left"/>
      </w:pPr>
      <w:r w:rsidRPr="00862861">
        <w:t>Linda Gurecka</w:t>
      </w:r>
    </w:p>
    <w:tbl>
      <w:tblPr>
        <w:tblW w:w="0" w:type="auto"/>
        <w:tblLook w:val="00A0" w:firstRow="1" w:lastRow="0" w:firstColumn="1" w:lastColumn="0" w:noHBand="0" w:noVBand="0"/>
      </w:tblPr>
      <w:tblGrid>
        <w:gridCol w:w="8268"/>
      </w:tblGrid>
      <w:tr w:rsidR="00FE63FF" w:rsidRPr="00862861" w:rsidTr="00554FC0">
        <w:tc>
          <w:tcPr>
            <w:tcW w:w="8268" w:type="dxa"/>
            <w:tcBorders>
              <w:top w:val="single" w:sz="4" w:space="0" w:color="000000"/>
            </w:tcBorders>
          </w:tcPr>
          <w:p w:rsidR="00FE63FF" w:rsidRPr="00862861" w:rsidRDefault="00FE63FF" w:rsidP="00554FC0">
            <w:pPr>
              <w:jc w:val="center"/>
            </w:pPr>
            <w:r w:rsidRPr="00862861">
              <w:t>(par projektu atbildīgās amatpersonas vārds un uzvārds)</w:t>
            </w:r>
          </w:p>
        </w:tc>
      </w:tr>
      <w:tr w:rsidR="00FE63FF" w:rsidRPr="00862861" w:rsidTr="00554FC0">
        <w:tc>
          <w:tcPr>
            <w:tcW w:w="8268" w:type="dxa"/>
            <w:tcBorders>
              <w:bottom w:val="single" w:sz="4" w:space="0" w:color="000000"/>
            </w:tcBorders>
          </w:tcPr>
          <w:p w:rsidR="00FE63FF" w:rsidRPr="00862861" w:rsidRDefault="00FE63FF" w:rsidP="00554FC0">
            <w:pPr>
              <w:jc w:val="center"/>
            </w:pPr>
            <w:r w:rsidRPr="00862861">
              <w:t>Veterinārā un pārtikas departamenta juriskonsulte</w:t>
            </w:r>
          </w:p>
        </w:tc>
      </w:tr>
      <w:tr w:rsidR="00FE63FF" w:rsidRPr="00862861" w:rsidTr="00554FC0">
        <w:tc>
          <w:tcPr>
            <w:tcW w:w="8268" w:type="dxa"/>
            <w:tcBorders>
              <w:top w:val="single" w:sz="4" w:space="0" w:color="000000"/>
            </w:tcBorders>
          </w:tcPr>
          <w:p w:rsidR="00FE63FF" w:rsidRPr="00862861" w:rsidRDefault="00FE63FF" w:rsidP="00554FC0">
            <w:pPr>
              <w:jc w:val="center"/>
            </w:pPr>
            <w:r w:rsidRPr="00862861">
              <w:t>(amats)</w:t>
            </w:r>
          </w:p>
        </w:tc>
      </w:tr>
      <w:tr w:rsidR="00FE63FF" w:rsidRPr="00862861" w:rsidTr="00554FC0">
        <w:tc>
          <w:tcPr>
            <w:tcW w:w="8268" w:type="dxa"/>
            <w:tcBorders>
              <w:bottom w:val="single" w:sz="4" w:space="0" w:color="000000"/>
            </w:tcBorders>
          </w:tcPr>
          <w:p w:rsidR="00FE63FF" w:rsidRPr="00862861" w:rsidRDefault="00FE63FF" w:rsidP="00554FC0">
            <w:pPr>
              <w:jc w:val="center"/>
            </w:pPr>
            <w:r w:rsidRPr="00862861">
              <w:t>Tālr.: 26614495</w:t>
            </w:r>
          </w:p>
        </w:tc>
      </w:tr>
      <w:tr w:rsidR="00FE63FF" w:rsidRPr="00862861" w:rsidTr="00554FC0">
        <w:tc>
          <w:tcPr>
            <w:tcW w:w="8268" w:type="dxa"/>
            <w:tcBorders>
              <w:top w:val="single" w:sz="4" w:space="0" w:color="000000"/>
            </w:tcBorders>
          </w:tcPr>
          <w:p w:rsidR="00FE63FF" w:rsidRPr="00862861" w:rsidRDefault="00FE63FF" w:rsidP="00554FC0">
            <w:pPr>
              <w:jc w:val="center"/>
            </w:pPr>
            <w:r w:rsidRPr="00862861">
              <w:t>(tālruņa numurs)</w:t>
            </w:r>
          </w:p>
        </w:tc>
      </w:tr>
      <w:tr w:rsidR="00FE63FF" w:rsidRPr="00862861" w:rsidTr="00554FC0">
        <w:tc>
          <w:tcPr>
            <w:tcW w:w="8268" w:type="dxa"/>
            <w:tcBorders>
              <w:bottom w:val="single" w:sz="4" w:space="0" w:color="000000"/>
            </w:tcBorders>
          </w:tcPr>
          <w:p w:rsidR="00FE63FF" w:rsidRPr="00862861" w:rsidRDefault="00882360" w:rsidP="00554FC0">
            <w:pPr>
              <w:jc w:val="center"/>
            </w:pPr>
            <w:hyperlink r:id="rId7" w:history="1">
              <w:r w:rsidR="00FE63FF" w:rsidRPr="00DB5ACB">
                <w:rPr>
                  <w:rStyle w:val="Hipersaite"/>
                </w:rPr>
                <w:t>Linda.Gurecka@zm.gov.lv</w:t>
              </w:r>
            </w:hyperlink>
          </w:p>
        </w:tc>
      </w:tr>
      <w:tr w:rsidR="00FE63FF" w:rsidRPr="00862861" w:rsidTr="00554FC0">
        <w:tc>
          <w:tcPr>
            <w:tcW w:w="8268" w:type="dxa"/>
            <w:tcBorders>
              <w:top w:val="single" w:sz="4" w:space="0" w:color="000000"/>
            </w:tcBorders>
          </w:tcPr>
          <w:p w:rsidR="00FE63FF" w:rsidRPr="00862861" w:rsidRDefault="00FE63FF" w:rsidP="00554FC0">
            <w:pPr>
              <w:jc w:val="center"/>
            </w:pPr>
            <w:r w:rsidRPr="00862861">
              <w:t>(e-pasta adrese)</w:t>
            </w:r>
          </w:p>
        </w:tc>
      </w:tr>
    </w:tbl>
    <w:p w:rsidR="00711C90" w:rsidRPr="00A27EFC" w:rsidRDefault="00711C90" w:rsidP="00B6290C">
      <w:pPr>
        <w:jc w:val="left"/>
        <w:rPr>
          <w:sz w:val="20"/>
        </w:rPr>
      </w:pPr>
      <w:bookmarkStart w:id="1" w:name="_GoBack"/>
      <w:bookmarkEnd w:id="1"/>
    </w:p>
    <w:sectPr w:rsidR="00711C90" w:rsidRPr="00A27EFC" w:rsidSect="00FE63FF">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BC" w:rsidRDefault="00A076BC" w:rsidP="00B45525">
      <w:r>
        <w:separator/>
      </w:r>
    </w:p>
  </w:endnote>
  <w:endnote w:type="continuationSeparator" w:id="0">
    <w:p w:rsidR="00A076BC" w:rsidRDefault="00A076BC" w:rsidP="00B45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882360" w:rsidRDefault="00882360" w:rsidP="00882360">
    <w:pPr>
      <w:pStyle w:val="Kjene"/>
    </w:pPr>
    <w:r w:rsidRPr="00882360">
      <w:rPr>
        <w:rFonts w:eastAsia="Arial Unicode MS" w:cs="Times New Roman"/>
        <w:sz w:val="20"/>
        <w:szCs w:val="20"/>
        <w:lang w:val="en-GB"/>
      </w:rPr>
      <w:t>ZMizz_160221_robezas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525" w:rsidRPr="00882360" w:rsidRDefault="00882360" w:rsidP="00882360">
    <w:pPr>
      <w:pStyle w:val="Kjene"/>
    </w:pPr>
    <w:r w:rsidRPr="00882360">
      <w:rPr>
        <w:rFonts w:eastAsia="Arial Unicode MS" w:cs="Times New Roman"/>
        <w:sz w:val="20"/>
        <w:szCs w:val="20"/>
        <w:lang w:val="en-GB"/>
      </w:rPr>
      <w:t>ZMizz_160221_robezas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BC" w:rsidRDefault="00A076BC" w:rsidP="00B45525">
      <w:r>
        <w:separator/>
      </w:r>
    </w:p>
  </w:footnote>
  <w:footnote w:type="continuationSeparator" w:id="0">
    <w:p w:rsidR="00A076BC" w:rsidRDefault="00A076BC" w:rsidP="00B45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232135"/>
      <w:docPartObj>
        <w:docPartGallery w:val="Page Numbers (Top of Page)"/>
        <w:docPartUnique/>
      </w:docPartObj>
    </w:sdtPr>
    <w:sdtEndPr>
      <w:rPr>
        <w:sz w:val="24"/>
        <w:szCs w:val="24"/>
      </w:rPr>
    </w:sdtEndPr>
    <w:sdtContent>
      <w:p w:rsidR="00B45525" w:rsidRPr="00FE63FF" w:rsidRDefault="00B45525">
        <w:pPr>
          <w:pStyle w:val="Galvene"/>
          <w:jc w:val="center"/>
          <w:rPr>
            <w:sz w:val="24"/>
            <w:szCs w:val="24"/>
          </w:rPr>
        </w:pPr>
        <w:r w:rsidRPr="00FE63FF">
          <w:rPr>
            <w:sz w:val="24"/>
            <w:szCs w:val="24"/>
          </w:rPr>
          <w:fldChar w:fldCharType="begin"/>
        </w:r>
        <w:r w:rsidRPr="00FE63FF">
          <w:rPr>
            <w:sz w:val="24"/>
            <w:szCs w:val="24"/>
          </w:rPr>
          <w:instrText>PAGE   \* MERGEFORMAT</w:instrText>
        </w:r>
        <w:r w:rsidRPr="00FE63FF">
          <w:rPr>
            <w:sz w:val="24"/>
            <w:szCs w:val="24"/>
          </w:rPr>
          <w:fldChar w:fldCharType="separate"/>
        </w:r>
        <w:r w:rsidR="00D455A0" w:rsidRPr="00FE63FF">
          <w:rPr>
            <w:noProof/>
            <w:sz w:val="24"/>
            <w:szCs w:val="24"/>
          </w:rPr>
          <w:t>2</w:t>
        </w:r>
        <w:r w:rsidRPr="00FE63FF">
          <w:rPr>
            <w:sz w:val="24"/>
            <w:szCs w:val="24"/>
          </w:rPr>
          <w:fldChar w:fldCharType="end"/>
        </w:r>
      </w:p>
    </w:sdtContent>
  </w:sdt>
  <w:p w:rsidR="00B45525" w:rsidRDefault="00B4552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B0136"/>
    <w:multiLevelType w:val="hybridMultilevel"/>
    <w:tmpl w:val="C6A06CE2"/>
    <w:lvl w:ilvl="0" w:tplc="C95C83D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764D16"/>
    <w:multiLevelType w:val="hybridMultilevel"/>
    <w:tmpl w:val="D990E6D4"/>
    <w:lvl w:ilvl="0" w:tplc="1048DC08">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8D1DC5"/>
    <w:multiLevelType w:val="hybridMultilevel"/>
    <w:tmpl w:val="76D8B94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D0E4F56"/>
    <w:multiLevelType w:val="hybridMultilevel"/>
    <w:tmpl w:val="F93035BE"/>
    <w:lvl w:ilvl="0" w:tplc="40845BFC">
      <w:start w:val="1"/>
      <w:numFmt w:val="decimal"/>
      <w:lvlText w:val="%1."/>
      <w:lvlJc w:val="left"/>
      <w:pPr>
        <w:ind w:left="720" w:hanging="360"/>
      </w:pPr>
      <w:rPr>
        <w:rFonts w:ascii="Arial" w:eastAsia="Calibri" w:hAnsi="Arial" w:cs="Arial"/>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37"/>
    <w:rsid w:val="0000122C"/>
    <w:rsid w:val="00032853"/>
    <w:rsid w:val="00036C5F"/>
    <w:rsid w:val="000379B5"/>
    <w:rsid w:val="00064B02"/>
    <w:rsid w:val="000662BA"/>
    <w:rsid w:val="0008136F"/>
    <w:rsid w:val="00094CCD"/>
    <w:rsid w:val="000C3AFC"/>
    <w:rsid w:val="000C4D66"/>
    <w:rsid w:val="000D0DBB"/>
    <w:rsid w:val="000D2581"/>
    <w:rsid w:val="000E57C2"/>
    <w:rsid w:val="000F4B5E"/>
    <w:rsid w:val="00106DA8"/>
    <w:rsid w:val="001114C7"/>
    <w:rsid w:val="00111F45"/>
    <w:rsid w:val="00112D07"/>
    <w:rsid w:val="001446D2"/>
    <w:rsid w:val="00153B11"/>
    <w:rsid w:val="00155491"/>
    <w:rsid w:val="00160EDF"/>
    <w:rsid w:val="00162909"/>
    <w:rsid w:val="0016459C"/>
    <w:rsid w:val="00176109"/>
    <w:rsid w:val="00191CAF"/>
    <w:rsid w:val="00193C03"/>
    <w:rsid w:val="001949A6"/>
    <w:rsid w:val="001A0258"/>
    <w:rsid w:val="001A163A"/>
    <w:rsid w:val="001A2EA6"/>
    <w:rsid w:val="001A4BC8"/>
    <w:rsid w:val="001B04E4"/>
    <w:rsid w:val="001B21C0"/>
    <w:rsid w:val="001E5A27"/>
    <w:rsid w:val="0020342B"/>
    <w:rsid w:val="00224870"/>
    <w:rsid w:val="00226795"/>
    <w:rsid w:val="00233FA2"/>
    <w:rsid w:val="00245346"/>
    <w:rsid w:val="0024754E"/>
    <w:rsid w:val="00251342"/>
    <w:rsid w:val="0025406F"/>
    <w:rsid w:val="00261A0C"/>
    <w:rsid w:val="00277F32"/>
    <w:rsid w:val="00284875"/>
    <w:rsid w:val="00287951"/>
    <w:rsid w:val="002A21AB"/>
    <w:rsid w:val="002A31BF"/>
    <w:rsid w:val="002A5432"/>
    <w:rsid w:val="002B318C"/>
    <w:rsid w:val="002C34B3"/>
    <w:rsid w:val="002D6EA9"/>
    <w:rsid w:val="002E6B63"/>
    <w:rsid w:val="002F327E"/>
    <w:rsid w:val="002F63A5"/>
    <w:rsid w:val="002F63E3"/>
    <w:rsid w:val="00312046"/>
    <w:rsid w:val="0031375B"/>
    <w:rsid w:val="00321889"/>
    <w:rsid w:val="003357FF"/>
    <w:rsid w:val="00336899"/>
    <w:rsid w:val="00344B0D"/>
    <w:rsid w:val="0034642C"/>
    <w:rsid w:val="00346A12"/>
    <w:rsid w:val="00346EE2"/>
    <w:rsid w:val="00352AAF"/>
    <w:rsid w:val="00363E81"/>
    <w:rsid w:val="00367F2A"/>
    <w:rsid w:val="003727E7"/>
    <w:rsid w:val="00381F78"/>
    <w:rsid w:val="00386DF6"/>
    <w:rsid w:val="003A149E"/>
    <w:rsid w:val="003A793A"/>
    <w:rsid w:val="003B303A"/>
    <w:rsid w:val="003D461E"/>
    <w:rsid w:val="003D4D5D"/>
    <w:rsid w:val="003D673D"/>
    <w:rsid w:val="003E5E22"/>
    <w:rsid w:val="003F4F59"/>
    <w:rsid w:val="003F50EF"/>
    <w:rsid w:val="004005D6"/>
    <w:rsid w:val="00400B42"/>
    <w:rsid w:val="00406920"/>
    <w:rsid w:val="00411BE3"/>
    <w:rsid w:val="00421382"/>
    <w:rsid w:val="00446539"/>
    <w:rsid w:val="00446E48"/>
    <w:rsid w:val="00461EB9"/>
    <w:rsid w:val="00463DDF"/>
    <w:rsid w:val="0047415C"/>
    <w:rsid w:val="004848FB"/>
    <w:rsid w:val="004A115F"/>
    <w:rsid w:val="004C2125"/>
    <w:rsid w:val="004C5CA7"/>
    <w:rsid w:val="004C6C9C"/>
    <w:rsid w:val="004D3F2B"/>
    <w:rsid w:val="004E0F1D"/>
    <w:rsid w:val="004E5495"/>
    <w:rsid w:val="004F0629"/>
    <w:rsid w:val="004F2E3E"/>
    <w:rsid w:val="00503C8F"/>
    <w:rsid w:val="00517BE5"/>
    <w:rsid w:val="005273F8"/>
    <w:rsid w:val="0053180A"/>
    <w:rsid w:val="00547803"/>
    <w:rsid w:val="00554EEB"/>
    <w:rsid w:val="00564872"/>
    <w:rsid w:val="00565952"/>
    <w:rsid w:val="00596E09"/>
    <w:rsid w:val="00597982"/>
    <w:rsid w:val="005A32A3"/>
    <w:rsid w:val="005A724A"/>
    <w:rsid w:val="005B2890"/>
    <w:rsid w:val="005D2F5E"/>
    <w:rsid w:val="005D2F68"/>
    <w:rsid w:val="005E1F80"/>
    <w:rsid w:val="005E5351"/>
    <w:rsid w:val="005F1616"/>
    <w:rsid w:val="005F48ED"/>
    <w:rsid w:val="005F505C"/>
    <w:rsid w:val="005F6CAF"/>
    <w:rsid w:val="00601248"/>
    <w:rsid w:val="00603BDB"/>
    <w:rsid w:val="00604BB3"/>
    <w:rsid w:val="00605721"/>
    <w:rsid w:val="00610204"/>
    <w:rsid w:val="00610604"/>
    <w:rsid w:val="00611C6C"/>
    <w:rsid w:val="00621616"/>
    <w:rsid w:val="006263A7"/>
    <w:rsid w:val="006403A4"/>
    <w:rsid w:val="006417AA"/>
    <w:rsid w:val="00645CD3"/>
    <w:rsid w:val="00666D3F"/>
    <w:rsid w:val="006721FA"/>
    <w:rsid w:val="006730F3"/>
    <w:rsid w:val="006736E0"/>
    <w:rsid w:val="00676D6D"/>
    <w:rsid w:val="006826B9"/>
    <w:rsid w:val="006A0250"/>
    <w:rsid w:val="006B1AD5"/>
    <w:rsid w:val="006C26F9"/>
    <w:rsid w:val="006D483E"/>
    <w:rsid w:val="006D4F20"/>
    <w:rsid w:val="006D5A7A"/>
    <w:rsid w:val="006F11D7"/>
    <w:rsid w:val="006F2864"/>
    <w:rsid w:val="00700687"/>
    <w:rsid w:val="00702776"/>
    <w:rsid w:val="007031FC"/>
    <w:rsid w:val="007055F6"/>
    <w:rsid w:val="0071037C"/>
    <w:rsid w:val="00711C90"/>
    <w:rsid w:val="007220B7"/>
    <w:rsid w:val="00724817"/>
    <w:rsid w:val="00734AAD"/>
    <w:rsid w:val="00745675"/>
    <w:rsid w:val="00750B37"/>
    <w:rsid w:val="00765A1B"/>
    <w:rsid w:val="00774FF7"/>
    <w:rsid w:val="0077500E"/>
    <w:rsid w:val="007900CE"/>
    <w:rsid w:val="007A7B52"/>
    <w:rsid w:val="007B7798"/>
    <w:rsid w:val="007C174F"/>
    <w:rsid w:val="007C6AE1"/>
    <w:rsid w:val="007C7AFA"/>
    <w:rsid w:val="007D5ECF"/>
    <w:rsid w:val="007E0591"/>
    <w:rsid w:val="007E30FB"/>
    <w:rsid w:val="007F5A64"/>
    <w:rsid w:val="00807D88"/>
    <w:rsid w:val="00812009"/>
    <w:rsid w:val="00815345"/>
    <w:rsid w:val="008218CF"/>
    <w:rsid w:val="00833834"/>
    <w:rsid w:val="008503ED"/>
    <w:rsid w:val="00853E44"/>
    <w:rsid w:val="00860648"/>
    <w:rsid w:val="00860B13"/>
    <w:rsid w:val="008730D7"/>
    <w:rsid w:val="008802F6"/>
    <w:rsid w:val="00882360"/>
    <w:rsid w:val="00890955"/>
    <w:rsid w:val="00891175"/>
    <w:rsid w:val="008938FE"/>
    <w:rsid w:val="00895002"/>
    <w:rsid w:val="008960C5"/>
    <w:rsid w:val="008A2960"/>
    <w:rsid w:val="008B0064"/>
    <w:rsid w:val="008B08FF"/>
    <w:rsid w:val="008D16EA"/>
    <w:rsid w:val="008D1EB8"/>
    <w:rsid w:val="008D27EE"/>
    <w:rsid w:val="008D3109"/>
    <w:rsid w:val="008D6A94"/>
    <w:rsid w:val="008E477F"/>
    <w:rsid w:val="008E6A06"/>
    <w:rsid w:val="008F406A"/>
    <w:rsid w:val="008F4469"/>
    <w:rsid w:val="00905A01"/>
    <w:rsid w:val="009170E2"/>
    <w:rsid w:val="00924B70"/>
    <w:rsid w:val="00924FD3"/>
    <w:rsid w:val="00927787"/>
    <w:rsid w:val="00942420"/>
    <w:rsid w:val="00945822"/>
    <w:rsid w:val="009536B4"/>
    <w:rsid w:val="00955F92"/>
    <w:rsid w:val="00956F22"/>
    <w:rsid w:val="00963657"/>
    <w:rsid w:val="009637A5"/>
    <w:rsid w:val="00971577"/>
    <w:rsid w:val="00980726"/>
    <w:rsid w:val="00981ECF"/>
    <w:rsid w:val="009821E7"/>
    <w:rsid w:val="009944B9"/>
    <w:rsid w:val="00994669"/>
    <w:rsid w:val="009A01BC"/>
    <w:rsid w:val="009C433D"/>
    <w:rsid w:val="009C5637"/>
    <w:rsid w:val="009E0B9E"/>
    <w:rsid w:val="009E528F"/>
    <w:rsid w:val="009F639B"/>
    <w:rsid w:val="00A06B85"/>
    <w:rsid w:val="00A076BC"/>
    <w:rsid w:val="00A138E9"/>
    <w:rsid w:val="00A158BD"/>
    <w:rsid w:val="00A1700A"/>
    <w:rsid w:val="00A208C8"/>
    <w:rsid w:val="00A20CD1"/>
    <w:rsid w:val="00A27EFC"/>
    <w:rsid w:val="00A4531E"/>
    <w:rsid w:val="00A465F6"/>
    <w:rsid w:val="00A63102"/>
    <w:rsid w:val="00A679F3"/>
    <w:rsid w:val="00A72DC2"/>
    <w:rsid w:val="00A833F0"/>
    <w:rsid w:val="00AC1183"/>
    <w:rsid w:val="00AC5426"/>
    <w:rsid w:val="00AD1738"/>
    <w:rsid w:val="00AD2BC5"/>
    <w:rsid w:val="00AD2BC9"/>
    <w:rsid w:val="00AD331B"/>
    <w:rsid w:val="00AE1A96"/>
    <w:rsid w:val="00AE65D6"/>
    <w:rsid w:val="00AE798F"/>
    <w:rsid w:val="00AF2036"/>
    <w:rsid w:val="00AF5F64"/>
    <w:rsid w:val="00B02860"/>
    <w:rsid w:val="00B1394D"/>
    <w:rsid w:val="00B147DE"/>
    <w:rsid w:val="00B20405"/>
    <w:rsid w:val="00B251F9"/>
    <w:rsid w:val="00B327C3"/>
    <w:rsid w:val="00B34A21"/>
    <w:rsid w:val="00B45525"/>
    <w:rsid w:val="00B4769E"/>
    <w:rsid w:val="00B47D24"/>
    <w:rsid w:val="00B6290C"/>
    <w:rsid w:val="00B67989"/>
    <w:rsid w:val="00B67F28"/>
    <w:rsid w:val="00B740BD"/>
    <w:rsid w:val="00B75637"/>
    <w:rsid w:val="00B86319"/>
    <w:rsid w:val="00BA42B7"/>
    <w:rsid w:val="00BA6F14"/>
    <w:rsid w:val="00BA74EC"/>
    <w:rsid w:val="00BB0272"/>
    <w:rsid w:val="00BB0A56"/>
    <w:rsid w:val="00BB1CA3"/>
    <w:rsid w:val="00BB440C"/>
    <w:rsid w:val="00BD2494"/>
    <w:rsid w:val="00BD6153"/>
    <w:rsid w:val="00BE1208"/>
    <w:rsid w:val="00BE62DF"/>
    <w:rsid w:val="00C05745"/>
    <w:rsid w:val="00C1075C"/>
    <w:rsid w:val="00C162FB"/>
    <w:rsid w:val="00C27D65"/>
    <w:rsid w:val="00C309F3"/>
    <w:rsid w:val="00C729DE"/>
    <w:rsid w:val="00C8414E"/>
    <w:rsid w:val="00C93EFE"/>
    <w:rsid w:val="00C94F7E"/>
    <w:rsid w:val="00C97A91"/>
    <w:rsid w:val="00CA26AD"/>
    <w:rsid w:val="00CB6129"/>
    <w:rsid w:val="00CC192D"/>
    <w:rsid w:val="00CD2BBB"/>
    <w:rsid w:val="00CE1952"/>
    <w:rsid w:val="00CF3677"/>
    <w:rsid w:val="00D04031"/>
    <w:rsid w:val="00D05953"/>
    <w:rsid w:val="00D11300"/>
    <w:rsid w:val="00D40E7A"/>
    <w:rsid w:val="00D44D45"/>
    <w:rsid w:val="00D455A0"/>
    <w:rsid w:val="00D549AA"/>
    <w:rsid w:val="00D7344B"/>
    <w:rsid w:val="00D878F5"/>
    <w:rsid w:val="00D91E05"/>
    <w:rsid w:val="00D92864"/>
    <w:rsid w:val="00D962AC"/>
    <w:rsid w:val="00D97AB6"/>
    <w:rsid w:val="00DA36E6"/>
    <w:rsid w:val="00DA7B55"/>
    <w:rsid w:val="00DB16F8"/>
    <w:rsid w:val="00DB4D5B"/>
    <w:rsid w:val="00DC7D31"/>
    <w:rsid w:val="00DD3B48"/>
    <w:rsid w:val="00DD4F3C"/>
    <w:rsid w:val="00E01947"/>
    <w:rsid w:val="00E2323A"/>
    <w:rsid w:val="00E352CB"/>
    <w:rsid w:val="00E3630A"/>
    <w:rsid w:val="00E4539C"/>
    <w:rsid w:val="00E514BA"/>
    <w:rsid w:val="00E51E07"/>
    <w:rsid w:val="00E636F0"/>
    <w:rsid w:val="00E65C92"/>
    <w:rsid w:val="00E662DA"/>
    <w:rsid w:val="00E707EA"/>
    <w:rsid w:val="00E8136D"/>
    <w:rsid w:val="00EA44E0"/>
    <w:rsid w:val="00EB104A"/>
    <w:rsid w:val="00EC07ED"/>
    <w:rsid w:val="00EC323F"/>
    <w:rsid w:val="00EC4A56"/>
    <w:rsid w:val="00EC537D"/>
    <w:rsid w:val="00EC5B25"/>
    <w:rsid w:val="00ED385E"/>
    <w:rsid w:val="00EE496E"/>
    <w:rsid w:val="00EF424E"/>
    <w:rsid w:val="00F124B0"/>
    <w:rsid w:val="00F2713C"/>
    <w:rsid w:val="00F30006"/>
    <w:rsid w:val="00F314BB"/>
    <w:rsid w:val="00F32D75"/>
    <w:rsid w:val="00F35792"/>
    <w:rsid w:val="00F40EEB"/>
    <w:rsid w:val="00F44453"/>
    <w:rsid w:val="00F473F6"/>
    <w:rsid w:val="00F548B7"/>
    <w:rsid w:val="00F5674C"/>
    <w:rsid w:val="00F60A61"/>
    <w:rsid w:val="00F62C3B"/>
    <w:rsid w:val="00F64F0D"/>
    <w:rsid w:val="00F77352"/>
    <w:rsid w:val="00F8135F"/>
    <w:rsid w:val="00F8214D"/>
    <w:rsid w:val="00F92918"/>
    <w:rsid w:val="00F96494"/>
    <w:rsid w:val="00FA5F8A"/>
    <w:rsid w:val="00FA6AA0"/>
    <w:rsid w:val="00FC22F1"/>
    <w:rsid w:val="00FD25B9"/>
    <w:rsid w:val="00FD38E9"/>
    <w:rsid w:val="00FD5188"/>
    <w:rsid w:val="00FD52C8"/>
    <w:rsid w:val="00FE1BA1"/>
    <w:rsid w:val="00FE47CB"/>
    <w:rsid w:val="00FE63FF"/>
    <w:rsid w:val="00FF1372"/>
    <w:rsid w:val="00FF5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D4F25F3-52CC-49CD-85C0-A7CB3931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12046"/>
    <w:pPr>
      <w:ind w:left="720"/>
      <w:contextualSpacing/>
    </w:pPr>
  </w:style>
  <w:style w:type="table" w:styleId="Reatabula">
    <w:name w:val="Table Grid"/>
    <w:basedOn w:val="Parastatabula"/>
    <w:uiPriority w:val="39"/>
    <w:rsid w:val="00EC5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4C6C9C"/>
    <w:rPr>
      <w:color w:val="0000FF"/>
      <w:u w:val="single"/>
    </w:rPr>
  </w:style>
  <w:style w:type="paragraph" w:styleId="Paraststmeklis">
    <w:name w:val="Normal (Web)"/>
    <w:basedOn w:val="Parasts"/>
    <w:uiPriority w:val="99"/>
    <w:rsid w:val="00CB6129"/>
    <w:pPr>
      <w:spacing w:before="75" w:after="75"/>
      <w:jc w:val="left"/>
    </w:pPr>
    <w:rPr>
      <w:rFonts w:eastAsia="Times New Roman" w:cs="Times New Roman"/>
      <w:szCs w:val="24"/>
      <w:lang w:eastAsia="lv-LV"/>
    </w:rPr>
  </w:style>
  <w:style w:type="paragraph" w:customStyle="1" w:styleId="tv2131">
    <w:name w:val="tv2131"/>
    <w:basedOn w:val="Parasts"/>
    <w:rsid w:val="00CB6129"/>
    <w:pPr>
      <w:spacing w:line="360" w:lineRule="auto"/>
      <w:ind w:firstLine="300"/>
      <w:jc w:val="left"/>
    </w:pPr>
    <w:rPr>
      <w:rFonts w:eastAsia="Times New Roman" w:cs="Times New Roman"/>
      <w:color w:val="414142"/>
      <w:sz w:val="20"/>
      <w:szCs w:val="20"/>
      <w:lang w:eastAsia="lv-LV"/>
    </w:rPr>
  </w:style>
  <w:style w:type="paragraph" w:styleId="Galvene">
    <w:name w:val="header"/>
    <w:basedOn w:val="Parasts"/>
    <w:link w:val="GalveneRakstz"/>
    <w:rsid w:val="007900CE"/>
    <w:pPr>
      <w:tabs>
        <w:tab w:val="center" w:pos="4153"/>
        <w:tab w:val="right" w:pos="8306"/>
      </w:tabs>
    </w:pPr>
    <w:rPr>
      <w:rFonts w:eastAsia="Times New Roman" w:cs="Times New Roman"/>
      <w:sz w:val="18"/>
      <w:szCs w:val="20"/>
    </w:rPr>
  </w:style>
  <w:style w:type="character" w:customStyle="1" w:styleId="GalveneRakstz">
    <w:name w:val="Galvene Rakstz."/>
    <w:basedOn w:val="Noklusjumarindkopasfonts"/>
    <w:link w:val="Galvene"/>
    <w:rsid w:val="007900CE"/>
    <w:rPr>
      <w:rFonts w:eastAsia="Times New Roman" w:cs="Times New Roman"/>
      <w:sz w:val="18"/>
      <w:szCs w:val="20"/>
    </w:rPr>
  </w:style>
  <w:style w:type="paragraph" w:styleId="Kjene">
    <w:name w:val="footer"/>
    <w:basedOn w:val="Parasts"/>
    <w:link w:val="KjeneRakstz"/>
    <w:uiPriority w:val="99"/>
    <w:unhideWhenUsed/>
    <w:rsid w:val="00B45525"/>
    <w:pPr>
      <w:tabs>
        <w:tab w:val="center" w:pos="4153"/>
        <w:tab w:val="right" w:pos="8306"/>
      </w:tabs>
    </w:pPr>
  </w:style>
  <w:style w:type="character" w:customStyle="1" w:styleId="KjeneRakstz">
    <w:name w:val="Kājene Rakstz."/>
    <w:basedOn w:val="Noklusjumarindkopasfonts"/>
    <w:link w:val="Kjene"/>
    <w:uiPriority w:val="99"/>
    <w:rsid w:val="00B45525"/>
  </w:style>
  <w:style w:type="paragraph" w:customStyle="1" w:styleId="naislab">
    <w:name w:val="naislab"/>
    <w:basedOn w:val="Parasts"/>
    <w:rsid w:val="00E2323A"/>
    <w:pPr>
      <w:spacing w:before="100" w:beforeAutospacing="1" w:after="100" w:afterAutospacing="1"/>
      <w:jc w:val="right"/>
    </w:pPr>
    <w:rPr>
      <w:rFonts w:eastAsia="Arial Unicode MS" w:cs="Times New Roman"/>
      <w:szCs w:val="24"/>
      <w:lang w:val="en-GB"/>
    </w:rPr>
  </w:style>
  <w:style w:type="paragraph" w:customStyle="1" w:styleId="msonormal0">
    <w:name w:val="msonormal"/>
    <w:basedOn w:val="Parasts"/>
    <w:rsid w:val="00745675"/>
    <w:pPr>
      <w:spacing w:before="100" w:beforeAutospacing="1" w:after="100" w:afterAutospacing="1"/>
      <w:jc w:val="left"/>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A208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C8"/>
    <w:rPr>
      <w:rFonts w:ascii="Segoe UI" w:hAnsi="Segoe UI" w:cs="Segoe UI"/>
      <w:sz w:val="18"/>
      <w:szCs w:val="18"/>
    </w:rPr>
  </w:style>
  <w:style w:type="paragraph" w:customStyle="1" w:styleId="naisf">
    <w:name w:val="naisf"/>
    <w:basedOn w:val="Parasts"/>
    <w:rsid w:val="00FE63FF"/>
    <w:pPr>
      <w:spacing w:before="75" w:after="75"/>
      <w:ind w:firstLine="375"/>
    </w:pPr>
    <w:rPr>
      <w:rFonts w:eastAsia="Times New Roman" w:cs="Times New Roman"/>
      <w:szCs w:val="24"/>
      <w:lang w:eastAsia="lv-LV"/>
    </w:rPr>
  </w:style>
  <w:style w:type="paragraph" w:customStyle="1" w:styleId="naiskr">
    <w:name w:val="naiskr"/>
    <w:basedOn w:val="Parasts"/>
    <w:rsid w:val="00FE63FF"/>
    <w:pPr>
      <w:spacing w:before="75" w:after="75"/>
      <w:jc w:val="left"/>
    </w:pPr>
    <w:rPr>
      <w:rFonts w:eastAsia="Times New Roman" w:cs="Times New Roman"/>
      <w:szCs w:val="24"/>
      <w:lang w:eastAsia="lv-LV"/>
    </w:rPr>
  </w:style>
  <w:style w:type="paragraph" w:customStyle="1" w:styleId="naisc">
    <w:name w:val="naisc"/>
    <w:basedOn w:val="Parasts"/>
    <w:rsid w:val="00FE63FF"/>
    <w:pPr>
      <w:spacing w:before="75" w:after="75"/>
      <w:jc w:val="center"/>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81775">
      <w:bodyDiv w:val="1"/>
      <w:marLeft w:val="0"/>
      <w:marRight w:val="0"/>
      <w:marTop w:val="0"/>
      <w:marBottom w:val="0"/>
      <w:divBdr>
        <w:top w:val="none" w:sz="0" w:space="0" w:color="auto"/>
        <w:left w:val="none" w:sz="0" w:space="0" w:color="auto"/>
        <w:bottom w:val="none" w:sz="0" w:space="0" w:color="auto"/>
        <w:right w:val="none" w:sz="0" w:space="0" w:color="auto"/>
      </w:divBdr>
    </w:div>
    <w:div w:id="290521975">
      <w:bodyDiv w:val="1"/>
      <w:marLeft w:val="0"/>
      <w:marRight w:val="0"/>
      <w:marTop w:val="0"/>
      <w:marBottom w:val="0"/>
      <w:divBdr>
        <w:top w:val="none" w:sz="0" w:space="0" w:color="auto"/>
        <w:left w:val="none" w:sz="0" w:space="0" w:color="auto"/>
        <w:bottom w:val="none" w:sz="0" w:space="0" w:color="auto"/>
        <w:right w:val="none" w:sz="0" w:space="0" w:color="auto"/>
      </w:divBdr>
    </w:div>
    <w:div w:id="454913080">
      <w:bodyDiv w:val="1"/>
      <w:marLeft w:val="0"/>
      <w:marRight w:val="0"/>
      <w:marTop w:val="0"/>
      <w:marBottom w:val="0"/>
      <w:divBdr>
        <w:top w:val="none" w:sz="0" w:space="0" w:color="auto"/>
        <w:left w:val="none" w:sz="0" w:space="0" w:color="auto"/>
        <w:bottom w:val="none" w:sz="0" w:space="0" w:color="auto"/>
        <w:right w:val="none" w:sz="0" w:space="0" w:color="auto"/>
      </w:divBdr>
    </w:div>
    <w:div w:id="740370544">
      <w:bodyDiv w:val="1"/>
      <w:marLeft w:val="0"/>
      <w:marRight w:val="0"/>
      <w:marTop w:val="0"/>
      <w:marBottom w:val="0"/>
      <w:divBdr>
        <w:top w:val="none" w:sz="0" w:space="0" w:color="auto"/>
        <w:left w:val="none" w:sz="0" w:space="0" w:color="auto"/>
        <w:bottom w:val="none" w:sz="0" w:space="0" w:color="auto"/>
        <w:right w:val="none" w:sz="0" w:space="0" w:color="auto"/>
      </w:divBdr>
    </w:div>
    <w:div w:id="1237859155">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607157732">
      <w:bodyDiv w:val="1"/>
      <w:marLeft w:val="0"/>
      <w:marRight w:val="0"/>
      <w:marTop w:val="0"/>
      <w:marBottom w:val="0"/>
      <w:divBdr>
        <w:top w:val="none" w:sz="0" w:space="0" w:color="auto"/>
        <w:left w:val="none" w:sz="0" w:space="0" w:color="auto"/>
        <w:bottom w:val="none" w:sz="0" w:space="0" w:color="auto"/>
        <w:right w:val="none" w:sz="0" w:space="0" w:color="auto"/>
      </w:divBdr>
    </w:div>
    <w:div w:id="1720931970">
      <w:bodyDiv w:val="1"/>
      <w:marLeft w:val="0"/>
      <w:marRight w:val="0"/>
      <w:marTop w:val="0"/>
      <w:marBottom w:val="0"/>
      <w:divBdr>
        <w:top w:val="none" w:sz="0" w:space="0" w:color="auto"/>
        <w:left w:val="none" w:sz="0" w:space="0" w:color="auto"/>
        <w:bottom w:val="none" w:sz="0" w:space="0" w:color="auto"/>
        <w:right w:val="none" w:sz="0" w:space="0" w:color="auto"/>
      </w:divBdr>
    </w:div>
    <w:div w:id="18615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Gurecka@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6</Pages>
  <Words>5431</Words>
  <Characters>3096</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Par Ministru kabineta noteikumu projektu</vt:lpstr>
    </vt:vector>
  </TitlesOfParts>
  <Company>Zemkopības ministrija</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Linda Gurecka</dc:creator>
  <cp:keywords/>
  <dc:description>Gurecka 26614495_x000d_
Linda.Gurecka@zm.gov.lv</dc:description>
  <cp:lastModifiedBy>Sanita Papinova</cp:lastModifiedBy>
  <cp:revision>133</cp:revision>
  <cp:lastPrinted>2019-11-27T16:04:00Z</cp:lastPrinted>
  <dcterms:created xsi:type="dcterms:W3CDTF">2018-04-24T07:54:00Z</dcterms:created>
  <dcterms:modified xsi:type="dcterms:W3CDTF">2021-02-16T10:49:00Z</dcterms:modified>
</cp:coreProperties>
</file>