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17C2" w14:textId="5EBB1A1F" w:rsidR="008F4414" w:rsidRPr="00F711DE" w:rsidRDefault="008F4414" w:rsidP="00F711DE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36720935"/>
    </w:p>
    <w:p w14:paraId="4AE61032" w14:textId="77777777" w:rsidR="00F711DE" w:rsidRPr="00F711DE" w:rsidRDefault="00F711DE" w:rsidP="00F711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1A9F8B" w14:textId="77777777" w:rsidR="008F4414" w:rsidRPr="00F711DE" w:rsidRDefault="008F4414" w:rsidP="00F711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A579C8" w14:textId="4184E644" w:rsidR="00F711DE" w:rsidRPr="00F711DE" w:rsidRDefault="00F711DE" w:rsidP="00F711D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DE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60032C" w:rsidRPr="0060032C">
        <w:rPr>
          <w:rFonts w:ascii="Times New Roman" w:hAnsi="Times New Roman" w:cs="Times New Roman"/>
          <w:sz w:val="28"/>
          <w:szCs w:val="28"/>
        </w:rPr>
        <w:t>17. decembrī</w:t>
      </w:r>
      <w:r w:rsidRPr="00F711D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0032C">
        <w:rPr>
          <w:rFonts w:ascii="Times New Roman" w:eastAsia="Times New Roman" w:hAnsi="Times New Roman" w:cs="Times New Roman"/>
          <w:sz w:val="28"/>
          <w:szCs w:val="28"/>
        </w:rPr>
        <w:t> 776</w:t>
      </w:r>
    </w:p>
    <w:p w14:paraId="5E3DD009" w14:textId="0DA32AAC" w:rsidR="00F711DE" w:rsidRPr="00F711DE" w:rsidRDefault="00F711DE" w:rsidP="00F711D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1D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711D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0032C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60032C">
        <w:rPr>
          <w:rFonts w:ascii="Times New Roman" w:eastAsia="Times New Roman" w:hAnsi="Times New Roman" w:cs="Times New Roman"/>
          <w:sz w:val="28"/>
          <w:szCs w:val="28"/>
        </w:rPr>
        <w:t>84 28</w:t>
      </w:r>
      <w:r w:rsidRPr="00F711D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738BC7C" w14:textId="77777777" w:rsidR="001165DE" w:rsidRPr="00F711DE" w:rsidRDefault="001165DE" w:rsidP="00F711DE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39066201"/>
      <w:bookmarkEnd w:id="0"/>
    </w:p>
    <w:p w14:paraId="3C3AF870" w14:textId="0142E8FE" w:rsidR="00C433B3" w:rsidRPr="00F711DE" w:rsidRDefault="00C433B3" w:rsidP="00F711D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4A2594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4A2594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</w:t>
      </w:r>
      <w:r w:rsidR="004A2594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rta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613A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A2594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171</w:t>
      </w:r>
      <w:r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711DE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Start w:id="3" w:name="_Hlk40878523"/>
      <w:r w:rsidR="004A2594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Lauksaimniecības un pārstrādāto lauksaimniecības produktu Eiropas Savienības licencēšanas un tarifu kvotu sistēmu administrēšanas kārtība</w:t>
      </w:r>
      <w:bookmarkEnd w:id="3"/>
      <w:r w:rsidR="00F711DE" w:rsidRPr="00F711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End w:id="2"/>
    </w:p>
    <w:p w14:paraId="3D59C817" w14:textId="77777777" w:rsidR="00C433B3" w:rsidRPr="00F711DE" w:rsidRDefault="00C433B3" w:rsidP="00F711D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5C60C2B" w14:textId="77777777" w:rsidR="00F711DE" w:rsidRPr="00F711DE" w:rsidRDefault="00D13150" w:rsidP="00F711D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hAnsi="Times New Roman" w:cs="Times New Roman"/>
          <w:sz w:val="28"/>
          <w:szCs w:val="28"/>
          <w:lang w:eastAsia="lv-LV"/>
        </w:rPr>
        <w:t>Izdoti saskaņā ar </w:t>
      </w:r>
    </w:p>
    <w:p w14:paraId="385DE74F" w14:textId="165BAB44" w:rsidR="00C433B3" w:rsidRPr="00F711DE" w:rsidRDefault="003C3504" w:rsidP="00F711D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hAnsi="Times New Roman" w:cs="Times New Roman"/>
          <w:sz w:val="28"/>
          <w:szCs w:val="28"/>
          <w:lang w:eastAsia="lv-LV"/>
        </w:rPr>
        <w:t xml:space="preserve">Lauksaimniecības un lauku attīstības </w:t>
      </w:r>
    </w:p>
    <w:p w14:paraId="057F8A15" w14:textId="77777777" w:rsidR="00D13150" w:rsidRPr="00F711DE" w:rsidRDefault="003C3504" w:rsidP="00F711D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hAnsi="Times New Roman" w:cs="Times New Roman"/>
          <w:sz w:val="28"/>
          <w:szCs w:val="28"/>
          <w:lang w:eastAsia="lv-LV"/>
        </w:rPr>
        <w:t xml:space="preserve">likuma </w:t>
      </w:r>
      <w:r w:rsidR="004A2594" w:rsidRPr="00F711DE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Pr="00F711D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A1B49" w:rsidRPr="00F711D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hAnsi="Times New Roman" w:cs="Times New Roman"/>
          <w:sz w:val="28"/>
          <w:szCs w:val="28"/>
          <w:lang w:eastAsia="lv-LV"/>
        </w:rPr>
        <w:t xml:space="preserve">panta </w:t>
      </w:r>
      <w:r w:rsidR="00C433B3" w:rsidRPr="00F711DE">
        <w:rPr>
          <w:rFonts w:ascii="Times New Roman" w:hAnsi="Times New Roman" w:cs="Times New Roman"/>
          <w:sz w:val="28"/>
          <w:szCs w:val="28"/>
          <w:lang w:eastAsia="lv-LV"/>
        </w:rPr>
        <w:t>otro</w:t>
      </w:r>
      <w:r w:rsidRPr="00F711DE">
        <w:rPr>
          <w:rFonts w:ascii="Times New Roman" w:hAnsi="Times New Roman" w:cs="Times New Roman"/>
          <w:sz w:val="28"/>
          <w:szCs w:val="28"/>
          <w:lang w:eastAsia="lv-LV"/>
        </w:rPr>
        <w:t xml:space="preserve"> daļu</w:t>
      </w:r>
      <w:r w:rsidRPr="00F711DE" w:rsidDel="003C350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8E10CF1" w14:textId="77777777" w:rsidR="00F26A09" w:rsidRPr="00F711DE" w:rsidRDefault="00F26A09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CBA2DB4" w14:textId="12CF258F" w:rsidR="00F26A09" w:rsidRPr="00F711DE" w:rsidRDefault="00C433B3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n1"/>
      <w:bookmarkStart w:id="5" w:name="n-244482"/>
      <w:bookmarkStart w:id="6" w:name="p1"/>
      <w:bookmarkStart w:id="7" w:name="p-244483"/>
      <w:bookmarkEnd w:id="4"/>
      <w:bookmarkEnd w:id="5"/>
      <w:bookmarkEnd w:id="6"/>
      <w:bookmarkEnd w:id="7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DB611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DB611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ma</w:t>
      </w:r>
      <w:r w:rsidR="00DB611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rta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611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171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B611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 pārstrādāto lauksaimniecības produktu Eiropas Savienības licencēšanas un tarifu kvotu sistēmu administrēšanas kārtība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7819A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819A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66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4D78160D" w14:textId="77777777" w:rsidR="00C433B3" w:rsidRPr="00F711DE" w:rsidRDefault="00C433B3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F2CB64" w14:textId="1EF15406" w:rsidR="00D273B0" w:rsidRPr="00F711DE" w:rsidRDefault="00D273B0" w:rsidP="00613A4C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_Hlk39141489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A46F5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07716691" w14:textId="77777777" w:rsidR="00EC3540" w:rsidRPr="00F711DE" w:rsidRDefault="00EC3540" w:rsidP="00613A4C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7874BC" w14:textId="02482050" w:rsidR="00DF78BE" w:rsidRPr="00F711DE" w:rsidRDefault="00DF78BE" w:rsidP="00613A4C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2.7.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vārdus</w:t>
      </w:r>
      <w:r w:rsidR="00EC354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regula 2015/2247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</w:t>
      </w:r>
      <w:r w:rsidR="003404D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39C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regula 2015/2447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2322A5" w14:textId="77777777" w:rsidR="00EC3540" w:rsidRPr="00F711DE" w:rsidRDefault="00EC3540" w:rsidP="00613A4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F4DF52" w14:textId="38C66F27" w:rsidR="001C1D86" w:rsidRPr="00F711DE" w:rsidRDefault="001C1D86" w:rsidP="00613A4C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2.8.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apakšpunktu. </w:t>
      </w:r>
    </w:p>
    <w:p w14:paraId="0F281C4B" w14:textId="77777777" w:rsidR="00EC3540" w:rsidRPr="00F711DE" w:rsidRDefault="00EC3540" w:rsidP="00613A4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21203" w14:textId="58574368" w:rsidR="00D273B0" w:rsidRPr="00F711DE" w:rsidRDefault="00D273B0" w:rsidP="00613A4C">
      <w:pPr>
        <w:pStyle w:val="ListParagraph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r w:rsidR="0044597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1A5BFB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555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2.11.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4555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2.12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54F9A4DF" w14:textId="77777777" w:rsidR="00F711DE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09A95F" w14:textId="3DC665C2" w:rsidR="00D626A1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B3A0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B7A2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19F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6D56A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Deleģētajā regulā (ES)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2020/760, ar ko Eiropas Parlamenta un Padomes Regulu (ES) Nr.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1308/2013 papildina attiecībā uz noteikumiem par to, kā pārvalda importa un eksporta tarifa kvotas, uz kurām attiecas licences, un Eiropas Parlamenta un Padomes Regulu </w:t>
      </w:r>
      <w:proofErr w:type="gramStart"/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ES) Nr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1306/2013 papildina attiecībā uz nodrošinājumu iemaksāšanu tarifa kvotu pārvaldības kontekstā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regula 2020/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760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BB388C4" w14:textId="04CC33F5" w:rsidR="00345554" w:rsidRPr="00F711DE" w:rsidRDefault="00D273B0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B3A0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626A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19F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</w:t>
      </w:r>
      <w:r w:rsidR="00EF753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regulā (ES) 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2020/761, ar ko paredz noteikumus Eiropas Parlamenta un Padomes Regulu (ES) Nr.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1306/2013, (ES) Nr.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1308/2013 un (ES) Nr.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510/2014 piemērošanai attiecībā uz pārvaldības sistēmu tarifa kvotām ar licencēm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regula 2020/</w:t>
      </w:r>
      <w:r w:rsidR="00B938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761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2262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928638" w14:textId="659E83C9" w:rsidR="00EC3540" w:rsidRPr="00F711DE" w:rsidRDefault="00A93EA3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2.12.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2006.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Regulā Nr.</w:t>
      </w:r>
      <w:r w:rsidR="004567D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88/2007, ar ko paredz īpašus sīki izstrādātus noteikumus eksporta kompensāciju režīma piemērošanai attiecībā uz labību, kuru izved kā makaronu izstrādājumus, uz ko attiecas KN kodi 19021100 un 190219 (turpmāk – regula 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88/2007).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D33E2F7" w14:textId="5EFECCFE" w:rsidR="00635CC1" w:rsidRPr="00F711DE" w:rsidRDefault="00635CC1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9708A7" w14:textId="2A034EFB" w:rsidR="00A95311" w:rsidRPr="00F711DE" w:rsidRDefault="001C1D86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3.9.</w:t>
      </w:r>
      <w:r w:rsidR="00BE4FD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3.10.</w:t>
      </w:r>
      <w:r w:rsidR="00C84B0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E4FD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3.11.</w:t>
      </w:r>
      <w:r w:rsidR="00C84B0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3.12., 3.13., </w:t>
      </w:r>
      <w:r w:rsidR="001E2C6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3.14.</w:t>
      </w:r>
      <w:r w:rsidR="006D24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3.15., 3.16.</w:t>
      </w:r>
      <w:r w:rsidR="00BA08A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3.17., 3.18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E33DB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2C6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6D246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08A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E2C6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D737A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3A695D88" w14:textId="77777777" w:rsidR="00F711DE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33D04D" w14:textId="36B75863" w:rsidR="00BB4ACD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3.9.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</w:t>
      </w:r>
      <w:r w:rsidR="001F3CA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2020/760</w:t>
      </w:r>
      <w:r w:rsidR="00A9531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1730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C354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1730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7. punktā,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 panta 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un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 punktā, 10. panta </w:t>
      </w:r>
      <w:r w:rsidR="00D532C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1., 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2.,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3., 4. un 5. punktā, 13. panta 2., 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3.,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6., 7., 10. un 11. punktā, 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pirmajā daļā, 13. panta 2., 3., 4., 6., 7. un 10. punktā,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14. pant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 1.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otrajā daļā,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22.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27A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26.</w:t>
      </w:r>
      <w:r w:rsidR="0089593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3E2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1F3CA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</w:t>
      </w:r>
      <w:r w:rsidR="00BE4FD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licences izdevējiestādes</w:t>
      </w:r>
      <w:r w:rsidR="001F3CA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</w:t>
      </w:r>
      <w:r w:rsidR="002B0DD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ECEB97" w14:textId="07A51818" w:rsidR="00E3205C" w:rsidRPr="00F711DE" w:rsidRDefault="00E3205C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3.10.</w:t>
      </w:r>
      <w:bookmarkStart w:id="9" w:name="_Hlk54187056"/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2020/760 3.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14.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noteiktās dalībvalsts licences izdevējiestādes funkcijas</w:t>
      </w:r>
      <w:bookmarkEnd w:id="9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7FD64BD" w14:textId="1E3CD465" w:rsidR="00E54249" w:rsidRPr="00F711DE" w:rsidRDefault="00E54249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3.11.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2020/760 10.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6.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053A4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16.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3A4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dalībvalsts kompetentās iestādes funkcijas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1CAE773" w14:textId="6A7F1B2B" w:rsidR="00BE4FD9" w:rsidRPr="00F711DE" w:rsidRDefault="00BE4FD9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E3B2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424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2020/760 9.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3.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12. panta 4.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otrajā daļā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5.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un 6. punktā</w:t>
      </w:r>
      <w:r w:rsidR="00147CB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13. panta 5. un 12. punktā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147CB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 panta 1. punkt</w:t>
      </w:r>
      <w:r w:rsidR="00E3205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pirmajā daļā</w:t>
      </w:r>
      <w:r w:rsidRPr="00F711DE">
        <w:rPr>
          <w:rFonts w:ascii="Times New Roman" w:hAnsi="Times New Roman" w:cs="Times New Roman"/>
          <w:sz w:val="28"/>
          <w:szCs w:val="28"/>
        </w:rPr>
        <w:t xml:space="preserve"> 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noteiktās kompetentās licences izdevējiestādes funkcijas</w:t>
      </w:r>
      <w:r w:rsidR="002B0DD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1DF994" w14:textId="69A75F66" w:rsidR="00147CBE" w:rsidRPr="00F711DE" w:rsidRDefault="00147CB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E3B2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424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hAnsi="Times New Roman" w:cs="Times New Roman"/>
          <w:sz w:val="28"/>
          <w:szCs w:val="28"/>
        </w:rPr>
        <w:t> </w:t>
      </w:r>
      <w:r w:rsidR="0089593D" w:rsidRPr="00F711DE">
        <w:rPr>
          <w:rFonts w:ascii="Times New Roman" w:hAnsi="Times New Roman" w:cs="Times New Roman"/>
          <w:sz w:val="28"/>
          <w:szCs w:val="28"/>
        </w:rPr>
        <w:t xml:space="preserve">sniedz Eiropas Komisijai 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2020/760 17.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="00FB38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regulas </w:t>
      </w:r>
      <w:r w:rsidR="007D635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2020/761 16.</w:t>
      </w:r>
      <w:r w:rsidR="0030273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6721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17.</w:t>
      </w:r>
      <w:r w:rsidR="00FF372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33., 40. un 61. </w:t>
      </w:r>
      <w:r w:rsidR="007D635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89593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o informāciju;</w:t>
      </w:r>
    </w:p>
    <w:p w14:paraId="18FC4B3B" w14:textId="27F5AC12" w:rsidR="00C069A2" w:rsidRPr="00F711DE" w:rsidRDefault="00BB4ACD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E3B2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424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2020/761 6. panta 5. punktā, 8. panta 2. punktā,</w:t>
      </w:r>
      <w:r w:rsidR="00287BD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9. pantā,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10. panta 7., 8., 9. un 10. punktā,</w:t>
      </w:r>
      <w:r w:rsidR="00D2361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24.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pantā, 44.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51.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punktā, 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57. panta 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un 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punktā, 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59.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62.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un 4.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punktā, </w:t>
      </w:r>
      <w:r w:rsidR="004A1C6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63. panta 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4A1C6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 punktā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4A1C6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72. panta 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3., 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6. punktā noteiktās </w:t>
      </w:r>
      <w:r w:rsidR="000542D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licences izdevējiestādes </w:t>
      </w:r>
      <w:r w:rsidR="00DC5D9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funkcijas</w:t>
      </w:r>
      <w:r w:rsidR="002B0DD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0D7A79" w14:textId="51948C7B" w:rsidR="001B626F" w:rsidRPr="00F711DE" w:rsidRDefault="001B626F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E5424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2020/761 10.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72.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3.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un 9.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noteiktās dalībvalsts licences izdevējiestādes funkcijas un 10.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7.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noteiktās kompetentās licences izdevējiestādes funkcijas;</w:t>
      </w:r>
    </w:p>
    <w:p w14:paraId="7B7349FD" w14:textId="46CFFE7D" w:rsidR="00623BB1" w:rsidRPr="00F711DE" w:rsidRDefault="005B4621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E8022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10" w:name="_Hlk45186900"/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2020/761</w:t>
      </w:r>
      <w:r w:rsidRPr="00F711D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D7F8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55. panta 5.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7F8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623BB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, 62. panta 3. un 5. punktā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B116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64. panta 3. punktā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kompetentās iestādes funkcijas</w:t>
      </w:r>
      <w:r w:rsidR="002B0DD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C36559" w14:textId="51F49BBA" w:rsidR="00E8022F" w:rsidRPr="00F711DE" w:rsidRDefault="00E8022F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3.17.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regulas 2020/761 7.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un 12.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reģistrē ziņas elektroniskajā pieteikumu iesniegšanas un reģistrācijas sistēmā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AC86BA" w14:textId="1C21D00E" w:rsidR="0088502C" w:rsidRPr="00F711DE" w:rsidRDefault="00A93EA3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A25E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pilda regulas 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 2. panta 1. punktā, 4. panta 2. punktā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6. pantā noteiktās kompetentās iestādes funkcijas</w:t>
      </w:r>
      <w:r w:rsidR="006F2DEB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B95641" w14:textId="6278E8DB" w:rsidR="00A95311" w:rsidRPr="00F711DE" w:rsidRDefault="00A93EA3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B626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A25E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>
        <w:rPr>
          <w:rFonts w:ascii="Times New Roman" w:hAnsi="Times New Roman" w:cs="Times New Roman"/>
          <w:sz w:val="28"/>
          <w:szCs w:val="28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pilda regulas 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 3.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BC17EA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izdevējiestādes funkcijas.</w:t>
      </w:r>
      <w:r w:rsidR="00F711D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02EB66E" w14:textId="77777777" w:rsidR="00662427" w:rsidRPr="00F711DE" w:rsidRDefault="00662427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198A5A" w14:textId="2C2F6A65" w:rsidR="00BB4ACD" w:rsidRPr="00F711DE" w:rsidRDefault="001C1D86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Papildināt 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E86B2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4.3.</w:t>
      </w:r>
      <w:r w:rsidR="00D532C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50142B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D532C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0142B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242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3B11C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6F5ECA45" w14:textId="77777777" w:rsidR="00F711DE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DD8A38" w14:textId="602247C3" w:rsidR="006E5E18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4.3.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15A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kontrolē 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ienākošo plūsmu pārraudzīšanas kārtības (</w:t>
      </w:r>
      <w:proofErr w:type="spellStart"/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Inward</w:t>
      </w:r>
      <w:proofErr w:type="spellEnd"/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Monitoring</w:t>
      </w:r>
      <w:proofErr w:type="spellEnd"/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Arrangement</w:t>
      </w:r>
      <w:proofErr w:type="spellEnd"/>
      <w:r w:rsidR="0064711F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–</w:t>
      </w:r>
      <w:r w:rsidR="006E5E18" w:rsidRPr="00F711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6E5E18" w:rsidRPr="00613A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IMA 1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) sertifikātus atbilstoši r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4AC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2020/761</w:t>
      </w:r>
      <w:r w:rsidR="006012B6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72. panta</w:t>
      </w:r>
      <w:r w:rsidR="00FE2EB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6.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2EB1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</w:t>
      </w:r>
      <w:r w:rsidR="00016E0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nosacījumiem</w:t>
      </w:r>
      <w:r w:rsidR="00016E0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458844" w14:textId="00B59FD7" w:rsidR="00CC17D6" w:rsidRPr="00F711DE" w:rsidRDefault="00E52529" w:rsidP="00F711D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4.4. 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pilda regulas </w:t>
      </w:r>
      <w:r w:rsidR="0064711F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 4</w:t>
      </w:r>
      <w:r w:rsidR="000B6B75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un 5. 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6E5E1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noteiktās muitas iestādes funkcijas</w:t>
      </w:r>
      <w:r w:rsidR="00D532C7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13A4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3178510" w14:textId="77777777" w:rsidR="00662427" w:rsidRPr="00F711DE" w:rsidRDefault="00662427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586186" w14:textId="63A49B4A" w:rsidR="00483B82" w:rsidRPr="00F711DE" w:rsidRDefault="001C1D86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83B8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</w:t>
      </w:r>
      <w:r w:rsidR="009A303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6551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483B8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303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248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3B82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ACE2C0B" w14:textId="77777777" w:rsidR="00F711DE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A219B0" w14:textId="29A7E706" w:rsidR="008A227C" w:rsidRPr="00F711DE" w:rsidRDefault="00F711DE" w:rsidP="00F71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303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A93EA3" w:rsidRPr="00F71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A303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saņemtu importa licenci </w:t>
      </w:r>
      <w:r w:rsidR="009424D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tarifa kvotām, </w:t>
      </w:r>
      <w:r w:rsidR="00E52529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81435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kurām 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nepieciešama</w:t>
      </w:r>
      <w:r w:rsidR="0081435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13A4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obligāta </w:t>
      </w:r>
      <w:r w:rsidR="0081435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uzņēmēju iepriekšēja reģistrācija atbilstoši regulas 2020/760 11.</w:t>
      </w:r>
      <w:r w:rsidR="00613A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435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pantam</w:t>
      </w:r>
      <w:r w:rsidR="009A3030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persona </w:t>
      </w:r>
      <w:r w:rsidR="00C613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pieteikšanās importa licenc</w:t>
      </w:r>
      <w:r w:rsidR="003E3684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C613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i reģistrējas</w:t>
      </w:r>
      <w:r w:rsidR="00C11B9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2020/760</w:t>
      </w:r>
      <w:r w:rsidR="00C613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B9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13. pantā minētajā</w:t>
      </w:r>
      <w:r w:rsidR="004B1A1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794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licenču turētāju reģistrācijas un identifikācijas </w:t>
      </w:r>
      <w:r w:rsidR="00E3794D" w:rsidRPr="00613A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LORI </w:t>
      </w:r>
      <w:r w:rsidR="00E3794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elektroniskajā sistēmā</w:t>
      </w:r>
      <w:proofErr w:type="gramStart"/>
      <w:r w:rsidR="00E3794D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24D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proofErr w:type="gramEnd"/>
      <w:r w:rsidR="009424D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1A1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aizpilda regulas 2020/760 12.</w:t>
      </w:r>
      <w:r w:rsidR="00B56208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1A1E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minēto </w:t>
      </w:r>
      <w:r w:rsidR="009424DC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neatkarīguma deklarāciju</w:t>
      </w:r>
      <w:r w:rsidR="00C613A3"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8"/>
      <w:r w:rsidRPr="00F711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99D4DA0" w14:textId="77777777" w:rsidR="00F711DE" w:rsidRPr="00F711DE" w:rsidRDefault="00F711DE" w:rsidP="00F7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7DBE1" w14:textId="77777777" w:rsidR="00F711DE" w:rsidRPr="00F711DE" w:rsidRDefault="00F711DE" w:rsidP="00F7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AF7AA" w14:textId="77777777" w:rsidR="00F711DE" w:rsidRPr="00F711DE" w:rsidRDefault="00F711DE" w:rsidP="00F7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7C260E" w14:textId="77777777" w:rsidR="00F711DE" w:rsidRPr="00F711DE" w:rsidRDefault="00F711DE" w:rsidP="00613A4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DE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F711DE">
        <w:rPr>
          <w:rFonts w:ascii="Times New Roman" w:eastAsia="Times New Roman" w:hAnsi="Times New Roman" w:cs="Times New Roman"/>
          <w:bCs/>
          <w:sz w:val="28"/>
          <w:szCs w:val="28"/>
        </w:rPr>
        <w:tab/>
        <w:t>A. K. Kariņš</w:t>
      </w:r>
    </w:p>
    <w:p w14:paraId="0FCCA3C8" w14:textId="77777777" w:rsidR="00F711DE" w:rsidRPr="00F711DE" w:rsidRDefault="00F711DE" w:rsidP="00613A4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B3E814" w14:textId="77777777" w:rsidR="00F711DE" w:rsidRPr="00F711DE" w:rsidRDefault="00F711DE" w:rsidP="00613A4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DB187C" w14:textId="77777777" w:rsidR="00F711DE" w:rsidRPr="00F711DE" w:rsidRDefault="00F711DE" w:rsidP="00613A4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47495B" w14:textId="77777777" w:rsidR="00F711DE" w:rsidRPr="00F711DE" w:rsidRDefault="00F711DE" w:rsidP="00613A4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DE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F711DE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F711DE" w:rsidRPr="00F711DE" w:rsidSect="00F711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B00B" w14:textId="77777777" w:rsidR="006F1DEE" w:rsidRDefault="006F1DEE" w:rsidP="00931B79">
      <w:pPr>
        <w:spacing w:after="0" w:line="240" w:lineRule="auto"/>
      </w:pPr>
      <w:r>
        <w:separator/>
      </w:r>
    </w:p>
  </w:endnote>
  <w:endnote w:type="continuationSeparator" w:id="0">
    <w:p w14:paraId="32D3AFA2" w14:textId="77777777" w:rsidR="006F1DEE" w:rsidRDefault="006F1DEE" w:rsidP="009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C87C" w14:textId="77777777" w:rsidR="00F711DE" w:rsidRPr="00F711DE" w:rsidRDefault="00F711DE" w:rsidP="00F711D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N2321_0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E834" w14:textId="6BF04CA3" w:rsidR="00F711DE" w:rsidRPr="00F711DE" w:rsidRDefault="00F711D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N2321_0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8763" w14:textId="77777777" w:rsidR="006F1DEE" w:rsidRDefault="006F1DEE" w:rsidP="00931B79">
      <w:pPr>
        <w:spacing w:after="0" w:line="240" w:lineRule="auto"/>
      </w:pPr>
      <w:r>
        <w:separator/>
      </w:r>
    </w:p>
  </w:footnote>
  <w:footnote w:type="continuationSeparator" w:id="0">
    <w:p w14:paraId="562728D9" w14:textId="77777777" w:rsidR="006F1DEE" w:rsidRDefault="006F1DEE" w:rsidP="009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D213B9" w14:textId="77777777" w:rsidR="0029412A" w:rsidRPr="001D57B2" w:rsidRDefault="00A93EA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2A" w:rsidRPr="001D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5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E93A" w14:textId="3BC4DCD7" w:rsidR="00F711DE" w:rsidRDefault="00F711DE">
    <w:pPr>
      <w:pStyle w:val="Header"/>
      <w:rPr>
        <w:rFonts w:ascii="Times New Roman" w:hAnsi="Times New Roman" w:cs="Times New Roman"/>
        <w:sz w:val="24"/>
        <w:szCs w:val="24"/>
      </w:rPr>
    </w:pPr>
  </w:p>
  <w:p w14:paraId="11828610" w14:textId="77777777" w:rsidR="00F711DE" w:rsidRDefault="00F711DE">
    <w:pPr>
      <w:pStyle w:val="Header"/>
    </w:pPr>
    <w:r>
      <w:rPr>
        <w:noProof/>
      </w:rPr>
      <w:drawing>
        <wp:inline distT="0" distB="0" distL="0" distR="0" wp14:anchorId="575DD825" wp14:editId="4639F6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5321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5758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6478" w:hanging="180"/>
      </w:pPr>
    </w:lvl>
    <w:lvl w:ilvl="3" w:tplc="E78ECF3C" w:tentative="1">
      <w:start w:val="1"/>
      <w:numFmt w:val="decimal"/>
      <w:lvlText w:val="%4."/>
      <w:lvlJc w:val="left"/>
      <w:pPr>
        <w:ind w:left="7198" w:hanging="360"/>
      </w:pPr>
    </w:lvl>
    <w:lvl w:ilvl="4" w:tplc="C766229C" w:tentative="1">
      <w:start w:val="1"/>
      <w:numFmt w:val="lowerLetter"/>
      <w:lvlText w:val="%5."/>
      <w:lvlJc w:val="left"/>
      <w:pPr>
        <w:ind w:left="7918" w:hanging="360"/>
      </w:pPr>
    </w:lvl>
    <w:lvl w:ilvl="5" w:tplc="47608FC2" w:tentative="1">
      <w:start w:val="1"/>
      <w:numFmt w:val="lowerRoman"/>
      <w:lvlText w:val="%6."/>
      <w:lvlJc w:val="right"/>
      <w:pPr>
        <w:ind w:left="8638" w:hanging="180"/>
      </w:pPr>
    </w:lvl>
    <w:lvl w:ilvl="6" w:tplc="72CC937A" w:tentative="1">
      <w:start w:val="1"/>
      <w:numFmt w:val="decimal"/>
      <w:lvlText w:val="%7."/>
      <w:lvlJc w:val="left"/>
      <w:pPr>
        <w:ind w:left="9358" w:hanging="360"/>
      </w:pPr>
    </w:lvl>
    <w:lvl w:ilvl="7" w:tplc="12AED94C" w:tentative="1">
      <w:start w:val="1"/>
      <w:numFmt w:val="lowerLetter"/>
      <w:lvlText w:val="%8."/>
      <w:lvlJc w:val="left"/>
      <w:pPr>
        <w:ind w:left="10078" w:hanging="360"/>
      </w:pPr>
    </w:lvl>
    <w:lvl w:ilvl="8" w:tplc="BE487FE2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F373DA6"/>
    <w:multiLevelType w:val="hybridMultilevel"/>
    <w:tmpl w:val="91C819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17D4E"/>
    <w:multiLevelType w:val="hybridMultilevel"/>
    <w:tmpl w:val="E2E8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E0D"/>
    <w:multiLevelType w:val="multilevel"/>
    <w:tmpl w:val="23F61C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4" w15:restartNumberingAfterBreak="0">
    <w:nsid w:val="64265F86"/>
    <w:multiLevelType w:val="hybridMultilevel"/>
    <w:tmpl w:val="AFAE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7"/>
    <w:rsid w:val="000024BC"/>
    <w:rsid w:val="00004E6F"/>
    <w:rsid w:val="00006100"/>
    <w:rsid w:val="00007E00"/>
    <w:rsid w:val="00011E00"/>
    <w:rsid w:val="00012A83"/>
    <w:rsid w:val="00015040"/>
    <w:rsid w:val="00016E04"/>
    <w:rsid w:val="00020198"/>
    <w:rsid w:val="00024E9F"/>
    <w:rsid w:val="00025D4D"/>
    <w:rsid w:val="00027629"/>
    <w:rsid w:val="000278AD"/>
    <w:rsid w:val="00053A46"/>
    <w:rsid w:val="000542D7"/>
    <w:rsid w:val="000544D0"/>
    <w:rsid w:val="00054A60"/>
    <w:rsid w:val="00056F3D"/>
    <w:rsid w:val="00067219"/>
    <w:rsid w:val="000843B8"/>
    <w:rsid w:val="00091DC4"/>
    <w:rsid w:val="000A0CF4"/>
    <w:rsid w:val="000A154B"/>
    <w:rsid w:val="000A526F"/>
    <w:rsid w:val="000B0E9E"/>
    <w:rsid w:val="000B3850"/>
    <w:rsid w:val="000B6B75"/>
    <w:rsid w:val="000C31B7"/>
    <w:rsid w:val="000C548B"/>
    <w:rsid w:val="000D0BAD"/>
    <w:rsid w:val="000D496C"/>
    <w:rsid w:val="000D59A8"/>
    <w:rsid w:val="000E1A61"/>
    <w:rsid w:val="000E3C21"/>
    <w:rsid w:val="000F28FA"/>
    <w:rsid w:val="000F48F0"/>
    <w:rsid w:val="000F7813"/>
    <w:rsid w:val="0010059B"/>
    <w:rsid w:val="0010555C"/>
    <w:rsid w:val="001139F9"/>
    <w:rsid w:val="001143F2"/>
    <w:rsid w:val="00114C9A"/>
    <w:rsid w:val="001165DE"/>
    <w:rsid w:val="00125769"/>
    <w:rsid w:val="0013358E"/>
    <w:rsid w:val="0013528A"/>
    <w:rsid w:val="00135F6A"/>
    <w:rsid w:val="00136C6B"/>
    <w:rsid w:val="00137553"/>
    <w:rsid w:val="0014359F"/>
    <w:rsid w:val="00143AB1"/>
    <w:rsid w:val="0014483F"/>
    <w:rsid w:val="001458AC"/>
    <w:rsid w:val="00147CBE"/>
    <w:rsid w:val="001501E4"/>
    <w:rsid w:val="001544F4"/>
    <w:rsid w:val="00154769"/>
    <w:rsid w:val="00161672"/>
    <w:rsid w:val="00161F1B"/>
    <w:rsid w:val="00162D63"/>
    <w:rsid w:val="0016343D"/>
    <w:rsid w:val="00166FEB"/>
    <w:rsid w:val="00175266"/>
    <w:rsid w:val="0018093D"/>
    <w:rsid w:val="00180CC0"/>
    <w:rsid w:val="001815A4"/>
    <w:rsid w:val="00191350"/>
    <w:rsid w:val="001963D8"/>
    <w:rsid w:val="001A1AC1"/>
    <w:rsid w:val="001A5BFB"/>
    <w:rsid w:val="001A6CDB"/>
    <w:rsid w:val="001B02DF"/>
    <w:rsid w:val="001B4E4E"/>
    <w:rsid w:val="001B626F"/>
    <w:rsid w:val="001C1D86"/>
    <w:rsid w:val="001C3CCA"/>
    <w:rsid w:val="001C5BE7"/>
    <w:rsid w:val="001C610E"/>
    <w:rsid w:val="001C621F"/>
    <w:rsid w:val="001C64A1"/>
    <w:rsid w:val="001D0F4E"/>
    <w:rsid w:val="001D57B2"/>
    <w:rsid w:val="001E01A6"/>
    <w:rsid w:val="001E198D"/>
    <w:rsid w:val="001E2C63"/>
    <w:rsid w:val="001E3F5F"/>
    <w:rsid w:val="001F0FEA"/>
    <w:rsid w:val="001F3CAC"/>
    <w:rsid w:val="001F498E"/>
    <w:rsid w:val="001F75F0"/>
    <w:rsid w:val="00203479"/>
    <w:rsid w:val="0020670E"/>
    <w:rsid w:val="002167DD"/>
    <w:rsid w:val="00225655"/>
    <w:rsid w:val="00227A16"/>
    <w:rsid w:val="002338FB"/>
    <w:rsid w:val="00237FF5"/>
    <w:rsid w:val="00242209"/>
    <w:rsid w:val="002459A6"/>
    <w:rsid w:val="002475EA"/>
    <w:rsid w:val="00257631"/>
    <w:rsid w:val="0026218A"/>
    <w:rsid w:val="002630A7"/>
    <w:rsid w:val="002717EF"/>
    <w:rsid w:val="002724CD"/>
    <w:rsid w:val="002864DB"/>
    <w:rsid w:val="00287BD0"/>
    <w:rsid w:val="00290D48"/>
    <w:rsid w:val="00293EB7"/>
    <w:rsid w:val="0029412A"/>
    <w:rsid w:val="002A0DB9"/>
    <w:rsid w:val="002A10AE"/>
    <w:rsid w:val="002A6713"/>
    <w:rsid w:val="002A6D36"/>
    <w:rsid w:val="002B0DD0"/>
    <w:rsid w:val="002B3B3B"/>
    <w:rsid w:val="002B64B5"/>
    <w:rsid w:val="002B6988"/>
    <w:rsid w:val="002C42BC"/>
    <w:rsid w:val="002D4435"/>
    <w:rsid w:val="002E0B4A"/>
    <w:rsid w:val="002E19F9"/>
    <w:rsid w:val="002E3286"/>
    <w:rsid w:val="002E3FFB"/>
    <w:rsid w:val="002E600F"/>
    <w:rsid w:val="002F0849"/>
    <w:rsid w:val="002F18D9"/>
    <w:rsid w:val="002F21B1"/>
    <w:rsid w:val="002F29FD"/>
    <w:rsid w:val="002F5B05"/>
    <w:rsid w:val="00302734"/>
    <w:rsid w:val="00305711"/>
    <w:rsid w:val="00310C7D"/>
    <w:rsid w:val="003166F9"/>
    <w:rsid w:val="00316B22"/>
    <w:rsid w:val="00320013"/>
    <w:rsid w:val="00324C82"/>
    <w:rsid w:val="0032611F"/>
    <w:rsid w:val="003326D9"/>
    <w:rsid w:val="0033270A"/>
    <w:rsid w:val="00332ECC"/>
    <w:rsid w:val="0033598B"/>
    <w:rsid w:val="003404D5"/>
    <w:rsid w:val="003452A3"/>
    <w:rsid w:val="00345554"/>
    <w:rsid w:val="003459ED"/>
    <w:rsid w:val="00351321"/>
    <w:rsid w:val="00351EF2"/>
    <w:rsid w:val="00353B93"/>
    <w:rsid w:val="00353CF9"/>
    <w:rsid w:val="00364000"/>
    <w:rsid w:val="00365537"/>
    <w:rsid w:val="00373705"/>
    <w:rsid w:val="003802F6"/>
    <w:rsid w:val="00380BCA"/>
    <w:rsid w:val="00382B01"/>
    <w:rsid w:val="00392854"/>
    <w:rsid w:val="0039488C"/>
    <w:rsid w:val="003976B9"/>
    <w:rsid w:val="003A1E13"/>
    <w:rsid w:val="003A21E0"/>
    <w:rsid w:val="003A4643"/>
    <w:rsid w:val="003A7E90"/>
    <w:rsid w:val="003B1168"/>
    <w:rsid w:val="003B11C4"/>
    <w:rsid w:val="003B6971"/>
    <w:rsid w:val="003B6D47"/>
    <w:rsid w:val="003C3504"/>
    <w:rsid w:val="003C427E"/>
    <w:rsid w:val="003C455B"/>
    <w:rsid w:val="003D1116"/>
    <w:rsid w:val="003D2542"/>
    <w:rsid w:val="003D4934"/>
    <w:rsid w:val="003D4E45"/>
    <w:rsid w:val="003E221D"/>
    <w:rsid w:val="003E2ECD"/>
    <w:rsid w:val="003E3684"/>
    <w:rsid w:val="003E7C3C"/>
    <w:rsid w:val="003F1E7D"/>
    <w:rsid w:val="003F30BE"/>
    <w:rsid w:val="003F7173"/>
    <w:rsid w:val="003F78B3"/>
    <w:rsid w:val="00401F90"/>
    <w:rsid w:val="0040652F"/>
    <w:rsid w:val="0041324A"/>
    <w:rsid w:val="00417203"/>
    <w:rsid w:val="00417445"/>
    <w:rsid w:val="00424EE2"/>
    <w:rsid w:val="004378D3"/>
    <w:rsid w:val="00440964"/>
    <w:rsid w:val="0044597F"/>
    <w:rsid w:val="00446263"/>
    <w:rsid w:val="00452F49"/>
    <w:rsid w:val="0045569E"/>
    <w:rsid w:val="00455B42"/>
    <w:rsid w:val="004567D1"/>
    <w:rsid w:val="004573B0"/>
    <w:rsid w:val="00457AE4"/>
    <w:rsid w:val="004601CD"/>
    <w:rsid w:val="00461C47"/>
    <w:rsid w:val="00465718"/>
    <w:rsid w:val="00467460"/>
    <w:rsid w:val="00467682"/>
    <w:rsid w:val="00483B82"/>
    <w:rsid w:val="00485A9C"/>
    <w:rsid w:val="00485F18"/>
    <w:rsid w:val="00487D9E"/>
    <w:rsid w:val="004902E8"/>
    <w:rsid w:val="004936F9"/>
    <w:rsid w:val="004967C0"/>
    <w:rsid w:val="004A0D28"/>
    <w:rsid w:val="004A1C60"/>
    <w:rsid w:val="004A2594"/>
    <w:rsid w:val="004A649C"/>
    <w:rsid w:val="004B1A1E"/>
    <w:rsid w:val="004B251F"/>
    <w:rsid w:val="004B7A75"/>
    <w:rsid w:val="004C061C"/>
    <w:rsid w:val="004C24B5"/>
    <w:rsid w:val="004C43CC"/>
    <w:rsid w:val="004D1292"/>
    <w:rsid w:val="004D197C"/>
    <w:rsid w:val="004D273D"/>
    <w:rsid w:val="004D5CE0"/>
    <w:rsid w:val="004D6252"/>
    <w:rsid w:val="004D62CE"/>
    <w:rsid w:val="004E2909"/>
    <w:rsid w:val="004E2915"/>
    <w:rsid w:val="004E4F5F"/>
    <w:rsid w:val="004F390A"/>
    <w:rsid w:val="0050142B"/>
    <w:rsid w:val="00506D4C"/>
    <w:rsid w:val="00512FDA"/>
    <w:rsid w:val="00514C92"/>
    <w:rsid w:val="00517ADD"/>
    <w:rsid w:val="005272FE"/>
    <w:rsid w:val="00531378"/>
    <w:rsid w:val="0053486D"/>
    <w:rsid w:val="0054090F"/>
    <w:rsid w:val="00542A19"/>
    <w:rsid w:val="005544BF"/>
    <w:rsid w:val="005550A5"/>
    <w:rsid w:val="00564686"/>
    <w:rsid w:val="00564DC0"/>
    <w:rsid w:val="00566087"/>
    <w:rsid w:val="005708EA"/>
    <w:rsid w:val="00572929"/>
    <w:rsid w:val="005778D3"/>
    <w:rsid w:val="00584940"/>
    <w:rsid w:val="00584E71"/>
    <w:rsid w:val="005869BD"/>
    <w:rsid w:val="00586F6A"/>
    <w:rsid w:val="005911C3"/>
    <w:rsid w:val="00592FA2"/>
    <w:rsid w:val="005A20A1"/>
    <w:rsid w:val="005A35B2"/>
    <w:rsid w:val="005A676F"/>
    <w:rsid w:val="005A7A92"/>
    <w:rsid w:val="005B4621"/>
    <w:rsid w:val="005B6397"/>
    <w:rsid w:val="005B6C62"/>
    <w:rsid w:val="005B73D9"/>
    <w:rsid w:val="005C38D2"/>
    <w:rsid w:val="005C512E"/>
    <w:rsid w:val="005C6731"/>
    <w:rsid w:val="005D030E"/>
    <w:rsid w:val="005D547A"/>
    <w:rsid w:val="005E75C5"/>
    <w:rsid w:val="005F774A"/>
    <w:rsid w:val="0060032C"/>
    <w:rsid w:val="006012B6"/>
    <w:rsid w:val="0060169B"/>
    <w:rsid w:val="0060473F"/>
    <w:rsid w:val="00613A4C"/>
    <w:rsid w:val="00614058"/>
    <w:rsid w:val="0061473D"/>
    <w:rsid w:val="00616964"/>
    <w:rsid w:val="00621B57"/>
    <w:rsid w:val="0062286A"/>
    <w:rsid w:val="00623BB1"/>
    <w:rsid w:val="00632EE8"/>
    <w:rsid w:val="00635CC1"/>
    <w:rsid w:val="00640541"/>
    <w:rsid w:val="00640C95"/>
    <w:rsid w:val="006417B2"/>
    <w:rsid w:val="0064570B"/>
    <w:rsid w:val="0064622B"/>
    <w:rsid w:val="0064711F"/>
    <w:rsid w:val="00655FA9"/>
    <w:rsid w:val="00660D17"/>
    <w:rsid w:val="00662427"/>
    <w:rsid w:val="00670DD0"/>
    <w:rsid w:val="00671D29"/>
    <w:rsid w:val="006756E0"/>
    <w:rsid w:val="00676A4F"/>
    <w:rsid w:val="00676DF7"/>
    <w:rsid w:val="006800E5"/>
    <w:rsid w:val="00680138"/>
    <w:rsid w:val="00684C74"/>
    <w:rsid w:val="0068580B"/>
    <w:rsid w:val="006863A5"/>
    <w:rsid w:val="006A6A09"/>
    <w:rsid w:val="006A6AAC"/>
    <w:rsid w:val="006B17E3"/>
    <w:rsid w:val="006B3A07"/>
    <w:rsid w:val="006B4189"/>
    <w:rsid w:val="006C2814"/>
    <w:rsid w:val="006D2466"/>
    <w:rsid w:val="006D34CB"/>
    <w:rsid w:val="006D44EF"/>
    <w:rsid w:val="006D56AC"/>
    <w:rsid w:val="006D58D6"/>
    <w:rsid w:val="006E09B4"/>
    <w:rsid w:val="006E28F1"/>
    <w:rsid w:val="006E2DB6"/>
    <w:rsid w:val="006E5E18"/>
    <w:rsid w:val="006E6F6E"/>
    <w:rsid w:val="006E7C30"/>
    <w:rsid w:val="006F1DEE"/>
    <w:rsid w:val="006F2DEB"/>
    <w:rsid w:val="006F616A"/>
    <w:rsid w:val="006F67FA"/>
    <w:rsid w:val="006F74CF"/>
    <w:rsid w:val="00701852"/>
    <w:rsid w:val="00712C10"/>
    <w:rsid w:val="0071730A"/>
    <w:rsid w:val="00717C76"/>
    <w:rsid w:val="00720C24"/>
    <w:rsid w:val="00722E91"/>
    <w:rsid w:val="00725AAE"/>
    <w:rsid w:val="00727FF4"/>
    <w:rsid w:val="007360C2"/>
    <w:rsid w:val="00737A8C"/>
    <w:rsid w:val="007417F6"/>
    <w:rsid w:val="00745C14"/>
    <w:rsid w:val="007464DE"/>
    <w:rsid w:val="00752489"/>
    <w:rsid w:val="0075399E"/>
    <w:rsid w:val="007626F6"/>
    <w:rsid w:val="00762B92"/>
    <w:rsid w:val="007632B2"/>
    <w:rsid w:val="00765B9B"/>
    <w:rsid w:val="00775CB9"/>
    <w:rsid w:val="007819A0"/>
    <w:rsid w:val="00782A0E"/>
    <w:rsid w:val="00785C14"/>
    <w:rsid w:val="0079395B"/>
    <w:rsid w:val="007951E8"/>
    <w:rsid w:val="00795CFE"/>
    <w:rsid w:val="0079666A"/>
    <w:rsid w:val="007A4176"/>
    <w:rsid w:val="007A6F2D"/>
    <w:rsid w:val="007B092D"/>
    <w:rsid w:val="007C4632"/>
    <w:rsid w:val="007C5C11"/>
    <w:rsid w:val="007C6532"/>
    <w:rsid w:val="007D5F1D"/>
    <w:rsid w:val="007D6353"/>
    <w:rsid w:val="007D7511"/>
    <w:rsid w:val="007E52FF"/>
    <w:rsid w:val="007E56AD"/>
    <w:rsid w:val="007E57A3"/>
    <w:rsid w:val="007E5932"/>
    <w:rsid w:val="007F7C51"/>
    <w:rsid w:val="008025E6"/>
    <w:rsid w:val="008040DB"/>
    <w:rsid w:val="00805886"/>
    <w:rsid w:val="00810438"/>
    <w:rsid w:val="008139C5"/>
    <w:rsid w:val="00814350"/>
    <w:rsid w:val="00821BF8"/>
    <w:rsid w:val="00823140"/>
    <w:rsid w:val="00824444"/>
    <w:rsid w:val="00825715"/>
    <w:rsid w:val="00827560"/>
    <w:rsid w:val="00833CCC"/>
    <w:rsid w:val="00834ED2"/>
    <w:rsid w:val="00835CED"/>
    <w:rsid w:val="00836959"/>
    <w:rsid w:val="008442B4"/>
    <w:rsid w:val="00850C12"/>
    <w:rsid w:val="0085305E"/>
    <w:rsid w:val="00853FDC"/>
    <w:rsid w:val="00857557"/>
    <w:rsid w:val="00864DE3"/>
    <w:rsid w:val="0086721D"/>
    <w:rsid w:val="008771B8"/>
    <w:rsid w:val="0088327B"/>
    <w:rsid w:val="0088502C"/>
    <w:rsid w:val="008850DF"/>
    <w:rsid w:val="00885BD4"/>
    <w:rsid w:val="00891355"/>
    <w:rsid w:val="0089593D"/>
    <w:rsid w:val="008A227C"/>
    <w:rsid w:val="008A38C9"/>
    <w:rsid w:val="008A7C2E"/>
    <w:rsid w:val="008B4C31"/>
    <w:rsid w:val="008D3317"/>
    <w:rsid w:val="008D4103"/>
    <w:rsid w:val="008D77C9"/>
    <w:rsid w:val="008E1B59"/>
    <w:rsid w:val="008E33DB"/>
    <w:rsid w:val="008E4D40"/>
    <w:rsid w:val="008E619B"/>
    <w:rsid w:val="008E6268"/>
    <w:rsid w:val="008E653A"/>
    <w:rsid w:val="008F25CD"/>
    <w:rsid w:val="008F4414"/>
    <w:rsid w:val="0090039F"/>
    <w:rsid w:val="009009DD"/>
    <w:rsid w:val="00905E0E"/>
    <w:rsid w:val="00911ECE"/>
    <w:rsid w:val="00913568"/>
    <w:rsid w:val="00914BEA"/>
    <w:rsid w:val="00917AD5"/>
    <w:rsid w:val="0092142C"/>
    <w:rsid w:val="00922ECA"/>
    <w:rsid w:val="00931B79"/>
    <w:rsid w:val="00941911"/>
    <w:rsid w:val="009424DC"/>
    <w:rsid w:val="009432E8"/>
    <w:rsid w:val="00945A09"/>
    <w:rsid w:val="009508F2"/>
    <w:rsid w:val="00950F4D"/>
    <w:rsid w:val="00952CBB"/>
    <w:rsid w:val="0095314F"/>
    <w:rsid w:val="00954756"/>
    <w:rsid w:val="00955B92"/>
    <w:rsid w:val="00956A29"/>
    <w:rsid w:val="009600E9"/>
    <w:rsid w:val="00961267"/>
    <w:rsid w:val="00974D5A"/>
    <w:rsid w:val="00974E50"/>
    <w:rsid w:val="00987D99"/>
    <w:rsid w:val="009A2518"/>
    <w:rsid w:val="009A3030"/>
    <w:rsid w:val="009A3522"/>
    <w:rsid w:val="009A5CAA"/>
    <w:rsid w:val="009B19E0"/>
    <w:rsid w:val="009B21FA"/>
    <w:rsid w:val="009B40C3"/>
    <w:rsid w:val="009B43AE"/>
    <w:rsid w:val="009C1D3B"/>
    <w:rsid w:val="009C6FD4"/>
    <w:rsid w:val="009D2CF4"/>
    <w:rsid w:val="009D3EC4"/>
    <w:rsid w:val="009D4835"/>
    <w:rsid w:val="009D65B6"/>
    <w:rsid w:val="009E3445"/>
    <w:rsid w:val="009E3CF8"/>
    <w:rsid w:val="009F0856"/>
    <w:rsid w:val="009F4DF8"/>
    <w:rsid w:val="009F7707"/>
    <w:rsid w:val="00A0142A"/>
    <w:rsid w:val="00A02382"/>
    <w:rsid w:val="00A0423C"/>
    <w:rsid w:val="00A22028"/>
    <w:rsid w:val="00A22626"/>
    <w:rsid w:val="00A2514E"/>
    <w:rsid w:val="00A27798"/>
    <w:rsid w:val="00A32557"/>
    <w:rsid w:val="00A46F5D"/>
    <w:rsid w:val="00A50ED2"/>
    <w:rsid w:val="00A5211F"/>
    <w:rsid w:val="00A61503"/>
    <w:rsid w:val="00A6495A"/>
    <w:rsid w:val="00A70CC2"/>
    <w:rsid w:val="00A71DE0"/>
    <w:rsid w:val="00A779BB"/>
    <w:rsid w:val="00A855E7"/>
    <w:rsid w:val="00A85621"/>
    <w:rsid w:val="00A85F39"/>
    <w:rsid w:val="00A90DE5"/>
    <w:rsid w:val="00A910A8"/>
    <w:rsid w:val="00A92FD7"/>
    <w:rsid w:val="00A93EA3"/>
    <w:rsid w:val="00A95311"/>
    <w:rsid w:val="00AA0113"/>
    <w:rsid w:val="00AA05DA"/>
    <w:rsid w:val="00AA25E2"/>
    <w:rsid w:val="00AB087A"/>
    <w:rsid w:val="00AB3819"/>
    <w:rsid w:val="00AB6D4A"/>
    <w:rsid w:val="00AC27A5"/>
    <w:rsid w:val="00AC5BAF"/>
    <w:rsid w:val="00AD2D92"/>
    <w:rsid w:val="00AD39DA"/>
    <w:rsid w:val="00AE2930"/>
    <w:rsid w:val="00AE5048"/>
    <w:rsid w:val="00AE62BC"/>
    <w:rsid w:val="00AF4A73"/>
    <w:rsid w:val="00AF651C"/>
    <w:rsid w:val="00B00307"/>
    <w:rsid w:val="00B05F08"/>
    <w:rsid w:val="00B11813"/>
    <w:rsid w:val="00B118ED"/>
    <w:rsid w:val="00B127B7"/>
    <w:rsid w:val="00B127C0"/>
    <w:rsid w:val="00B168DA"/>
    <w:rsid w:val="00B17823"/>
    <w:rsid w:val="00B2129D"/>
    <w:rsid w:val="00B25101"/>
    <w:rsid w:val="00B30050"/>
    <w:rsid w:val="00B3060D"/>
    <w:rsid w:val="00B37052"/>
    <w:rsid w:val="00B37D71"/>
    <w:rsid w:val="00B4075B"/>
    <w:rsid w:val="00B41B35"/>
    <w:rsid w:val="00B519DD"/>
    <w:rsid w:val="00B53BF9"/>
    <w:rsid w:val="00B56208"/>
    <w:rsid w:val="00B56A57"/>
    <w:rsid w:val="00B65304"/>
    <w:rsid w:val="00B65519"/>
    <w:rsid w:val="00B65A87"/>
    <w:rsid w:val="00B72932"/>
    <w:rsid w:val="00B77D06"/>
    <w:rsid w:val="00B82CA0"/>
    <w:rsid w:val="00B82E09"/>
    <w:rsid w:val="00B90C93"/>
    <w:rsid w:val="00B9104B"/>
    <w:rsid w:val="00B931E7"/>
    <w:rsid w:val="00B93866"/>
    <w:rsid w:val="00B96BBC"/>
    <w:rsid w:val="00BA08A2"/>
    <w:rsid w:val="00BA54F3"/>
    <w:rsid w:val="00BA5E0E"/>
    <w:rsid w:val="00BA75CC"/>
    <w:rsid w:val="00BA7C88"/>
    <w:rsid w:val="00BB2A60"/>
    <w:rsid w:val="00BB3760"/>
    <w:rsid w:val="00BB3EBE"/>
    <w:rsid w:val="00BB4ACD"/>
    <w:rsid w:val="00BB6AF2"/>
    <w:rsid w:val="00BC17EA"/>
    <w:rsid w:val="00BC4B4C"/>
    <w:rsid w:val="00BD1899"/>
    <w:rsid w:val="00BD26E7"/>
    <w:rsid w:val="00BE4EA7"/>
    <w:rsid w:val="00BE4FD9"/>
    <w:rsid w:val="00BE538A"/>
    <w:rsid w:val="00BE6002"/>
    <w:rsid w:val="00BE6D0A"/>
    <w:rsid w:val="00BE72C1"/>
    <w:rsid w:val="00BE7810"/>
    <w:rsid w:val="00C069A2"/>
    <w:rsid w:val="00C072F9"/>
    <w:rsid w:val="00C07C03"/>
    <w:rsid w:val="00C11B98"/>
    <w:rsid w:val="00C124AC"/>
    <w:rsid w:val="00C13BA0"/>
    <w:rsid w:val="00C25685"/>
    <w:rsid w:val="00C267D7"/>
    <w:rsid w:val="00C33111"/>
    <w:rsid w:val="00C36A59"/>
    <w:rsid w:val="00C433B3"/>
    <w:rsid w:val="00C45063"/>
    <w:rsid w:val="00C456E5"/>
    <w:rsid w:val="00C52BFF"/>
    <w:rsid w:val="00C567FB"/>
    <w:rsid w:val="00C569F9"/>
    <w:rsid w:val="00C613A3"/>
    <w:rsid w:val="00C7034C"/>
    <w:rsid w:val="00C71E65"/>
    <w:rsid w:val="00C7447A"/>
    <w:rsid w:val="00C8005F"/>
    <w:rsid w:val="00C8039C"/>
    <w:rsid w:val="00C80B82"/>
    <w:rsid w:val="00C82868"/>
    <w:rsid w:val="00C842F9"/>
    <w:rsid w:val="00C84B02"/>
    <w:rsid w:val="00C85A13"/>
    <w:rsid w:val="00C86F8B"/>
    <w:rsid w:val="00C93549"/>
    <w:rsid w:val="00C94EFC"/>
    <w:rsid w:val="00CA1B49"/>
    <w:rsid w:val="00CA461E"/>
    <w:rsid w:val="00CA6A37"/>
    <w:rsid w:val="00CB0A7E"/>
    <w:rsid w:val="00CB1BE2"/>
    <w:rsid w:val="00CB7BCA"/>
    <w:rsid w:val="00CC026E"/>
    <w:rsid w:val="00CC17D6"/>
    <w:rsid w:val="00CC4BDF"/>
    <w:rsid w:val="00CC6AEF"/>
    <w:rsid w:val="00CD36BB"/>
    <w:rsid w:val="00CD3C15"/>
    <w:rsid w:val="00CE0FD5"/>
    <w:rsid w:val="00CE1DA6"/>
    <w:rsid w:val="00CE59DB"/>
    <w:rsid w:val="00CF060D"/>
    <w:rsid w:val="00CF33D4"/>
    <w:rsid w:val="00D03066"/>
    <w:rsid w:val="00D03621"/>
    <w:rsid w:val="00D03937"/>
    <w:rsid w:val="00D04C20"/>
    <w:rsid w:val="00D065BC"/>
    <w:rsid w:val="00D119F0"/>
    <w:rsid w:val="00D13150"/>
    <w:rsid w:val="00D13F71"/>
    <w:rsid w:val="00D163DC"/>
    <w:rsid w:val="00D179D7"/>
    <w:rsid w:val="00D21C71"/>
    <w:rsid w:val="00D23617"/>
    <w:rsid w:val="00D25B9F"/>
    <w:rsid w:val="00D26B2B"/>
    <w:rsid w:val="00D273B0"/>
    <w:rsid w:val="00D3168F"/>
    <w:rsid w:val="00D35B85"/>
    <w:rsid w:val="00D42F22"/>
    <w:rsid w:val="00D444B5"/>
    <w:rsid w:val="00D52658"/>
    <w:rsid w:val="00D529D1"/>
    <w:rsid w:val="00D532C7"/>
    <w:rsid w:val="00D5508B"/>
    <w:rsid w:val="00D626A1"/>
    <w:rsid w:val="00D67AA9"/>
    <w:rsid w:val="00D7266B"/>
    <w:rsid w:val="00D737AA"/>
    <w:rsid w:val="00D73D50"/>
    <w:rsid w:val="00D7436E"/>
    <w:rsid w:val="00D75791"/>
    <w:rsid w:val="00D7654A"/>
    <w:rsid w:val="00D81DB3"/>
    <w:rsid w:val="00D955E0"/>
    <w:rsid w:val="00DA23DE"/>
    <w:rsid w:val="00DA2E63"/>
    <w:rsid w:val="00DB0679"/>
    <w:rsid w:val="00DB415B"/>
    <w:rsid w:val="00DB6110"/>
    <w:rsid w:val="00DC2122"/>
    <w:rsid w:val="00DC2152"/>
    <w:rsid w:val="00DC598F"/>
    <w:rsid w:val="00DC5D9C"/>
    <w:rsid w:val="00DC6DBB"/>
    <w:rsid w:val="00DC769F"/>
    <w:rsid w:val="00DD0DF0"/>
    <w:rsid w:val="00DD120E"/>
    <w:rsid w:val="00DD3A3A"/>
    <w:rsid w:val="00DD62A5"/>
    <w:rsid w:val="00DE290B"/>
    <w:rsid w:val="00DE4E98"/>
    <w:rsid w:val="00DE5F9A"/>
    <w:rsid w:val="00DE6516"/>
    <w:rsid w:val="00DF01EC"/>
    <w:rsid w:val="00DF13C8"/>
    <w:rsid w:val="00DF3E20"/>
    <w:rsid w:val="00DF66C1"/>
    <w:rsid w:val="00DF78BE"/>
    <w:rsid w:val="00E042CC"/>
    <w:rsid w:val="00E143D4"/>
    <w:rsid w:val="00E17DFC"/>
    <w:rsid w:val="00E17E23"/>
    <w:rsid w:val="00E2370B"/>
    <w:rsid w:val="00E238D0"/>
    <w:rsid w:val="00E3205C"/>
    <w:rsid w:val="00E3245F"/>
    <w:rsid w:val="00E361A3"/>
    <w:rsid w:val="00E3794D"/>
    <w:rsid w:val="00E406E9"/>
    <w:rsid w:val="00E45F25"/>
    <w:rsid w:val="00E46619"/>
    <w:rsid w:val="00E50265"/>
    <w:rsid w:val="00E52529"/>
    <w:rsid w:val="00E54249"/>
    <w:rsid w:val="00E6074F"/>
    <w:rsid w:val="00E632CB"/>
    <w:rsid w:val="00E639A2"/>
    <w:rsid w:val="00E72CED"/>
    <w:rsid w:val="00E743FE"/>
    <w:rsid w:val="00E8022F"/>
    <w:rsid w:val="00E831AB"/>
    <w:rsid w:val="00E841FB"/>
    <w:rsid w:val="00E86B2C"/>
    <w:rsid w:val="00E905A7"/>
    <w:rsid w:val="00E90E74"/>
    <w:rsid w:val="00E94414"/>
    <w:rsid w:val="00E948E3"/>
    <w:rsid w:val="00EA3872"/>
    <w:rsid w:val="00EA3CEC"/>
    <w:rsid w:val="00EA469C"/>
    <w:rsid w:val="00EA4999"/>
    <w:rsid w:val="00EA6961"/>
    <w:rsid w:val="00EB3013"/>
    <w:rsid w:val="00EB75C1"/>
    <w:rsid w:val="00EC2A3F"/>
    <w:rsid w:val="00EC3540"/>
    <w:rsid w:val="00EC35BE"/>
    <w:rsid w:val="00EC5BE8"/>
    <w:rsid w:val="00ED41D2"/>
    <w:rsid w:val="00EE1C4F"/>
    <w:rsid w:val="00EE3B2A"/>
    <w:rsid w:val="00EE6C58"/>
    <w:rsid w:val="00EE7201"/>
    <w:rsid w:val="00EF753E"/>
    <w:rsid w:val="00F06BF3"/>
    <w:rsid w:val="00F10133"/>
    <w:rsid w:val="00F15DAA"/>
    <w:rsid w:val="00F16C48"/>
    <w:rsid w:val="00F2010D"/>
    <w:rsid w:val="00F214FD"/>
    <w:rsid w:val="00F22B4C"/>
    <w:rsid w:val="00F26A09"/>
    <w:rsid w:val="00F30F3C"/>
    <w:rsid w:val="00F50074"/>
    <w:rsid w:val="00F54718"/>
    <w:rsid w:val="00F60BB7"/>
    <w:rsid w:val="00F66A37"/>
    <w:rsid w:val="00F66A67"/>
    <w:rsid w:val="00F711DE"/>
    <w:rsid w:val="00F76433"/>
    <w:rsid w:val="00F8650C"/>
    <w:rsid w:val="00F9758D"/>
    <w:rsid w:val="00FA0589"/>
    <w:rsid w:val="00FA5B59"/>
    <w:rsid w:val="00FA75ED"/>
    <w:rsid w:val="00FA77AE"/>
    <w:rsid w:val="00FB0039"/>
    <w:rsid w:val="00FB22CC"/>
    <w:rsid w:val="00FB312D"/>
    <w:rsid w:val="00FB32A1"/>
    <w:rsid w:val="00FB3818"/>
    <w:rsid w:val="00FB3CC0"/>
    <w:rsid w:val="00FB474D"/>
    <w:rsid w:val="00FB61EA"/>
    <w:rsid w:val="00FB7A24"/>
    <w:rsid w:val="00FC0035"/>
    <w:rsid w:val="00FC0544"/>
    <w:rsid w:val="00FC0B66"/>
    <w:rsid w:val="00FC22D9"/>
    <w:rsid w:val="00FD1B4B"/>
    <w:rsid w:val="00FD1F94"/>
    <w:rsid w:val="00FD2213"/>
    <w:rsid w:val="00FD5BF9"/>
    <w:rsid w:val="00FD7F8A"/>
    <w:rsid w:val="00FE2EB1"/>
    <w:rsid w:val="00FF322A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21CD5"/>
  <w15:docId w15:val="{6F27B6BE-588C-44E1-AA45-518EB83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00"/>
    <w:rPr>
      <w:color w:val="0000FF"/>
      <w:u w:val="single"/>
    </w:rPr>
  </w:style>
  <w:style w:type="paragraph" w:customStyle="1" w:styleId="tv213">
    <w:name w:val="tv213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13150"/>
  </w:style>
  <w:style w:type="paragraph" w:styleId="ListParagraph">
    <w:name w:val="List Paragraph"/>
    <w:basedOn w:val="Normal"/>
    <w:uiPriority w:val="34"/>
    <w:qFormat/>
    <w:rsid w:val="00012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849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9"/>
  </w:style>
  <w:style w:type="paragraph" w:styleId="Footer">
    <w:name w:val="footer"/>
    <w:basedOn w:val="Normal"/>
    <w:link w:val="Foot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79"/>
  </w:style>
  <w:style w:type="paragraph" w:styleId="NoSpacing">
    <w:name w:val="No Spacing"/>
    <w:uiPriority w:val="1"/>
    <w:qFormat/>
    <w:rsid w:val="007A41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6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A4E295A2D02F4DA26034772A4E51B0" ma:contentTypeVersion="5" ma:contentTypeDescription="Izveidot jaunu dokumentu." ma:contentTypeScope="" ma:versionID="49162b5585b8764674188d57908a2d81">
  <xsd:schema xmlns:xsd="http://www.w3.org/2001/XMLSchema" xmlns:xs="http://www.w3.org/2001/XMLSchema" xmlns:p="http://schemas.microsoft.com/office/2006/metadata/properties" xmlns:ns3="b62abbde-0bcd-4f7b-b2f8-bc3854fc7024" xmlns:ns4="232d414d-b2af-4ecd-97d6-a638c3ec68f6" targetNamespace="http://schemas.microsoft.com/office/2006/metadata/properties" ma:root="true" ma:fieldsID="05f3ee79a8c7d9f9c456b8da3eb179c3" ns3:_="" ns4:_="">
    <xsd:import namespace="b62abbde-0bcd-4f7b-b2f8-bc3854fc7024"/>
    <xsd:import namespace="232d414d-b2af-4ecd-97d6-a638c3ec6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bbde-0bcd-4f7b-b2f8-bc3854fc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414d-b2af-4ecd-97d6-a638c3ec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A38-2E24-4865-8F55-506AB1B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bbde-0bcd-4f7b-b2f8-bc3854fc7024"/>
    <ds:schemaRef ds:uri="232d414d-b2af-4ecd-97d6-a638c3ec6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B8DAA-4F15-42BF-8CBC-0DF0E617E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109D1-FCD8-49A1-9151-42620234C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B721D-4A0E-416C-ABB8-48671E5A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3143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20. marta noteikumos Nr. 171 “Lauksaimniecības un pārstrādāto lauksaimniecības produktu Eiropas Savienības licencēšanas un tarifu kvotu sistēmu administrēšanas kārtība”</vt:lpstr>
      <vt:lpstr>Grozījumi Ministru kabineta 2018. gada 20. marta noteikumos Nr. 171 “Lauksaimniecības un pārstrādāto lauksaimniecības produktu Eiropas Savienības licencēšanas un tarifu kvotu sistēmu administrēšanas kārtība”</vt:lpstr>
    </vt:vector>
  </TitlesOfParts>
  <Company>Zemkopības Ministrija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20. marta noteikumos Nr. 171 “Lauksaimniecības un pārstrādāto lauksaimniecības produktu Eiropas Savienības licencēšanas un tarifu kvotu sistēmu administrēšanas kārtība”</dc:title>
  <dc:subject>Noteikumu projekts</dc:subject>
  <dc:creator>Marija.Dobele@zm.gov.lv</dc:creator>
  <cp:keywords>noteikumi par tarifa kvotu pārvaldība, ES lauksaimniecība</cp:keywords>
  <dc:description>Marija.Dobele@zm.gov.lv; 67027325</dc:description>
  <cp:lastModifiedBy>Leontine Babkina</cp:lastModifiedBy>
  <cp:revision>28</cp:revision>
  <cp:lastPrinted>2020-11-30T15:15:00Z</cp:lastPrinted>
  <dcterms:created xsi:type="dcterms:W3CDTF">2020-10-22T07:17:00Z</dcterms:created>
  <dcterms:modified xsi:type="dcterms:W3CDTF">2020-12-22T08:49:00Z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