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29548" w14:textId="6F14B3CC" w:rsidR="007116C7" w:rsidRPr="00712B66" w:rsidRDefault="007116C7" w:rsidP="00DB7395">
      <w:pPr>
        <w:pStyle w:val="naislab"/>
        <w:spacing w:before="0" w:after="0"/>
        <w:ind w:firstLine="720"/>
        <w:rPr>
          <w:sz w:val="28"/>
          <w:szCs w:val="28"/>
        </w:rPr>
      </w:pPr>
    </w:p>
    <w:p w14:paraId="3AA5E18B" w14:textId="77777777"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14:paraId="08CA6B0A"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3811A9D6" w14:textId="77777777">
        <w:trPr>
          <w:jc w:val="center"/>
        </w:trPr>
        <w:tc>
          <w:tcPr>
            <w:tcW w:w="10188" w:type="dxa"/>
            <w:tcBorders>
              <w:bottom w:val="single" w:sz="6" w:space="0" w:color="000000"/>
            </w:tcBorders>
          </w:tcPr>
          <w:p w14:paraId="041DAACA" w14:textId="4F243FA5" w:rsidR="007116C7" w:rsidRPr="00BE180E" w:rsidRDefault="00152161" w:rsidP="00DB7395">
            <w:pPr>
              <w:ind w:firstLine="720"/>
            </w:pPr>
            <w:r w:rsidRPr="00BE180E">
              <w:t xml:space="preserve">Valsts sekretāru sanāksmes </w:t>
            </w:r>
            <w:proofErr w:type="spellStart"/>
            <w:r w:rsidRPr="00BE180E">
              <w:t>protokollēmums</w:t>
            </w:r>
            <w:proofErr w:type="spellEnd"/>
            <w:r w:rsidRPr="00BE180E">
              <w:t xml:space="preserve"> “</w:t>
            </w:r>
            <w:r w:rsidRPr="00BE180E">
              <w:t>Par kompetenču sadali saistībā ar Eiropas Parlamenta un Padomes (ES) 2018. gada 11. decembra direktīvas Nr. 2018/2001 par no atjaunojamajiem energoresursiem iegūtas enerģijas izmantošanas veicināšanu  ieviešanu</w:t>
            </w:r>
            <w:r w:rsidRPr="00BE180E">
              <w:t>”</w:t>
            </w:r>
          </w:p>
          <w:p w14:paraId="5879146E" w14:textId="36989874" w:rsidR="00152161" w:rsidRPr="00712B66" w:rsidRDefault="00152161" w:rsidP="00DB7395">
            <w:pPr>
              <w:ind w:firstLine="720"/>
            </w:pPr>
            <w:r w:rsidRPr="00BE180E">
              <w:t xml:space="preserve">Informatīvais ziņojums </w:t>
            </w:r>
            <w:r w:rsidRPr="00BE180E">
              <w:t>“Par kompetenču sadali saistībā ar Eiropas Parlamenta un Padomes (ES) 2018. gada 11. decembra direktīvas Nr. 2018/2001 par no atjaunojamajiem energoresursiem iegūtas enerģijas izmantošanas veicināšanu ieviešanu”</w:t>
            </w:r>
          </w:p>
        </w:tc>
      </w:tr>
    </w:tbl>
    <w:p w14:paraId="18AD4379" w14:textId="77777777" w:rsidR="007116C7" w:rsidRPr="00712B66" w:rsidRDefault="007116C7" w:rsidP="009623BC">
      <w:pPr>
        <w:pStyle w:val="naisc"/>
        <w:spacing w:before="0" w:after="0"/>
        <w:ind w:firstLine="1080"/>
      </w:pPr>
      <w:r w:rsidRPr="00712B66">
        <w:t>(dokumenta veids un nosaukums)</w:t>
      </w:r>
    </w:p>
    <w:p w14:paraId="4A022C6F" w14:textId="77777777" w:rsidR="007B4C0F" w:rsidRPr="00712B66" w:rsidRDefault="007B4C0F" w:rsidP="00DB7395">
      <w:pPr>
        <w:pStyle w:val="naisf"/>
        <w:spacing w:before="0" w:after="0"/>
        <w:ind w:firstLine="720"/>
      </w:pPr>
    </w:p>
    <w:p w14:paraId="506F6FFF"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5E286306"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14:paraId="0E94EEE1"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4E6BD1C4" w14:textId="77777777" w:rsidR="005F4BFD" w:rsidRPr="00712B66" w:rsidRDefault="005F4BFD" w:rsidP="0036160E">
            <w:pPr>
              <w:pStyle w:val="naisc"/>
              <w:spacing w:before="0" w:after="0"/>
            </w:pPr>
            <w:r w:rsidRPr="00712B66">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195B3E52"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5C729BC4"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33CE8F16"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16541384"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327D5E3C" w14:textId="77777777" w:rsidR="005F4BFD" w:rsidRPr="00712B66" w:rsidRDefault="005F4BFD" w:rsidP="00364BB6">
            <w:pPr>
              <w:jc w:val="center"/>
            </w:pPr>
            <w:r w:rsidRPr="00712B66">
              <w:t>Projekta attiecīgā punkta (panta) galīgā redakcija</w:t>
            </w:r>
          </w:p>
        </w:tc>
      </w:tr>
      <w:tr w:rsidR="005F4BFD" w:rsidRPr="008A36C9" w14:paraId="2462652D" w14:textId="77777777">
        <w:tc>
          <w:tcPr>
            <w:tcW w:w="708" w:type="dxa"/>
            <w:tcBorders>
              <w:top w:val="single" w:sz="6" w:space="0" w:color="000000"/>
              <w:left w:val="single" w:sz="6" w:space="0" w:color="000000"/>
              <w:bottom w:val="single" w:sz="6" w:space="0" w:color="000000"/>
              <w:right w:val="single" w:sz="6" w:space="0" w:color="000000"/>
            </w:tcBorders>
          </w:tcPr>
          <w:p w14:paraId="029CE15E"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577E8C64"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2CDCCFD8"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2E1E5116"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5C1974A2"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579C5B2B" w14:textId="77777777" w:rsidR="005F4BFD" w:rsidRPr="008A36C9" w:rsidRDefault="008A36C9" w:rsidP="008A36C9">
            <w:pPr>
              <w:jc w:val="center"/>
              <w:rPr>
                <w:sz w:val="20"/>
                <w:szCs w:val="20"/>
              </w:rPr>
            </w:pPr>
            <w:r w:rsidRPr="008A36C9">
              <w:rPr>
                <w:sz w:val="20"/>
                <w:szCs w:val="20"/>
              </w:rPr>
              <w:t>6</w:t>
            </w:r>
          </w:p>
        </w:tc>
      </w:tr>
      <w:tr w:rsidR="005F4BFD" w:rsidRPr="00BE180E" w14:paraId="3EAD9B17" w14:textId="77777777">
        <w:tc>
          <w:tcPr>
            <w:tcW w:w="708" w:type="dxa"/>
            <w:tcBorders>
              <w:left w:val="single" w:sz="6" w:space="0" w:color="000000"/>
              <w:bottom w:val="single" w:sz="4" w:space="0" w:color="auto"/>
              <w:right w:val="single" w:sz="6" w:space="0" w:color="000000"/>
            </w:tcBorders>
          </w:tcPr>
          <w:p w14:paraId="6DD0400B" w14:textId="77777777" w:rsidR="005F4BFD" w:rsidRPr="00BE180E" w:rsidRDefault="005F4BFD" w:rsidP="0036160E">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6935D7E3" w14:textId="77777777" w:rsidR="005F4BFD" w:rsidRPr="00BE180E"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5116379B" w14:textId="77777777" w:rsidR="005F4BFD" w:rsidRPr="00BE180E" w:rsidRDefault="00BE180E" w:rsidP="00BE180E">
            <w:pPr>
              <w:pStyle w:val="naisc"/>
              <w:spacing w:before="0" w:after="0"/>
              <w:rPr>
                <w:b/>
                <w:bCs/>
              </w:rPr>
            </w:pPr>
            <w:r w:rsidRPr="00BE180E">
              <w:rPr>
                <w:b/>
                <w:bCs/>
              </w:rPr>
              <w:t>Zemkopības ministrija</w:t>
            </w:r>
          </w:p>
          <w:p w14:paraId="46CDEAE8" w14:textId="77777777" w:rsidR="00BE180E" w:rsidRPr="00BE180E" w:rsidRDefault="00BE180E" w:rsidP="00BE180E">
            <w:pPr>
              <w:pStyle w:val="NoSpacing"/>
              <w:rPr>
                <w:szCs w:val="24"/>
                <w:lang w:val="lv-LV"/>
              </w:rPr>
            </w:pPr>
            <w:r w:rsidRPr="00BE180E">
              <w:rPr>
                <w:szCs w:val="24"/>
                <w:lang w:val="lv-LV"/>
              </w:rPr>
              <w:t>Zemkopības ministrija izsaka sekojošus iebildumus:</w:t>
            </w:r>
          </w:p>
          <w:p w14:paraId="64B9A391" w14:textId="77777777" w:rsidR="00BE180E" w:rsidRPr="00BE180E" w:rsidRDefault="00BE180E" w:rsidP="00BE180E">
            <w:pPr>
              <w:pStyle w:val="NoSpacing"/>
              <w:numPr>
                <w:ilvl w:val="0"/>
                <w:numId w:val="7"/>
              </w:numPr>
              <w:ind w:left="339"/>
              <w:rPr>
                <w:b/>
                <w:bCs/>
                <w:szCs w:val="24"/>
                <w:lang w:val="lv-LV"/>
              </w:rPr>
            </w:pPr>
            <w:r w:rsidRPr="00BE180E">
              <w:rPr>
                <w:b/>
                <w:bCs/>
                <w:szCs w:val="24"/>
                <w:lang w:val="lv-LV"/>
              </w:rPr>
              <w:t>ziņojuma projektā:</w:t>
            </w:r>
          </w:p>
          <w:p w14:paraId="40C4D0FC" w14:textId="77777777" w:rsidR="00BE180E" w:rsidRPr="00BE180E" w:rsidRDefault="00BE180E" w:rsidP="00BE180E">
            <w:pPr>
              <w:pStyle w:val="NoSpacing"/>
              <w:numPr>
                <w:ilvl w:val="1"/>
                <w:numId w:val="7"/>
              </w:numPr>
              <w:ind w:left="339"/>
              <w:rPr>
                <w:color w:val="000000"/>
                <w:szCs w:val="24"/>
                <w:lang w:val="lv-LV"/>
              </w:rPr>
            </w:pPr>
            <w:r w:rsidRPr="00BE180E">
              <w:rPr>
                <w:color w:val="000000"/>
                <w:szCs w:val="24"/>
                <w:lang w:val="lv-LV"/>
              </w:rPr>
              <w:t xml:space="preserve"> precizēt ziņojuma projektu izklāstot Direktīvas 2018/2001 ieviešanas plānu neanalizējot citu institūciju nolikumā noteiktās funkcijas, uzdevumus un kompetences; </w:t>
            </w:r>
          </w:p>
          <w:p w14:paraId="59922F2F" w14:textId="77777777" w:rsidR="00BE180E" w:rsidRPr="00BE180E" w:rsidRDefault="00BE180E" w:rsidP="00BE180E">
            <w:pPr>
              <w:pStyle w:val="ListParagraph"/>
              <w:widowControl w:val="0"/>
              <w:numPr>
                <w:ilvl w:val="1"/>
                <w:numId w:val="7"/>
              </w:numPr>
              <w:spacing w:after="0" w:line="240" w:lineRule="auto"/>
              <w:ind w:left="339"/>
              <w:jc w:val="both"/>
              <w:rPr>
                <w:rFonts w:ascii="Times New Roman" w:hAnsi="Times New Roman"/>
                <w:color w:val="000000"/>
                <w:sz w:val="24"/>
                <w:szCs w:val="24"/>
              </w:rPr>
            </w:pPr>
            <w:r w:rsidRPr="00BE180E">
              <w:rPr>
                <w:rFonts w:ascii="Times New Roman" w:hAnsi="Times New Roman"/>
                <w:color w:val="000000"/>
                <w:sz w:val="24"/>
                <w:szCs w:val="24"/>
              </w:rPr>
              <w:lastRenderedPageBreak/>
              <w:t xml:space="preserve"> papildināt ziņojuma projektu ar izvērstu aprakstu par visiem atjaunojamās enerģijas veidiem, nevis tikai par izejvielu audzēšanu un ieguvi, jo </w:t>
            </w:r>
            <w:r w:rsidRPr="00BE180E">
              <w:rPr>
                <w:rFonts w:ascii="Times New Roman" w:hAnsi="Times New Roman"/>
                <w:sz w:val="24"/>
                <w:szCs w:val="24"/>
              </w:rPr>
              <w:t>Direktīvas 2018/2001</w:t>
            </w:r>
            <w:r w:rsidRPr="00BE180E">
              <w:rPr>
                <w:rFonts w:ascii="Times New Roman" w:hAnsi="Times New Roman"/>
                <w:b/>
                <w:bCs/>
                <w:sz w:val="24"/>
                <w:szCs w:val="24"/>
              </w:rPr>
              <w:t xml:space="preserve"> </w:t>
            </w:r>
            <w:r w:rsidRPr="00BE180E">
              <w:rPr>
                <w:rFonts w:ascii="Times New Roman" w:hAnsi="Times New Roman"/>
                <w:sz w:val="24"/>
                <w:szCs w:val="24"/>
                <w:shd w:val="clear" w:color="auto" w:fill="FFFFFF"/>
              </w:rPr>
              <w:t>izpratnē “</w:t>
            </w:r>
            <w:r w:rsidRPr="00BE180E">
              <w:rPr>
                <w:rFonts w:ascii="Times New Roman" w:hAnsi="Times New Roman"/>
                <w:sz w:val="24"/>
                <w:szCs w:val="24"/>
              </w:rPr>
              <w:t xml:space="preserve">no atjaunojamajiem energoresursiem iegūta enerģija” jeb “atjaunojamā enerģija” ir enerģija no atjaunojamiem nefosilajiem energoresursiem, proti, vēja, saules (saules siltumenerģija un saules fotoelementu enerģija) un ģeotermālā enerģija, apkārtējās vides enerģija, plūdmaiņu, viļņu un cita jūras enerģija, hidroenerģija un biomasas, atkritumu poligonu gāzes, notekūdeņu attīrīšanas staciju gāzes un biogāzes enerģija. </w:t>
            </w:r>
          </w:p>
          <w:p w14:paraId="5828FD88" w14:textId="77777777" w:rsidR="00BE180E" w:rsidRPr="00BE180E" w:rsidRDefault="00BE180E" w:rsidP="00BE180E">
            <w:pPr>
              <w:pStyle w:val="NormalWeb"/>
              <w:spacing w:before="0" w:beforeAutospacing="0" w:after="0" w:afterAutospacing="0"/>
              <w:ind w:left="339"/>
              <w:rPr>
                <w:color w:val="000000"/>
              </w:rPr>
            </w:pPr>
          </w:p>
          <w:p w14:paraId="379333FB" w14:textId="77777777" w:rsidR="00BE180E" w:rsidRPr="00BE180E" w:rsidRDefault="00BE180E" w:rsidP="00BE180E">
            <w:pPr>
              <w:pStyle w:val="NoSpacing"/>
              <w:numPr>
                <w:ilvl w:val="0"/>
                <w:numId w:val="7"/>
              </w:numPr>
              <w:ind w:left="339"/>
              <w:rPr>
                <w:b/>
                <w:bCs/>
                <w:szCs w:val="24"/>
                <w:lang w:val="lv-LV"/>
              </w:rPr>
            </w:pPr>
            <w:proofErr w:type="spellStart"/>
            <w:r w:rsidRPr="00BE180E">
              <w:rPr>
                <w:b/>
                <w:bCs/>
                <w:szCs w:val="24"/>
                <w:lang w:val="lv-LV"/>
              </w:rPr>
              <w:t>protokollēmuma</w:t>
            </w:r>
            <w:proofErr w:type="spellEnd"/>
            <w:r w:rsidRPr="00BE180E">
              <w:rPr>
                <w:b/>
                <w:bCs/>
                <w:szCs w:val="24"/>
                <w:lang w:val="lv-LV"/>
              </w:rPr>
              <w:t xml:space="preserve"> projektā:</w:t>
            </w:r>
          </w:p>
          <w:p w14:paraId="253DFB67" w14:textId="77777777" w:rsidR="00BE180E" w:rsidRPr="00BE180E" w:rsidRDefault="00BE180E" w:rsidP="00BE180E">
            <w:pPr>
              <w:pStyle w:val="NoSpacing"/>
              <w:numPr>
                <w:ilvl w:val="1"/>
                <w:numId w:val="7"/>
              </w:numPr>
              <w:ind w:left="339"/>
              <w:rPr>
                <w:szCs w:val="24"/>
                <w:lang w:val="lv-LV"/>
              </w:rPr>
            </w:pPr>
            <w:r w:rsidRPr="00BE180E">
              <w:rPr>
                <w:szCs w:val="24"/>
                <w:lang w:val="lv-LV"/>
              </w:rPr>
              <w:t xml:space="preserve"> 2.punktu izteikt šādā redakcijā:</w:t>
            </w:r>
          </w:p>
          <w:p w14:paraId="55E26260" w14:textId="77777777" w:rsidR="00BE180E" w:rsidRPr="00BE180E" w:rsidRDefault="00BE180E" w:rsidP="00BE180E">
            <w:pPr>
              <w:pStyle w:val="NoSpacing"/>
              <w:ind w:left="339"/>
              <w:rPr>
                <w:szCs w:val="24"/>
                <w:lang w:val="lv-LV"/>
              </w:rPr>
            </w:pPr>
            <w:r w:rsidRPr="00BE180E">
              <w:rPr>
                <w:szCs w:val="24"/>
                <w:lang w:val="lv-LV"/>
              </w:rPr>
              <w:t xml:space="preserve">“2. Par Direktīvas </w:t>
            </w:r>
            <w:r w:rsidRPr="00BE180E">
              <w:rPr>
                <w:szCs w:val="24"/>
                <w:lang w:val="lv-LV"/>
              </w:rPr>
              <w:lastRenderedPageBreak/>
              <w:t>2018/2001 prasību ieviešanas atbildīgo un koordinējošo ministriju noteikt Ekonomikas ministriju, kas nodrošina Direktīvas 2018/2001 ieviešanas uzraudzību.”</w:t>
            </w:r>
          </w:p>
          <w:p w14:paraId="68E4F369" w14:textId="77777777" w:rsidR="00BE180E" w:rsidRPr="00BE180E" w:rsidRDefault="00BE180E" w:rsidP="00BE180E">
            <w:pPr>
              <w:pStyle w:val="NoSpacing"/>
              <w:numPr>
                <w:ilvl w:val="1"/>
                <w:numId w:val="7"/>
              </w:numPr>
              <w:ind w:left="339"/>
              <w:rPr>
                <w:szCs w:val="24"/>
                <w:lang w:val="lv-LV"/>
              </w:rPr>
            </w:pPr>
            <w:r w:rsidRPr="00BE180E">
              <w:rPr>
                <w:szCs w:val="24"/>
                <w:lang w:val="lv-LV"/>
              </w:rPr>
              <w:t xml:space="preserve"> 5.punkta ievaddaļā aizstāt vārdu “atbildīgo” ar “līdzatbildīgo” un izteikt 5.1. un 5.2.apakšpunktu šādā redakcijā:</w:t>
            </w:r>
          </w:p>
          <w:p w14:paraId="325AEA9F" w14:textId="77777777" w:rsidR="00BE180E" w:rsidRPr="00BE180E" w:rsidRDefault="00BE180E" w:rsidP="00BE180E">
            <w:pPr>
              <w:pStyle w:val="NoSpacing"/>
              <w:ind w:firstLine="720"/>
              <w:rPr>
                <w:szCs w:val="24"/>
                <w:lang w:val="lv-LV"/>
              </w:rPr>
            </w:pPr>
            <w:r w:rsidRPr="00BE180E">
              <w:rPr>
                <w:szCs w:val="24"/>
                <w:lang w:val="lv-LV"/>
              </w:rPr>
              <w:t>“5.1. noteikt kā līdzatbildīgo Latvijas normatīvo aktu izstrādē, Zemkopības ministrijas kompetenču jomā veicot nepieciešamos grozījumus Noteikumos Nr. 545;</w:t>
            </w:r>
          </w:p>
          <w:p w14:paraId="64E7A9AE" w14:textId="77777777" w:rsidR="00BE180E" w:rsidRPr="00BE180E" w:rsidRDefault="00BE180E" w:rsidP="00BE180E">
            <w:pPr>
              <w:pStyle w:val="NoSpacing"/>
              <w:ind w:firstLine="720"/>
              <w:rPr>
                <w:szCs w:val="24"/>
                <w:lang w:val="lv-LV"/>
              </w:rPr>
            </w:pPr>
            <w:r w:rsidRPr="00BE180E">
              <w:rPr>
                <w:szCs w:val="24"/>
                <w:lang w:val="lv-LV"/>
              </w:rPr>
              <w:t>5.2. noteikt kā līdzatbildīgo nacionālo interešu aizstāvībā Komisijas īstenošanas aktu vai deleģēto aktu izstrādē, Zemkopības ministrijas kompetenču jomā”.</w:t>
            </w:r>
          </w:p>
          <w:p w14:paraId="266562D6" w14:textId="77777777" w:rsidR="00BE180E" w:rsidRPr="00BE180E" w:rsidRDefault="00BE180E" w:rsidP="00BE180E">
            <w:pPr>
              <w:pStyle w:val="NoSpacing"/>
              <w:ind w:firstLine="720"/>
              <w:rPr>
                <w:szCs w:val="24"/>
                <w:lang w:val="lv-LV"/>
              </w:rPr>
            </w:pPr>
            <w:r w:rsidRPr="00BE180E">
              <w:rPr>
                <w:szCs w:val="24"/>
                <w:lang w:val="lv-LV"/>
              </w:rPr>
              <w:t xml:space="preserve"> </w:t>
            </w:r>
          </w:p>
          <w:p w14:paraId="1A8D716E" w14:textId="77777777" w:rsidR="00BE180E" w:rsidRPr="00BE180E" w:rsidRDefault="00BE180E" w:rsidP="00BE180E">
            <w:pPr>
              <w:pStyle w:val="NoSpacing"/>
              <w:ind w:firstLine="720"/>
              <w:rPr>
                <w:szCs w:val="24"/>
                <w:lang w:val="lv-LV" w:eastAsia="lv-LV"/>
              </w:rPr>
            </w:pPr>
            <w:r w:rsidRPr="00BE180E">
              <w:rPr>
                <w:szCs w:val="24"/>
                <w:lang w:val="lv-LV" w:eastAsia="lv-LV"/>
              </w:rPr>
              <w:t xml:space="preserve">Norādām, ka Ministru kabineta 2011.gada 5.jūlija noteikumi Nr.545 “Noteikumi par biodegvielu un bioloģisko šķidro kurināmo ilgtspējas kritērijiem, to ieviešanas </w:t>
            </w:r>
            <w:r w:rsidRPr="00BE180E">
              <w:rPr>
                <w:szCs w:val="24"/>
                <w:lang w:val="lv-LV" w:eastAsia="lv-LV"/>
              </w:rPr>
              <w:lastRenderedPageBreak/>
              <w:t>mehānismu un uzraudzības un kontroles kārtību”, kas izdoti saskaņā ar likuma ”Par atbilstības novērtēšanu" 7.panta pirmo daļu ir Ekonomikas ministrijas pārziņā esošs normatīvais akts.</w:t>
            </w:r>
          </w:p>
          <w:p w14:paraId="3F453997" w14:textId="77777777" w:rsidR="00BE180E" w:rsidRPr="00BE180E" w:rsidRDefault="00BE180E" w:rsidP="00BE180E">
            <w:pPr>
              <w:pStyle w:val="NoSpacing"/>
              <w:rPr>
                <w:color w:val="000000"/>
                <w:szCs w:val="24"/>
                <w:lang w:val="lv-LV"/>
              </w:rPr>
            </w:pPr>
          </w:p>
          <w:p w14:paraId="5DBF2B46" w14:textId="77777777" w:rsidR="00BE180E" w:rsidRPr="00BE180E" w:rsidRDefault="00BE180E" w:rsidP="00BE180E">
            <w:pPr>
              <w:pStyle w:val="NoSpacing"/>
              <w:ind w:firstLine="360"/>
              <w:rPr>
                <w:color w:val="000000"/>
                <w:szCs w:val="24"/>
                <w:lang w:val="lv-LV"/>
              </w:rPr>
            </w:pPr>
            <w:r w:rsidRPr="00BE180E">
              <w:rPr>
                <w:color w:val="000000"/>
                <w:szCs w:val="24"/>
                <w:lang w:val="lv-LV"/>
              </w:rPr>
              <w:t xml:space="preserve">Zemkopības ministrija ir vadošā valsts pārvaldes iestāde lauksaimniecības, meža un zivsaimniecības nozarē un mūsu uzdevums ir Latvijas interešu pārstāvība savas kompetences jomās,  tādēļ ir gatava līdzdarboties kā </w:t>
            </w:r>
            <w:r w:rsidRPr="00BE180E">
              <w:rPr>
                <w:b/>
                <w:bCs/>
                <w:color w:val="000000"/>
                <w:szCs w:val="24"/>
                <w:lang w:val="lv-LV"/>
              </w:rPr>
              <w:t>līdzatbildīgā ministrija</w:t>
            </w:r>
            <w:r w:rsidRPr="00BE180E">
              <w:rPr>
                <w:color w:val="000000"/>
                <w:szCs w:val="24"/>
                <w:lang w:val="lv-LV"/>
              </w:rPr>
              <w:t xml:space="preserve"> Ekonomikas ministrijas Direktīvas 2018/2001 pārņemšanā, šādos Zemkopības ministrijas kompetences jautājumu ietvaros:</w:t>
            </w:r>
          </w:p>
          <w:p w14:paraId="09EBF8F8" w14:textId="77777777" w:rsidR="00BE180E" w:rsidRPr="00BE180E" w:rsidRDefault="00BE180E" w:rsidP="00BE180E">
            <w:pPr>
              <w:numPr>
                <w:ilvl w:val="0"/>
                <w:numId w:val="8"/>
              </w:numPr>
              <w:ind w:left="261" w:hanging="261"/>
              <w:jc w:val="both"/>
            </w:pPr>
            <w:r w:rsidRPr="00BE180E">
              <w:t xml:space="preserve">līdzdarboties Ekonomikas ministrijas organizētajās darba grupās, lai veicinātu Direktīvas 2018/2001 pārņemšanu līdz 2021.gada 30.jūnijam; </w:t>
            </w:r>
          </w:p>
          <w:p w14:paraId="3CBB0215" w14:textId="77777777" w:rsidR="00BE180E" w:rsidRPr="00BE180E" w:rsidRDefault="00BE180E" w:rsidP="00BE180E">
            <w:pPr>
              <w:numPr>
                <w:ilvl w:val="0"/>
                <w:numId w:val="8"/>
              </w:numPr>
              <w:ind w:left="261" w:hanging="261"/>
              <w:jc w:val="both"/>
            </w:pPr>
            <w:r w:rsidRPr="00BE180E">
              <w:t xml:space="preserve">ar Ekonomikas ministrijas pārstāvjiem piedalīties Enerģijas jautājumu darba </w:t>
            </w:r>
            <w:r w:rsidRPr="00BE180E">
              <w:lastRenderedPageBreak/>
              <w:t xml:space="preserve">grupās, kad tiek skarti jautājumi </w:t>
            </w:r>
            <w:r w:rsidRPr="00BE180E">
              <w:rPr>
                <w:u w:val="single"/>
              </w:rPr>
              <w:t>par biomasas ilgtspējas kritērijiem</w:t>
            </w:r>
            <w:r w:rsidRPr="00BE180E">
              <w:t xml:space="preserve">; </w:t>
            </w:r>
          </w:p>
          <w:p w14:paraId="6D4BBE1C" w14:textId="77777777" w:rsidR="00BE180E" w:rsidRPr="00BE180E" w:rsidRDefault="00BE180E" w:rsidP="00BE180E">
            <w:pPr>
              <w:numPr>
                <w:ilvl w:val="0"/>
                <w:numId w:val="8"/>
              </w:numPr>
              <w:ind w:left="261" w:hanging="261"/>
              <w:jc w:val="both"/>
            </w:pPr>
            <w:r w:rsidRPr="00BE180E">
              <w:t>Zemkopības ministrijas kompetences ietvaros nodrošināt, lai bioenerģijas ražošanai būtu pieejama vietējā biomasa, paredzot un izstrādājot izejvielu audzētājiem atbalsta politiku.</w:t>
            </w:r>
          </w:p>
          <w:p w14:paraId="0DC93A40" w14:textId="77777777" w:rsidR="00BE180E" w:rsidRPr="00BE180E" w:rsidRDefault="00BE180E" w:rsidP="00BE180E">
            <w:pPr>
              <w:ind w:left="720"/>
            </w:pPr>
          </w:p>
          <w:p w14:paraId="7BCC694F" w14:textId="77777777" w:rsidR="00BE180E" w:rsidRPr="00BE180E" w:rsidRDefault="00BE180E" w:rsidP="00BE180E">
            <w:pPr>
              <w:ind w:firstLine="360"/>
            </w:pPr>
            <w:r w:rsidRPr="00BE180E">
              <w:t xml:space="preserve">Ņemot vērā Latvijas </w:t>
            </w:r>
            <w:proofErr w:type="spellStart"/>
            <w:r w:rsidRPr="00BE180E">
              <w:t>Bioekonomikas</w:t>
            </w:r>
            <w:proofErr w:type="spellEnd"/>
            <w:r w:rsidRPr="00BE180E">
              <w:t xml:space="preserve"> stratēģiju 2030.gadam, Latvijas </w:t>
            </w:r>
            <w:proofErr w:type="spellStart"/>
            <w:r w:rsidRPr="00BE180E">
              <w:t>Bioekonomikas</w:t>
            </w:r>
            <w:proofErr w:type="spellEnd"/>
            <w:r w:rsidRPr="00BE180E">
              <w:t xml:space="preserve"> nozares attīstību ietekmē </w:t>
            </w:r>
            <w:r w:rsidRPr="00BE180E">
              <w:rPr>
                <w:u w:val="single"/>
              </w:rPr>
              <w:t>mērķtiecīga biomasas pielietojuma veicināšana</w:t>
            </w:r>
            <w:r w:rsidRPr="00BE180E">
              <w:t xml:space="preserve"> tautsaimniecībā kopumā, </w:t>
            </w:r>
            <w:r w:rsidRPr="00BE180E">
              <w:rPr>
                <w:u w:val="single"/>
              </w:rPr>
              <w:t>tostarp būvniecībā, apstrādes rūpniecībā (tekstilrūpniecībā, ķīmiskajā rūpniecībā u.c.), kā arī enerģētikā</w:t>
            </w:r>
            <w:r w:rsidRPr="00BE180E">
              <w:t>. Zemkopības ministrijas kompetencē nav funkciju un atbalsta politikas, kas nodrošinātu, ka citās tautsaimniecības nozarēs notiktu tālāka biomasas apsaimniekošana.</w:t>
            </w:r>
          </w:p>
          <w:p w14:paraId="51A7FCE6" w14:textId="190ADEE8" w:rsidR="00BE180E" w:rsidRPr="00BE180E" w:rsidRDefault="00BE180E" w:rsidP="00BE180E">
            <w:pPr>
              <w:pStyle w:val="naisc"/>
              <w:spacing w:before="0" w:after="0"/>
            </w:pPr>
          </w:p>
        </w:tc>
        <w:tc>
          <w:tcPr>
            <w:tcW w:w="2977" w:type="dxa"/>
            <w:tcBorders>
              <w:left w:val="single" w:sz="6" w:space="0" w:color="000000"/>
              <w:bottom w:val="single" w:sz="4" w:space="0" w:color="auto"/>
              <w:right w:val="single" w:sz="6" w:space="0" w:color="000000"/>
            </w:tcBorders>
          </w:tcPr>
          <w:p w14:paraId="78C28021" w14:textId="77777777" w:rsidR="005F4BFD" w:rsidRPr="00BE180E" w:rsidRDefault="00BE180E" w:rsidP="00BE180E">
            <w:pPr>
              <w:pStyle w:val="naisc"/>
              <w:spacing w:before="0" w:after="0"/>
              <w:rPr>
                <w:b/>
                <w:bCs/>
              </w:rPr>
            </w:pPr>
            <w:r w:rsidRPr="00BE180E">
              <w:rPr>
                <w:b/>
                <w:bCs/>
              </w:rPr>
              <w:lastRenderedPageBreak/>
              <w:t>Nav ņemts vērā</w:t>
            </w:r>
          </w:p>
          <w:p w14:paraId="02DE3D96" w14:textId="77777777" w:rsidR="00BE180E" w:rsidRPr="00BE180E" w:rsidRDefault="00BE180E" w:rsidP="00BE180E">
            <w:pPr>
              <w:pStyle w:val="naisc"/>
              <w:spacing w:before="0" w:after="0"/>
              <w:jc w:val="left"/>
            </w:pPr>
          </w:p>
          <w:p w14:paraId="1ACAA92B" w14:textId="77777777" w:rsidR="00BE180E" w:rsidRDefault="00BE180E" w:rsidP="00BE180E">
            <w:pPr>
              <w:pStyle w:val="naisc"/>
              <w:spacing w:before="0" w:after="0"/>
              <w:jc w:val="left"/>
            </w:pPr>
            <w:r w:rsidRPr="00BE180E">
              <w:t xml:space="preserve">Pamatojoties uz Zemkopības ministrijas kompetenci, zināšanām un resora iestādu rīcībā esošajiem datiem un informāciju, ir uzskatāms, ka tieši Zemkopības ministrijai Latvijas tiesību aktos ir jāiestrādā kritēriji, kas attiecas uz dažādu degvielu un kurināmā </w:t>
            </w:r>
            <w:r w:rsidRPr="00BE180E">
              <w:lastRenderedPageBreak/>
              <w:t>izejvielām, t.i.  lauksaimniecības un mežsaimniecības produktiem.</w:t>
            </w:r>
          </w:p>
          <w:p w14:paraId="0BD8FF8B" w14:textId="77777777" w:rsidR="00BE180E" w:rsidRDefault="00BE180E" w:rsidP="00BE180E">
            <w:pPr>
              <w:pStyle w:val="naisc"/>
              <w:spacing w:before="0" w:after="0"/>
              <w:jc w:val="left"/>
            </w:pPr>
          </w:p>
          <w:p w14:paraId="349DF0CD" w14:textId="48F65B99" w:rsidR="00BE180E" w:rsidRPr="00BE180E" w:rsidRDefault="00BE180E" w:rsidP="00BE180E">
            <w:pPr>
              <w:pStyle w:val="naisc"/>
              <w:spacing w:before="0" w:after="0"/>
              <w:jc w:val="left"/>
            </w:pPr>
            <w:r>
              <w:t>Papildu argumentācija ir iekļauta informatīvajā ziņojumā, kurā ir iekļauta tikai informācija par tiem nosacījumiem, par kuru kompetencēm nav panākta vienošanās</w:t>
            </w:r>
          </w:p>
        </w:tc>
        <w:tc>
          <w:tcPr>
            <w:tcW w:w="2459" w:type="dxa"/>
            <w:tcBorders>
              <w:top w:val="single" w:sz="4" w:space="0" w:color="auto"/>
              <w:left w:val="single" w:sz="4" w:space="0" w:color="auto"/>
              <w:bottom w:val="single" w:sz="4" w:space="0" w:color="auto"/>
              <w:right w:val="single" w:sz="4" w:space="0" w:color="auto"/>
            </w:tcBorders>
          </w:tcPr>
          <w:p w14:paraId="3CD1B9C0" w14:textId="77777777" w:rsidR="00BE180E" w:rsidRDefault="00BE180E" w:rsidP="00BE180E">
            <w:r>
              <w:lastRenderedPageBreak/>
              <w:t xml:space="preserve">ZM piekrīt būt tikai līdzatbildīgi Ministru kabineta noteikumu izstrādē - </w:t>
            </w:r>
            <w:r>
              <w:t>ZM līdzdarbosies Direktīvas 2018/2001 pārņemšanā, kā līdzatbildīgā ministrija.</w:t>
            </w:r>
          </w:p>
          <w:p w14:paraId="54CFDFE7" w14:textId="77777777" w:rsidR="00BE180E" w:rsidRDefault="00BE180E" w:rsidP="00BE180E"/>
          <w:p w14:paraId="2A2BBBDF" w14:textId="45CD8300" w:rsidR="005F4BFD" w:rsidRPr="00BE180E" w:rsidRDefault="00BE180E" w:rsidP="00BE180E">
            <w:r>
              <w:t xml:space="preserve">ZM izprot izveidojošos situāciju un riskus, ka Direktīva 2018/2001 netiek pārņemta laikā, </w:t>
            </w:r>
            <w:r>
              <w:lastRenderedPageBreak/>
              <w:t>tāpēc, lūdzam EM uzņemties pilnu vadību un darīt visu, lai novērstu pārkāpuma procedūras ierosināšanu pret Latvijas valsti.</w:t>
            </w:r>
          </w:p>
        </w:tc>
        <w:tc>
          <w:tcPr>
            <w:tcW w:w="1920" w:type="dxa"/>
            <w:tcBorders>
              <w:top w:val="single" w:sz="4" w:space="0" w:color="auto"/>
              <w:left w:val="single" w:sz="4" w:space="0" w:color="auto"/>
              <w:bottom w:val="single" w:sz="4" w:space="0" w:color="auto"/>
            </w:tcBorders>
          </w:tcPr>
          <w:p w14:paraId="6AD313DB" w14:textId="77777777" w:rsidR="005F4BFD" w:rsidRPr="00BE180E" w:rsidRDefault="005F4BFD" w:rsidP="0036160E"/>
        </w:tc>
      </w:tr>
    </w:tbl>
    <w:p w14:paraId="6157B40B" w14:textId="77777777" w:rsidR="007B4C0F" w:rsidRPr="00712B66" w:rsidRDefault="007B4C0F" w:rsidP="007B4C0F">
      <w:pPr>
        <w:pStyle w:val="naisf"/>
        <w:spacing w:before="0" w:after="0"/>
        <w:ind w:firstLine="0"/>
      </w:pPr>
    </w:p>
    <w:p w14:paraId="7CA2ED6C" w14:textId="77777777" w:rsidR="005D67F7" w:rsidRPr="00712B66" w:rsidRDefault="005D67F7" w:rsidP="005D67F7">
      <w:pPr>
        <w:pStyle w:val="naisf"/>
        <w:spacing w:before="0" w:after="0"/>
        <w:ind w:firstLine="0"/>
        <w:rPr>
          <w:b/>
        </w:rPr>
      </w:pPr>
      <w:r w:rsidRPr="00712B66">
        <w:rPr>
          <w:b/>
        </w:rPr>
        <w:lastRenderedPageBreak/>
        <w:t>Informācija par starpministriju (starpinstitūciju) sanāksmi vai elektronisko saskaņošanu</w:t>
      </w:r>
    </w:p>
    <w:p w14:paraId="117B49DD" w14:textId="77777777"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363"/>
        <w:gridCol w:w="840"/>
        <w:gridCol w:w="5034"/>
      </w:tblGrid>
      <w:tr w:rsidR="007B4C0F" w:rsidRPr="00712B66" w14:paraId="0DB3ED6D" w14:textId="77777777">
        <w:tc>
          <w:tcPr>
            <w:tcW w:w="6345" w:type="dxa"/>
          </w:tcPr>
          <w:p w14:paraId="41CD600D" w14:textId="77777777" w:rsidR="007B4C0F" w:rsidRPr="00712B66" w:rsidRDefault="005D67F7" w:rsidP="005D67F7">
            <w:pPr>
              <w:pStyle w:val="naisf"/>
              <w:spacing w:before="0" w:after="0"/>
              <w:ind w:firstLine="0"/>
            </w:pPr>
            <w:r w:rsidRPr="00712B66">
              <w:t>D</w:t>
            </w:r>
            <w:r w:rsidR="007B4C0F" w:rsidRPr="00712B66">
              <w:t>atums</w:t>
            </w:r>
          </w:p>
        </w:tc>
        <w:tc>
          <w:tcPr>
            <w:tcW w:w="6237" w:type="dxa"/>
            <w:gridSpan w:val="3"/>
            <w:tcBorders>
              <w:bottom w:val="single" w:sz="4" w:space="0" w:color="auto"/>
            </w:tcBorders>
          </w:tcPr>
          <w:p w14:paraId="7EEAB879" w14:textId="4DFD6848" w:rsidR="007B4C0F" w:rsidRPr="00712B66" w:rsidRDefault="00152161" w:rsidP="00530AC2">
            <w:pPr>
              <w:pStyle w:val="NormalWeb"/>
              <w:spacing w:before="0" w:beforeAutospacing="0" w:after="0" w:afterAutospacing="0"/>
            </w:pPr>
            <w:bookmarkStart w:id="0" w:name="_GoBack"/>
            <w:bookmarkEnd w:id="0"/>
            <w:r>
              <w:t>20.01.2021. nosūtīts elektroniskai saskaņošanai</w:t>
            </w:r>
          </w:p>
        </w:tc>
      </w:tr>
      <w:tr w:rsidR="003C27A2" w:rsidRPr="00712B66" w14:paraId="0F854DD3" w14:textId="77777777">
        <w:tc>
          <w:tcPr>
            <w:tcW w:w="6345" w:type="dxa"/>
          </w:tcPr>
          <w:p w14:paraId="4AA81EA0" w14:textId="77777777" w:rsidR="003C27A2" w:rsidRPr="00712B66" w:rsidRDefault="003C27A2" w:rsidP="007B4C0F">
            <w:pPr>
              <w:pStyle w:val="naisf"/>
              <w:spacing w:before="0" w:after="0"/>
              <w:ind w:firstLine="0"/>
            </w:pPr>
          </w:p>
        </w:tc>
        <w:tc>
          <w:tcPr>
            <w:tcW w:w="6237" w:type="dxa"/>
            <w:gridSpan w:val="3"/>
            <w:tcBorders>
              <w:top w:val="single" w:sz="4" w:space="0" w:color="auto"/>
            </w:tcBorders>
          </w:tcPr>
          <w:p w14:paraId="2EABCA86" w14:textId="77777777" w:rsidR="003C27A2" w:rsidRPr="00712B66" w:rsidRDefault="003C27A2" w:rsidP="0036160E">
            <w:pPr>
              <w:pStyle w:val="NormalWeb"/>
              <w:spacing w:before="0" w:beforeAutospacing="0" w:after="0" w:afterAutospacing="0"/>
              <w:ind w:firstLine="720"/>
            </w:pPr>
          </w:p>
        </w:tc>
      </w:tr>
      <w:tr w:rsidR="007B4C0F" w:rsidRPr="00712B66" w14:paraId="6D936EE5" w14:textId="77777777">
        <w:tc>
          <w:tcPr>
            <w:tcW w:w="6345" w:type="dxa"/>
          </w:tcPr>
          <w:p w14:paraId="080754A6" w14:textId="77777777" w:rsidR="007B4C0F" w:rsidRPr="00712B66" w:rsidRDefault="00365CC0" w:rsidP="003C27A2">
            <w:pPr>
              <w:pStyle w:val="naiskr"/>
              <w:spacing w:before="0" w:after="0"/>
            </w:pPr>
            <w:r>
              <w:t>Saskaņošanas d</w:t>
            </w:r>
            <w:r w:rsidRPr="00712B66">
              <w:t>alībnieki</w:t>
            </w:r>
          </w:p>
        </w:tc>
        <w:tc>
          <w:tcPr>
            <w:tcW w:w="6237" w:type="dxa"/>
            <w:gridSpan w:val="3"/>
          </w:tcPr>
          <w:p w14:paraId="1C47123D" w14:textId="520C52FA" w:rsidR="007B4C0F" w:rsidRPr="00712B66" w:rsidRDefault="00152161" w:rsidP="00152161">
            <w:pPr>
              <w:pStyle w:val="NormalWeb"/>
              <w:spacing w:before="0" w:beforeAutospacing="0" w:after="0" w:afterAutospacing="0"/>
            </w:pPr>
            <w:r>
              <w:t>Ārlietu ministrija, Finanšu ministrija, Tieslietu ministrija, Satiksmes ministrija, Zemkopības ministrija, Vides aizsardzības un reģionālās attīstības ministrija</w:t>
            </w:r>
          </w:p>
        </w:tc>
      </w:tr>
      <w:tr w:rsidR="007B4C0F" w:rsidRPr="00712B66" w14:paraId="0374CF8C" w14:textId="77777777">
        <w:tc>
          <w:tcPr>
            <w:tcW w:w="6345" w:type="dxa"/>
          </w:tcPr>
          <w:p w14:paraId="4C1244FF" w14:textId="77777777" w:rsidR="007B4C0F" w:rsidRPr="00712B66" w:rsidRDefault="007B4C0F" w:rsidP="0036160E">
            <w:pPr>
              <w:pStyle w:val="naiskr"/>
              <w:spacing w:before="0" w:after="0"/>
              <w:ind w:firstLine="720"/>
            </w:pPr>
            <w:r w:rsidRPr="00712B66">
              <w:t>  </w:t>
            </w:r>
          </w:p>
        </w:tc>
        <w:tc>
          <w:tcPr>
            <w:tcW w:w="6237" w:type="dxa"/>
            <w:gridSpan w:val="3"/>
            <w:tcBorders>
              <w:top w:val="single" w:sz="6" w:space="0" w:color="000000"/>
              <w:bottom w:val="single" w:sz="6" w:space="0" w:color="000000"/>
            </w:tcBorders>
          </w:tcPr>
          <w:p w14:paraId="73EDC393" w14:textId="77777777" w:rsidR="007B4C0F" w:rsidRPr="00712B66" w:rsidRDefault="007B4C0F" w:rsidP="0036160E">
            <w:pPr>
              <w:pStyle w:val="naiskr"/>
              <w:spacing w:before="0" w:after="0"/>
              <w:ind w:firstLine="720"/>
            </w:pPr>
          </w:p>
        </w:tc>
      </w:tr>
      <w:tr w:rsidR="000D0AED" w:rsidRPr="00712B66" w14:paraId="737DEF7A" w14:textId="77777777">
        <w:trPr>
          <w:trHeight w:val="285"/>
        </w:trPr>
        <w:tc>
          <w:tcPr>
            <w:tcW w:w="6345" w:type="dxa"/>
          </w:tcPr>
          <w:p w14:paraId="334AEC20" w14:textId="77777777" w:rsidR="000D0AED" w:rsidRPr="00712B66" w:rsidRDefault="000D0AED" w:rsidP="000D0AED">
            <w:pPr>
              <w:pStyle w:val="naiskr"/>
              <w:spacing w:before="0" w:after="0"/>
            </w:pPr>
          </w:p>
        </w:tc>
        <w:tc>
          <w:tcPr>
            <w:tcW w:w="1203" w:type="dxa"/>
            <w:gridSpan w:val="2"/>
          </w:tcPr>
          <w:p w14:paraId="5C515F4A" w14:textId="77777777" w:rsidR="000D0AED" w:rsidRPr="00712B66" w:rsidRDefault="000D0AED" w:rsidP="0036160E">
            <w:pPr>
              <w:pStyle w:val="naiskr"/>
              <w:spacing w:before="0" w:after="0"/>
              <w:ind w:firstLine="720"/>
            </w:pPr>
          </w:p>
        </w:tc>
        <w:tc>
          <w:tcPr>
            <w:tcW w:w="5034" w:type="dxa"/>
          </w:tcPr>
          <w:p w14:paraId="38C187A7" w14:textId="77777777" w:rsidR="000D0AED" w:rsidRPr="00712B66" w:rsidRDefault="000D0AED" w:rsidP="0036160E">
            <w:pPr>
              <w:pStyle w:val="naiskr"/>
              <w:spacing w:before="0" w:after="0"/>
              <w:ind w:firstLine="12"/>
            </w:pPr>
          </w:p>
        </w:tc>
      </w:tr>
      <w:tr w:rsidR="00BE180E" w:rsidRPr="00712B66" w14:paraId="56B69E99" w14:textId="77777777" w:rsidTr="003205F7">
        <w:trPr>
          <w:trHeight w:val="285"/>
        </w:trPr>
        <w:tc>
          <w:tcPr>
            <w:tcW w:w="6708" w:type="dxa"/>
            <w:gridSpan w:val="2"/>
          </w:tcPr>
          <w:p w14:paraId="0F235C3A" w14:textId="77777777" w:rsidR="00BE180E" w:rsidRPr="00712B66" w:rsidRDefault="00BE180E" w:rsidP="000D0AED">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5874" w:type="dxa"/>
            <w:gridSpan w:val="2"/>
          </w:tcPr>
          <w:p w14:paraId="42B5E247" w14:textId="450EC78C" w:rsidR="00BE180E" w:rsidRPr="00712B66" w:rsidRDefault="00BE180E" w:rsidP="0036160E">
            <w:pPr>
              <w:pStyle w:val="naiskr"/>
              <w:spacing w:before="0" w:after="0"/>
              <w:ind w:firstLine="12"/>
            </w:pPr>
            <w:r>
              <w:t>Satiksmes ministrija, Zemkopības ministrija, Vides aizsardzības un reģionālās attīstības ministrija</w:t>
            </w:r>
          </w:p>
        </w:tc>
      </w:tr>
      <w:tr w:rsidR="003C27A2" w:rsidRPr="00712B66" w14:paraId="7373E49E" w14:textId="77777777">
        <w:trPr>
          <w:trHeight w:val="465"/>
        </w:trPr>
        <w:tc>
          <w:tcPr>
            <w:tcW w:w="6708" w:type="dxa"/>
            <w:gridSpan w:val="2"/>
          </w:tcPr>
          <w:p w14:paraId="36EF477F" w14:textId="77777777" w:rsidR="003C27A2" w:rsidRPr="00712B66" w:rsidRDefault="003C27A2"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1496ACE7" w14:textId="77777777" w:rsidR="003C27A2" w:rsidRPr="00712B66" w:rsidRDefault="003C27A2" w:rsidP="0036160E">
            <w:pPr>
              <w:pStyle w:val="NormalWeb"/>
              <w:spacing w:before="0" w:beforeAutospacing="0" w:after="0" w:afterAutospacing="0"/>
              <w:ind w:firstLine="720"/>
            </w:pPr>
          </w:p>
        </w:tc>
      </w:tr>
      <w:tr w:rsidR="007B4C0F" w:rsidRPr="00712B66" w14:paraId="3B039C48" w14:textId="77777777">
        <w:trPr>
          <w:trHeight w:val="465"/>
        </w:trPr>
        <w:tc>
          <w:tcPr>
            <w:tcW w:w="12582" w:type="dxa"/>
            <w:gridSpan w:val="4"/>
          </w:tcPr>
          <w:p w14:paraId="40168546" w14:textId="77777777" w:rsidR="007B4C0F" w:rsidRPr="00712B66" w:rsidRDefault="007B4C0F" w:rsidP="003C27A2">
            <w:pPr>
              <w:pStyle w:val="naisc"/>
              <w:spacing w:before="0" w:after="0"/>
              <w:ind w:left="4820" w:firstLine="720"/>
            </w:pPr>
          </w:p>
        </w:tc>
      </w:tr>
      <w:tr w:rsidR="007B4C0F" w:rsidRPr="00712B66" w14:paraId="35E24C82" w14:textId="77777777">
        <w:tc>
          <w:tcPr>
            <w:tcW w:w="6708" w:type="dxa"/>
            <w:gridSpan w:val="2"/>
          </w:tcPr>
          <w:p w14:paraId="148F456F" w14:textId="77777777"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14:paraId="57676D8B" w14:textId="77777777" w:rsidR="007B4C0F" w:rsidRPr="00712B66" w:rsidRDefault="007B4C0F" w:rsidP="0036160E">
            <w:pPr>
              <w:pStyle w:val="naiskr"/>
              <w:spacing w:before="0" w:after="0"/>
              <w:ind w:firstLine="720"/>
            </w:pPr>
          </w:p>
        </w:tc>
      </w:tr>
      <w:tr w:rsidR="007B4C0F" w:rsidRPr="00712B66" w14:paraId="62C76E45" w14:textId="77777777">
        <w:tc>
          <w:tcPr>
            <w:tcW w:w="6708" w:type="dxa"/>
            <w:gridSpan w:val="2"/>
          </w:tcPr>
          <w:p w14:paraId="459DD6FE" w14:textId="77777777" w:rsidR="007B4C0F" w:rsidRPr="00712B66" w:rsidRDefault="007B4C0F"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534D97DA" w14:textId="77777777" w:rsidR="007B4C0F" w:rsidRPr="00712B66" w:rsidRDefault="007B4C0F" w:rsidP="0036160E">
            <w:pPr>
              <w:pStyle w:val="naiskr"/>
              <w:spacing w:before="0" w:after="0"/>
              <w:ind w:firstLine="720"/>
            </w:pPr>
          </w:p>
        </w:tc>
      </w:tr>
      <w:tr w:rsidR="007B4C0F" w:rsidRPr="00712B66" w14:paraId="0D27AA4E" w14:textId="77777777">
        <w:tc>
          <w:tcPr>
            <w:tcW w:w="6708" w:type="dxa"/>
            <w:gridSpan w:val="2"/>
          </w:tcPr>
          <w:p w14:paraId="17DE325F" w14:textId="77777777" w:rsidR="007B4C0F" w:rsidRPr="00712B66" w:rsidRDefault="007B4C0F" w:rsidP="0036160E">
            <w:pPr>
              <w:pStyle w:val="naiskr"/>
              <w:spacing w:before="0" w:after="0"/>
              <w:ind w:firstLine="720"/>
            </w:pPr>
            <w:r w:rsidRPr="00712B66">
              <w:t>  </w:t>
            </w:r>
          </w:p>
        </w:tc>
        <w:tc>
          <w:tcPr>
            <w:tcW w:w="5874" w:type="dxa"/>
            <w:gridSpan w:val="2"/>
            <w:tcBorders>
              <w:bottom w:val="single" w:sz="6" w:space="0" w:color="000000"/>
            </w:tcBorders>
          </w:tcPr>
          <w:p w14:paraId="423F302B" w14:textId="77777777" w:rsidR="007B4C0F" w:rsidRPr="00712B66" w:rsidRDefault="007B4C0F" w:rsidP="0036160E">
            <w:pPr>
              <w:pStyle w:val="naiskr"/>
              <w:spacing w:before="0" w:after="0"/>
              <w:ind w:firstLine="720"/>
            </w:pPr>
          </w:p>
        </w:tc>
      </w:tr>
    </w:tbl>
    <w:p w14:paraId="45BD2D28" w14:textId="77777777" w:rsidR="00683081" w:rsidRPr="00712B66" w:rsidRDefault="00683081" w:rsidP="00683081">
      <w:pPr>
        <w:pStyle w:val="naisf"/>
        <w:spacing w:before="0" w:after="0"/>
        <w:ind w:firstLine="720"/>
      </w:pPr>
    </w:p>
    <w:p w14:paraId="7221AE9B" w14:textId="77777777" w:rsidR="00BE180E" w:rsidRDefault="00BE180E" w:rsidP="00184479">
      <w:pPr>
        <w:pStyle w:val="naisf"/>
        <w:spacing w:before="0" w:after="0"/>
        <w:ind w:firstLine="0"/>
        <w:jc w:val="center"/>
        <w:rPr>
          <w:b/>
        </w:rPr>
      </w:pPr>
      <w:r>
        <w:rPr>
          <w:b/>
        </w:rPr>
        <w:br w:type="page"/>
      </w:r>
    </w:p>
    <w:p w14:paraId="057A2190" w14:textId="14072BA2"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39665679" w14:textId="77777777" w:rsidR="007B4C0F" w:rsidRPr="00712B66" w:rsidRDefault="007B4C0F" w:rsidP="00DB7395">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7"/>
        <w:gridCol w:w="2403"/>
        <w:gridCol w:w="5076"/>
        <w:gridCol w:w="2863"/>
        <w:gridCol w:w="3943"/>
      </w:tblGrid>
      <w:tr w:rsidR="00134188" w:rsidRPr="00712B66" w14:paraId="0AC7046D" w14:textId="77777777" w:rsidTr="00152161">
        <w:tc>
          <w:tcPr>
            <w:tcW w:w="707" w:type="dxa"/>
            <w:tcBorders>
              <w:top w:val="single" w:sz="6" w:space="0" w:color="000000"/>
              <w:left w:val="single" w:sz="6" w:space="0" w:color="000000"/>
              <w:bottom w:val="single" w:sz="6" w:space="0" w:color="000000"/>
              <w:right w:val="single" w:sz="6" w:space="0" w:color="000000"/>
            </w:tcBorders>
            <w:vAlign w:val="center"/>
          </w:tcPr>
          <w:p w14:paraId="26102C89" w14:textId="77777777" w:rsidR="00134188" w:rsidRPr="00712B66" w:rsidRDefault="00134188" w:rsidP="009623BC">
            <w:pPr>
              <w:pStyle w:val="naisc"/>
              <w:spacing w:before="0" w:after="0"/>
            </w:pPr>
            <w:r w:rsidRPr="00712B66">
              <w:t>Nr. p.k.</w:t>
            </w:r>
          </w:p>
        </w:tc>
        <w:tc>
          <w:tcPr>
            <w:tcW w:w="2403" w:type="dxa"/>
            <w:tcBorders>
              <w:top w:val="single" w:sz="6" w:space="0" w:color="000000"/>
              <w:left w:val="single" w:sz="6" w:space="0" w:color="000000"/>
              <w:bottom w:val="single" w:sz="6" w:space="0" w:color="000000"/>
              <w:right w:val="single" w:sz="6" w:space="0" w:color="000000"/>
            </w:tcBorders>
            <w:vAlign w:val="center"/>
          </w:tcPr>
          <w:p w14:paraId="55894FAC"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5076" w:type="dxa"/>
            <w:tcBorders>
              <w:top w:val="single" w:sz="6" w:space="0" w:color="000000"/>
              <w:left w:val="single" w:sz="6" w:space="0" w:color="000000"/>
              <w:bottom w:val="single" w:sz="6" w:space="0" w:color="000000"/>
              <w:right w:val="single" w:sz="6" w:space="0" w:color="000000"/>
            </w:tcBorders>
            <w:vAlign w:val="center"/>
          </w:tcPr>
          <w:p w14:paraId="0FC25367"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2863" w:type="dxa"/>
            <w:tcBorders>
              <w:top w:val="single" w:sz="6" w:space="0" w:color="000000"/>
              <w:left w:val="single" w:sz="6" w:space="0" w:color="000000"/>
              <w:bottom w:val="single" w:sz="6" w:space="0" w:color="000000"/>
              <w:right w:val="single" w:sz="6" w:space="0" w:color="000000"/>
            </w:tcBorders>
            <w:vAlign w:val="center"/>
          </w:tcPr>
          <w:p w14:paraId="2D0648B2"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943" w:type="dxa"/>
            <w:tcBorders>
              <w:top w:val="single" w:sz="4" w:space="0" w:color="auto"/>
              <w:left w:val="single" w:sz="4" w:space="0" w:color="auto"/>
              <w:bottom w:val="single" w:sz="4" w:space="0" w:color="auto"/>
            </w:tcBorders>
            <w:vAlign w:val="center"/>
          </w:tcPr>
          <w:p w14:paraId="651FA9EE" w14:textId="77777777" w:rsidR="00134188" w:rsidRPr="00712B66" w:rsidRDefault="00134188" w:rsidP="009623BC">
            <w:pPr>
              <w:jc w:val="center"/>
            </w:pPr>
            <w:r w:rsidRPr="00712B66">
              <w:t>Projekta attiecīgā punkta (panta) galīgā redakcija</w:t>
            </w:r>
          </w:p>
        </w:tc>
      </w:tr>
      <w:tr w:rsidR="00134188" w:rsidRPr="003B71E0" w14:paraId="73272FAE" w14:textId="77777777" w:rsidTr="00152161">
        <w:tc>
          <w:tcPr>
            <w:tcW w:w="707" w:type="dxa"/>
            <w:tcBorders>
              <w:top w:val="single" w:sz="6" w:space="0" w:color="000000"/>
              <w:left w:val="single" w:sz="6" w:space="0" w:color="000000"/>
              <w:bottom w:val="single" w:sz="6" w:space="0" w:color="000000"/>
              <w:right w:val="single" w:sz="6" w:space="0" w:color="000000"/>
            </w:tcBorders>
          </w:tcPr>
          <w:p w14:paraId="100191D5" w14:textId="77777777" w:rsidR="00134188" w:rsidRPr="003B71E0" w:rsidRDefault="003B71E0" w:rsidP="003B71E0">
            <w:pPr>
              <w:pStyle w:val="naisc"/>
              <w:spacing w:before="0" w:after="0"/>
              <w:rPr>
                <w:sz w:val="20"/>
                <w:szCs w:val="20"/>
              </w:rPr>
            </w:pPr>
            <w:r w:rsidRPr="003B71E0">
              <w:rPr>
                <w:sz w:val="20"/>
                <w:szCs w:val="20"/>
              </w:rPr>
              <w:t>1</w:t>
            </w:r>
          </w:p>
        </w:tc>
        <w:tc>
          <w:tcPr>
            <w:tcW w:w="2403" w:type="dxa"/>
            <w:tcBorders>
              <w:top w:val="single" w:sz="6" w:space="0" w:color="000000"/>
              <w:left w:val="single" w:sz="6" w:space="0" w:color="000000"/>
              <w:bottom w:val="single" w:sz="6" w:space="0" w:color="000000"/>
              <w:right w:val="single" w:sz="6" w:space="0" w:color="000000"/>
            </w:tcBorders>
          </w:tcPr>
          <w:p w14:paraId="27444FC1" w14:textId="77777777" w:rsidR="00134188" w:rsidRPr="003B71E0" w:rsidRDefault="00F34AAB" w:rsidP="003B71E0">
            <w:pPr>
              <w:pStyle w:val="naisc"/>
              <w:spacing w:before="0" w:after="0"/>
              <w:ind w:firstLine="720"/>
              <w:rPr>
                <w:sz w:val="20"/>
                <w:szCs w:val="20"/>
              </w:rPr>
            </w:pPr>
            <w:r>
              <w:rPr>
                <w:sz w:val="20"/>
                <w:szCs w:val="20"/>
              </w:rPr>
              <w:t>2</w:t>
            </w:r>
          </w:p>
        </w:tc>
        <w:tc>
          <w:tcPr>
            <w:tcW w:w="5076" w:type="dxa"/>
            <w:tcBorders>
              <w:top w:val="single" w:sz="6" w:space="0" w:color="000000"/>
              <w:left w:val="single" w:sz="6" w:space="0" w:color="000000"/>
              <w:bottom w:val="single" w:sz="6" w:space="0" w:color="000000"/>
              <w:right w:val="single" w:sz="6" w:space="0" w:color="000000"/>
            </w:tcBorders>
          </w:tcPr>
          <w:p w14:paraId="02B45B82"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2863" w:type="dxa"/>
            <w:tcBorders>
              <w:top w:val="single" w:sz="6" w:space="0" w:color="000000"/>
              <w:left w:val="single" w:sz="6" w:space="0" w:color="000000"/>
              <w:bottom w:val="single" w:sz="6" w:space="0" w:color="000000"/>
              <w:right w:val="single" w:sz="6" w:space="0" w:color="000000"/>
            </w:tcBorders>
          </w:tcPr>
          <w:p w14:paraId="5C274D23"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3943" w:type="dxa"/>
            <w:tcBorders>
              <w:top w:val="single" w:sz="4" w:space="0" w:color="auto"/>
              <w:left w:val="single" w:sz="4" w:space="0" w:color="auto"/>
              <w:bottom w:val="single" w:sz="4" w:space="0" w:color="auto"/>
            </w:tcBorders>
          </w:tcPr>
          <w:p w14:paraId="6AC7196C" w14:textId="77777777" w:rsidR="00134188" w:rsidRPr="003B71E0" w:rsidRDefault="003B71E0" w:rsidP="003B71E0">
            <w:pPr>
              <w:jc w:val="center"/>
              <w:rPr>
                <w:sz w:val="20"/>
                <w:szCs w:val="20"/>
              </w:rPr>
            </w:pPr>
            <w:r w:rsidRPr="003B71E0">
              <w:rPr>
                <w:sz w:val="20"/>
                <w:szCs w:val="20"/>
              </w:rPr>
              <w:t>5</w:t>
            </w:r>
          </w:p>
        </w:tc>
      </w:tr>
      <w:tr w:rsidR="00134188" w:rsidRPr="00152161" w14:paraId="0A6D2995" w14:textId="77777777" w:rsidTr="00152161">
        <w:tc>
          <w:tcPr>
            <w:tcW w:w="707" w:type="dxa"/>
            <w:tcBorders>
              <w:left w:val="single" w:sz="6" w:space="0" w:color="000000"/>
              <w:bottom w:val="single" w:sz="4" w:space="0" w:color="auto"/>
              <w:right w:val="single" w:sz="6" w:space="0" w:color="000000"/>
            </w:tcBorders>
          </w:tcPr>
          <w:p w14:paraId="415D1255" w14:textId="391827EC" w:rsidR="00134188" w:rsidRPr="00152161" w:rsidRDefault="00152161" w:rsidP="00152161">
            <w:pPr>
              <w:pStyle w:val="naisc"/>
              <w:spacing w:before="0" w:after="0"/>
            </w:pPr>
            <w:r w:rsidRPr="00152161">
              <w:t>1</w:t>
            </w:r>
          </w:p>
        </w:tc>
        <w:tc>
          <w:tcPr>
            <w:tcW w:w="2403" w:type="dxa"/>
            <w:tcBorders>
              <w:left w:val="single" w:sz="6" w:space="0" w:color="000000"/>
              <w:bottom w:val="single" w:sz="4" w:space="0" w:color="auto"/>
              <w:right w:val="single" w:sz="6" w:space="0" w:color="000000"/>
            </w:tcBorders>
          </w:tcPr>
          <w:p w14:paraId="2A9524EA" w14:textId="77777777" w:rsidR="00134188" w:rsidRPr="00152161" w:rsidRDefault="00134188" w:rsidP="00DB7395">
            <w:pPr>
              <w:pStyle w:val="naisc"/>
              <w:spacing w:before="0" w:after="0"/>
              <w:ind w:firstLine="720"/>
            </w:pPr>
          </w:p>
        </w:tc>
        <w:tc>
          <w:tcPr>
            <w:tcW w:w="5076" w:type="dxa"/>
            <w:tcBorders>
              <w:left w:val="single" w:sz="6" w:space="0" w:color="000000"/>
              <w:bottom w:val="single" w:sz="4" w:space="0" w:color="auto"/>
              <w:right w:val="single" w:sz="6" w:space="0" w:color="000000"/>
            </w:tcBorders>
          </w:tcPr>
          <w:p w14:paraId="44EEC02C" w14:textId="77777777" w:rsidR="00134188" w:rsidRPr="00152161" w:rsidRDefault="00152161" w:rsidP="00152161">
            <w:pPr>
              <w:pStyle w:val="naisc"/>
              <w:spacing w:before="0" w:after="0"/>
              <w:rPr>
                <w:b/>
                <w:bCs/>
              </w:rPr>
            </w:pPr>
            <w:r w:rsidRPr="00152161">
              <w:rPr>
                <w:b/>
                <w:bCs/>
              </w:rPr>
              <w:t>Satiksmes ministrija</w:t>
            </w:r>
          </w:p>
          <w:p w14:paraId="164F26BD" w14:textId="77777777" w:rsidR="00152161" w:rsidRPr="00152161" w:rsidRDefault="00152161" w:rsidP="00152161">
            <w:pPr>
              <w:ind w:firstLine="720"/>
              <w:jc w:val="both"/>
            </w:pPr>
            <w:r w:rsidRPr="00152161">
              <w:t xml:space="preserve">Lūdzam izteikt </w:t>
            </w:r>
            <w:proofErr w:type="spellStart"/>
            <w:r w:rsidRPr="00152161">
              <w:t>Protokollēmuma</w:t>
            </w:r>
            <w:proofErr w:type="spellEnd"/>
            <w:r w:rsidRPr="00152161">
              <w:t xml:space="preserve"> 6.1. apakšpunktu šādā redakcijā:</w:t>
            </w:r>
          </w:p>
          <w:p w14:paraId="758DD076" w14:textId="77777777" w:rsidR="00152161" w:rsidRPr="00152161" w:rsidRDefault="00152161" w:rsidP="00152161">
            <w:pPr>
              <w:ind w:firstLine="720"/>
              <w:jc w:val="both"/>
            </w:pPr>
            <w:r w:rsidRPr="00152161">
              <w:t>“6.1. Satiksmes ministriju lieljaudas uzlādes punktu un alternatīvās degvielas infrastruktūras jautājumos;”</w:t>
            </w:r>
          </w:p>
          <w:p w14:paraId="5C833AB9" w14:textId="77777777" w:rsidR="00152161" w:rsidRPr="00152161" w:rsidRDefault="00152161" w:rsidP="00152161">
            <w:pPr>
              <w:ind w:firstLine="720"/>
              <w:jc w:val="both"/>
            </w:pPr>
            <w:r w:rsidRPr="00152161">
              <w:t xml:space="preserve">Izvērtējot Eiropas Parlamenta un Padomes 2018. gada 11. decembra Direktīvas (ES) 2018/2001 par no atjaunojamajiem energoresursiem iegūtas enerģijas izmantošanas veicināšanu (turpmāk – Direktīva 2018/2001) 28.panta 3.punktu, uz kura pamata Satiksmes </w:t>
            </w:r>
            <w:r w:rsidRPr="00152161">
              <w:lastRenderedPageBreak/>
              <w:t xml:space="preserve">ministrija ir noteikta kā līdzatbildīgā, tas nosaka sekojošo: </w:t>
            </w:r>
          </w:p>
          <w:p w14:paraId="3170AECA" w14:textId="77777777" w:rsidR="00152161" w:rsidRPr="00152161" w:rsidRDefault="00152161" w:rsidP="00152161">
            <w:pPr>
              <w:ind w:firstLine="720"/>
              <w:jc w:val="both"/>
              <w:rPr>
                <w:i/>
              </w:rPr>
            </w:pPr>
            <w:r w:rsidRPr="00152161">
              <w:rPr>
                <w:i/>
              </w:rPr>
              <w:t xml:space="preserve">Līdz 2021. gada 31. decembrim dalībvalstis pieņem pasākumus, lai nodrošinātu, ka transporta nozarei ir pieejamas atjaunojamo energoresursu degvielas, tostarp publiski pieejami lieljaudas uzlādes punkti un cita </w:t>
            </w:r>
            <w:proofErr w:type="spellStart"/>
            <w:r w:rsidRPr="00152161">
              <w:rPr>
                <w:i/>
              </w:rPr>
              <w:t>uzpildes</w:t>
            </w:r>
            <w:proofErr w:type="spellEnd"/>
            <w:r w:rsidRPr="00152161">
              <w:rPr>
                <w:i/>
              </w:rPr>
              <w:t xml:space="preserve"> infrastruktūra, kā tas paredzēts to valsts politikas satvaros saskaņā ar Direktīvu 2014/94/ES. </w:t>
            </w:r>
          </w:p>
          <w:p w14:paraId="4AEE3E38" w14:textId="77777777" w:rsidR="00152161" w:rsidRPr="00152161" w:rsidRDefault="00152161" w:rsidP="00152161">
            <w:pPr>
              <w:ind w:firstLine="720"/>
              <w:jc w:val="both"/>
            </w:pPr>
            <w:r w:rsidRPr="00152161">
              <w:t>No minētās direktīvas normas secināms, ka dalībvalstīm jāpieņem pasākumi, lai nodrošinātu pieejamas atjaunojamo energoresursu degvielas, lieljaudas uzlādes punktus un alternatīvo degvielu infrastruktūru.</w:t>
            </w:r>
          </w:p>
          <w:p w14:paraId="30D5C515" w14:textId="77777777" w:rsidR="00152161" w:rsidRPr="00152161" w:rsidRDefault="00152161" w:rsidP="00152161">
            <w:pPr>
              <w:ind w:firstLine="720"/>
              <w:jc w:val="both"/>
            </w:pPr>
            <w:r w:rsidRPr="00152161">
              <w:t xml:space="preserve">Saskaņā ar Ministru kabineta 2003.gada 29.aprīļa noteikumu Nr.242 “Satiksmes ministrijas nolikums” 5.24.apakšpunktu, Satiksmes ministrija organizē un koordinē valsts politikas izstrādi un īstenošanu alternatīvo degvielu un </w:t>
            </w:r>
            <w:proofErr w:type="spellStart"/>
            <w:r w:rsidRPr="00152161">
              <w:t>elektromobilitātes</w:t>
            </w:r>
            <w:proofErr w:type="spellEnd"/>
            <w:r w:rsidRPr="00152161">
              <w:t xml:space="preserve"> jomā un deleģē valsts akciju sabiedrībai "Ceļu satiksmes drošības direkcija" pienākumu izveidot un uzturēt </w:t>
            </w:r>
            <w:proofErr w:type="spellStart"/>
            <w:r w:rsidRPr="00152161">
              <w:t>elektromobilitātes</w:t>
            </w:r>
            <w:proofErr w:type="spellEnd"/>
            <w:r w:rsidRPr="00152161">
              <w:t xml:space="preserve"> infrastruktūru. </w:t>
            </w:r>
          </w:p>
          <w:p w14:paraId="13F68F32" w14:textId="77777777" w:rsidR="00152161" w:rsidRPr="00152161" w:rsidRDefault="00152161" w:rsidP="00152161">
            <w:pPr>
              <w:ind w:firstLine="720"/>
              <w:jc w:val="both"/>
            </w:pPr>
            <w:r w:rsidRPr="00152161">
              <w:t xml:space="preserve">Satiksmes ministrija ir noteikta kā atbildīgā ministrija Eiropas Parlamenta un Padomes 2014.gada 22.oktobra Direktīvas 2014/94/ES par alternatīvo degvielu infrastruktūras ieviešanu. </w:t>
            </w:r>
          </w:p>
          <w:p w14:paraId="74E03F76" w14:textId="77777777" w:rsidR="00152161" w:rsidRPr="00152161" w:rsidRDefault="00152161" w:rsidP="00152161">
            <w:pPr>
              <w:ind w:firstLine="720"/>
              <w:jc w:val="both"/>
            </w:pPr>
            <w:r w:rsidRPr="00152161">
              <w:t xml:space="preserve">Savukārt, saskaņā ar Ekonomikas ministrijas izstrādāto </w:t>
            </w:r>
            <w:proofErr w:type="spellStart"/>
            <w:r w:rsidRPr="00152161">
              <w:t>protokollēmuma</w:t>
            </w:r>
            <w:proofErr w:type="spellEnd"/>
            <w:r w:rsidRPr="00152161">
              <w:t xml:space="preserve"> 6.1. apakšpunktu Satiksmes ministrija tiek noteikta par līdzatbildīgo ministriju nacionālo tiesību aktu izstrādē un citu nepieciešamo valsts izpildes pasākumu īstenošanā Direktīvas 2018/2001 </w:t>
            </w:r>
            <w:r w:rsidRPr="00152161">
              <w:lastRenderedPageBreak/>
              <w:t xml:space="preserve">nosacījumu ieviešanā ne tikai attiecībā uz alternatīvo degvielu infrastruktūras, bet arī citas </w:t>
            </w:r>
            <w:proofErr w:type="spellStart"/>
            <w:r w:rsidRPr="00152161">
              <w:t>uzpildes</w:t>
            </w:r>
            <w:proofErr w:type="spellEnd"/>
            <w:r w:rsidRPr="00152161">
              <w:t xml:space="preserve"> infrastruktūras jautājumos. Līdz ar to </w:t>
            </w:r>
            <w:proofErr w:type="spellStart"/>
            <w:r w:rsidRPr="00152161">
              <w:t>Protokollēmumā</w:t>
            </w:r>
            <w:proofErr w:type="spellEnd"/>
            <w:r w:rsidRPr="00152161">
              <w:t xml:space="preserve"> iekļautais formulējums pārsniedz Satiksmes ministrijas kompetenci, jo saskaņā ar nacionālajiem normatīvajiem aktiem par  alternatīvo degvielu (kas cita starpā ietver arī </w:t>
            </w:r>
            <w:proofErr w:type="spellStart"/>
            <w:r w:rsidRPr="00152161">
              <w:t>elektrotransportlīdzekļu</w:t>
            </w:r>
            <w:proofErr w:type="spellEnd"/>
            <w:r w:rsidRPr="00152161">
              <w:t xml:space="preserve"> uzlādi) Satiksmes ministrija var būt tikai līdzatbildīga infrastruktūras politikas organizēšanā un koordinēšanā.</w:t>
            </w:r>
          </w:p>
          <w:p w14:paraId="36B5FD46" w14:textId="3D5A1BF1" w:rsidR="00152161" w:rsidRPr="00152161" w:rsidRDefault="00152161" w:rsidP="00152161">
            <w:pPr>
              <w:pStyle w:val="naisc"/>
              <w:spacing w:before="0" w:after="0"/>
              <w:jc w:val="left"/>
            </w:pPr>
          </w:p>
        </w:tc>
        <w:tc>
          <w:tcPr>
            <w:tcW w:w="2863" w:type="dxa"/>
            <w:tcBorders>
              <w:left w:val="single" w:sz="6" w:space="0" w:color="000000"/>
              <w:bottom w:val="single" w:sz="4" w:space="0" w:color="auto"/>
              <w:right w:val="single" w:sz="6" w:space="0" w:color="000000"/>
            </w:tcBorders>
          </w:tcPr>
          <w:p w14:paraId="7EC23F37" w14:textId="344B23D1" w:rsidR="00134188" w:rsidRPr="00152161" w:rsidRDefault="00152161" w:rsidP="00152161">
            <w:pPr>
              <w:pStyle w:val="naisc"/>
              <w:spacing w:before="0" w:after="0"/>
              <w:rPr>
                <w:b/>
                <w:bCs/>
              </w:rPr>
            </w:pPr>
            <w:r w:rsidRPr="00152161">
              <w:rPr>
                <w:b/>
                <w:bCs/>
              </w:rPr>
              <w:lastRenderedPageBreak/>
              <w:t>Ņemts vērā</w:t>
            </w:r>
          </w:p>
        </w:tc>
        <w:tc>
          <w:tcPr>
            <w:tcW w:w="3943" w:type="dxa"/>
            <w:tcBorders>
              <w:top w:val="single" w:sz="4" w:space="0" w:color="auto"/>
              <w:left w:val="single" w:sz="4" w:space="0" w:color="auto"/>
              <w:bottom w:val="single" w:sz="4" w:space="0" w:color="auto"/>
            </w:tcBorders>
          </w:tcPr>
          <w:p w14:paraId="44312986" w14:textId="77777777" w:rsidR="00134188" w:rsidRPr="00152161" w:rsidRDefault="00152161">
            <w:proofErr w:type="spellStart"/>
            <w:r w:rsidRPr="00152161">
              <w:t>Protokollēmuma</w:t>
            </w:r>
            <w:proofErr w:type="spellEnd"/>
            <w:r w:rsidRPr="00152161">
              <w:t xml:space="preserve"> 6.punkts:</w:t>
            </w:r>
          </w:p>
          <w:p w14:paraId="1A96C7D5" w14:textId="77777777" w:rsidR="00152161" w:rsidRPr="00152161" w:rsidRDefault="00152161" w:rsidP="00152161">
            <w:pPr>
              <w:spacing w:before="60" w:after="60"/>
              <w:ind w:firstLine="720"/>
              <w:jc w:val="both"/>
            </w:pPr>
            <w:r w:rsidRPr="00152161">
              <w:t>6. Noteikt Satiksmes ministriju kā līdzatbildīgo ministriju par nacionālo tiesību aktu (vai normatīvo aktu) projektu izstrādi un citu nepieciešamo valsts izpildes pasākumu īstenošanu Direktīvas 2018/2001 nosacījumu ieviešanā lieljaudas uzlādes punktu un alternatīvās degvielas infrastruktūras jautājumos.</w:t>
            </w:r>
          </w:p>
          <w:p w14:paraId="7D002A8C" w14:textId="4BBA468B" w:rsidR="00152161" w:rsidRPr="00152161" w:rsidRDefault="00152161"/>
        </w:tc>
      </w:tr>
      <w:tr w:rsidR="003B71E0" w:rsidRPr="00152161" w14:paraId="32BE198F" w14:textId="77777777" w:rsidTr="00152161">
        <w:tc>
          <w:tcPr>
            <w:tcW w:w="707" w:type="dxa"/>
            <w:tcBorders>
              <w:left w:val="single" w:sz="6" w:space="0" w:color="000000"/>
              <w:bottom w:val="single" w:sz="4" w:space="0" w:color="auto"/>
              <w:right w:val="single" w:sz="6" w:space="0" w:color="000000"/>
            </w:tcBorders>
          </w:tcPr>
          <w:p w14:paraId="18E10230" w14:textId="5EC1AF93" w:rsidR="003B71E0" w:rsidRPr="00152161" w:rsidRDefault="00152161" w:rsidP="00152161">
            <w:pPr>
              <w:pStyle w:val="naisc"/>
              <w:spacing w:before="0" w:after="0"/>
            </w:pPr>
            <w:r w:rsidRPr="00152161">
              <w:lastRenderedPageBreak/>
              <w:t>2</w:t>
            </w:r>
          </w:p>
        </w:tc>
        <w:tc>
          <w:tcPr>
            <w:tcW w:w="2403" w:type="dxa"/>
            <w:tcBorders>
              <w:left w:val="single" w:sz="6" w:space="0" w:color="000000"/>
              <w:bottom w:val="single" w:sz="4" w:space="0" w:color="auto"/>
              <w:right w:val="single" w:sz="6" w:space="0" w:color="000000"/>
            </w:tcBorders>
          </w:tcPr>
          <w:p w14:paraId="0B1DA2BD" w14:textId="77777777" w:rsidR="003B71E0" w:rsidRPr="00152161" w:rsidRDefault="003B71E0" w:rsidP="003B71E0">
            <w:pPr>
              <w:pStyle w:val="naisc"/>
              <w:spacing w:before="0" w:after="0"/>
              <w:ind w:firstLine="720"/>
            </w:pPr>
          </w:p>
        </w:tc>
        <w:tc>
          <w:tcPr>
            <w:tcW w:w="5076" w:type="dxa"/>
            <w:tcBorders>
              <w:left w:val="single" w:sz="6" w:space="0" w:color="000000"/>
              <w:bottom w:val="single" w:sz="4" w:space="0" w:color="auto"/>
              <w:right w:val="single" w:sz="6" w:space="0" w:color="000000"/>
            </w:tcBorders>
          </w:tcPr>
          <w:p w14:paraId="1B7A4FB7" w14:textId="77777777" w:rsidR="003B71E0" w:rsidRPr="00152161" w:rsidRDefault="00152161" w:rsidP="003B71E0">
            <w:pPr>
              <w:pStyle w:val="naisc"/>
              <w:spacing w:before="0" w:after="0"/>
              <w:ind w:firstLine="720"/>
              <w:rPr>
                <w:b/>
                <w:bCs/>
              </w:rPr>
            </w:pPr>
            <w:r w:rsidRPr="00152161">
              <w:rPr>
                <w:b/>
                <w:bCs/>
              </w:rPr>
              <w:t>Vides aizsardzības un reģionālās attīstības ministrija</w:t>
            </w:r>
          </w:p>
          <w:p w14:paraId="1616900F" w14:textId="77777777" w:rsidR="00152161" w:rsidRPr="00152161" w:rsidRDefault="00152161" w:rsidP="00152161">
            <w:pPr>
              <w:ind w:firstLine="709"/>
              <w:jc w:val="both"/>
            </w:pPr>
            <w:r w:rsidRPr="00152161">
              <w:t xml:space="preserve">Attiecībā uz VSS </w:t>
            </w:r>
            <w:proofErr w:type="spellStart"/>
            <w:r w:rsidRPr="00152161">
              <w:t>protokollēmuma</w:t>
            </w:r>
            <w:proofErr w:type="spellEnd"/>
            <w:r w:rsidRPr="00152161">
              <w:t xml:space="preserve"> projektu.</w:t>
            </w:r>
          </w:p>
          <w:p w14:paraId="7AA14612" w14:textId="77777777" w:rsidR="00152161" w:rsidRPr="00152161" w:rsidRDefault="00152161" w:rsidP="00152161">
            <w:pPr>
              <w:ind w:firstLine="709"/>
              <w:jc w:val="both"/>
            </w:pPr>
            <w:r w:rsidRPr="00152161">
              <w:t xml:space="preserve">1. VARAM piekrīt 4.1. apakšpunktā norādītajam, ka VARAM ir </w:t>
            </w:r>
            <w:r w:rsidRPr="00152161">
              <w:rPr>
                <w:b/>
                <w:bCs/>
              </w:rPr>
              <w:t>līdzatbildīgā</w:t>
            </w:r>
            <w:r w:rsidRPr="00152161">
              <w:t xml:space="preserve"> ministrija Ministru kabineta 2011. gada 5. jūlija noteikumu Nr. 545 “Noteikumi par biodegvielu un bioloģisko šķidro kurināmo ilgtspējas kritērijiem, to ieviešanas mehānismu un uzraudzības un kontroles kārtību” pilnveidošanas procesā. Līdz ar to nepieciešams precizēt 4. punkta ievaddaļu, kur ir norādīts, ka VARAM ir atbildīgā ministrija par minēto uzdevumu.</w:t>
            </w:r>
          </w:p>
          <w:p w14:paraId="180A0A57" w14:textId="77777777" w:rsidR="00152161" w:rsidRPr="00152161" w:rsidRDefault="00152161" w:rsidP="00152161">
            <w:pPr>
              <w:ind w:firstLine="709"/>
              <w:jc w:val="both"/>
            </w:pPr>
            <w:r w:rsidRPr="00152161">
              <w:t>2. VARAM nepiekrīt 4.2. apakšpunktā norādītajai redakcijai, jo institūciju atbildība par jaunajiem Eiropas Komisijas īstenošanas aktiem vai deleģētajiem aktiem ir nosakāma pēc šo priekšlikumu publicēšanas atbilstoši Latvijā noteiktajai kārtībai.</w:t>
            </w:r>
          </w:p>
          <w:p w14:paraId="543B715D" w14:textId="77777777" w:rsidR="00152161" w:rsidRPr="00152161" w:rsidRDefault="00152161" w:rsidP="00152161">
            <w:pPr>
              <w:ind w:firstLine="709"/>
              <w:jc w:val="both"/>
            </w:pPr>
          </w:p>
          <w:p w14:paraId="0778DAC0" w14:textId="77777777" w:rsidR="00152161" w:rsidRPr="00152161" w:rsidRDefault="00152161" w:rsidP="00152161">
            <w:pPr>
              <w:ind w:firstLine="709"/>
              <w:jc w:val="both"/>
            </w:pPr>
            <w:r w:rsidRPr="00152161">
              <w:lastRenderedPageBreak/>
              <w:t>Attiecībā uz informatīvā ziņojuma projektu, lūdzu pilnveidot 2.3. sadaļu, ņemot vērā zemāk norādītos aspektus.</w:t>
            </w:r>
          </w:p>
          <w:p w14:paraId="426CA2AF" w14:textId="77777777" w:rsidR="00152161" w:rsidRPr="00152161" w:rsidRDefault="00152161" w:rsidP="00152161">
            <w:pPr>
              <w:ind w:firstLine="567"/>
              <w:jc w:val="both"/>
            </w:pPr>
            <w:r w:rsidRPr="00152161">
              <w:t>Vēršam uzmanību, ka nesenās ES tautsaimniecību būtiski transformējošās Eiropas Komisijas iniciatīvas tādas kā “Tīru planētu visiem!”</w:t>
            </w:r>
            <w:r w:rsidRPr="00152161">
              <w:rPr>
                <w:rStyle w:val="FootnoteReference"/>
              </w:rPr>
              <w:footnoteReference w:id="1"/>
            </w:r>
            <w:r w:rsidRPr="00152161">
              <w:t xml:space="preserve"> un Eiropas Zaļais kurss</w:t>
            </w:r>
            <w:r w:rsidRPr="00152161">
              <w:rPr>
                <w:rStyle w:val="FootnoteReference"/>
              </w:rPr>
              <w:footnoteReference w:id="2"/>
            </w:r>
            <w:r w:rsidRPr="00152161">
              <w:t xml:space="preserve">, no kurām arī izriet tiesību aktu grozījumi ES līmenī dažādās tautsaimniecības jomās, ir daudz plašākas nekā tikai klimata politikas iniciatīvas un ir ar stratēģisku ilgtermiņa redzējumu par visas ES tautsaimniecības attīstību. </w:t>
            </w:r>
          </w:p>
          <w:p w14:paraId="5CA9F07C" w14:textId="77777777" w:rsidR="00152161" w:rsidRPr="00152161" w:rsidRDefault="00152161" w:rsidP="00152161">
            <w:pPr>
              <w:ind w:firstLine="567"/>
              <w:jc w:val="both"/>
            </w:pPr>
            <w:r w:rsidRPr="00152161">
              <w:t>Latvijā nozaru politikas izstrādā un īsteno atbilstošās nozaru ministrijas. Līdzšinējā prakse ir tāda, ka</w:t>
            </w:r>
            <w:r w:rsidRPr="00152161">
              <w:rPr>
                <w:b/>
                <w:bCs/>
              </w:rPr>
              <w:t xml:space="preserve"> nozaru m</w:t>
            </w:r>
            <w:r w:rsidRPr="00152161">
              <w:rPr>
                <w:b/>
                <w:bCs/>
                <w:color w:val="000000"/>
                <w:shd w:val="clear" w:color="auto" w:fill="FFFFFF"/>
              </w:rPr>
              <w:t>inistrijas izstrādā metodikas siltumnīcefekta gāzu emisiju (turpmāk – SEG) un CO</w:t>
            </w:r>
            <w:r w:rsidRPr="00152161">
              <w:rPr>
                <w:b/>
                <w:bCs/>
                <w:color w:val="000000"/>
                <w:shd w:val="clear" w:color="auto" w:fill="FFFFFF"/>
                <w:vertAlign w:val="subscript"/>
              </w:rPr>
              <w:t>2</w:t>
            </w:r>
            <w:r w:rsidRPr="00152161">
              <w:rPr>
                <w:b/>
                <w:bCs/>
                <w:color w:val="000000"/>
                <w:shd w:val="clear" w:color="auto" w:fill="FFFFFF"/>
              </w:rPr>
              <w:t xml:space="preserve"> emisiju aprēķiniem atbilstoši to kompetencē esošajiem jautājumiem</w:t>
            </w:r>
            <w:r w:rsidRPr="00152161">
              <w:rPr>
                <w:color w:val="000000"/>
                <w:shd w:val="clear" w:color="auto" w:fill="FFFFFF"/>
              </w:rPr>
              <w:t xml:space="preserve">, jo tās detāli pārzina nozares nianses, ir identificējušas riskus un pārzina attīstības tendences, piemēram, </w:t>
            </w:r>
            <w:r w:rsidRPr="00152161">
              <w:t>t</w:t>
            </w:r>
            <w:r w:rsidRPr="00152161">
              <w:rPr>
                <w:shd w:val="clear" w:color="auto" w:fill="FFFFFF"/>
              </w:rPr>
              <w:t>ransporta enerģijas aprites cikla siltumnīcefekta gāzu emisiju daudzuma un tā samazinājuma aprēķināšana, ēku energoefektivitātes aprēķina metode (tiek rēķināts CO</w:t>
            </w:r>
            <w:r w:rsidRPr="00152161">
              <w:rPr>
                <w:shd w:val="clear" w:color="auto" w:fill="FFFFFF"/>
                <w:vertAlign w:val="subscript"/>
              </w:rPr>
              <w:t>2</w:t>
            </w:r>
            <w:r w:rsidRPr="00152161">
              <w:rPr>
                <w:shd w:val="clear" w:color="auto" w:fill="FFFFFF"/>
              </w:rPr>
              <w:t xml:space="preserve"> apjoms), </w:t>
            </w:r>
            <w:r w:rsidRPr="00152161">
              <w:t>aramzemju un ilggadīgo zālāju apsaimniekošanas radīto SEG emisiju un CO</w:t>
            </w:r>
            <w:r w:rsidRPr="00152161">
              <w:rPr>
                <w:vertAlign w:val="subscript"/>
              </w:rPr>
              <w:t>2</w:t>
            </w:r>
            <w:r w:rsidRPr="00152161">
              <w:t xml:space="preserve"> piesaistes uzskaites un ziņošanas sistēma</w:t>
            </w:r>
            <w:r w:rsidRPr="00152161">
              <w:rPr>
                <w:color w:val="000000"/>
                <w:shd w:val="clear" w:color="auto" w:fill="FFFFFF"/>
              </w:rPr>
              <w:t xml:space="preserve">. Visi šie piemēri ilustrē, ka </w:t>
            </w:r>
            <w:r w:rsidRPr="00152161">
              <w:rPr>
                <w:i/>
                <w:iCs/>
                <w:color w:val="000000"/>
                <w:shd w:val="clear" w:color="auto" w:fill="FFFFFF"/>
              </w:rPr>
              <w:t xml:space="preserve">“politikas izstrādi, kas tieši attiecas uz SEG emisiju ietaupījumiem un to aprēķinu” </w:t>
            </w:r>
            <w:r w:rsidRPr="00152161">
              <w:rPr>
                <w:color w:val="000000"/>
                <w:shd w:val="clear" w:color="auto" w:fill="FFFFFF"/>
              </w:rPr>
              <w:t xml:space="preserve">nodrošina gan Ekonomikas ministrija, gan Zemkopības ministrija. </w:t>
            </w:r>
            <w:r w:rsidRPr="00152161">
              <w:t>Līdz ar to VARAM iebilst pretēja precedenta radīšanai.</w:t>
            </w:r>
          </w:p>
          <w:p w14:paraId="7E7BA7E0" w14:textId="77777777" w:rsidR="00152161" w:rsidRPr="00152161" w:rsidRDefault="00152161" w:rsidP="00152161">
            <w:pPr>
              <w:ind w:firstLine="567"/>
              <w:jc w:val="both"/>
            </w:pPr>
          </w:p>
          <w:p w14:paraId="68E42C9E" w14:textId="77777777" w:rsidR="00152161" w:rsidRPr="00152161" w:rsidRDefault="00152161" w:rsidP="00152161">
            <w:pPr>
              <w:ind w:firstLine="709"/>
              <w:jc w:val="both"/>
            </w:pPr>
            <w:r w:rsidRPr="00152161">
              <w:rPr>
                <w:b/>
                <w:bCs/>
              </w:rPr>
              <w:t>VARAM izstrādā politiku (tiesību aktus), kam ir starpnozaru koordinējoša funkcija nacionālā līmenī.</w:t>
            </w:r>
            <w:r w:rsidRPr="00152161">
              <w:t xml:space="preserve"> To labi ilustrē arī EM ziņojuma projektā 2.3. sadaļā minētie VARAM izstrādātie tiesību akti, kas nodrošina horizontālu principu noteikšanu, veic koordinējošu funkciju un ieviešanu klimata politikas mērķu sasniegšanai valsts līmenī, nevis saistīti ar specifisku nozaru/</w:t>
            </w:r>
            <w:proofErr w:type="spellStart"/>
            <w:r w:rsidRPr="00152161">
              <w:t>apakšnozaru</w:t>
            </w:r>
            <w:proofErr w:type="spellEnd"/>
            <w:r w:rsidRPr="00152161">
              <w:t xml:space="preserve"> politiku:</w:t>
            </w:r>
          </w:p>
          <w:p w14:paraId="14908723" w14:textId="77777777" w:rsidR="00152161" w:rsidRPr="00152161" w:rsidRDefault="00152161" w:rsidP="00152161">
            <w:pPr>
              <w:pStyle w:val="ListParagraph"/>
              <w:numPr>
                <w:ilvl w:val="0"/>
                <w:numId w:val="6"/>
              </w:numPr>
              <w:autoSpaceDE w:val="0"/>
              <w:autoSpaceDN w:val="0"/>
              <w:spacing w:after="0" w:line="240" w:lineRule="auto"/>
              <w:ind w:left="320"/>
              <w:contextualSpacing w:val="0"/>
              <w:jc w:val="both"/>
              <w:rPr>
                <w:rFonts w:ascii="Times New Roman" w:hAnsi="Times New Roman"/>
                <w:sz w:val="24"/>
                <w:szCs w:val="24"/>
              </w:rPr>
            </w:pPr>
            <w:r w:rsidRPr="00152161">
              <w:rPr>
                <w:rFonts w:ascii="Times New Roman" w:hAnsi="Times New Roman"/>
                <w:sz w:val="24"/>
                <w:szCs w:val="24"/>
              </w:rPr>
              <w:t>Likuma Par piesārņojumu mērķis ir samazināt SEG emisijas un palielināt oglekļa dioksīda piesaisti, ņemot vērā izmaksu efektivitāti, nodrošināt līdzdalību ETS un izpildīt Latvijas saistības attiecībā uz SEG emisiju samazināšanu un oglekļa dioksīda piesaisti;</w:t>
            </w:r>
          </w:p>
          <w:p w14:paraId="079D061C" w14:textId="77777777" w:rsidR="00152161" w:rsidRPr="00152161" w:rsidRDefault="00152161" w:rsidP="00152161">
            <w:pPr>
              <w:pStyle w:val="ListParagraph"/>
              <w:numPr>
                <w:ilvl w:val="0"/>
                <w:numId w:val="6"/>
              </w:numPr>
              <w:spacing w:after="0" w:line="240" w:lineRule="auto"/>
              <w:ind w:left="320"/>
              <w:contextualSpacing w:val="0"/>
              <w:jc w:val="both"/>
              <w:rPr>
                <w:rFonts w:ascii="Times New Roman" w:hAnsi="Times New Roman"/>
                <w:sz w:val="24"/>
                <w:szCs w:val="24"/>
              </w:rPr>
            </w:pPr>
            <w:r w:rsidRPr="00152161">
              <w:rPr>
                <w:rFonts w:ascii="Times New Roman" w:hAnsi="Times New Roman"/>
                <w:sz w:val="24"/>
                <w:szCs w:val="24"/>
              </w:rPr>
              <w:t xml:space="preserve">Ministru kabineta 2018. gada 23. janvāra noteikumi Nr. 42 “Siltumnīcefekta gāzu emisiju aprēķina metodika” nosaka </w:t>
            </w:r>
            <w:r w:rsidRPr="00152161">
              <w:rPr>
                <w:rFonts w:ascii="Times New Roman" w:hAnsi="Times New Roman"/>
                <w:sz w:val="24"/>
                <w:szCs w:val="24"/>
                <w:u w:val="single"/>
              </w:rPr>
              <w:t>vienotu, vienkāršotu un vispārīgu</w:t>
            </w:r>
            <w:r w:rsidRPr="00152161">
              <w:rPr>
                <w:rFonts w:ascii="Times New Roman" w:hAnsi="Times New Roman"/>
                <w:sz w:val="24"/>
                <w:szCs w:val="24"/>
              </w:rPr>
              <w:t xml:space="preserve"> SEG emisiju aprēķina metodiku, lai novērtētu pasākumu un projektu ietekmi uz klimata pārmaiņām. Noteikumi neparedz detalizētu SEG aprēķina kārtību nozaru specifiskajiem gadījumiem, t.i. šī aprēķina kārtība ir atstāta pasākumu īstenotāju kompetencē;</w:t>
            </w:r>
          </w:p>
          <w:p w14:paraId="2E002316" w14:textId="77777777" w:rsidR="00152161" w:rsidRPr="00152161" w:rsidRDefault="00152161" w:rsidP="00152161">
            <w:pPr>
              <w:pStyle w:val="tv213"/>
              <w:numPr>
                <w:ilvl w:val="0"/>
                <w:numId w:val="6"/>
              </w:numPr>
              <w:shd w:val="clear" w:color="auto" w:fill="FFFFFF"/>
              <w:spacing w:before="0" w:beforeAutospacing="0" w:after="0" w:afterAutospacing="0"/>
              <w:ind w:left="320"/>
              <w:jc w:val="both"/>
              <w:rPr>
                <w:rFonts w:eastAsia="Calibri"/>
                <w:lang w:eastAsia="en-US"/>
              </w:rPr>
            </w:pPr>
            <w:r w:rsidRPr="00152161">
              <w:rPr>
                <w:rFonts w:eastAsia="Calibri"/>
                <w:lang w:eastAsia="en-US"/>
              </w:rPr>
              <w:t xml:space="preserve">Ministru kabineta 2017. gada 12. decembra noteikumi Nr. 737 “Siltumnīcefekta gāzu inventarizācijas un prognožu sagatavošanas nacionālās sistēmas izveidošanas un uzturēšanas noteikumi” nosaka kārtību, kādā tiek izveidota un uzturēta siltumnīcefekta gāzu </w:t>
            </w:r>
            <w:r w:rsidRPr="00152161">
              <w:rPr>
                <w:rFonts w:eastAsia="Calibri"/>
                <w:u w:val="single"/>
                <w:lang w:eastAsia="en-US"/>
              </w:rPr>
              <w:lastRenderedPageBreak/>
              <w:t>inventarizācijas</w:t>
            </w:r>
            <w:r w:rsidRPr="00152161">
              <w:rPr>
                <w:rFonts w:eastAsia="Calibri"/>
                <w:lang w:eastAsia="en-US"/>
              </w:rPr>
              <w:t xml:space="preserve"> un siltumnīcefekta gāzu </w:t>
            </w:r>
            <w:r w:rsidRPr="00152161">
              <w:rPr>
                <w:rFonts w:eastAsia="Calibri"/>
                <w:u w:val="single"/>
                <w:lang w:eastAsia="en-US"/>
              </w:rPr>
              <w:t>prognožu</w:t>
            </w:r>
            <w:r w:rsidRPr="00152161">
              <w:rPr>
                <w:rFonts w:eastAsia="Calibri"/>
                <w:lang w:eastAsia="en-US"/>
              </w:rPr>
              <w:t xml:space="preserve"> sagatavošanas </w:t>
            </w:r>
            <w:r w:rsidRPr="00152161">
              <w:rPr>
                <w:rFonts w:eastAsia="Calibri"/>
                <w:u w:val="single"/>
                <w:lang w:eastAsia="en-US"/>
              </w:rPr>
              <w:t>nacionālā sistēma</w:t>
            </w:r>
            <w:r w:rsidRPr="00152161">
              <w:rPr>
                <w:rFonts w:eastAsia="Calibri"/>
                <w:lang w:eastAsia="en-US"/>
              </w:rPr>
              <w:t>.</w:t>
            </w:r>
          </w:p>
          <w:p w14:paraId="564EBE56" w14:textId="77777777" w:rsidR="00152161" w:rsidRPr="00152161" w:rsidRDefault="00152161" w:rsidP="00152161">
            <w:pPr>
              <w:ind w:firstLine="567"/>
              <w:jc w:val="both"/>
              <w:rPr>
                <w:rFonts w:eastAsia="Calibri"/>
                <w:b/>
                <w:bCs/>
                <w:lang w:eastAsia="en-US"/>
              </w:rPr>
            </w:pPr>
            <w:r w:rsidRPr="00152161">
              <w:t xml:space="preserve">VARAM ieskatā nav atbalstāma EM pieeja atjaunojamo energoresursu mērķi transporta degvielai skatīt atrauti no SEG emisiju ietaupījuma mērķa. </w:t>
            </w:r>
            <w:r w:rsidRPr="00152161">
              <w:rPr>
                <w:b/>
                <w:bCs/>
              </w:rPr>
              <w:t xml:space="preserve">VARAM kompetenci izstrādāt klimata politiku nevar attiecināt uz specifiskiem nozares SEG emisiju uzskaites un samazināšanas pasākumiem. </w:t>
            </w:r>
          </w:p>
          <w:p w14:paraId="0AF8E216" w14:textId="3B45B1D5" w:rsidR="00152161" w:rsidRPr="00BE180E" w:rsidRDefault="00152161" w:rsidP="00BE180E">
            <w:pPr>
              <w:ind w:firstLine="709"/>
              <w:jc w:val="both"/>
              <w:rPr>
                <w:shd w:val="clear" w:color="auto" w:fill="FFFFFF"/>
              </w:rPr>
            </w:pPr>
            <w:r w:rsidRPr="00152161">
              <w:t xml:space="preserve">Ņemot vērā iepriekš minēto un, izvērtējot Direktīvas </w:t>
            </w:r>
            <w:r w:rsidRPr="00152161">
              <w:rPr>
                <w:bCs/>
              </w:rPr>
              <w:t>2018/2001 prasības, VARAM</w:t>
            </w:r>
            <w:r w:rsidRPr="00152161">
              <w:t xml:space="preserve"> šobrīd nav identificējusi Direktīvas </w:t>
            </w:r>
            <w:r w:rsidRPr="00152161">
              <w:rPr>
                <w:bCs/>
              </w:rPr>
              <w:t>2018/2001</w:t>
            </w:r>
            <w:r w:rsidRPr="00152161">
              <w:t xml:space="preserve"> tiesību normas, ko nepieciešams pārņemt Latvijas tiesību aktos VARAM kompetences ietvaros kā atbildīgajai ministrijai.</w:t>
            </w:r>
          </w:p>
        </w:tc>
        <w:tc>
          <w:tcPr>
            <w:tcW w:w="2863" w:type="dxa"/>
            <w:tcBorders>
              <w:left w:val="single" w:sz="6" w:space="0" w:color="000000"/>
              <w:bottom w:val="single" w:sz="4" w:space="0" w:color="auto"/>
              <w:right w:val="single" w:sz="6" w:space="0" w:color="000000"/>
            </w:tcBorders>
          </w:tcPr>
          <w:p w14:paraId="766AC956" w14:textId="77777777" w:rsidR="003B71E0" w:rsidRPr="00152161" w:rsidRDefault="00152161" w:rsidP="00152161">
            <w:pPr>
              <w:pStyle w:val="naisc"/>
              <w:spacing w:before="0" w:after="0"/>
              <w:rPr>
                <w:b/>
                <w:bCs/>
              </w:rPr>
            </w:pPr>
            <w:r w:rsidRPr="00152161">
              <w:rPr>
                <w:b/>
                <w:bCs/>
              </w:rPr>
              <w:lastRenderedPageBreak/>
              <w:t>Ņemts vērā</w:t>
            </w:r>
          </w:p>
          <w:p w14:paraId="0E9D1B65" w14:textId="77777777" w:rsidR="00152161" w:rsidRPr="00152161" w:rsidRDefault="00152161" w:rsidP="00152161">
            <w:pPr>
              <w:pStyle w:val="naisc"/>
              <w:spacing w:before="0" w:after="0"/>
              <w:jc w:val="left"/>
            </w:pPr>
          </w:p>
          <w:p w14:paraId="42024D88" w14:textId="77777777" w:rsidR="00152161" w:rsidRPr="00152161" w:rsidRDefault="00152161" w:rsidP="00152161">
            <w:pPr>
              <w:pStyle w:val="naisc"/>
              <w:spacing w:before="0" w:after="0"/>
              <w:jc w:val="left"/>
            </w:pPr>
            <w:proofErr w:type="spellStart"/>
            <w:r w:rsidRPr="00152161">
              <w:t>Protokollēmuma</w:t>
            </w:r>
            <w:proofErr w:type="spellEnd"/>
            <w:r w:rsidRPr="00152161">
              <w:t xml:space="preserve"> 4.2.punkta redakcija ir precizēta, nosakot, ka atbildība par EK izstrādātajiem sekundārajiem tiesību aktiem tiek noteikta EM izveidotās darba grupas līmenī.</w:t>
            </w:r>
          </w:p>
          <w:p w14:paraId="09062D07" w14:textId="726CDADA" w:rsidR="00152161" w:rsidRPr="00152161" w:rsidRDefault="00152161" w:rsidP="00152161">
            <w:pPr>
              <w:pStyle w:val="naisc"/>
              <w:spacing w:before="0" w:after="0"/>
              <w:jc w:val="left"/>
            </w:pPr>
            <w:r w:rsidRPr="00152161">
              <w:t>Norādām, ka LV šobrīd nav noteikti nosacījumi, kā tiek noteiktas atbildības par minētajiem sekundārajiem tiesību aktiem, bet ir noteikta tikai par primārajiem tiesību aktiem</w:t>
            </w:r>
          </w:p>
        </w:tc>
        <w:tc>
          <w:tcPr>
            <w:tcW w:w="3943" w:type="dxa"/>
            <w:tcBorders>
              <w:top w:val="single" w:sz="4" w:space="0" w:color="auto"/>
              <w:left w:val="single" w:sz="4" w:space="0" w:color="auto"/>
              <w:bottom w:val="single" w:sz="4" w:space="0" w:color="auto"/>
            </w:tcBorders>
          </w:tcPr>
          <w:p w14:paraId="364A08BA" w14:textId="77777777" w:rsidR="003B71E0" w:rsidRPr="00152161" w:rsidRDefault="00152161" w:rsidP="003B71E0">
            <w:proofErr w:type="spellStart"/>
            <w:r w:rsidRPr="00152161">
              <w:t>Protokollēmuma</w:t>
            </w:r>
            <w:proofErr w:type="spellEnd"/>
            <w:r w:rsidRPr="00152161">
              <w:t xml:space="preserve"> projekta 4.2.punkts ir precizēts.</w:t>
            </w:r>
          </w:p>
          <w:p w14:paraId="43A8535A" w14:textId="77777777" w:rsidR="00152161" w:rsidRPr="00152161" w:rsidRDefault="00152161" w:rsidP="003B71E0"/>
          <w:p w14:paraId="4CFA2083" w14:textId="62EA4177" w:rsidR="00152161" w:rsidRPr="00152161" w:rsidRDefault="00152161" w:rsidP="003B71E0">
            <w:r w:rsidRPr="00152161">
              <w:t>Informatīvā ziņojuma 2.3.nodaļa ir precizēta</w:t>
            </w:r>
          </w:p>
        </w:tc>
      </w:tr>
    </w:tbl>
    <w:p w14:paraId="22FF8100" w14:textId="1B411BBB" w:rsidR="007116C7" w:rsidRDefault="007116C7" w:rsidP="00E74517">
      <w:pPr>
        <w:pStyle w:val="naisf"/>
        <w:spacing w:before="0" w:after="0"/>
        <w:ind w:firstLine="0"/>
        <w:jc w:val="left"/>
        <w:rPr>
          <w:sz w:val="28"/>
          <w:szCs w:val="28"/>
        </w:rPr>
      </w:pPr>
    </w:p>
    <w:p w14:paraId="249285F8" w14:textId="77777777" w:rsidR="00BE180E" w:rsidRPr="007028DA" w:rsidRDefault="00BE180E" w:rsidP="00BE180E">
      <w:pPr>
        <w:pStyle w:val="naisf"/>
        <w:spacing w:before="0" w:after="0"/>
        <w:ind w:firstLine="0"/>
        <w:jc w:val="left"/>
        <w:rPr>
          <w:sz w:val="8"/>
          <w:szCs w:val="8"/>
        </w:rPr>
      </w:pPr>
    </w:p>
    <w:tbl>
      <w:tblPr>
        <w:tblpPr w:leftFromText="180" w:rightFromText="180" w:vertAnchor="text" w:horzAnchor="margin" w:tblpY="127"/>
        <w:tblW w:w="14627" w:type="dxa"/>
        <w:tblLook w:val="00A0" w:firstRow="1" w:lastRow="0" w:firstColumn="1" w:lastColumn="0" w:noHBand="0" w:noVBand="0"/>
      </w:tblPr>
      <w:tblGrid>
        <w:gridCol w:w="14627"/>
      </w:tblGrid>
      <w:tr w:rsidR="00BE180E" w:rsidRPr="007028DA" w14:paraId="02ADD8AE" w14:textId="77777777" w:rsidTr="002B478A">
        <w:trPr>
          <w:trHeight w:val="344"/>
        </w:trPr>
        <w:tc>
          <w:tcPr>
            <w:tcW w:w="14627" w:type="dxa"/>
            <w:tcBorders>
              <w:bottom w:val="single" w:sz="4" w:space="0" w:color="000000"/>
            </w:tcBorders>
            <w:vAlign w:val="bottom"/>
          </w:tcPr>
          <w:p w14:paraId="242A37DD" w14:textId="77777777" w:rsidR="00BE180E" w:rsidRPr="007028DA" w:rsidRDefault="00BE180E" w:rsidP="002B478A">
            <w:pPr>
              <w:rPr>
                <w:sz w:val="20"/>
                <w:szCs w:val="20"/>
              </w:rPr>
            </w:pPr>
            <w:r>
              <w:rPr>
                <w:sz w:val="20"/>
                <w:szCs w:val="20"/>
              </w:rPr>
              <w:t>Helēna Rimša</w:t>
            </w:r>
          </w:p>
        </w:tc>
      </w:tr>
      <w:tr w:rsidR="00BE180E" w:rsidRPr="007028DA" w14:paraId="20A97AA7" w14:textId="77777777" w:rsidTr="002B478A">
        <w:trPr>
          <w:trHeight w:val="344"/>
        </w:trPr>
        <w:tc>
          <w:tcPr>
            <w:tcW w:w="14627" w:type="dxa"/>
            <w:tcBorders>
              <w:top w:val="single" w:sz="4" w:space="0" w:color="000000"/>
            </w:tcBorders>
          </w:tcPr>
          <w:p w14:paraId="625E31F2" w14:textId="77777777" w:rsidR="00BE180E" w:rsidRPr="007028DA" w:rsidRDefault="00BE180E" w:rsidP="002B478A">
            <w:pPr>
              <w:jc w:val="center"/>
              <w:rPr>
                <w:sz w:val="20"/>
                <w:szCs w:val="20"/>
              </w:rPr>
            </w:pPr>
            <w:r w:rsidRPr="007028DA">
              <w:rPr>
                <w:sz w:val="20"/>
                <w:szCs w:val="20"/>
              </w:rPr>
              <w:t>(par projektu atbildīgās amatpersonas vārds un uzvārds)</w:t>
            </w:r>
          </w:p>
          <w:p w14:paraId="52AF0D99" w14:textId="77777777" w:rsidR="00BE180E" w:rsidRPr="007028DA" w:rsidRDefault="00BE180E" w:rsidP="002B478A">
            <w:pPr>
              <w:jc w:val="center"/>
              <w:rPr>
                <w:sz w:val="20"/>
                <w:szCs w:val="20"/>
              </w:rPr>
            </w:pPr>
          </w:p>
        </w:tc>
      </w:tr>
      <w:tr w:rsidR="00BE180E" w:rsidRPr="007028DA" w14:paraId="60204417" w14:textId="77777777" w:rsidTr="002B478A">
        <w:trPr>
          <w:trHeight w:val="94"/>
        </w:trPr>
        <w:tc>
          <w:tcPr>
            <w:tcW w:w="14627" w:type="dxa"/>
            <w:tcBorders>
              <w:bottom w:val="single" w:sz="4" w:space="0" w:color="000000"/>
            </w:tcBorders>
          </w:tcPr>
          <w:p w14:paraId="20D32ADE" w14:textId="77777777" w:rsidR="00BE180E" w:rsidRPr="007028DA" w:rsidRDefault="00BE180E" w:rsidP="002B478A">
            <w:pPr>
              <w:rPr>
                <w:sz w:val="20"/>
                <w:szCs w:val="20"/>
              </w:rPr>
            </w:pPr>
            <w:r w:rsidRPr="007028DA">
              <w:rPr>
                <w:sz w:val="20"/>
                <w:szCs w:val="20"/>
              </w:rPr>
              <w:t>Ekonomikas ministrijas Ilgtspējīgas enerģētikas politikas departamenta vecākā eksperte</w:t>
            </w:r>
          </w:p>
        </w:tc>
      </w:tr>
      <w:tr w:rsidR="00BE180E" w:rsidRPr="007028DA" w14:paraId="6280D375" w14:textId="77777777" w:rsidTr="002B478A">
        <w:trPr>
          <w:trHeight w:val="239"/>
        </w:trPr>
        <w:tc>
          <w:tcPr>
            <w:tcW w:w="14627" w:type="dxa"/>
            <w:tcBorders>
              <w:top w:val="single" w:sz="4" w:space="0" w:color="000000"/>
            </w:tcBorders>
          </w:tcPr>
          <w:p w14:paraId="50E0FE19" w14:textId="77777777" w:rsidR="00BE180E" w:rsidRPr="007028DA" w:rsidRDefault="00BE180E" w:rsidP="002B478A">
            <w:pPr>
              <w:jc w:val="center"/>
              <w:rPr>
                <w:sz w:val="20"/>
                <w:szCs w:val="20"/>
              </w:rPr>
            </w:pPr>
            <w:r w:rsidRPr="007028DA">
              <w:rPr>
                <w:sz w:val="20"/>
                <w:szCs w:val="20"/>
              </w:rPr>
              <w:t>(amats)</w:t>
            </w:r>
          </w:p>
        </w:tc>
      </w:tr>
      <w:tr w:rsidR="00BE180E" w:rsidRPr="007028DA" w14:paraId="579686E6" w14:textId="77777777" w:rsidTr="002B478A">
        <w:trPr>
          <w:trHeight w:val="254"/>
        </w:trPr>
        <w:tc>
          <w:tcPr>
            <w:tcW w:w="14627" w:type="dxa"/>
            <w:tcBorders>
              <w:bottom w:val="single" w:sz="4" w:space="0" w:color="000000"/>
            </w:tcBorders>
          </w:tcPr>
          <w:p w14:paraId="033D0932" w14:textId="77777777" w:rsidR="00BE180E" w:rsidRPr="007028DA" w:rsidRDefault="00BE180E" w:rsidP="002B478A">
            <w:pPr>
              <w:tabs>
                <w:tab w:val="left" w:pos="5207"/>
              </w:tabs>
              <w:rPr>
                <w:sz w:val="20"/>
                <w:szCs w:val="20"/>
              </w:rPr>
            </w:pPr>
            <w:r w:rsidRPr="007028DA">
              <w:rPr>
                <w:sz w:val="20"/>
                <w:szCs w:val="20"/>
              </w:rPr>
              <w:t>67013244</w:t>
            </w:r>
            <w:r w:rsidRPr="007028DA">
              <w:rPr>
                <w:sz w:val="20"/>
                <w:szCs w:val="20"/>
              </w:rPr>
              <w:tab/>
            </w:r>
          </w:p>
        </w:tc>
      </w:tr>
      <w:tr w:rsidR="00BE180E" w:rsidRPr="007028DA" w14:paraId="629AA0EA" w14:textId="77777777" w:rsidTr="002B478A">
        <w:trPr>
          <w:trHeight w:val="239"/>
        </w:trPr>
        <w:tc>
          <w:tcPr>
            <w:tcW w:w="14627" w:type="dxa"/>
            <w:tcBorders>
              <w:top w:val="single" w:sz="4" w:space="0" w:color="000000"/>
            </w:tcBorders>
          </w:tcPr>
          <w:p w14:paraId="44C20730" w14:textId="77777777" w:rsidR="00BE180E" w:rsidRPr="007028DA" w:rsidRDefault="00BE180E" w:rsidP="002B478A">
            <w:pPr>
              <w:jc w:val="center"/>
              <w:rPr>
                <w:sz w:val="20"/>
                <w:szCs w:val="20"/>
              </w:rPr>
            </w:pPr>
            <w:r w:rsidRPr="007028DA">
              <w:rPr>
                <w:sz w:val="20"/>
                <w:szCs w:val="20"/>
              </w:rPr>
              <w:t>(tālruņa un faksa numurs)</w:t>
            </w:r>
          </w:p>
        </w:tc>
      </w:tr>
      <w:tr w:rsidR="00BE180E" w:rsidRPr="007028DA" w14:paraId="0F2EB219" w14:textId="77777777" w:rsidTr="002B478A">
        <w:trPr>
          <w:trHeight w:val="254"/>
        </w:trPr>
        <w:tc>
          <w:tcPr>
            <w:tcW w:w="14627" w:type="dxa"/>
            <w:tcBorders>
              <w:bottom w:val="single" w:sz="4" w:space="0" w:color="000000"/>
            </w:tcBorders>
          </w:tcPr>
          <w:p w14:paraId="611C2119" w14:textId="77777777" w:rsidR="00BE180E" w:rsidRPr="007028DA" w:rsidRDefault="00BE180E" w:rsidP="002B478A">
            <w:pPr>
              <w:rPr>
                <w:sz w:val="20"/>
                <w:szCs w:val="20"/>
              </w:rPr>
            </w:pPr>
            <w:r w:rsidRPr="007028DA">
              <w:rPr>
                <w:sz w:val="20"/>
                <w:szCs w:val="20"/>
              </w:rPr>
              <w:t xml:space="preserve"> </w:t>
            </w:r>
            <w:hyperlink r:id="rId7" w:history="1">
              <w:r w:rsidRPr="007028DA">
                <w:rPr>
                  <w:rStyle w:val="Hyperlink"/>
                  <w:sz w:val="20"/>
                  <w:szCs w:val="20"/>
                </w:rPr>
                <w:t>Helena.Rimsa@em.gov.lv</w:t>
              </w:r>
            </w:hyperlink>
            <w:r w:rsidRPr="007028DA">
              <w:rPr>
                <w:sz w:val="20"/>
                <w:szCs w:val="20"/>
              </w:rPr>
              <w:t xml:space="preserve"> </w:t>
            </w:r>
          </w:p>
        </w:tc>
      </w:tr>
      <w:tr w:rsidR="00BE180E" w:rsidRPr="007028DA" w14:paraId="14970610" w14:textId="77777777" w:rsidTr="002B478A">
        <w:trPr>
          <w:trHeight w:val="254"/>
        </w:trPr>
        <w:tc>
          <w:tcPr>
            <w:tcW w:w="14627" w:type="dxa"/>
            <w:tcBorders>
              <w:top w:val="single" w:sz="4" w:space="0" w:color="000000"/>
            </w:tcBorders>
          </w:tcPr>
          <w:p w14:paraId="0D731FC8" w14:textId="77777777" w:rsidR="00BE180E" w:rsidRPr="007028DA" w:rsidRDefault="00BE180E" w:rsidP="002B478A">
            <w:pPr>
              <w:jc w:val="center"/>
              <w:rPr>
                <w:sz w:val="20"/>
                <w:szCs w:val="20"/>
              </w:rPr>
            </w:pPr>
            <w:r w:rsidRPr="007028DA">
              <w:rPr>
                <w:sz w:val="20"/>
                <w:szCs w:val="20"/>
              </w:rPr>
              <w:t>(e-pasta adrese)</w:t>
            </w:r>
          </w:p>
        </w:tc>
      </w:tr>
    </w:tbl>
    <w:p w14:paraId="00D05574" w14:textId="77777777" w:rsidR="00BE180E" w:rsidRDefault="00BE180E" w:rsidP="00BE180E">
      <w:pPr>
        <w:pStyle w:val="naisf"/>
        <w:tabs>
          <w:tab w:val="left" w:pos="6840"/>
        </w:tabs>
        <w:spacing w:before="0" w:after="0"/>
        <w:ind w:firstLine="720"/>
        <w:rPr>
          <w:sz w:val="28"/>
          <w:szCs w:val="28"/>
        </w:rPr>
      </w:pPr>
    </w:p>
    <w:p w14:paraId="2BD1A422" w14:textId="77777777" w:rsidR="00BE180E" w:rsidRPr="003B71E0" w:rsidRDefault="00BE180E" w:rsidP="00E74517">
      <w:pPr>
        <w:pStyle w:val="naisf"/>
        <w:spacing w:before="0" w:after="0"/>
        <w:ind w:firstLine="0"/>
        <w:jc w:val="left"/>
        <w:rPr>
          <w:sz w:val="28"/>
          <w:szCs w:val="28"/>
        </w:rPr>
      </w:pPr>
    </w:p>
    <w:p w14:paraId="3F04B2CB" w14:textId="77777777" w:rsidR="009623BC" w:rsidRDefault="009623BC" w:rsidP="00E74517">
      <w:pPr>
        <w:pStyle w:val="naisf"/>
        <w:spacing w:before="0" w:after="0"/>
        <w:ind w:firstLine="0"/>
        <w:jc w:val="left"/>
        <w:rPr>
          <w:sz w:val="28"/>
          <w:szCs w:val="28"/>
        </w:rPr>
      </w:pPr>
    </w:p>
    <w:p w14:paraId="324BEEC3" w14:textId="77777777" w:rsidR="003B71E0" w:rsidRPr="003B71E0" w:rsidRDefault="003B71E0" w:rsidP="00E74517">
      <w:pPr>
        <w:pStyle w:val="naisf"/>
        <w:spacing w:before="0" w:after="0"/>
        <w:ind w:firstLine="0"/>
        <w:jc w:val="left"/>
        <w:rPr>
          <w:sz w:val="28"/>
          <w:szCs w:val="28"/>
        </w:rPr>
      </w:pPr>
    </w:p>
    <w:sectPr w:rsidR="003B71E0" w:rsidRPr="003B71E0"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A0AE8" w14:textId="77777777" w:rsidR="007B5A80" w:rsidRDefault="007B5A80">
      <w:r>
        <w:separator/>
      </w:r>
    </w:p>
  </w:endnote>
  <w:endnote w:type="continuationSeparator" w:id="0">
    <w:p w14:paraId="02257CC7" w14:textId="77777777" w:rsidR="007B5A80" w:rsidRDefault="007B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8FDC" w14:textId="081E3309" w:rsidR="006455E7" w:rsidRPr="00BE180E" w:rsidRDefault="00BE180E" w:rsidP="00BE180E">
    <w:pPr>
      <w:pStyle w:val="Foote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EMIzz_260321_AERDAtbildibas.docx</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7B3B5" w14:textId="1728C849" w:rsidR="006455E7" w:rsidRPr="00BE180E" w:rsidRDefault="00BE180E" w:rsidP="00BE180E">
    <w:pPr>
      <w:pStyle w:val="Foote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EMIzz_260321_AERDAtbildibas.docx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38097" w14:textId="77777777" w:rsidR="007B5A80" w:rsidRDefault="007B5A80">
      <w:r>
        <w:separator/>
      </w:r>
    </w:p>
  </w:footnote>
  <w:footnote w:type="continuationSeparator" w:id="0">
    <w:p w14:paraId="0130A74E" w14:textId="77777777" w:rsidR="007B5A80" w:rsidRDefault="007B5A80">
      <w:r>
        <w:continuationSeparator/>
      </w:r>
    </w:p>
  </w:footnote>
  <w:footnote w:id="1">
    <w:p w14:paraId="6CC1D79C" w14:textId="77777777" w:rsidR="00152161" w:rsidRDefault="00152161" w:rsidP="00152161">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Pieejams tiešsaistē: https://ec.europa.eu/clima/policies/strategies/2050_en</w:t>
      </w:r>
    </w:p>
  </w:footnote>
  <w:footnote w:id="2">
    <w:p w14:paraId="6379713C" w14:textId="77777777" w:rsidR="00152161" w:rsidRDefault="00152161" w:rsidP="00152161">
      <w:pPr>
        <w:pStyle w:val="FootnoteText"/>
      </w:pPr>
      <w:r>
        <w:rPr>
          <w:rStyle w:val="FootnoteReference"/>
          <w:rFonts w:ascii="Times New Roman" w:hAnsi="Times New Roman"/>
        </w:rPr>
        <w:footnoteRef/>
      </w:r>
      <w:r>
        <w:rPr>
          <w:rFonts w:ascii="Times New Roman" w:hAnsi="Times New Roman"/>
        </w:rPr>
        <w:t xml:space="preserve"> </w:t>
      </w:r>
      <w:r>
        <w:rPr>
          <w:rFonts w:ascii="Times New Roman" w:hAnsi="Times New Roman"/>
        </w:rPr>
        <w:t>Pieejams tiešsaistē: https://ec.europa.eu/info/strategy/priorities-2019-2024/european-green-deal_lv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4DEE2"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E75328"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ABD8"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2CC6">
      <w:rPr>
        <w:rStyle w:val="PageNumber"/>
        <w:noProof/>
      </w:rPr>
      <w:t>3</w:t>
    </w:r>
    <w:r>
      <w:rPr>
        <w:rStyle w:val="PageNumber"/>
      </w:rPr>
      <w:fldChar w:fldCharType="end"/>
    </w:r>
  </w:p>
  <w:p w14:paraId="7ACC4792"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FE6025F"/>
    <w:multiLevelType w:val="hybridMultilevel"/>
    <w:tmpl w:val="3D08ACAC"/>
    <w:lvl w:ilvl="0" w:tplc="C0E0EFB0">
      <w:start w:val="1"/>
      <w:numFmt w:val="decimal"/>
      <w:lvlText w:val="%1)"/>
      <w:lvlJc w:val="left"/>
      <w:pPr>
        <w:ind w:left="720" w:hanging="360"/>
      </w:pPr>
      <w:rPr>
        <w:rFonts w:ascii="Times New Roman" w:hAnsi="Times New Roman" w:cs="Times New Roman" w:hint="default"/>
        <w:b w:val="0"/>
        <w:bCs/>
        <w:strike w:val="0"/>
        <w:dstrike w:val="0"/>
        <w:color w:val="auto"/>
        <w:u w:val="none"/>
        <w:effect w:val="none"/>
      </w:rPr>
    </w:lvl>
    <w:lvl w:ilvl="1" w:tplc="B6B48BF4">
      <w:start w:val="1"/>
      <w:numFmt w:val="lowerLetter"/>
      <w:lvlText w:val="%2."/>
      <w:lvlJc w:val="left"/>
      <w:pPr>
        <w:ind w:left="1440" w:hanging="360"/>
      </w:pPr>
    </w:lvl>
    <w:lvl w:ilvl="2" w:tplc="7C82E762">
      <w:start w:val="1"/>
      <w:numFmt w:val="lowerRoman"/>
      <w:lvlText w:val="%3."/>
      <w:lvlJc w:val="right"/>
      <w:pPr>
        <w:ind w:left="2160" w:hanging="180"/>
      </w:pPr>
    </w:lvl>
    <w:lvl w:ilvl="3" w:tplc="48BA945C">
      <w:start w:val="1"/>
      <w:numFmt w:val="decimal"/>
      <w:lvlText w:val="%4."/>
      <w:lvlJc w:val="left"/>
      <w:pPr>
        <w:ind w:left="2880" w:hanging="360"/>
      </w:pPr>
    </w:lvl>
    <w:lvl w:ilvl="4" w:tplc="15BE5946">
      <w:start w:val="1"/>
      <w:numFmt w:val="lowerLetter"/>
      <w:lvlText w:val="%5."/>
      <w:lvlJc w:val="left"/>
      <w:pPr>
        <w:ind w:left="3600" w:hanging="360"/>
      </w:pPr>
    </w:lvl>
    <w:lvl w:ilvl="5" w:tplc="3AF42C36">
      <w:start w:val="1"/>
      <w:numFmt w:val="lowerRoman"/>
      <w:lvlText w:val="%6."/>
      <w:lvlJc w:val="right"/>
      <w:pPr>
        <w:ind w:left="4320" w:hanging="180"/>
      </w:pPr>
    </w:lvl>
    <w:lvl w:ilvl="6" w:tplc="72DE16DC">
      <w:start w:val="1"/>
      <w:numFmt w:val="decimal"/>
      <w:lvlText w:val="%7."/>
      <w:lvlJc w:val="left"/>
      <w:pPr>
        <w:ind w:left="5040" w:hanging="360"/>
      </w:pPr>
    </w:lvl>
    <w:lvl w:ilvl="7" w:tplc="68E0D91E">
      <w:start w:val="1"/>
      <w:numFmt w:val="lowerLetter"/>
      <w:lvlText w:val="%8."/>
      <w:lvlJc w:val="left"/>
      <w:pPr>
        <w:ind w:left="5760" w:hanging="360"/>
      </w:pPr>
    </w:lvl>
    <w:lvl w:ilvl="8" w:tplc="DAD4A4FE">
      <w:start w:val="1"/>
      <w:numFmt w:val="lowerRoman"/>
      <w:lvlText w:val="%9."/>
      <w:lvlJc w:val="right"/>
      <w:pPr>
        <w:ind w:left="6480" w:hanging="180"/>
      </w:pPr>
    </w:lvl>
  </w:abstractNum>
  <w:abstractNum w:abstractNumId="1" w15:restartNumberingAfterBreak="0">
    <w:nsid w:val="2AE00DAE"/>
    <w:multiLevelType w:val="hybridMultilevel"/>
    <w:tmpl w:val="0B7A8B16"/>
    <w:lvl w:ilvl="0" w:tplc="773CB612">
      <w:start w:val="1"/>
      <w:numFmt w:val="bullet"/>
      <w:lvlText w:val=""/>
      <w:lvlJc w:val="left"/>
      <w:pPr>
        <w:ind w:left="720" w:hanging="360"/>
      </w:pPr>
      <w:rPr>
        <w:rFonts w:ascii="Symbol" w:hAnsi="Symbol" w:hint="default"/>
      </w:rPr>
    </w:lvl>
    <w:lvl w:ilvl="1" w:tplc="3FB0A9EA">
      <w:start w:val="1"/>
      <w:numFmt w:val="bullet"/>
      <w:lvlText w:val="o"/>
      <w:lvlJc w:val="left"/>
      <w:pPr>
        <w:ind w:left="1440" w:hanging="360"/>
      </w:pPr>
      <w:rPr>
        <w:rFonts w:ascii="Courier New" w:hAnsi="Courier New" w:cs="Courier New" w:hint="default"/>
      </w:rPr>
    </w:lvl>
    <w:lvl w:ilvl="2" w:tplc="22ACA2D6">
      <w:start w:val="1"/>
      <w:numFmt w:val="bullet"/>
      <w:lvlText w:val=""/>
      <w:lvlJc w:val="left"/>
      <w:pPr>
        <w:ind w:left="2160" w:hanging="360"/>
      </w:pPr>
      <w:rPr>
        <w:rFonts w:ascii="Wingdings" w:hAnsi="Wingdings" w:hint="default"/>
      </w:rPr>
    </w:lvl>
    <w:lvl w:ilvl="3" w:tplc="7D54A60A">
      <w:start w:val="1"/>
      <w:numFmt w:val="bullet"/>
      <w:lvlText w:val=""/>
      <w:lvlJc w:val="left"/>
      <w:pPr>
        <w:ind w:left="2880" w:hanging="360"/>
      </w:pPr>
      <w:rPr>
        <w:rFonts w:ascii="Symbol" w:hAnsi="Symbol" w:hint="default"/>
      </w:rPr>
    </w:lvl>
    <w:lvl w:ilvl="4" w:tplc="715648D8">
      <w:start w:val="1"/>
      <w:numFmt w:val="bullet"/>
      <w:lvlText w:val="o"/>
      <w:lvlJc w:val="left"/>
      <w:pPr>
        <w:ind w:left="3600" w:hanging="360"/>
      </w:pPr>
      <w:rPr>
        <w:rFonts w:ascii="Courier New" w:hAnsi="Courier New" w:cs="Courier New" w:hint="default"/>
      </w:rPr>
    </w:lvl>
    <w:lvl w:ilvl="5" w:tplc="D74C0C44">
      <w:start w:val="1"/>
      <w:numFmt w:val="bullet"/>
      <w:lvlText w:val=""/>
      <w:lvlJc w:val="left"/>
      <w:pPr>
        <w:ind w:left="4320" w:hanging="360"/>
      </w:pPr>
      <w:rPr>
        <w:rFonts w:ascii="Wingdings" w:hAnsi="Wingdings" w:hint="default"/>
      </w:rPr>
    </w:lvl>
    <w:lvl w:ilvl="6" w:tplc="D6FE8EC6">
      <w:start w:val="1"/>
      <w:numFmt w:val="bullet"/>
      <w:lvlText w:val=""/>
      <w:lvlJc w:val="left"/>
      <w:pPr>
        <w:ind w:left="5040" w:hanging="360"/>
      </w:pPr>
      <w:rPr>
        <w:rFonts w:ascii="Symbol" w:hAnsi="Symbol" w:hint="default"/>
      </w:rPr>
    </w:lvl>
    <w:lvl w:ilvl="7" w:tplc="ED36E11A">
      <w:start w:val="1"/>
      <w:numFmt w:val="bullet"/>
      <w:lvlText w:val="o"/>
      <w:lvlJc w:val="left"/>
      <w:pPr>
        <w:ind w:left="5760" w:hanging="360"/>
      </w:pPr>
      <w:rPr>
        <w:rFonts w:ascii="Courier New" w:hAnsi="Courier New" w:cs="Courier New" w:hint="default"/>
      </w:rPr>
    </w:lvl>
    <w:lvl w:ilvl="8" w:tplc="313A02F4">
      <w:start w:val="1"/>
      <w:numFmt w:val="bullet"/>
      <w:lvlText w:val=""/>
      <w:lvlJc w:val="left"/>
      <w:pPr>
        <w:ind w:left="6480" w:hanging="360"/>
      </w:pPr>
      <w:rPr>
        <w:rFonts w:ascii="Wingdings" w:hAnsi="Wingdings" w:hint="default"/>
      </w:rPr>
    </w:lvl>
  </w:abstractNum>
  <w:abstractNum w:abstractNumId="2"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1">
    <w:nsid w:val="58D1129D"/>
    <w:multiLevelType w:val="multilevel"/>
    <w:tmpl w:val="FE00F2EA"/>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494"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4"/>
  </w:num>
  <w:num w:numId="5">
    <w:abstractNumId w:val="2"/>
  </w:num>
  <w:num w:numId="6">
    <w:abstractNumId w:val="1"/>
    <w:lvlOverride w:ilvl="0"/>
    <w:lvlOverride w:ilvl="1"/>
    <w:lvlOverride w:ilvl="2"/>
    <w:lvlOverride w:ilvl="3"/>
    <w:lvlOverride w:ilvl="4"/>
    <w:lvlOverride w:ilvl="5"/>
    <w:lvlOverride w:ilvl="6"/>
    <w:lvlOverride w:ilvl="7"/>
    <w:lvlOverride w:ilvl="8"/>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161"/>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AC2"/>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985"/>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A80"/>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2EC7"/>
    <w:rsid w:val="00AF3AC0"/>
    <w:rsid w:val="00AF4F4A"/>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2EFC"/>
    <w:rsid w:val="00BD340E"/>
    <w:rsid w:val="00BD60AD"/>
    <w:rsid w:val="00BD6C02"/>
    <w:rsid w:val="00BE1244"/>
    <w:rsid w:val="00BE165D"/>
    <w:rsid w:val="00BE180E"/>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2CC6"/>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17AD391"/>
  <w15:chartTrackingRefBased/>
  <w15:docId w15:val="{5D59CE61-C79F-4E6D-97DA-7542E22E5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uiPriority w:val="99"/>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basedOn w:val="Normal"/>
    <w:link w:val="FootnoteTextChar"/>
    <w:uiPriority w:val="99"/>
    <w:semiHidden/>
    <w:unhideWhenUsed/>
    <w:rsid w:val="00152161"/>
    <w:pPr>
      <w:widowControl w:val="0"/>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152161"/>
    <w:rPr>
      <w:rFonts w:ascii="Calibri" w:eastAsia="Calibri" w:hAnsi="Calibri"/>
      <w:lang w:eastAsia="en-US"/>
    </w:rPr>
  </w:style>
  <w:style w:type="paragraph" w:customStyle="1" w:styleId="tv213">
    <w:name w:val="tv213"/>
    <w:basedOn w:val="Normal"/>
    <w:rsid w:val="00152161"/>
    <w:pPr>
      <w:spacing w:before="100" w:beforeAutospacing="1" w:after="100" w:afterAutospacing="1"/>
    </w:pPr>
  </w:style>
  <w:style w:type="character" w:styleId="FootnoteReference">
    <w:name w:val="footnote reference"/>
    <w:basedOn w:val="DefaultParagraphFont"/>
    <w:uiPriority w:val="99"/>
    <w:semiHidden/>
    <w:unhideWhenUsed/>
    <w:rsid w:val="00152161"/>
    <w:rPr>
      <w:vertAlign w:val="superscript"/>
    </w:rPr>
  </w:style>
  <w:style w:type="paragraph" w:styleId="NoSpacing">
    <w:name w:val="No Spacing"/>
    <w:uiPriority w:val="1"/>
    <w:qFormat/>
    <w:rsid w:val="00BE180E"/>
    <w:pPr>
      <w:widowControl w:val="0"/>
      <w:jc w:val="both"/>
    </w:pPr>
    <w:rPr>
      <w:rFonts w:eastAsia="Calibri"/>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15686439">
      <w:bodyDiv w:val="1"/>
      <w:marLeft w:val="0"/>
      <w:marRight w:val="0"/>
      <w:marTop w:val="0"/>
      <w:marBottom w:val="0"/>
      <w:divBdr>
        <w:top w:val="none" w:sz="0" w:space="0" w:color="auto"/>
        <w:left w:val="none" w:sz="0" w:space="0" w:color="auto"/>
        <w:bottom w:val="none" w:sz="0" w:space="0" w:color="auto"/>
        <w:right w:val="none" w:sz="0" w:space="0" w:color="auto"/>
      </w:divBdr>
    </w:div>
    <w:div w:id="1055198544">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lena.Rimsa@e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1622</Words>
  <Characters>12153</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MK noteikumu projekts "Ministru kabineta kārtības rullis"</vt:lpstr>
    </vt:vector>
  </TitlesOfParts>
  <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"Ministru kabineta kārtības rullis"</dc:title>
  <dc:subject/>
  <dc:creator>Solveiga Līce</dc:creator>
  <cp:keywords/>
  <dc:description>Tālr. 67082915; fakss 67082961E-pasts: Solveiga.Lice@mk.gov.lv</dc:description>
  <cp:lastModifiedBy>Helēna Rimša</cp:lastModifiedBy>
  <cp:revision>3</cp:revision>
  <cp:lastPrinted>2009-04-08T08:39:00Z</cp:lastPrinted>
  <dcterms:created xsi:type="dcterms:W3CDTF">2021-03-30T04:39:00Z</dcterms:created>
  <dcterms:modified xsi:type="dcterms:W3CDTF">2021-03-30T05:02:00Z</dcterms:modified>
</cp:coreProperties>
</file>