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C156" w14:textId="0F3885E5" w:rsidR="00C22957" w:rsidRPr="00AC4BD2" w:rsidRDefault="00C22957" w:rsidP="00C22957">
      <w:pPr>
        <w:shd w:val="clear" w:color="auto" w:fill="FFFFFF"/>
        <w:contextualSpacing/>
        <w:jc w:val="center"/>
        <w:rPr>
          <w:b/>
          <w:bCs/>
        </w:rPr>
      </w:pPr>
      <w:bookmarkStart w:id="0" w:name="_Hlk64558038"/>
      <w:r w:rsidRPr="00AC4BD2">
        <w:rPr>
          <w:b/>
          <w:bCs/>
        </w:rPr>
        <w:t xml:space="preserve">Ministru kabineta noteikumu projekta </w:t>
      </w:r>
      <w:bookmarkStart w:id="1" w:name="_GoBack"/>
      <w:bookmarkEnd w:id="1"/>
      <w:r w:rsidRPr="00AC4BD2">
        <w:rPr>
          <w:b/>
        </w:rPr>
        <w:t>“Grozījumi Ministru kabineta 2017. gada 9. maija noteikumos Nr. 253 “Atsevišķu inženierbūvju būvnoteikumi”” un</w:t>
      </w:r>
      <w:r w:rsidRPr="00AC4BD2">
        <w:rPr>
          <w:b/>
          <w:bCs/>
        </w:rPr>
        <w:t xml:space="preserve"> </w:t>
      </w:r>
    </w:p>
    <w:p w14:paraId="717CE28C" w14:textId="77777777" w:rsidR="00C22957" w:rsidRPr="00AC4BD2" w:rsidRDefault="00C22957" w:rsidP="00C22957">
      <w:pPr>
        <w:shd w:val="clear" w:color="auto" w:fill="FFFFFF"/>
        <w:contextualSpacing/>
        <w:jc w:val="center"/>
        <w:rPr>
          <w:b/>
        </w:rPr>
      </w:pPr>
      <w:r w:rsidRPr="00AC4BD2">
        <w:rPr>
          <w:b/>
          <w:bCs/>
        </w:rPr>
        <w:t>Ministru kabineta noteikumu projekta</w:t>
      </w:r>
      <w:r w:rsidRPr="00AC4BD2">
        <w:rPr>
          <w:b/>
        </w:rPr>
        <w:t xml:space="preserve"> “Grozījums Ministru kabineta 2005. gada 28. jūnija noteikumos Nr. 480 “Noteikumi par kārtību, kādā pašvaldības var uzlikt pašvaldības nodevas””</w:t>
      </w:r>
    </w:p>
    <w:p w14:paraId="5F0BFAAF" w14:textId="77777777" w:rsidR="00C22957" w:rsidRPr="00AC4BD2" w:rsidRDefault="00C22957" w:rsidP="00C22957">
      <w:pPr>
        <w:shd w:val="clear" w:color="auto" w:fill="FFFFFF"/>
        <w:contextualSpacing/>
        <w:jc w:val="center"/>
        <w:rPr>
          <w:b/>
        </w:rPr>
      </w:pPr>
      <w:r w:rsidRPr="00AC4BD2">
        <w:rPr>
          <w:b/>
          <w:bCs/>
        </w:rPr>
        <w:t xml:space="preserve"> sākotnējās ietekmes novērtējuma apvienotais ziņojums (anotācija)</w:t>
      </w:r>
    </w:p>
    <w:bookmarkEnd w:id="0"/>
    <w:p w14:paraId="699D0614" w14:textId="77777777" w:rsidR="00C22957" w:rsidRPr="00AC4BD2" w:rsidRDefault="00C22957" w:rsidP="00C2295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AC4BD2" w:rsidRPr="00AC4BD2" w14:paraId="2366476E" w14:textId="77777777" w:rsidTr="002B4EFF">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7FF2CCB" w14:textId="77777777" w:rsidR="00C22957" w:rsidRPr="00AC4BD2" w:rsidRDefault="00C22957" w:rsidP="002B4EFF">
            <w:pPr>
              <w:contextualSpacing/>
              <w:jc w:val="center"/>
              <w:rPr>
                <w:b/>
                <w:iCs/>
                <w:lang w:eastAsia="en-US"/>
              </w:rPr>
            </w:pPr>
            <w:r w:rsidRPr="00AC4BD2">
              <w:rPr>
                <w:b/>
                <w:iCs/>
                <w:lang w:eastAsia="en-US"/>
              </w:rPr>
              <w:t>Tiesību akta projekta anotācijas kopsavilkums</w:t>
            </w:r>
          </w:p>
        </w:tc>
      </w:tr>
      <w:tr w:rsidR="00AC4BD2" w:rsidRPr="00AC4BD2" w14:paraId="3DF4D2F1" w14:textId="77777777" w:rsidTr="002B4EFF">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25CF1F14" w14:textId="77777777" w:rsidR="00C22957" w:rsidRPr="00AC4BD2" w:rsidRDefault="00C22957" w:rsidP="002B4EFF">
            <w:pPr>
              <w:contextualSpacing/>
              <w:rPr>
                <w:iCs/>
                <w:lang w:eastAsia="en-US"/>
              </w:rPr>
            </w:pPr>
            <w:r w:rsidRPr="00AC4BD2">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15E80D1F" w14:textId="77777777" w:rsidR="00C22957" w:rsidRPr="00AC4BD2" w:rsidRDefault="00C22957" w:rsidP="002B4EFF">
            <w:pPr>
              <w:contextualSpacing/>
              <w:jc w:val="both"/>
              <w:rPr>
                <w:lang w:eastAsia="en-US"/>
              </w:rPr>
            </w:pPr>
            <w:bookmarkStart w:id="2" w:name="_Hlk11660242"/>
            <w:r w:rsidRPr="00AC4BD2">
              <w:rPr>
                <w:lang w:eastAsia="en-US"/>
              </w:rPr>
              <w:t>Ministru kabineta noteikumu projekts “</w:t>
            </w:r>
            <w:r w:rsidRPr="00AC4BD2">
              <w:t>“Grozījumi Ministru kabineta 2017. gada 9. maija noteikumos Nr. 253 “Atsevišķu inženierbūvju būvnoteikumi””</w:t>
            </w:r>
            <w:r w:rsidRPr="00AC4BD2">
              <w:rPr>
                <w:lang w:eastAsia="en-US"/>
              </w:rPr>
              <w:t xml:space="preserve">(turpmāk – noteikumu projekts) mērķis ir vienkāršot inženierbūvju atjaunošanas un pārbūvju saskaņošanu, veicinot ātrāku un efektīvāku būvniecības procesu, mazinot administratīvo slogu un izmaksas. Noteikumu projekts attiecas arī uz elektroenerģijas būvēm, līdz ar to spēku zaudēs Ministru kabineta 2014.gada 30.septembra noteikumi Nr.573 “Elektroenerģijas ražošanas, pārvades un sadales būvju būvnoteikumi”. Regulējums par energoapgādes komersantu atbrīvojumu no pašvaldības nodevas par būvatļaujas izdošanu un būvniecības ieceres akceptu ir noteikts </w:t>
            </w:r>
            <w:r w:rsidRPr="00AC4BD2">
              <w:rPr>
                <w:bCs/>
                <w:lang w:eastAsia="en-US"/>
              </w:rPr>
              <w:t>noteikumu projektā</w:t>
            </w:r>
            <w:r w:rsidRPr="00AC4BD2">
              <w:rPr>
                <w:lang w:eastAsia="en-US"/>
              </w:rPr>
              <w:t xml:space="preserve"> “Grozījums Ministru kabineta 2005. gada 28. jūnija noteikumos Nr. 480 “Noteikumi par kārtību, kādā pašvaldības var uzlikt pašvaldības nodevas””.</w:t>
            </w:r>
          </w:p>
          <w:p w14:paraId="024C235A" w14:textId="77777777" w:rsidR="00C22957" w:rsidRPr="00AC4BD2" w:rsidRDefault="00C22957" w:rsidP="002B4EFF">
            <w:pPr>
              <w:contextualSpacing/>
              <w:jc w:val="both"/>
            </w:pPr>
            <w:r w:rsidRPr="00AC4BD2">
              <w:rPr>
                <w:lang w:eastAsia="en-US"/>
              </w:rPr>
              <w:t>Ministru kabineta noteikumi stāsies spēkā 2021.gada 1.</w:t>
            </w:r>
            <w:bookmarkEnd w:id="2"/>
            <w:r w:rsidRPr="00AC4BD2">
              <w:rPr>
                <w:lang w:eastAsia="en-US"/>
              </w:rPr>
              <w:t>novembrī.</w:t>
            </w:r>
          </w:p>
        </w:tc>
      </w:tr>
    </w:tbl>
    <w:p w14:paraId="744D3793" w14:textId="77777777" w:rsidR="00C22957" w:rsidRPr="00AC4BD2" w:rsidRDefault="00C22957" w:rsidP="00C22957"/>
    <w:tbl>
      <w:tblPr>
        <w:tblpPr w:leftFromText="180" w:rightFromText="180" w:vertAnchor="text"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380"/>
        <w:gridCol w:w="2131"/>
        <w:gridCol w:w="6550"/>
      </w:tblGrid>
      <w:tr w:rsidR="00AC4BD2" w:rsidRPr="00AC4BD2" w14:paraId="02CA012A" w14:textId="77777777" w:rsidTr="002B4EFF">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159F2F2" w14:textId="77777777" w:rsidR="00C22957" w:rsidRPr="00AC4BD2" w:rsidRDefault="00C22957" w:rsidP="002B4EFF">
            <w:pPr>
              <w:contextualSpacing/>
              <w:jc w:val="center"/>
              <w:rPr>
                <w:b/>
                <w:bCs/>
              </w:rPr>
            </w:pPr>
            <w:r w:rsidRPr="00AC4BD2">
              <w:rPr>
                <w:b/>
                <w:bCs/>
              </w:rPr>
              <w:t>I. Tiesību akta projekta izstrādes nepieciešamība</w:t>
            </w:r>
          </w:p>
        </w:tc>
      </w:tr>
      <w:tr w:rsidR="00AC4BD2" w:rsidRPr="00AC4BD2" w14:paraId="5D2BBA17"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A9B542B" w14:textId="77777777" w:rsidR="00C22957" w:rsidRPr="00AC4BD2" w:rsidRDefault="00C22957" w:rsidP="002B4EFF">
            <w:pPr>
              <w:contextualSpacing/>
              <w:jc w:val="center"/>
            </w:pPr>
            <w:r w:rsidRPr="00AC4BD2">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F8BA08" w14:textId="77777777" w:rsidR="00C22957" w:rsidRPr="00AC4BD2" w:rsidRDefault="00C22957" w:rsidP="002B4EFF">
            <w:pPr>
              <w:contextualSpacing/>
            </w:pPr>
            <w:r w:rsidRPr="00AC4BD2">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0805AF88" w14:textId="77777777" w:rsidR="00C22957" w:rsidRPr="00AC4BD2" w:rsidRDefault="00C22957" w:rsidP="002B4EFF">
            <w:pPr>
              <w:contextualSpacing/>
              <w:jc w:val="both"/>
            </w:pPr>
            <w:r w:rsidRPr="00AC4BD2">
              <w:t>Ekonomikas ministrijas iniciatīva.</w:t>
            </w:r>
          </w:p>
        </w:tc>
      </w:tr>
      <w:tr w:rsidR="00AC4BD2" w:rsidRPr="00AC4BD2" w14:paraId="0F13134E"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18EDB58" w14:textId="77777777" w:rsidR="00C22957" w:rsidRPr="00AC4BD2" w:rsidRDefault="00C22957" w:rsidP="002B4EFF">
            <w:pPr>
              <w:contextualSpacing/>
              <w:jc w:val="center"/>
            </w:pPr>
            <w:r w:rsidRPr="00AC4BD2">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081BAC1" w14:textId="77777777" w:rsidR="00C22957" w:rsidRPr="00AC4BD2" w:rsidRDefault="00C22957" w:rsidP="002B4EFF">
            <w:pPr>
              <w:contextualSpacing/>
            </w:pPr>
            <w:r w:rsidRPr="00AC4BD2">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BE63449" w14:textId="77777777" w:rsidR="00C22957" w:rsidRPr="00AC4BD2" w:rsidRDefault="00C22957" w:rsidP="002B4EFF">
            <w:pPr>
              <w:contextualSpacing/>
              <w:jc w:val="both"/>
            </w:pPr>
            <w:r w:rsidRPr="00AC4BD2">
              <w:t xml:space="preserve">Līdz šim otrās un trešās grupas inženierbūves atjaunošanai vai nojaukšanai bija jāizstrādā būvprojekts un ja inženierbūve ir trešās grupas inženierbūve, tad nepieciešama arī būvprojekta ekspertīze, kas šādos gadījumos sadārdzina un paildzina būvniecību, neskatoties uz to, ka veicamie darbi ir nelieli, bet dokumentu izstrāde un saskaņošana prasa gana daudz resursus. </w:t>
            </w:r>
          </w:p>
          <w:p w14:paraId="2970BAE0" w14:textId="77777777" w:rsidR="00C22957" w:rsidRPr="00AC4BD2" w:rsidRDefault="00C22957" w:rsidP="002B4EFF">
            <w:pPr>
              <w:ind w:firstLine="253"/>
              <w:contextualSpacing/>
              <w:jc w:val="both"/>
            </w:pPr>
          </w:p>
          <w:p w14:paraId="64BDDB7F" w14:textId="77777777" w:rsidR="00C22957" w:rsidRPr="00AC4BD2" w:rsidRDefault="00C22957" w:rsidP="002B4EFF">
            <w:pPr>
              <w:contextualSpacing/>
              <w:jc w:val="both"/>
            </w:pPr>
            <w:r w:rsidRPr="00AC4BD2">
              <w:t>Ar noteikumu projektu paredzēts vienkāršot visu grupu inženierbūvju vai to daļu būvniecības procesus (jauna būvniecība, pārbūve, atjaunošana un nojaukšana), pārskatīt noteiktās procedūras un nodrošināt ērtākus risinājumus būvniecības informācijas sistēmā, samazinot būvniecības ieceres iesniegumu veidus, kā arī novērstu praksē konstatētās nepilnības.</w:t>
            </w:r>
          </w:p>
          <w:p w14:paraId="629A72D9" w14:textId="77777777" w:rsidR="00C22957" w:rsidRPr="00AC4BD2" w:rsidRDefault="00C22957" w:rsidP="002B4EFF">
            <w:pPr>
              <w:ind w:firstLine="253"/>
              <w:contextualSpacing/>
              <w:jc w:val="both"/>
            </w:pPr>
          </w:p>
          <w:p w14:paraId="5A34D542" w14:textId="77777777" w:rsidR="00C22957" w:rsidRPr="00AC4BD2" w:rsidRDefault="00C22957" w:rsidP="002B4EFF">
            <w:pPr>
              <w:contextualSpacing/>
              <w:jc w:val="both"/>
              <w:rPr>
                <w:lang w:eastAsia="en-US"/>
              </w:rPr>
            </w:pPr>
            <w:r w:rsidRPr="00AC4BD2">
              <w:t>[1] Noteikumu projekts paredz attiecināt noteiktos būvniecības procesus arī uz elektroenerģijas būvēm. Tika pārskatīta M</w:t>
            </w:r>
            <w:r w:rsidRPr="00AC4BD2">
              <w:rPr>
                <w:lang w:eastAsia="en-US"/>
              </w:rPr>
              <w:t xml:space="preserve">inistru kabineta 2014.gada 30.septembra noteikumos Nr.573 “Elektroenerģijas ražošanas, pārvades un sadales būvju būvnoteikumi” (turpmāk – Noteikumi Nr.573) ietvertā </w:t>
            </w:r>
            <w:r w:rsidRPr="00AC4BD2">
              <w:rPr>
                <w:lang w:eastAsia="en-US"/>
              </w:rPr>
              <w:lastRenderedPageBreak/>
              <w:t xml:space="preserve">terminoloģija un dotie terminu skaidrojumi. Tika secināts, ka vairums šo terminu jau ir skaidroti Enerģētikas likumā, līdz ar to noteikumu projektā tie netika iekļauti vai tika skaidroti noteikumu projekta tekstā. Noteikumu projektā ir iekļauti specifiskie elektroenerģijas būvniecības ieceres dokumentos (paskaidrojuma rakstā un būvprojektā) iekļaujamie dokumenti un projekta sadaļas. </w:t>
            </w:r>
          </w:p>
          <w:p w14:paraId="538E313F" w14:textId="24391088" w:rsidR="000C789B" w:rsidRPr="004B00CC" w:rsidRDefault="00C22957" w:rsidP="000C789B">
            <w:pPr>
              <w:jc w:val="both"/>
              <w:rPr>
                <w:i/>
                <w:iCs/>
              </w:rPr>
            </w:pPr>
            <w:r w:rsidRPr="00AC4BD2">
              <w:rPr>
                <w:rFonts w:ascii="TimesNewRomanPSMT" w:eastAsiaTheme="minorHAnsi" w:hAnsi="TimesNewRomanPSMT" w:cs="TimesNewRomanPSMT"/>
                <w:lang w:eastAsia="en-US"/>
              </w:rPr>
              <w:t xml:space="preserve">Infrastruktūras objektu atjaunošanai un pārbūvei piemērojamas Būvniecības likumā noteiktās būvju atjaunošanas un pārbūves definīcijas. Attiecībā uz rīcību ar energoapgādes objektu, Būvniecības likumā noteiktās atjaunošanas un pārbūves definīcijas iekļauj un nav pretrunā ar Noteikumos Nr. 573 minētajām energoapgādes objekta pārbūves un atjaunošanas definīcijām. Tādēļ tās atkārtoti nav jāiekļauj </w:t>
            </w:r>
            <w:r w:rsidRPr="00AC4BD2">
              <w:t>Ministru kabineta 2017.gada 9.maija noteikumu Nr.253 “Atsevišķu inženierbūvju būvnoteikumi” (turpmāk – AIBN</w:t>
            </w:r>
            <w:r w:rsidRPr="00AC4BD2">
              <w:rPr>
                <w:lang w:eastAsia="en-US"/>
              </w:rPr>
              <w:t>). Projektēšanas uzdevums</w:t>
            </w:r>
            <w:r w:rsidR="000C789B">
              <w:rPr>
                <w:i/>
                <w:iCs/>
              </w:rPr>
              <w:t xml:space="preserve">, </w:t>
            </w:r>
            <w:r w:rsidR="000C789B" w:rsidRPr="000C789B">
              <w:t>kurā būvniecības</w:t>
            </w:r>
            <w:r w:rsidR="000C789B">
              <w:t xml:space="preserve"> </w:t>
            </w:r>
          </w:p>
          <w:p w14:paraId="37E62A6E" w14:textId="40925D99" w:rsidR="00C22957" w:rsidRPr="00AC4BD2" w:rsidRDefault="00C22957" w:rsidP="002B4EFF">
            <w:pPr>
              <w:autoSpaceDE w:val="0"/>
              <w:autoSpaceDN w:val="0"/>
              <w:adjustRightInd w:val="0"/>
              <w:jc w:val="both"/>
              <w:rPr>
                <w:rFonts w:eastAsiaTheme="minorHAnsi"/>
                <w:lang w:eastAsia="en-US"/>
              </w:rPr>
            </w:pPr>
            <w:r w:rsidRPr="00AC4BD2">
              <w:rPr>
                <w:lang w:eastAsia="en-US"/>
              </w:rPr>
              <w:t xml:space="preserve">ierosinātājs norāda projektējamās būves galvenos parametrus un citu nepieciešamo informāciju, ir pamats būvniecības ieceres dokumentācijas izstrādāšanai. </w:t>
            </w:r>
            <w:r w:rsidRPr="00AC4BD2">
              <w:rPr>
                <w:rFonts w:eastAsiaTheme="minorHAnsi"/>
                <w:lang w:eastAsia="en-US"/>
              </w:rPr>
              <w:t xml:space="preserve">Tomēr, izstrādājot būvprojektu energoapgādes objektu būvniecībai, būvniecības ierosinātājs projektēšanas uzdevumā var noteikt augstākas detalizācijas būvprojektēšanas apjomu (piemēram, projekta veidu vai projekta saturu), nekā noteikts energoapgādes objekta attiecīgās grupas būvei. </w:t>
            </w:r>
          </w:p>
          <w:p w14:paraId="13F6958E" w14:textId="77777777" w:rsidR="00C22957" w:rsidRPr="00AC4BD2" w:rsidRDefault="00C22957" w:rsidP="002B4EFF">
            <w:pPr>
              <w:contextualSpacing/>
              <w:jc w:val="both"/>
            </w:pPr>
            <w:r w:rsidRPr="00AC4BD2">
              <w:rPr>
                <w:lang w:eastAsia="en-US"/>
              </w:rPr>
              <w:t xml:space="preserve">Tomēr pamatā būvniecības regulējums neatšķiras no iepriekš noteiktā. Noteikumu projektā ir arī pārņemts regulējums, kas attiecās uz energoapgādes komersantiem, nemainot administratīvo slogu komersantiem, savukārt regulējums par energoapgādes komersantu atbrīvojumu no pašvaldības nodevas maksāšanas pienākuma (Noteikumi Nr.573, 22.punkts) nav šī noteikumu projekta jautājums, tā kā neatbilst deleģējumam, bet ir nosakāms normatīvajā aktā par pašvaldības nodevām. </w:t>
            </w:r>
          </w:p>
          <w:p w14:paraId="75D42905" w14:textId="77777777" w:rsidR="00C22957" w:rsidRPr="00AC4BD2" w:rsidRDefault="00C22957" w:rsidP="002B4EFF">
            <w:pPr>
              <w:ind w:firstLine="253"/>
              <w:contextualSpacing/>
              <w:jc w:val="both"/>
            </w:pPr>
          </w:p>
          <w:p w14:paraId="6736AD1C" w14:textId="77777777" w:rsidR="00C22957" w:rsidRPr="00AC4BD2" w:rsidRDefault="00C22957" w:rsidP="002B4EFF">
            <w:pPr>
              <w:contextualSpacing/>
              <w:jc w:val="both"/>
            </w:pPr>
            <w:r w:rsidRPr="00AC4BD2">
              <w:t xml:space="preserve">[2] AIBN 6.punktā noteikti gadījumi, kad nav nepieciešama būvniecības ieceres dokumentācija. Izvērtējot vēl citus iespējamos gadījumus no drošības viedokļa un būvvalžu ieteikuma, regulējums papildināts ar citiem gadījumiem, kad būvniecības ieceres dokumentācija nav nepieciešama un kas tika noteikti Ministru kabineta 2014.gada 19.augusta noteikumu Nr.500 “Vispārīgie būvnoteikumi” (turpmāk – Vispārīgie būvnoteikumi) 1.pielikuma piezīmēs, piemēram, </w:t>
            </w:r>
            <w:r w:rsidRPr="00AC4BD2">
              <w:rPr>
                <w:rStyle w:val="normaltextrun"/>
              </w:rPr>
              <w:t xml:space="preserve">reklāmas un informācijas stendu (vienpusēji, divpusēji, apaļi vai trīsplakņu piloni, citi figurāli objekti) izvietošanai ar augstumu līdz 6 m, kā arī to nojaukšanai (reklāmas objektu saskaņošana noteikta </w:t>
            </w:r>
            <w:r w:rsidRPr="00AC4BD2">
              <w:t xml:space="preserve">Ministru kabineta 2012.gada 30.oktobra noteikumi Nr.732 “Kārtība, kādā saņemama atļauja reklāmas izvietošanai publiskās vietās vai vietās, kas vērstas pret publisku vietu”). Vispārīgo būvnoteikumu 1.pielikuma piezīmēs tika noteikts, ka vispārīgajos un speciālajos būvnoteikumos noteiktais būvniecības process nav piemērojams gaisvada elektrības pieslēgumam līdz 5 m pie stacionārā reklāmas un informācijas </w:t>
            </w:r>
            <w:r w:rsidRPr="00AC4BD2">
              <w:lastRenderedPageBreak/>
              <w:t>stenda. Lai nodrošinātu iespējami vienkāršāku pieslēguma ierīkošanas procesu, bez būvniecības ieceres dokumentācijas sagatavošanas, kas atrodas esošo gaisvadu elektrotīklu tuvumā, neattiecinot prasības tikai uz reklāmas un informācijas stendiem, un arī palielinot pieļaujamo gaisvadu pievada garumu. Ja gaisvadu elektrotīkla pievads ierīkots atbilstoši būvnormatīvu prasībām, tā garums neatstāj būtisku ietekmi, it īpaši teritorijās ārpus pilsētām un ciemiem. Energostandarts LEK014 “0,4 kV gaisvadu elektrolīnijas. Galvenās tehniskās prasības” 2.4.punkts nosaka, ka “Pievads ar piekarkabeli no gaisvadu elektrolīnijas balsta līdz ēkas sienai vai konstrukcijai garumā nedrīkst pārsniegt 25 m.”. Gaisvadu līnijas vadi atrodas 6m augstumā, vidējais pārlaidums starp zemsprieguma elektrolīnijas balstiem ir +/- 60 m. Ar 5m garu pievadu ierīkot gaisvadu pieslēgumu elektrolīnijai ir praktiski neiespējami, ja vien pieslēdzamais objekts neatrodas tieši blakus gaisvadu līnijas balstam. Ja atļautais pievada garums ir 25m, kas ir aptuveni puse no vidējā zemsprieguma līnijas pārlaiduma garuma, tas nozīmē, ka šādu gaisvada pieslēgumu ir iespējams ierīkot gandrīz jebkurā posmā starp diviem esošas gaisvadu līnijas balstiem, lieki nesarežģījot pieslēguma ierīkošanas procesu. Noteikumu projekta 6.3.4.</w:t>
            </w:r>
            <w:r w:rsidRPr="00AC4BD2">
              <w:rPr>
                <w:vertAlign w:val="superscript"/>
              </w:rPr>
              <w:t>2 </w:t>
            </w:r>
            <w:r w:rsidRPr="00AC4BD2">
              <w:t> punktā ir noteikts, ka būvniecības ieceres dokumentācija nav nepieciešama elektrolīnijas gaisvada pieslēgumam, kas ierīkojams elektroizolētā izpildījumā vienā pārlaidumā ar garumu līdz 10 m, nešķērsojot ielu brauktuves, ceļus un citas virszemes būves (izņemot žogu un ietvi)”.</w:t>
            </w:r>
          </w:p>
          <w:p w14:paraId="379BF499" w14:textId="77777777" w:rsidR="00C22957" w:rsidRPr="00AC4BD2" w:rsidRDefault="00C22957" w:rsidP="002B4EFF">
            <w:pPr>
              <w:contextualSpacing/>
              <w:jc w:val="both"/>
            </w:pPr>
            <w:r w:rsidRPr="00AC4BD2">
              <w:t xml:space="preserve">Precizēts AIBN 6.3.4. apakšpunkts attiecībā uz atsevišķu labiekārtojumu elementu būvniecību. Pašvaldības ir norādījušas, ka būvniecības ieceres dokumentācija šādiem objektiem publiskā ārtelpā nav nepieciešama. Tādu labiekārtojuma elementu kā, piemēram, bērnu rotaļu ierīces un sporta aprīkojums, pēcuzstādīšanas, kas ietver arī lietošanas drošuma pārbaudi, pārbaude ir jāveic atbilstoši Ministru kabineta 2020.gada 7.janvāra noteikumos Nr.18 “Spēļu un rekreācijas laukumu drošuma noteikumi” noteiktajai kārtībai. Arī Zemkopības ministrija, sniedzot atzinumu par noteikumu projektu „Grozījumi Ministru kabineta 2014.gada 19.augusta noteikumos Nr.500 “Vispārīgie būvnoteikumi”” (VSS-926), norādīja, ka saskaņā ar Ministru kabineta 2014.gada 22.jūlija noteikumu Nr.421 “Medību noteikumi” 91.7. punktu medību infrastruktūras elementi ir, piemēram, pārvietojami medību torņi, dzīvnieku barotavas, laipas, uz kuriem Zemkopības ministrijas ieskatā nav attiecināms dalījums būvju grupās un būvniecības process, jo to dislokācijas vietas tiek mainītas atkarībā no meža dzīvnieku pārvietošanās vietām. </w:t>
            </w:r>
            <w:bookmarkStart w:id="3" w:name="_Hlk63090595"/>
            <w:r w:rsidRPr="00AC4BD2">
              <w:t xml:space="preserve">Rekreācijas infrastruktūra mežā ir soliņi, stendi, ar sabiedrības brīvā laika izmantošanu saistīti atpūtas elementi mežā. Atbilstoši Meža likuma noteikumiem meža zemēs ir atļauts ierīkot meža infrastruktūru - mežā būvētus vai ierīkotus objektus meža apsaimniekošanas un aizsardzības vajadzībām, kā arī rekreācijai. Meža likumā un atbilstošajos citos Latvijas Republikas </w:t>
            </w:r>
            <w:r w:rsidRPr="00AC4BD2">
              <w:lastRenderedPageBreak/>
              <w:t>normatīvajos aktos noteikto meža aizsardzības un rekreācijas funkciju izpildē vairums ierīkoto objektu ekspluatācija ir īslaicīga rakstura (līdz 10 gadiem). To ierīkošanā vai būvniecībā tiek izmantoti dabiskie materiāli (koks), kurus pēc to ekspluatācijas ir viegli utilizēt. Būvniecību regulējošos normatīvajos aktos ir iestrādājami noteikumi, kas paredz atvieglotu būvniecības procesa regulējumu medību un rekreācijas infrastruktūras objektu ierīkošanai un būvniecībai, kā arī šo objektu demontāžai. Meža likuma 1.panta pirmās daļas 19.apakšpunktā noteikta meža aizsardzības definīcija  - “pasākumi meža bojājumu un to seku novēršanai vai mazināšanai”. Minētie pasākumi ietver sevī arī Medību likumā noteikto Medību tiesību izmantošanu un Medības saimniecības uzturēšanu, tajā skaitā Medību infrastruktūras ierīkošanu, lietošanu un uzturēšanu. Izvērtējot patreizējo praksi, meža un lauksaimniecības zemēs tiek ierīkoti sekojoši rekreācijas infrastruktūras objekti: nojumes un vaļējas terases (kas nav saistītas ar ēku) ar platību līdz 25 m</w:t>
            </w:r>
            <w:r w:rsidRPr="00AC4BD2">
              <w:rPr>
                <w:vertAlign w:val="superscript"/>
              </w:rPr>
              <w:t>2</w:t>
            </w:r>
            <w:r w:rsidRPr="00AC4BD2">
              <w:t>, soliņi, galdiņi, celiņi, kāpnes, atsevišķas laternas un apgaismes ķermeņi, karogu masti ar augstumu līdz 12 m (ieskaitot), norādes, līdz 6 m augsti informācijas stendi, ceļa zīmes, koka skulptūras, brīvi stāvošas atkritumu tvertnes, velosipēdu statīvi, laipas un gājēju tiltiņi ar laidumu līdz 6 m u.tml. Savukārt, kā medību infrastruktūras objekti tiek ierīkotas nojumes un medījamo dzīvnieku barotavas ar platību līdz 25 m</w:t>
            </w:r>
            <w:r w:rsidRPr="00AC4BD2">
              <w:rPr>
                <w:vertAlign w:val="superscript"/>
              </w:rPr>
              <w:t>2</w:t>
            </w:r>
            <w:r w:rsidRPr="00AC4BD2">
              <w:t>, medību torņi bez inženiertīkliem ar augstumu līdz 10 m un citi atsevišķi labiekārtojuma elementi. Noteikumu projektā ir noteikts, ka būvniecības ieceres dokumentācija nebūs jāizstrādā atsevišķu labiekārtojuma elementu (soliņi, celiņi, vaļēja terase (kas nav saistīta ar ēku), medību torņi ar augstumu līdz 10 m, bērnu rotaļu ierīces, sporta aprīkojums, atsevišķas laternas un apgaismes ķermeņi, karogu masti ar augstumu līdz 12 m (ieskaitot), dārza kamīni, ielu norādes stabi, laipas, brīvi stāvošas atkritumu tvertnes, velosipēdu statīvi u.tml.), žoga un pirmās grupas sporta laukuma (bez inženiertīkliem) būvdarbiem, kā arī kapavietas aprīkojumu (kapavietā uzstādīta piemiņas zīme, piemineklis, soliņš, apmales, sēta u.tml.) būvdarbiem, neskatoties kādā teritorijā tās tiks izvietotas.</w:t>
            </w:r>
          </w:p>
          <w:bookmarkEnd w:id="3"/>
          <w:p w14:paraId="75035ADC" w14:textId="77777777" w:rsidR="00C22957" w:rsidRPr="00AC4BD2" w:rsidRDefault="00C22957" w:rsidP="002B4EFF">
            <w:pPr>
              <w:contextualSpacing/>
              <w:jc w:val="both"/>
            </w:pPr>
            <w:r w:rsidRPr="00AC4BD2">
              <w:rPr>
                <w:rStyle w:val="normaltextrun"/>
              </w:rPr>
              <w:t xml:space="preserve">Tāpat bez būvniecības ieceres dokumentiem var veikt avārijas novēršanas vai tās seku likvidēšanas būvdarbiem, dažādu iekārtu nomaiņu, tai skaitā bojājumu, kas radušies dabas stihijas, zādzības un citu neparedzētu apstākļu dēļ likvidēšanas darbiem. </w:t>
            </w:r>
            <w:r w:rsidRPr="00AC4BD2">
              <w:t>Protams, personai ir pienākums ievērot trešo personu intereses, citos normatīvajos aktos noteiktās prasības (piemēram, attālumi), pašvaldības teritorijas izmantošanas un apbūves noteikumus, saņemt saskaņojumus (piemēram, kopīpašuma gadījumā), ja tādi nepieciešami.</w:t>
            </w:r>
          </w:p>
          <w:p w14:paraId="1CC19C7D" w14:textId="77777777" w:rsidR="00C22957" w:rsidRPr="00AC4BD2" w:rsidRDefault="00C22957" w:rsidP="002B4EFF">
            <w:pPr>
              <w:contextualSpacing/>
              <w:jc w:val="both"/>
              <w:rPr>
                <w:rStyle w:val="normaltextrun"/>
                <w:bCs/>
              </w:rPr>
            </w:pPr>
            <w:r w:rsidRPr="00AC4BD2">
              <w:t xml:space="preserve">Tā kā AIBN pašreizējā tekstā nav īpaši doti terminu skaidrojumi, tad iekšējā inženiertīkla skaidrojums ir ietverts 6.3.1.apakšpunktā. AIBN neattiecas uz elektronisko sakaru tīkliem. Elektronisko sakaru tīklu, tai skaitā iekšējo tīklu, būvniecību reglamentē Ministru </w:t>
            </w:r>
            <w:r w:rsidRPr="00AC4BD2">
              <w:lastRenderedPageBreak/>
              <w:t xml:space="preserve">kabineta 2014.gada 19.augusta noteikumi Nr.501 “Elektronisko sakaru tīklu ierīkošanas, būvniecības un uzraudzības kārtība”. Noteikumu projektā ir noteikti gadījumi, kad, ierīkojot iekšējo inženiertīklu, par darbību, kas pazemina būves konstrukciju drošību, nestspēju vai noturību, nav uzskatāma iekšējā inženiertīkla ierīkošana, ja tiek ievēroti šādi nosacījumi: 1) urbuma diametrs nesošajās konstrukcijās vai nesošajos elementos nepārsniedz 50 mm, attālums starp urbumiem ir vismaz 0,5 m un 2) urbjot netiek skarts konstrukcijas stiegrojums vai citi nestspējas nodrošinājuma elementi (noteikumu </w:t>
            </w:r>
            <w:r w:rsidRPr="00AC4BD2">
              <w:rPr>
                <w:rStyle w:val="normaltextrun"/>
                <w:bCs/>
              </w:rPr>
              <w:t>6.</w:t>
            </w:r>
            <w:r w:rsidRPr="00AC4BD2">
              <w:rPr>
                <w:rStyle w:val="normaltextrun"/>
                <w:bCs/>
                <w:vertAlign w:val="superscript"/>
              </w:rPr>
              <w:t>5</w:t>
            </w:r>
            <w:r w:rsidRPr="00AC4BD2">
              <w:rPr>
                <w:rStyle w:val="normaltextrun"/>
                <w:bCs/>
              </w:rPr>
              <w:t xml:space="preserve">punkts). Ja tiek ievēroti šādi nosacījumi, tad iekšējo inženiertīklu var ierīkot bez būvniecības ieceres dokumentācijas, izņemot </w:t>
            </w:r>
            <w:r w:rsidRPr="00AC4BD2">
              <w:rPr>
                <w:rStyle w:val="normaltextrun"/>
              </w:rPr>
              <w:t>daudzdzīvokļu dzīvojamās ēkas koplietošanas iekšējā inženiertīkla ierīkošanai vai pārbūvei (noteikumu 6.1 1.apakšpunkts).</w:t>
            </w:r>
            <w:r w:rsidRPr="00AC4BD2">
              <w:rPr>
                <w:rStyle w:val="normaltextrun"/>
                <w:bCs/>
              </w:rPr>
              <w:t xml:space="preserve"> </w:t>
            </w:r>
          </w:p>
          <w:p w14:paraId="4A9D36E9" w14:textId="77777777" w:rsidR="00C22957" w:rsidRPr="00AC4BD2" w:rsidRDefault="00C22957" w:rsidP="002B4EFF">
            <w:pPr>
              <w:contextualSpacing/>
              <w:jc w:val="both"/>
            </w:pPr>
          </w:p>
          <w:p w14:paraId="0C5057C6" w14:textId="3F68F529" w:rsidR="00C22957" w:rsidRPr="00AC4BD2" w:rsidRDefault="00C22957" w:rsidP="002B4EFF">
            <w:pPr>
              <w:contextualSpacing/>
              <w:jc w:val="both"/>
            </w:pPr>
            <w:r w:rsidRPr="00AC4BD2">
              <w:t xml:space="preserve"> [3] Pārskatot inženierbūvju būvniecības procesu un ievērojot būvvaldei noteikto kompetenci, noteikumu projektā ieviesta saskaņošanas procedūra – paziņojums par būvniecību, kas būtu piemērojams vairākos gadījumos, kad nav nepieciešama būvvaldes atļauja veikt būvdarbus, bet tie veicami pamatojoties uz būvspeciālista (būvkomersanta) izstrādātas dokumentācijas. Noteikumu projektā ir noteikts, ka paziņošanas procedūru varēs piemērot arī </w:t>
            </w:r>
            <w:r w:rsidRPr="00AC4BD2">
              <w:rPr>
                <w:rStyle w:val="normaltextrun"/>
              </w:rPr>
              <w:t xml:space="preserve"> daudzdzīvokļu dzīvojamās ēkas koplietošanas iekšējā inženiertīkla ierīkošanai vai pārbūvei (iepriekš – apliecinājuma karte, ja būvdarbi tika finansēti no publiskās personas līdzekļiem), </w:t>
            </w:r>
            <w:r w:rsidRPr="00AC4BD2">
              <w:t xml:space="preserve"> </w:t>
            </w:r>
            <w:r w:rsidRPr="00AC4BD2">
              <w:rPr>
                <w:rStyle w:val="normaltextrun"/>
              </w:rPr>
              <w:t xml:space="preserve"> kā arī citu būvju iekšējā inženiertīkla ierīkošanai vai pārbūvei, ja tie neatbilst atbilst šo noteikumu 6.</w:t>
            </w:r>
            <w:r w:rsidRPr="00AC4BD2">
              <w:rPr>
                <w:rStyle w:val="normaltextrun"/>
                <w:vertAlign w:val="superscript"/>
              </w:rPr>
              <w:t>5</w:t>
            </w:r>
            <w:r w:rsidRPr="00AC4BD2">
              <w:rPr>
                <w:rStyle w:val="normaltextrun"/>
              </w:rPr>
              <w:t xml:space="preserve"> punkta nosacījumiem; pirmās grupas inženierbūves nojaukšanai (iepriekš – paskaidrojuma raksts); inženiertīkla pievada jaunai būvniecībai, ierīkošanai vai pārbūvei, ja tie atbilst 18.punkta nosacījumiem, kā arī saglabāts </w:t>
            </w:r>
            <w:r w:rsidRPr="00AC4BD2">
              <w:t>Noteikumos Nr.573</w:t>
            </w:r>
            <w:r w:rsidRPr="00AC4BD2">
              <w:rPr>
                <w:rStyle w:val="normaltextrun"/>
              </w:rPr>
              <w:t xml:space="preserve"> noteiktais regulējums par paziņošanas procedūru. Gadījumos, kad energoapgādes komersants veic būvniecību ar paziņošanas procedūru, energoapgādes komersants ir tiesīgs noteikt projektēšanas uzdevumā</w:t>
            </w:r>
            <w:r w:rsidR="000C789B">
              <w:rPr>
                <w:rStyle w:val="normaltextrun"/>
              </w:rPr>
              <w:t xml:space="preserve"> </w:t>
            </w:r>
            <w:r w:rsidR="000C789B">
              <w:rPr>
                <w:lang w:eastAsia="en-US"/>
              </w:rPr>
              <w:t>(</w:t>
            </w:r>
            <w:r w:rsidR="000C789B" w:rsidRPr="004B00CC">
              <w:rPr>
                <w:i/>
                <w:iCs/>
              </w:rPr>
              <w:t>dokuments, ko pirms būvniecības ieceres izstrādāšanas sastāda būvniecības ieceres ierosinātājs un kurā norāda projektējamās būves galvenās funkcijas un parametrus, būvprojekta veidu, ietveramās sadaļas, būvprojekta izstrādei piemērojamos dokumentus un standartus, būvniecības izpildes secību, ja būvobjekts nododams ekspluatācijā pa būves kārtām, kā arī autoruzraudzības nepieciešamību</w:t>
            </w:r>
            <w:r w:rsidR="000C789B">
              <w:rPr>
                <w:i/>
                <w:iCs/>
              </w:rPr>
              <w:t>)</w:t>
            </w:r>
            <w:r w:rsidRPr="00AC4BD2">
              <w:rPr>
                <w:rStyle w:val="normaltextrun"/>
              </w:rPr>
              <w:t xml:space="preserve"> dokumentu apjomu, kas ir jāizstrādā, kā arī noteikt kādi vēl dokumenti ir jāpievieno būvniecības iecerei. Energoapgādes komersants var noteikt, ka energoapgādes objektu būvniecībā ir piemērojami s</w:t>
            </w:r>
            <w:r w:rsidRPr="00AC4BD2">
              <w:t>pēkā esošie un pielietojamie Latvijas Elektrotehniskās Komisijas (LEK) energostandarti, kā arī noteikt gadījumus un apjomu, kādā ir veicama būvniecības ieceres dokumentācijas ekspertīze, ievērojot Vispārīgo būvnoteikumu regulējumu</w:t>
            </w:r>
            <w:r w:rsidR="000C789B">
              <w:t xml:space="preserve"> attiecībā uz būvspeciālista kompetenci</w:t>
            </w:r>
            <w:r w:rsidRPr="00AC4BD2">
              <w:t xml:space="preserve">. Energoapgādes komersants paziņošanas kārtībā ir </w:t>
            </w:r>
            <w:r w:rsidRPr="00AC4BD2">
              <w:lastRenderedPageBreak/>
              <w:t xml:space="preserve">tiesīgs ierokot arī sadalni ar nepieciešamiem kabeļiem sarkano līniju robežās. </w:t>
            </w:r>
          </w:p>
          <w:p w14:paraId="0143F337" w14:textId="77777777" w:rsidR="00C22957" w:rsidRPr="00AC4BD2" w:rsidRDefault="00C22957" w:rsidP="002B4EFF">
            <w:pPr>
              <w:contextualSpacing/>
              <w:jc w:val="both"/>
            </w:pPr>
            <w:r w:rsidRPr="00AC4BD2">
              <w:rPr>
                <w:rStyle w:val="normaltextrun"/>
              </w:rPr>
              <w:t>L</w:t>
            </w:r>
            <w:r w:rsidRPr="00AC4BD2">
              <w:t>ai nodrošinātu, ka persona neveic patvaļīgu būvniecību, pirms būvdarbu uzsākšanas par to ir jāinformē būvvalde, iesniedzot būvniecības informācijas sistēmā paziņojumu par būvniecību (4.</w:t>
            </w:r>
            <w:r w:rsidRPr="00AC4BD2">
              <w:rPr>
                <w:vertAlign w:val="superscript"/>
              </w:rPr>
              <w:t>1</w:t>
            </w:r>
            <w:r w:rsidRPr="00AC4BD2">
              <w:t xml:space="preserve"> pielikums) un jāpievieno būvspeciālista izstrādāts un būvniecības informācijas sistēmā apstiprināts dokuments. </w:t>
            </w:r>
          </w:p>
          <w:p w14:paraId="26D645DF" w14:textId="77777777" w:rsidR="00C22957" w:rsidRPr="00AC4BD2" w:rsidRDefault="00C22957" w:rsidP="002B4EFF">
            <w:pPr>
              <w:contextualSpacing/>
              <w:jc w:val="both"/>
              <w:rPr>
                <w:bCs/>
              </w:rPr>
            </w:pPr>
            <w:r w:rsidRPr="00AC4BD2">
              <w:t>Būvspeciālistam ir pienākums izstrādāt tādu risinājumu, kas nodrošina inženierbūves vai tās daļas konstrukciju noturību, ugunsdrošību, lietošanas drošumu, lai nodrošinātu būvniecības ieceres un inženierbūves atbilstību normatīvo aktu prasībām, atbilstību paredzētajam lietošanas veidam un normatīvajiem aktiem, kā arī trešo personu īpašuma tiesību ievērošanu. Daudzdzīvokļu dzīvojamās ēkas koplietošanas iekšējā inženiertīkla ierīkošanas vai pārbūves</w:t>
            </w:r>
            <w:r w:rsidRPr="00AC4BD2">
              <w:rPr>
                <w:bCs/>
              </w:rPr>
              <w:t xml:space="preserve"> gadījumos, kad tiek veiktas </w:t>
            </w:r>
            <w:r w:rsidRPr="00AC4BD2">
              <w:t>darbības, kas pazemina noturību</w:t>
            </w:r>
            <w:r w:rsidRPr="00AC4BD2">
              <w:rPr>
                <w:bCs/>
              </w:rPr>
              <w:t xml:space="preserve">, konstruktīvā mezgla risinājumu būs jāizstrādā būvspeciālistam ēku konstrukciju projektēšanā. Arī gadījumos, kad iekšējā inženiertīkla ierīkošanai ir jāparedz urbums nesošajās konstrukcijās lielāks par 50mm un tas skar konstrukciju stiegrojumu, būvniecības ierosinātājam ir jāiesniedz būvvaldē paziņojums par būvniecību un jāpievieno būvspeciālista ēku konstrukciju projektēšanā izstrādāts konstruktīvā mezgla risinājums.  </w:t>
            </w:r>
          </w:p>
          <w:p w14:paraId="05433B08" w14:textId="77777777" w:rsidR="00C22957" w:rsidRPr="00AC4BD2" w:rsidRDefault="00C22957" w:rsidP="002B4EFF">
            <w:pPr>
              <w:jc w:val="both"/>
            </w:pPr>
            <w:r w:rsidRPr="00AC4BD2">
              <w:t xml:space="preserve">Noteikumu projekts paredz, ka arī pēc paziņošanas kārtībā veiktiem būvvdarbiem būvniecības ierosinātājam būs pienākums sagatavot inženierbūves novietojuma izpildmērījuma plānu (šo noteikumu 146. punktā minētajos gadījumos) atbilstoši augstas detalizācijas topogrāfiskās informācijas jomas normatīvajiem aktiem. </w:t>
            </w:r>
          </w:p>
          <w:p w14:paraId="7F3C57AA" w14:textId="77777777" w:rsidR="00C22957" w:rsidRPr="00AC4BD2" w:rsidRDefault="00C22957" w:rsidP="002B4EFF">
            <w:pPr>
              <w:contextualSpacing/>
              <w:jc w:val="both"/>
            </w:pPr>
            <w:r w:rsidRPr="00AC4BD2">
              <w:t xml:space="preserve">Līdz paziņojumā par būvniecību norādītajā būvdarbu pabeigšanas termiņam būvniecības ierosinātājs būvniecības informācijas sistēmā jāapstiprina, ka būvdarbi pabeigti vai arī gadījumā, ja minētajā termiņā būvdarbi nav pabeigti, tie ir jāpagarina vai jāatceļ paziņojums par būvniecību, ja vispār  nav uzsākti un netiks veikti. </w:t>
            </w:r>
          </w:p>
          <w:p w14:paraId="48FC0E54" w14:textId="77777777" w:rsidR="00C22957" w:rsidRPr="00AC4BD2" w:rsidRDefault="00C22957" w:rsidP="002B4EFF">
            <w:pPr>
              <w:contextualSpacing/>
              <w:jc w:val="both"/>
            </w:pPr>
            <w:r w:rsidRPr="00AC4BD2">
              <w:t>Institūcija, kura pilda būvvaldes funkcijas, ir tiesīga veikt būvdarbu tiesiskuma kontroli par būvniecības informācijas</w:t>
            </w:r>
          </w:p>
          <w:p w14:paraId="08BE8E9A" w14:textId="77777777" w:rsidR="00C22957" w:rsidRPr="00AC4BD2" w:rsidRDefault="00C22957" w:rsidP="002B4EFF">
            <w:pPr>
              <w:contextualSpacing/>
              <w:jc w:val="both"/>
            </w:pPr>
            <w:r w:rsidRPr="00AC4BD2">
              <w:t>sistēmā saņemto paziņojumu par būvniecību.</w:t>
            </w:r>
          </w:p>
          <w:p w14:paraId="11715482" w14:textId="77777777" w:rsidR="00C22957" w:rsidRPr="00AC4BD2" w:rsidRDefault="00C22957" w:rsidP="002B4EFF">
            <w:pPr>
              <w:ind w:left="57" w:right="57"/>
              <w:jc w:val="both"/>
            </w:pPr>
            <w:r w:rsidRPr="00AC4BD2">
              <w:t xml:space="preserve">Būvvaldes kompetencē būs atcelt paziņojumu un uzsākt lietu par patvaļīgo būvniecību – ja būvdarbi neatbilst paziņošanas kārtībai un ir nepieciešams paskaidrojuma raksts vai būvatļauja. Būvvalde, ja nepieciešams, ir tiesīga arī pārbaudīt vai ir saņemti visi nepieciešamie saskaņojumi. </w:t>
            </w:r>
          </w:p>
          <w:p w14:paraId="43C3B94C" w14:textId="77777777" w:rsidR="00C22957" w:rsidRPr="00AC4BD2" w:rsidRDefault="00C22957" w:rsidP="002B4EFF">
            <w:pPr>
              <w:pStyle w:val="paragraph"/>
              <w:spacing w:before="0" w:beforeAutospacing="0" w:after="0" w:afterAutospacing="0"/>
              <w:jc w:val="both"/>
              <w:textAlignment w:val="baseline"/>
            </w:pPr>
          </w:p>
          <w:p w14:paraId="46A869AF" w14:textId="77777777" w:rsidR="00C22957" w:rsidRPr="00AC4BD2" w:rsidRDefault="00C22957" w:rsidP="002B4EFF">
            <w:pPr>
              <w:contextualSpacing/>
              <w:jc w:val="both"/>
            </w:pPr>
            <w:r w:rsidRPr="00AC4BD2">
              <w:t xml:space="preserve">[4] Ņemot vērā pēdējā laikā veiktos grozījumus Būvniecības likumā un speciālajos būvnoteikumos, salāgojot dažādu būvniecības ieceres realizācijas termiņus, ir pārskatītas inženierbūves būvniecības saskaņošanas procedūras, paredzot, ka turpmāk inženierbūves būvniecības procesu varēs ierosināt ar paskaidrojuma rakstu vai būvniecības iesniegumu, atsakoties no apliecinājuma kartes, tādējādi samazinot būvniecības ieceres ierosināšanas iesniegumus. </w:t>
            </w:r>
          </w:p>
          <w:p w14:paraId="45EB2695" w14:textId="77777777" w:rsidR="00C22957" w:rsidRPr="00AC4BD2" w:rsidRDefault="00C22957" w:rsidP="002B4EFF">
            <w:pPr>
              <w:pStyle w:val="paragraph"/>
              <w:spacing w:before="0" w:beforeAutospacing="0" w:after="0" w:afterAutospacing="0"/>
              <w:jc w:val="both"/>
              <w:textAlignment w:val="baseline"/>
            </w:pPr>
            <w:r w:rsidRPr="00AC4BD2">
              <w:lastRenderedPageBreak/>
              <w:t>Noteikumu projektā ir noteikti gadījumi, kad būvniecības ieceri varēs ierosināt, iesniedzot institūcijā, kura pilda būvvaldes funkcijas, paskaidrojuma rakstu (6.</w:t>
            </w:r>
            <w:r w:rsidRPr="00AC4BD2">
              <w:rPr>
                <w:vertAlign w:val="superscript"/>
              </w:rPr>
              <w:t>2</w:t>
            </w:r>
            <w:r w:rsidRPr="00AC4BD2">
              <w:t xml:space="preserve"> punkts). Šie gadījumi ir būtiski paplašināti. Ar paskaidrojuma rakstu varēs ierosināt ne tikai pirmās grupas inženierbūves jaunu būvniecību un pārbūvi, bet arī otrās un trešās grupas inženierbūves atjaunošanu un nojaukšanu (iepriekš – būvatļauja). Vispārīgais būvniecības process, kura ietvaros izdod būvatļauju, saglabāts gadījumos, kad nepieciešams ierosināt otrās vai trešās grupas inženierbūves jaunu būvniecību, novietošanu vai pārbūvi.</w:t>
            </w:r>
          </w:p>
          <w:p w14:paraId="6933EAF5" w14:textId="77777777" w:rsidR="00C22957" w:rsidRPr="00AC4BD2" w:rsidRDefault="00C22957" w:rsidP="002B4EFF">
            <w:pPr>
              <w:pStyle w:val="paragraph"/>
              <w:spacing w:before="0" w:beforeAutospacing="0" w:after="0" w:afterAutospacing="0"/>
              <w:jc w:val="both"/>
              <w:textAlignment w:val="baseline"/>
            </w:pPr>
            <w:r w:rsidRPr="00AC4BD2">
              <w:t xml:space="preserve">Paskaidrojuma raksts būs jāiesniedz arī gadījumos, kad inženiertīkla pievada būvniecībai nav piemērojams šo noteikumu 18.punkts, proti, inženiertīkla pievada jauna būvniecība, ierīkošanu vai pārbūve plānota vairāku zemes gabala robežās, kas nepieder būvniecības ierosinātājam, un līdz būves pieguļošā zemes gabala robežai nav izbūvēts ārējā inženiertīkla atzars. </w:t>
            </w:r>
          </w:p>
          <w:p w14:paraId="07C9A820" w14:textId="77777777" w:rsidR="00C22957" w:rsidRPr="00AC4BD2" w:rsidRDefault="00C22957" w:rsidP="002B4EFF">
            <w:pPr>
              <w:jc w:val="both"/>
            </w:pPr>
            <w:r w:rsidRPr="00AC4BD2">
              <w:t>Līdz šo noteikumu spēkā stāšanas brīdim akceptētās apliecinājuma kartes ir īstenojamas akcepta brīdī noteiktā termiņā, bet būvdarbu pabeigšana veicama iesniedzot apliecinājuma kartes II daļu (3.pielikums) un šo noteikumu 152. punktā noteiktos dokumentus;</w:t>
            </w:r>
          </w:p>
          <w:p w14:paraId="5E439569" w14:textId="77777777" w:rsidR="00C22957" w:rsidRPr="00AC4BD2" w:rsidRDefault="00C22957" w:rsidP="002B4EFF">
            <w:pPr>
              <w:contextualSpacing/>
              <w:jc w:val="both"/>
            </w:pPr>
            <w:r w:rsidRPr="00AC4BD2">
              <w:t>Tā kā būvniecības ierosināšanai izstrādājamo un būvvaldē iesniedzamo dokumentu apjoms netiek palielināts, līdz ar to pēc būtības nemaina iesaistīto personu esošos pienākumus un tiesības, kā arī netiek palielināts administratīvais slogs. Atsevišķos gadījumos tas tiek samazināts, piemēram, otrās un trešās grupas inženierbūves atjaunošanas un nojaukšanas gadījumā, to varēs veikt ar paskaidrojuma rakstu nevis vispārīgajā būvniecības procesā, kura ietvaros tiek izdota būvatļauja.</w:t>
            </w:r>
          </w:p>
          <w:p w14:paraId="61C7C96A" w14:textId="77777777" w:rsidR="00C22957" w:rsidRPr="00AC4BD2" w:rsidRDefault="00C22957" w:rsidP="002B4EFF">
            <w:pPr>
              <w:pStyle w:val="paragraph"/>
              <w:spacing w:before="0" w:beforeAutospacing="0" w:after="0" w:afterAutospacing="0"/>
              <w:jc w:val="both"/>
              <w:textAlignment w:val="baseline"/>
            </w:pPr>
          </w:p>
          <w:p w14:paraId="4886D368" w14:textId="77777777" w:rsidR="00C22957" w:rsidRPr="00AC4BD2" w:rsidRDefault="00C22957" w:rsidP="002B4EFF">
            <w:pPr>
              <w:contextualSpacing/>
              <w:jc w:val="both"/>
            </w:pPr>
            <w:r w:rsidRPr="00AC4BD2">
              <w:t xml:space="preserve">[5] Ar AIBN tika ieviesta jauna projektēšanas pamatne – būvju situācijas plāns, kas ļāva atsevišķos gadījumos samazināt izmaksas attiecībā uz nepieciešamību rasējumus sagatavot uz topogrāfijas plāna pamatnes. Būvju situācijas plānu varēs izmantot arī ierosinot elektroenerģijas būvju būvniecību. Būvju situācijas plāns ir izmantojams vienmēr, ja pašvaldības vai personas, kurai pašvaldība deleģējusi augstas detalizācijas topogrāfiskās informācijas datubāzes uzturēšanu, ir augstas detalizācijas topogrāfiskā informācija par zemes gabalu, kurā ir plānota būvdarbu veikšana. </w:t>
            </w:r>
          </w:p>
          <w:p w14:paraId="776905D5" w14:textId="77777777" w:rsidR="00C22957" w:rsidRPr="00AC4BD2" w:rsidRDefault="00C22957" w:rsidP="002B4EFF">
            <w:pPr>
              <w:pStyle w:val="Normal1"/>
              <w:spacing w:after="120"/>
              <w:jc w:val="both"/>
              <w:rPr>
                <w:rFonts w:ascii="Times New Roman" w:hAnsi="Times New Roman"/>
                <w:sz w:val="24"/>
                <w:szCs w:val="24"/>
              </w:rPr>
            </w:pPr>
            <w:r w:rsidRPr="00AC4BD2">
              <w:rPr>
                <w:rFonts w:ascii="Times New Roman" w:hAnsi="Times New Roman"/>
                <w:sz w:val="24"/>
                <w:szCs w:val="24"/>
              </w:rPr>
              <w:t xml:space="preserve">Savukārt gadījumos, kad tiks plānota gaisvada elektrolīnijas (elektrolīnija, kuras vadi vai piekarkabeļi nostiprināti balstos noteiktā augstumā virs zemes) nojaukšana (demontāža) kā projektēšanas pamatni varēs izmantot </w:t>
            </w:r>
            <w:r w:rsidRPr="00AC4BD2">
              <w:rPr>
                <w:rFonts w:ascii="Times New Roman" w:hAnsi="Times New Roman"/>
                <w:sz w:val="24"/>
                <w:szCs w:val="24"/>
                <w:lang w:eastAsia="en-US"/>
              </w:rPr>
              <w:t xml:space="preserve">inženiertīklu </w:t>
            </w:r>
            <w:r w:rsidRPr="00AC4BD2">
              <w:rPr>
                <w:rFonts w:ascii="Times New Roman" w:hAnsi="Times New Roman"/>
                <w:sz w:val="24"/>
                <w:szCs w:val="24"/>
              </w:rPr>
              <w:t>izvietojuma</w:t>
            </w:r>
            <w:r w:rsidRPr="00AC4BD2">
              <w:rPr>
                <w:rFonts w:ascii="Times New Roman" w:hAnsi="Times New Roman"/>
                <w:sz w:val="24"/>
                <w:szCs w:val="24"/>
                <w:lang w:eastAsia="en-US"/>
              </w:rPr>
              <w:t xml:space="preserve"> shēmu, kas ir Latvijas Ģeotelpiskās informācijas aģentūras sagatavotu pēdējā cikla augstākās izšķirtspējas ortofotokaršu, ielu sarkano līniju, zemes vienību robežu un to kadastra apzīmējumu un zemes vienību daļu un to kadastra apzīmējumu, inženiertīklu īpašnieku sagatavotu inženiertīklu novietojuma plānu shematisks attēlojums (kompilācija) vizuāli uztveramā formā. </w:t>
            </w:r>
            <w:r w:rsidRPr="00AC4BD2">
              <w:rPr>
                <w:rFonts w:ascii="Times New Roman" w:hAnsi="Times New Roman"/>
                <w:sz w:val="24"/>
                <w:szCs w:val="24"/>
              </w:rPr>
              <w:t xml:space="preserve"> Jēdziens “situācijas plāns” ir nošķirams no jēdziena “būvju situācijās plāns” </w:t>
            </w:r>
            <w:r w:rsidRPr="00AC4BD2">
              <w:rPr>
                <w:rFonts w:ascii="Times New Roman" w:hAnsi="Times New Roman"/>
                <w:sz w:val="24"/>
                <w:szCs w:val="24"/>
              </w:rPr>
              <w:lastRenderedPageBreak/>
              <w:t>un tiek lietots Ministru kabineta 2011.gada 27.decembra noteikumu Nr.1019 “Zemes kadastrālās uzmērīšanas noteikumi” izpratnē.</w:t>
            </w:r>
          </w:p>
          <w:p w14:paraId="1311C068" w14:textId="77777777" w:rsidR="00C22957" w:rsidRPr="00AC4BD2" w:rsidRDefault="00C22957" w:rsidP="002B4EFF">
            <w:pPr>
              <w:contextualSpacing/>
              <w:jc w:val="both"/>
            </w:pPr>
          </w:p>
          <w:p w14:paraId="2B0F0B5B" w14:textId="77777777" w:rsidR="00C22957" w:rsidRPr="00AC4BD2" w:rsidRDefault="00C22957" w:rsidP="002B4EFF">
            <w:pPr>
              <w:contextualSpacing/>
              <w:jc w:val="both"/>
            </w:pPr>
            <w:r w:rsidRPr="00AC4BD2">
              <w:t xml:space="preserve">[6] Šobrīd AIBN ir noteikts, ka būvprojekta ekspertīzi veic visam būvprojektam, savukārt Noteikumos Nr.573 ir noteikts, ka būvprojekta ekspertīze obligāti veicama energoapgādes objektu nojaukšanas darbiem, kas var tieši skart vai ietekmēt paaugstinātas bīstamības ražošanas ēkas, kā arī </w:t>
            </w:r>
            <w:bookmarkStart w:id="4" w:name="p44"/>
            <w:bookmarkStart w:id="5" w:name="p-668907"/>
            <w:bookmarkEnd w:id="4"/>
            <w:bookmarkEnd w:id="5"/>
            <w:r w:rsidRPr="00AC4BD2">
              <w:t>ekspertīzi energoapgādes objektu būvprojektiem veic būvkonstrukciju daļai; tehnoloģiskajai daļai; ēkas un būves galveno inženiertīklu sadaļām; vispārīgajai daļai; citām būvniecības ierosinātāja noteiktajām būvprojekta sadaļām.</w:t>
            </w:r>
          </w:p>
          <w:p w14:paraId="7B337706" w14:textId="77777777" w:rsidR="00C22957" w:rsidRPr="00AC4BD2" w:rsidRDefault="00C22957" w:rsidP="002B4EFF">
            <w:pPr>
              <w:jc w:val="both"/>
            </w:pPr>
            <w:r w:rsidRPr="00AC4BD2">
              <w:t xml:space="preserve">Tā kā būvdarbu laikā bieži būvprojektā paredzētie būvizstrādājumi tiek aizstāti ar citiem būvizstrādājumiem vai tiek veiktas izmaiņas būvprojektā, līdz ar to būvprojekta sākuma stadijā veiktā būvekspertīze, piemēram, tehnoloģiskajai daļai; būves galveno inženiertīklu sadaļām; vispārīgajai daļai, vairs nav aktuāla. Būvprojekta ekspertīzē būtu jāizvērtē tās būvprojekta daļas, kuras ir būtiskas, lai uzskatītu, ka inženierbūve ir droša un ekspertīzē nevajadzētu vēlreiz pārbaudīt visu trešās grupas inženierbūves būvprojektu, tādēļ precizēts regulējums, kurām būvprojekta daļām veicama ekspertīze – būvkonstrukciju daļai un tehnoloģiskajai daļai (energoapgādes objektiem). </w:t>
            </w:r>
            <w:bookmarkStart w:id="6" w:name="_Hlk46476073"/>
            <w:r w:rsidRPr="00AC4BD2">
              <w:t>Būvprojekta ekspertīzi veic, lai izvērtētu projektētās inženierbūves atbilstību būves mehāniskajai stiprībai un stabilitātei un ugunsdrošībai.</w:t>
            </w:r>
            <w:bookmarkEnd w:id="6"/>
            <w:r w:rsidRPr="00AC4BD2">
              <w:t xml:space="preserve"> Saskaņā ar Vispārīgo būvnoteikumu 60.punktu, ja tiek mainīts būves arhitektoniskais risinājums vai būves, tās nesošo konstrukciju vai to daļu konstruktīvais risinājums, atkārtotu būvprojekta ekspertīzi veic tikai tām būvprojekta daļām, attiecībā uz būves mehānisko stiprību, stabilitāti, ugunsdrošību vai lietošanas drošumu. Tāpat jānorāda, ka viena būvprojekta ietvaros ir paredzētas dažādu grupu būves obligātā ekspertīze attiecas tikai uz trešās grupas inženierbūvi.</w:t>
            </w:r>
          </w:p>
          <w:p w14:paraId="006A20A3" w14:textId="77777777" w:rsidR="00C22957" w:rsidRPr="00AC4BD2" w:rsidRDefault="00C22957" w:rsidP="002B4EFF">
            <w:pPr>
              <w:ind w:firstLine="253"/>
              <w:contextualSpacing/>
              <w:jc w:val="both"/>
            </w:pPr>
          </w:p>
          <w:p w14:paraId="0272BFA5" w14:textId="77777777" w:rsidR="00C22957" w:rsidRPr="00AC4BD2" w:rsidRDefault="00C22957" w:rsidP="002B4EFF">
            <w:pPr>
              <w:contextualSpacing/>
              <w:jc w:val="both"/>
            </w:pPr>
            <w:r w:rsidRPr="00AC4BD2">
              <w:t>[7] Noteikumu projektā ir noteikts, ka trešās grupas inženierbūvju būvuzraudzību var veikt būvkomersants, kas reģistrēts būvkomersantu reģistrā un kuram ir tiesības sniegt pakalpojumus būvuzraudzības jomā, savukārt pirmās un otrās grupas inženierbūvju būvuzraudzību var veikt viens vai vairāki būvspeciālisti, kuriem ir atbilstoši būvprakses sertifikāti un kurus nodarbina būvniecības ierosinātājs. Darba devējam ir pienākums izdot rīkojumu par būvuzrauga nozīmēšanu konkrētajā objektā.  Jānorāda, ka šī punkta ievērošanā ir jāvērtē arī Vispārīgo būvnoteikumu 122.punkts. Trešās grupas būves un otrās grupas būves, kuru būvniecība pilnībā vai daļēji tiek finansēta no publisko personu līdzekļiem, Eiropas Savienības politiku instrumentu vai citas ārvalstu finanšu palīdzības līdzekļiem būvuzraudzību var veikt būvkomersants. Noteikumu projekta 123.</w:t>
            </w:r>
            <w:r w:rsidRPr="00AC4BD2">
              <w:rPr>
                <w:vertAlign w:val="superscript"/>
              </w:rPr>
              <w:t>1</w:t>
            </w:r>
            <w:r w:rsidRPr="00AC4BD2">
              <w:t xml:space="preserve">punkts ir sagatavots, ievērojot Vispārīgo būvnoteikumu 123.punktu. Trešās grupas būvuzraudzību varēs veikt būvkomersants, kas var būt arī būvniecības ierosinātājs, ja tas reģistrēts būvkomersantu reģistrā. </w:t>
            </w:r>
            <w:r w:rsidRPr="00AC4BD2">
              <w:lastRenderedPageBreak/>
              <w:t xml:space="preserve">Bet pirmās un otrās grupas būvuzraudzību var veikt būvuzraugs un būvkomersantu var nepiesaistīt. Būvniecības ierosinātājs varēs nozīmēt veikt objektā būvuzraudzību savam darbiniekam, ja tiks ievērots Vispārīgo būvnoteikumu 118.punkts - </w:t>
            </w:r>
            <w:r w:rsidRPr="00AC4BD2">
              <w:rPr>
                <w:i/>
                <w:iCs/>
              </w:rPr>
              <w:t>būvuzraudzību ir tiesīgs veikt tikai no būvdarbu veicēja un būvprojekta izstrādātāja neatkarīgs būvkomersants vai būvspeciālists (būvuzraugs)</w:t>
            </w:r>
            <w:r w:rsidRPr="00AC4BD2">
              <w:t xml:space="preserve">. Gadījumos, kad būvniecības ierosināts izstrādāja būvniecības ieceres dokumentāciju vai veica būvdarbus, būvuzraudzību viņš nav tiesīgs veikt. </w:t>
            </w:r>
          </w:p>
          <w:p w14:paraId="072ED9CA" w14:textId="77777777" w:rsidR="00C22957" w:rsidRPr="00AC4BD2" w:rsidRDefault="00C22957" w:rsidP="002B4EFF">
            <w:pPr>
              <w:ind w:firstLine="253"/>
              <w:contextualSpacing/>
              <w:jc w:val="both"/>
            </w:pPr>
          </w:p>
          <w:p w14:paraId="2B65C5E1" w14:textId="2F5F6150" w:rsidR="00C22957" w:rsidRPr="00AC4BD2" w:rsidRDefault="00C22957" w:rsidP="002B4EFF">
            <w:pPr>
              <w:contextualSpacing/>
              <w:jc w:val="both"/>
            </w:pPr>
            <w:r w:rsidRPr="00AC4BD2">
              <w:t>[8] </w:t>
            </w:r>
            <w:r w:rsidR="00490066" w:rsidRPr="00AC4BD2">
              <w:t xml:space="preserve"> Noteikumu projektā tiek precizēti punkti, kā tiek pagarināta būvatļauja, ja tiek pārsniegts būvatļaujā norādītais maksimālais būvdarbu veikšanas ilgums, kas atbilstoši Vispārīgiem būvnoteikumiem ir 5 vai 8 gadi. Spēkā esošais regulējums paredzēja, ja</w:t>
            </w:r>
            <w:r w:rsidR="00031B2F" w:rsidRPr="00AC4BD2">
              <w:t xml:space="preserve"> </w:t>
            </w:r>
            <w:r w:rsidR="00490066" w:rsidRPr="00AC4BD2">
              <w:t xml:space="preserve">inženierbūve, kurai veikts ietekmes uz vidi novērtējums atbilstoši likumam “Par ietekmes uz vidi novērtējumu”, nav nodota ekspluatācijā noteiktajā termiņā, būvniecības ierosinātājam likumā </w:t>
            </w:r>
            <w:r w:rsidR="00031B2F" w:rsidRPr="00AC4BD2">
              <w:t>“</w:t>
            </w:r>
            <w:r w:rsidR="00490066" w:rsidRPr="00AC4BD2">
              <w:t>Par ietekmes uz vidi novērtējumu</w:t>
            </w:r>
            <w:r w:rsidR="00031B2F" w:rsidRPr="00AC4BD2">
              <w:t>”</w:t>
            </w:r>
            <w:r w:rsidR="00490066" w:rsidRPr="00AC4BD2">
              <w:t xml:space="preserve"> noteiktajā kārtībā jāveic sākotnējais ietekmes uz vidi izvērtējums, ja ir mainījušies faktiskie un tiesiskie apstākļi, uz kuru pamata tika sākta būvniecība. Kā arī noteica, ja ir mainījušies faktiskie vai tiesiskie apstākļi, institūcija, kura pilda būvvaldes funkcijas, var pieņemt lēmumu par pašvaldības teritorijas plānojumam neatbilstošas inženierbūves nojaukšanu. Turpmāk</w:t>
            </w:r>
            <w:r w:rsidR="00031B2F" w:rsidRPr="00AC4BD2">
              <w:t xml:space="preserve"> </w:t>
            </w:r>
            <w:r w:rsidR="00490066" w:rsidRPr="00AC4BD2">
              <w:t xml:space="preserve">būvniecības jomā tiks piemērota vienota būvatļaujas pagarināšanas kārtība, līdz ar to, tiek paredzēts AIBN 88. un 89. punktu svītrot, bet 87. punktu atbilstoši precizēt. </w:t>
            </w:r>
            <w:r w:rsidRPr="00AC4BD2">
              <w:t>Turpmāk visos gadījumos tiks piemērota vienota būvatļaujas pagarināšanas kārtība</w:t>
            </w:r>
            <w:r w:rsidR="00490066" w:rsidRPr="00AC4BD2">
              <w:t xml:space="preserve"> atbilstoši 90</w:t>
            </w:r>
            <w:r w:rsidRPr="00AC4BD2">
              <w:t>.</w:t>
            </w:r>
            <w:r w:rsidR="00490066" w:rsidRPr="00AC4BD2">
              <w:t>punktam.</w:t>
            </w:r>
          </w:p>
          <w:p w14:paraId="7A65095F" w14:textId="77777777" w:rsidR="00C22957" w:rsidRPr="00AC4BD2" w:rsidRDefault="00C22957" w:rsidP="002B4EFF">
            <w:pPr>
              <w:ind w:firstLine="253"/>
              <w:contextualSpacing/>
              <w:jc w:val="both"/>
            </w:pPr>
          </w:p>
          <w:p w14:paraId="112570EF" w14:textId="77777777" w:rsidR="00C22957" w:rsidRPr="00AC4BD2" w:rsidRDefault="00C22957" w:rsidP="002B4EFF">
            <w:pPr>
              <w:contextualSpacing/>
              <w:jc w:val="both"/>
            </w:pPr>
            <w:r w:rsidRPr="00AC4BD2">
              <w:t xml:space="preserve">[9] Noteikumu projektā precizēta 2.nodaļa (Būvniecības ierosināšana un nepieciešamie dokumenti), kur 2.3. apakšnodaļā noteikti būvniecības ieceres ierosināšanai nepieciešamie dokumenti, kā arī precizēta 6.1.apakšnodaļa  par būvprojekta sastāvu dažādām inženierbūvēm.  </w:t>
            </w:r>
          </w:p>
          <w:p w14:paraId="646A3832" w14:textId="77777777" w:rsidR="00C22957" w:rsidRPr="00AC4BD2" w:rsidRDefault="00C22957" w:rsidP="002B4EFF">
            <w:pPr>
              <w:contextualSpacing/>
              <w:jc w:val="both"/>
            </w:pPr>
            <w:r w:rsidRPr="00AC4BD2">
              <w:t>Ievērojot paredzētās izmaiņas būvniecības ieceres ierosināšanā (2.3.apakšnodaļa), ir precizēta 9.nodaļa (Pieņemšana ekspluatācijā un atsevišķu darbu pabeigšana), kur 9.1.apakšnodaļā noteikta p</w:t>
            </w:r>
            <w:r w:rsidRPr="00AC4BD2">
              <w:rPr>
                <w:bCs/>
              </w:rPr>
              <w:t>ieņemšana ekspluatācijā paziņošanas un paskaidrojuma raksta būvniecības procesā un 9</w:t>
            </w:r>
            <w:r w:rsidRPr="00AC4BD2">
              <w:t>.2.apakšnodaļa – būvatļaujas gadījumā. Savukārt 9.3., 9.4., 9.5.apakšnodaļas svītrotas, jo attiecīgās prasības ietvertas 9.1. un 9.2.apakšnodaļā.</w:t>
            </w:r>
          </w:p>
          <w:p w14:paraId="59FAB8EB" w14:textId="77777777" w:rsidR="00C22957" w:rsidRPr="00AC4BD2" w:rsidRDefault="00C22957" w:rsidP="002B4EFF">
            <w:pPr>
              <w:contextualSpacing/>
              <w:jc w:val="both"/>
            </w:pPr>
            <w:r w:rsidRPr="00AC4BD2">
              <w:t>Tā kā būvdarbu pabeigšanai izstrādājamo un būvvaldē iesniedzamo dokumentu apjoms netiek palielināts, līdz ar to pēc būtības nemaina iesaistīto personu esošos pienākumus un tiesības, kā arī netiek palielināts administratīvais slogs. Atsevišķos gadījumos tas tiek samazināts, piemēram, inženierbūves atjaunošanas vai nojaukšanas gadījumā, to varēs veikt ar paskaidrojuma rakstu nevis vispārīgajā būvniecības procesā, kura ietvaros tiek izdota būvatļauja.</w:t>
            </w:r>
          </w:p>
          <w:p w14:paraId="0294F8A6" w14:textId="77777777" w:rsidR="00C22957" w:rsidRPr="00AC4BD2" w:rsidRDefault="00C22957" w:rsidP="002B4EFF">
            <w:pPr>
              <w:contextualSpacing/>
              <w:jc w:val="both"/>
            </w:pPr>
            <w:r w:rsidRPr="00AC4BD2">
              <w:lastRenderedPageBreak/>
              <w:t>Institūcija, kura pilda būvvaldes funkcijas, pārbauda patvaļīgās būvniecības esību.</w:t>
            </w:r>
          </w:p>
          <w:p w14:paraId="2813B3A6" w14:textId="77777777" w:rsidR="00C22957" w:rsidRPr="00AC4BD2" w:rsidRDefault="00C22957" w:rsidP="002B4EFF">
            <w:pPr>
              <w:jc w:val="both"/>
            </w:pPr>
            <w:r w:rsidRPr="00AC4BD2">
              <w:t xml:space="preserve">Grozījumu projektam stājoties spēkā, spēku zaudēs Noteikumu Nr.573 89.punktā ietvertais regulējums, ka </w:t>
            </w:r>
            <w:r w:rsidRPr="00AC4BD2">
              <w:rPr>
                <w:i/>
                <w:iCs/>
              </w:rPr>
              <w:t xml:space="preserve"> energoapgādes objektus, kuru būvniecībai nav nepieciešama būvatļauja, ekspluatācijā pieņem un aktu izdod energoapgādes komersanta norīkota komisija. Kārtību šo noteikumu 3. un 4.punktā minēto būvdarbu pieņemšanai ekspluatācijā nosaka energoapgādes komersants.</w:t>
            </w:r>
            <w:r w:rsidRPr="00AC4BD2">
              <w:t xml:space="preserve"> Ņemot vērā, ka Ministru kabineta noteikumos nosaka būvniecības procesa kārtību no ierosināšanas līdz būvdarbu pabeigšanai un nosaka iesniedzamos dokumentus. </w:t>
            </w:r>
          </w:p>
          <w:p w14:paraId="16DFBBC1" w14:textId="77777777" w:rsidR="00C22957" w:rsidRPr="00AC4BD2" w:rsidRDefault="00C22957" w:rsidP="002B4EFF">
            <w:pPr>
              <w:tabs>
                <w:tab w:val="left" w:pos="720"/>
                <w:tab w:val="center" w:pos="4320"/>
                <w:tab w:val="right" w:pos="8640"/>
              </w:tabs>
              <w:jc w:val="both"/>
            </w:pPr>
            <w:r w:rsidRPr="00AC4BD2">
              <w:t>Kā komersants organizē savu objektu pieņemšanu ekspluatācijā var noteikt līgumā par būvdarbu veikšanu vai iekšējā normatīvajā aktā.</w:t>
            </w:r>
          </w:p>
          <w:p w14:paraId="20329A6E" w14:textId="77777777" w:rsidR="00C22957" w:rsidRPr="00AC4BD2" w:rsidRDefault="00C22957" w:rsidP="002B4EFF">
            <w:pPr>
              <w:ind w:firstLine="253"/>
              <w:contextualSpacing/>
              <w:jc w:val="both"/>
            </w:pPr>
          </w:p>
          <w:p w14:paraId="505B3418" w14:textId="77777777" w:rsidR="00C22957" w:rsidRPr="00AC4BD2" w:rsidRDefault="00C22957" w:rsidP="002B4EFF">
            <w:pPr>
              <w:jc w:val="both"/>
            </w:pPr>
            <w:r w:rsidRPr="00AC4BD2">
              <w:t xml:space="preserve">[10] Noteikumu projektā ir paredzēts, ka būvspeciālistam, ievadot informāciju par sevi būs jānorāda ne tikai sertifikāta numurs, bet arī darbības sfēra. Šobrīd, ja būvspeciālistam bija kompetence vienas jomas vairākās sfērās, tad šāda informācija netika norādīta BIS. Viens no būvvaldes uzdevumiem ir konstatēt, vai būvspeciālistam ir kompetence sniegt būvniecības pakalpojumu atbilstošā sfērā. Būvniecības jomas ir  projektēšana, inženierizpēte, būvdarbu vadīšana, būvuzraudzība un būvekspertīze.  Būvspeciālista darbības sfēras ir noteiktas Ministru kabineta 2018.gada 20.marta noteikumu Nr.169 “Būvspeciālistu kompetences novērtēšanas un patstāvīgās prakses uzraudzības noteikumi” 1.pielikumā. </w:t>
            </w:r>
          </w:p>
          <w:p w14:paraId="55EA5728" w14:textId="77777777" w:rsidR="00C22957" w:rsidRPr="00AC4BD2" w:rsidRDefault="00C22957" w:rsidP="002B4EFF">
            <w:pPr>
              <w:ind w:firstLine="253"/>
              <w:contextualSpacing/>
              <w:jc w:val="both"/>
            </w:pPr>
          </w:p>
          <w:p w14:paraId="1A1E7C97" w14:textId="77777777" w:rsidR="00C22957" w:rsidRPr="00AC4BD2" w:rsidRDefault="00C22957" w:rsidP="002B4EFF">
            <w:pPr>
              <w:contextualSpacing/>
              <w:jc w:val="both"/>
            </w:pPr>
            <w:r w:rsidRPr="00AC4BD2">
              <w:t>[11] Ņemot vērā, ka Būvniecības likuma pārejas noteikumu 21.punkts nosaka, ka ar 2020.gada 1.janvāri būvniecības administratīvais process uzsākams elektroniski būvniecības informācijas sistēmā, līdzšinējie punkti, kas noteica būvniecības procesu ārpus būvniecības informācijas sistēmas, kas nodrošina Būvniecības likuma pārejas noteikumu 22. – 24. punktā noteikto tiesību normu realizāciju, ir precizēti un iekļauti noslēguma jautājumos. Tādejādi nodrošinot, ka pamatteksts satur regulējumu, kas nosaka būvniecības procesu, kas piemērojams būvniecības informācijas sistēmā, bet izņēmumi no tā noteikti tikai noslēguma jautājumos (10.nodaļa).</w:t>
            </w:r>
          </w:p>
          <w:p w14:paraId="1E9E6547" w14:textId="77777777" w:rsidR="00C22957" w:rsidRPr="00AC4BD2" w:rsidRDefault="00C22957" w:rsidP="002B4EFF">
            <w:pPr>
              <w:contextualSpacing/>
              <w:jc w:val="both"/>
            </w:pPr>
            <w:r w:rsidRPr="00AC4BD2">
              <w:t>Šajā daļā grozījumi pēc būtības nemaina iesaistīto personu esošos pienākumus un tiesības, kā arī netiek palielināts administratīvais slogs.</w:t>
            </w:r>
          </w:p>
          <w:p w14:paraId="3DA02604" w14:textId="77777777" w:rsidR="00C22957" w:rsidRPr="00AC4BD2" w:rsidRDefault="00C22957" w:rsidP="002B4EFF">
            <w:pPr>
              <w:ind w:firstLine="253"/>
              <w:contextualSpacing/>
              <w:jc w:val="both"/>
            </w:pPr>
          </w:p>
          <w:p w14:paraId="43DF3D65" w14:textId="77777777" w:rsidR="00C22957" w:rsidRPr="00AC4BD2" w:rsidRDefault="00C22957" w:rsidP="002B4EFF">
            <w:pPr>
              <w:contextualSpacing/>
              <w:jc w:val="both"/>
              <w:rPr>
                <w:lang w:eastAsia="en-US"/>
              </w:rPr>
            </w:pPr>
            <w:r w:rsidRPr="00AC4BD2">
              <w:rPr>
                <w:iCs/>
              </w:rPr>
              <w:t xml:space="preserve">[12] Ar </w:t>
            </w:r>
            <w:r w:rsidRPr="00AC4BD2">
              <w:rPr>
                <w:lang w:eastAsia="en-US"/>
              </w:rPr>
              <w:t xml:space="preserve">noteikumu projekta spēkā stāšanos spēku zaudēs Noteikumi Nr.573. </w:t>
            </w:r>
          </w:p>
          <w:p w14:paraId="664332A4" w14:textId="77777777" w:rsidR="00C22957" w:rsidRPr="00AC4BD2" w:rsidRDefault="00C22957" w:rsidP="002B4EFF">
            <w:pPr>
              <w:contextualSpacing/>
              <w:jc w:val="both"/>
              <w:rPr>
                <w:i/>
                <w:iCs/>
                <w:lang w:eastAsia="en-US"/>
              </w:rPr>
            </w:pPr>
            <w:r w:rsidRPr="00AC4BD2">
              <w:rPr>
                <w:i/>
                <w:iCs/>
                <w:lang w:eastAsia="en-US"/>
              </w:rPr>
              <w:t>Šobrīd Noteikumi Nr.573 nosaka:</w:t>
            </w:r>
          </w:p>
          <w:p w14:paraId="3AFAAD72" w14:textId="77777777" w:rsidR="00C22957" w:rsidRPr="00AC4BD2" w:rsidRDefault="00C22957" w:rsidP="002B4EFF">
            <w:pPr>
              <w:jc w:val="both"/>
              <w:rPr>
                <w:i/>
                <w:iCs/>
              </w:rPr>
            </w:pPr>
            <w:r w:rsidRPr="00AC4BD2">
              <w:rPr>
                <w:i/>
                <w:iCs/>
              </w:rPr>
              <w:t>22. Šo noteikumu 5.punktā minētajiem energoapgādes komersantiem būvatļauja tiek izsniegta bez maksas.</w:t>
            </w:r>
          </w:p>
          <w:p w14:paraId="3DDCCF86" w14:textId="77777777" w:rsidR="00C22957" w:rsidRPr="00AC4BD2" w:rsidRDefault="00C22957" w:rsidP="002B4EFF">
            <w:pPr>
              <w:jc w:val="both"/>
              <w:rPr>
                <w:i/>
                <w:iCs/>
              </w:rPr>
            </w:pPr>
            <w:r w:rsidRPr="00AC4BD2">
              <w:rPr>
                <w:i/>
                <w:iCs/>
              </w:rPr>
              <w:t xml:space="preserve">5. Šo noteikumu 3.4., 3.5., 3.6., 3.7. un 3.8.apakšpunkts un 4.punkts piemērojams licencētiem vai atbilstoši noteikumiem par regulējamiem sabiedrisko pakalpojumu veidiem reģistrētiem </w:t>
            </w:r>
            <w:r w:rsidRPr="00AC4BD2">
              <w:rPr>
                <w:i/>
                <w:iCs/>
              </w:rPr>
              <w:lastRenderedPageBreak/>
              <w:t>energoapgādes komersantiem, kuri elektroietaišu ekspluatācijai pastāvīgi nodarbina vismaz piecus kvalificētus elektroinženierus atbilstoši noteikumiem par obligāti piemērojamo energostandartu, kas nosaka elektroapgādes objektu ekspluatācijas organizatoriskās un tehniskās drošības prasības.</w:t>
            </w:r>
          </w:p>
          <w:p w14:paraId="5B120ABD" w14:textId="77777777" w:rsidR="00C22957" w:rsidRPr="00AC4BD2" w:rsidRDefault="00C22957" w:rsidP="002B4EFF">
            <w:pPr>
              <w:contextualSpacing/>
              <w:jc w:val="both"/>
              <w:rPr>
                <w:lang w:eastAsia="en-US"/>
              </w:rPr>
            </w:pPr>
            <w:r w:rsidRPr="00AC4BD2">
              <w:rPr>
                <w:lang w:eastAsia="en-US"/>
              </w:rPr>
              <w:t xml:space="preserve">Tā kā Noteikumu Nr.573 22.punkts neatbilst Būvniecības likuma 5.panta pirmās daļas 2.punktā dotajam deleģējumam, līdz ar to tas ir iekļaujams noteikumos, kas nosaka pašvaldības nodevas. Regulējums par energoapgādes komersantu atbrīvojumu no pašvaldības nodevas par būvatļaujas izdošanu un būvniecības ieceres akceptu ir noteikts </w:t>
            </w:r>
            <w:r w:rsidRPr="00AC4BD2">
              <w:rPr>
                <w:bCs/>
                <w:lang w:eastAsia="en-US"/>
              </w:rPr>
              <w:t>noteikumu projektā</w:t>
            </w:r>
            <w:r w:rsidRPr="00AC4BD2">
              <w:rPr>
                <w:lang w:eastAsia="en-US"/>
              </w:rPr>
              <w:t xml:space="preserve"> “Grozījums Ministru kabineta 2005. gada 28. jūnija noteikumos Nr. 480 “Noteikumi par kārtību, kādā pašvaldības var uzlikt pašvaldības nodevas””.</w:t>
            </w:r>
          </w:p>
          <w:p w14:paraId="5E32E44D" w14:textId="3A306AB2" w:rsidR="00C22957" w:rsidRPr="00AC4BD2" w:rsidRDefault="00C22957" w:rsidP="002B4EFF">
            <w:pPr>
              <w:jc w:val="both"/>
              <w:rPr>
                <w:noProof/>
              </w:rPr>
            </w:pPr>
            <w:r w:rsidRPr="00AC4BD2">
              <w:t xml:space="preserve">Bieži elektroapgādes līnijas skar vairākas pašvaldības administratīvās teritorijas. Tā kā </w:t>
            </w:r>
            <w:r w:rsidRPr="00AC4BD2">
              <w:rPr>
                <w:noProof/>
              </w:rPr>
              <w:t>atbilstoši likuma „Par pašvaldībām” 7.panta otrajā daļā un 15.panta pirmās daļas 14.punktā noteiktajam, būvniecības procesa tiesiskuma nodrošināšana pašvaldības administratīvajā teritorijā ir pašvaldības autonomā funkcija, tā šajā jomā darbojas patstāvīgi un pati par to ir atbildīga. Līdz ar to lineāras inženierbūves būvniecības gadījumā būvniecības ieceres iesniegums ir iesniedzams katrā būvvaldē, kuru šķērsos linārā inženierbūve. Šādos gadījumos pašvaldības nodeva būtu maksājama katrā pašvaldībā.</w:t>
            </w:r>
          </w:p>
          <w:p w14:paraId="39B78D8F" w14:textId="27C64534" w:rsidR="00C22957" w:rsidRPr="00AC4BD2" w:rsidRDefault="00C22957" w:rsidP="002B4EFF">
            <w:pPr>
              <w:jc w:val="both"/>
            </w:pPr>
            <w:r w:rsidRPr="00AC4BD2">
              <w:t xml:space="preserve">Elektroapgādes komersanti, izvēloties investēt attiecīgās pašvaldības teritorijā izvietoto elektroapgādes tīklu attīstībā, ar savām investīcijām uzlabo elektroapgādes pakalpojuma kvalitāti un drošumu pašvaldības teritorijā, veicina uzņēmējdarbības attīstībai nepieciešamās vides attīstību un pašvaldības konkurētspēju. </w:t>
            </w:r>
            <w:r w:rsidR="0013045F" w:rsidRPr="00AC4BD2">
              <w:t xml:space="preserve"> </w:t>
            </w:r>
            <w:r w:rsidRPr="00AC4BD2">
              <w:t xml:space="preserve">Atbilstoši AS "Sadales tīkls" apkopotajai informācijai, 2020.gadā būvvaldēs (par kurām AS "Sadales tīkls" ir zināms (no BIS), ka tās iekasē būvnodevas) tika saskaņoti </w:t>
            </w:r>
            <w:r w:rsidRPr="00AC4BD2">
              <w:rPr>
                <w:b/>
                <w:bCs/>
              </w:rPr>
              <w:t>2160 AS "Sadales tīkls" objekti</w:t>
            </w:r>
            <w:r w:rsidRPr="00AC4BD2">
              <w:t xml:space="preserve">. Šo projektu kopējās AS "Sadales tīkls" objektu izmaksas par pašvaldību noteiktajām būvniecības nodevām būtu aplēšamas </w:t>
            </w:r>
            <w:r w:rsidRPr="00AC4BD2">
              <w:rPr>
                <w:b/>
                <w:bCs/>
              </w:rPr>
              <w:t>~180 tūkst.EUR apmērā</w:t>
            </w:r>
            <w:r w:rsidRPr="00AC4BD2">
              <w:t>. Šajā sarakstā nav būvvaldes, par kurām AS "Sadales tīkls" nav informācijas vai un cik lielas būvnodevas tās iekasē.</w:t>
            </w:r>
          </w:p>
          <w:tbl>
            <w:tblPr>
              <w:tblW w:w="6480" w:type="dxa"/>
              <w:tblLook w:val="04A0" w:firstRow="1" w:lastRow="0" w:firstColumn="1" w:lastColumn="0" w:noHBand="0" w:noVBand="1"/>
            </w:tblPr>
            <w:tblGrid>
              <w:gridCol w:w="2933"/>
              <w:gridCol w:w="1040"/>
              <w:gridCol w:w="1127"/>
              <w:gridCol w:w="1380"/>
            </w:tblGrid>
            <w:tr w:rsidR="00AC4BD2" w:rsidRPr="00AC4BD2" w14:paraId="54A62E87" w14:textId="77777777" w:rsidTr="002B4EFF">
              <w:trPr>
                <w:trHeight w:val="638"/>
              </w:trPr>
              <w:tc>
                <w:tcPr>
                  <w:tcW w:w="3000" w:type="dxa"/>
                  <w:tcBorders>
                    <w:top w:val="single" w:sz="4" w:space="0" w:color="auto"/>
                    <w:left w:val="single" w:sz="4" w:space="0" w:color="auto"/>
                    <w:bottom w:val="single" w:sz="4" w:space="0" w:color="auto"/>
                    <w:right w:val="single" w:sz="4" w:space="0" w:color="auto"/>
                  </w:tcBorders>
                  <w:shd w:val="clear" w:color="000000" w:fill="FFFFEF"/>
                  <w:vAlign w:val="center"/>
                  <w:hideMark/>
                </w:tcPr>
                <w:p w14:paraId="51BE6F1B"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Būvvalde</w:t>
                  </w:r>
                </w:p>
              </w:tc>
              <w:tc>
                <w:tcPr>
                  <w:tcW w:w="1040" w:type="dxa"/>
                  <w:tcBorders>
                    <w:top w:val="single" w:sz="4" w:space="0" w:color="auto"/>
                    <w:left w:val="nil"/>
                    <w:bottom w:val="single" w:sz="4" w:space="0" w:color="auto"/>
                    <w:right w:val="single" w:sz="4" w:space="0" w:color="auto"/>
                  </w:tcBorders>
                  <w:shd w:val="clear" w:color="000000" w:fill="FFFFEF"/>
                  <w:vAlign w:val="center"/>
                  <w:hideMark/>
                </w:tcPr>
                <w:p w14:paraId="11B93594"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Elektrisko projektu skaits</w:t>
                  </w:r>
                </w:p>
              </w:tc>
              <w:tc>
                <w:tcPr>
                  <w:tcW w:w="1060" w:type="dxa"/>
                  <w:tcBorders>
                    <w:top w:val="single" w:sz="4" w:space="0" w:color="auto"/>
                    <w:left w:val="nil"/>
                    <w:bottom w:val="single" w:sz="4" w:space="0" w:color="auto"/>
                    <w:right w:val="single" w:sz="4" w:space="0" w:color="auto"/>
                  </w:tcBorders>
                  <w:shd w:val="clear" w:color="000000" w:fill="FFFFEF"/>
                  <w:vAlign w:val="center"/>
                  <w:hideMark/>
                </w:tcPr>
                <w:p w14:paraId="09492F48"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Būvnodeva</w:t>
                  </w:r>
                </w:p>
              </w:tc>
              <w:tc>
                <w:tcPr>
                  <w:tcW w:w="1380" w:type="dxa"/>
                  <w:tcBorders>
                    <w:top w:val="single" w:sz="4" w:space="0" w:color="auto"/>
                    <w:left w:val="nil"/>
                    <w:bottom w:val="single" w:sz="4" w:space="0" w:color="auto"/>
                    <w:right w:val="single" w:sz="4" w:space="0" w:color="auto"/>
                  </w:tcBorders>
                  <w:shd w:val="clear" w:color="000000" w:fill="FFFFEF"/>
                  <w:vAlign w:val="center"/>
                  <w:hideMark/>
                </w:tcPr>
                <w:p w14:paraId="57A79FB1"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Kopējā summa par būvnodevas samaksu</w:t>
                  </w:r>
                </w:p>
              </w:tc>
            </w:tr>
            <w:tr w:rsidR="00AC4BD2" w:rsidRPr="00AC4BD2" w14:paraId="4028A71D"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0653DA19" w14:textId="77777777" w:rsidR="00C22957" w:rsidRPr="00AC4BD2" w:rsidRDefault="00C22957" w:rsidP="003D61F2">
                  <w:pPr>
                    <w:framePr w:hSpace="180" w:wrap="around" w:vAnchor="text" w:hAnchor="text" w:y="1"/>
                    <w:suppressOverlap/>
                    <w:rPr>
                      <w:sz w:val="20"/>
                      <w:szCs w:val="20"/>
                    </w:rPr>
                  </w:pPr>
                  <w:r w:rsidRPr="00AC4BD2">
                    <w:rPr>
                      <w:sz w:val="20"/>
                      <w:szCs w:val="20"/>
                    </w:rPr>
                    <w:t>Daugavpils pilsētas būvvalde</w:t>
                  </w:r>
                </w:p>
              </w:tc>
              <w:tc>
                <w:tcPr>
                  <w:tcW w:w="1040" w:type="dxa"/>
                  <w:tcBorders>
                    <w:top w:val="nil"/>
                    <w:left w:val="nil"/>
                    <w:bottom w:val="single" w:sz="4" w:space="0" w:color="auto"/>
                    <w:right w:val="single" w:sz="4" w:space="0" w:color="auto"/>
                  </w:tcBorders>
                  <w:shd w:val="clear" w:color="000000" w:fill="FFFFFF"/>
                  <w:hideMark/>
                </w:tcPr>
                <w:p w14:paraId="59E29785"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115</w:t>
                  </w:r>
                </w:p>
              </w:tc>
              <w:tc>
                <w:tcPr>
                  <w:tcW w:w="1060" w:type="dxa"/>
                  <w:tcBorders>
                    <w:top w:val="nil"/>
                    <w:left w:val="nil"/>
                    <w:bottom w:val="single" w:sz="4" w:space="0" w:color="auto"/>
                    <w:right w:val="single" w:sz="4" w:space="0" w:color="auto"/>
                  </w:tcBorders>
                  <w:shd w:val="clear" w:color="auto" w:fill="auto"/>
                  <w:noWrap/>
                  <w:vAlign w:val="bottom"/>
                  <w:hideMark/>
                </w:tcPr>
                <w:p w14:paraId="64DBAA1F"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15</w:t>
                  </w:r>
                </w:p>
              </w:tc>
              <w:tc>
                <w:tcPr>
                  <w:tcW w:w="1380" w:type="dxa"/>
                  <w:tcBorders>
                    <w:top w:val="nil"/>
                    <w:left w:val="nil"/>
                    <w:bottom w:val="single" w:sz="4" w:space="0" w:color="auto"/>
                    <w:right w:val="single" w:sz="4" w:space="0" w:color="auto"/>
                  </w:tcBorders>
                  <w:shd w:val="clear" w:color="auto" w:fill="auto"/>
                  <w:noWrap/>
                  <w:vAlign w:val="bottom"/>
                  <w:hideMark/>
                </w:tcPr>
                <w:p w14:paraId="5A1A5B2D"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1725</w:t>
                  </w:r>
                </w:p>
              </w:tc>
            </w:tr>
            <w:tr w:rsidR="00AC4BD2" w:rsidRPr="00AC4BD2" w14:paraId="28029968"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729FCE3C" w14:textId="77777777" w:rsidR="00C22957" w:rsidRPr="00AC4BD2" w:rsidRDefault="00C22957" w:rsidP="003D61F2">
                  <w:pPr>
                    <w:framePr w:hSpace="180" w:wrap="around" w:vAnchor="text" w:hAnchor="text" w:y="1"/>
                    <w:suppressOverlap/>
                    <w:rPr>
                      <w:sz w:val="20"/>
                      <w:szCs w:val="20"/>
                    </w:rPr>
                  </w:pPr>
                  <w:r w:rsidRPr="00AC4BD2">
                    <w:rPr>
                      <w:sz w:val="20"/>
                      <w:szCs w:val="20"/>
                    </w:rPr>
                    <w:t>Jelgavas pilsētas būvvalde</w:t>
                  </w:r>
                </w:p>
              </w:tc>
              <w:tc>
                <w:tcPr>
                  <w:tcW w:w="1040" w:type="dxa"/>
                  <w:tcBorders>
                    <w:top w:val="nil"/>
                    <w:left w:val="nil"/>
                    <w:bottom w:val="single" w:sz="4" w:space="0" w:color="auto"/>
                    <w:right w:val="single" w:sz="4" w:space="0" w:color="auto"/>
                  </w:tcBorders>
                  <w:shd w:val="clear" w:color="000000" w:fill="FFFFFF"/>
                  <w:hideMark/>
                </w:tcPr>
                <w:p w14:paraId="77B7D7AB"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154</w:t>
                  </w:r>
                </w:p>
              </w:tc>
              <w:tc>
                <w:tcPr>
                  <w:tcW w:w="1060" w:type="dxa"/>
                  <w:tcBorders>
                    <w:top w:val="nil"/>
                    <w:left w:val="nil"/>
                    <w:bottom w:val="single" w:sz="4" w:space="0" w:color="auto"/>
                    <w:right w:val="single" w:sz="4" w:space="0" w:color="auto"/>
                  </w:tcBorders>
                  <w:shd w:val="clear" w:color="auto" w:fill="auto"/>
                  <w:noWrap/>
                  <w:vAlign w:val="bottom"/>
                  <w:hideMark/>
                </w:tcPr>
                <w:p w14:paraId="62D9AF55"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20</w:t>
                  </w:r>
                </w:p>
              </w:tc>
              <w:tc>
                <w:tcPr>
                  <w:tcW w:w="1380" w:type="dxa"/>
                  <w:tcBorders>
                    <w:top w:val="nil"/>
                    <w:left w:val="nil"/>
                    <w:bottom w:val="single" w:sz="4" w:space="0" w:color="auto"/>
                    <w:right w:val="single" w:sz="4" w:space="0" w:color="auto"/>
                  </w:tcBorders>
                  <w:shd w:val="clear" w:color="auto" w:fill="auto"/>
                  <w:noWrap/>
                  <w:vAlign w:val="bottom"/>
                  <w:hideMark/>
                </w:tcPr>
                <w:p w14:paraId="54284597"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3080</w:t>
                  </w:r>
                </w:p>
              </w:tc>
            </w:tr>
            <w:tr w:rsidR="00AC4BD2" w:rsidRPr="00AC4BD2" w14:paraId="2C63D4D3"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06C405AC" w14:textId="77777777" w:rsidR="00C22957" w:rsidRPr="00AC4BD2" w:rsidRDefault="00C22957" w:rsidP="003D61F2">
                  <w:pPr>
                    <w:framePr w:hSpace="180" w:wrap="around" w:vAnchor="text" w:hAnchor="text" w:y="1"/>
                    <w:suppressOverlap/>
                    <w:rPr>
                      <w:sz w:val="20"/>
                      <w:szCs w:val="20"/>
                    </w:rPr>
                  </w:pPr>
                  <w:r w:rsidRPr="00AC4BD2">
                    <w:rPr>
                      <w:sz w:val="20"/>
                      <w:szCs w:val="20"/>
                    </w:rPr>
                    <w:t>Liepājas pilsētas būvvalde</w:t>
                  </w:r>
                </w:p>
              </w:tc>
              <w:tc>
                <w:tcPr>
                  <w:tcW w:w="1040" w:type="dxa"/>
                  <w:tcBorders>
                    <w:top w:val="nil"/>
                    <w:left w:val="nil"/>
                    <w:bottom w:val="single" w:sz="4" w:space="0" w:color="auto"/>
                    <w:right w:val="single" w:sz="4" w:space="0" w:color="auto"/>
                  </w:tcBorders>
                  <w:shd w:val="clear" w:color="000000" w:fill="FFFFFF"/>
                  <w:hideMark/>
                </w:tcPr>
                <w:p w14:paraId="291A57A0"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82</w:t>
                  </w:r>
                </w:p>
              </w:tc>
              <w:tc>
                <w:tcPr>
                  <w:tcW w:w="1060" w:type="dxa"/>
                  <w:tcBorders>
                    <w:top w:val="nil"/>
                    <w:left w:val="nil"/>
                    <w:bottom w:val="single" w:sz="4" w:space="0" w:color="auto"/>
                    <w:right w:val="single" w:sz="4" w:space="0" w:color="auto"/>
                  </w:tcBorders>
                  <w:shd w:val="clear" w:color="auto" w:fill="auto"/>
                  <w:noWrap/>
                  <w:vAlign w:val="bottom"/>
                  <w:hideMark/>
                </w:tcPr>
                <w:p w14:paraId="72A05B2E"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30</w:t>
                  </w:r>
                </w:p>
              </w:tc>
              <w:tc>
                <w:tcPr>
                  <w:tcW w:w="1380" w:type="dxa"/>
                  <w:tcBorders>
                    <w:top w:val="nil"/>
                    <w:left w:val="nil"/>
                    <w:bottom w:val="single" w:sz="4" w:space="0" w:color="auto"/>
                    <w:right w:val="single" w:sz="4" w:space="0" w:color="auto"/>
                  </w:tcBorders>
                  <w:shd w:val="clear" w:color="auto" w:fill="auto"/>
                  <w:noWrap/>
                  <w:vAlign w:val="bottom"/>
                  <w:hideMark/>
                </w:tcPr>
                <w:p w14:paraId="0CD6ED8C"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2460</w:t>
                  </w:r>
                </w:p>
              </w:tc>
            </w:tr>
            <w:tr w:rsidR="00AC4BD2" w:rsidRPr="00AC4BD2" w14:paraId="7679B2C7"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0CE868A4" w14:textId="77777777" w:rsidR="00C22957" w:rsidRPr="00AC4BD2" w:rsidRDefault="00C22957" w:rsidP="003D61F2">
                  <w:pPr>
                    <w:framePr w:hSpace="180" w:wrap="around" w:vAnchor="text" w:hAnchor="text" w:y="1"/>
                    <w:suppressOverlap/>
                    <w:rPr>
                      <w:sz w:val="20"/>
                      <w:szCs w:val="20"/>
                    </w:rPr>
                  </w:pPr>
                  <w:r w:rsidRPr="00AC4BD2">
                    <w:rPr>
                      <w:sz w:val="20"/>
                      <w:szCs w:val="20"/>
                    </w:rPr>
                    <w:t>Rīgas pilsētas būvvalde</w:t>
                  </w:r>
                </w:p>
              </w:tc>
              <w:tc>
                <w:tcPr>
                  <w:tcW w:w="1040" w:type="dxa"/>
                  <w:tcBorders>
                    <w:top w:val="nil"/>
                    <w:left w:val="nil"/>
                    <w:bottom w:val="single" w:sz="4" w:space="0" w:color="auto"/>
                    <w:right w:val="single" w:sz="4" w:space="0" w:color="auto"/>
                  </w:tcBorders>
                  <w:shd w:val="clear" w:color="000000" w:fill="FFFFFF"/>
                  <w:hideMark/>
                </w:tcPr>
                <w:p w14:paraId="4B0301B7"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738</w:t>
                  </w:r>
                </w:p>
              </w:tc>
              <w:tc>
                <w:tcPr>
                  <w:tcW w:w="1060" w:type="dxa"/>
                  <w:tcBorders>
                    <w:top w:val="nil"/>
                    <w:left w:val="nil"/>
                    <w:bottom w:val="single" w:sz="4" w:space="0" w:color="auto"/>
                    <w:right w:val="single" w:sz="4" w:space="0" w:color="auto"/>
                  </w:tcBorders>
                  <w:shd w:val="clear" w:color="000000" w:fill="FFFFFF"/>
                  <w:noWrap/>
                  <w:vAlign w:val="bottom"/>
                  <w:hideMark/>
                </w:tcPr>
                <w:p w14:paraId="4D65B4C7"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200</w:t>
                  </w:r>
                </w:p>
              </w:tc>
              <w:tc>
                <w:tcPr>
                  <w:tcW w:w="1380" w:type="dxa"/>
                  <w:tcBorders>
                    <w:top w:val="nil"/>
                    <w:left w:val="nil"/>
                    <w:bottom w:val="single" w:sz="4" w:space="0" w:color="auto"/>
                    <w:right w:val="single" w:sz="4" w:space="0" w:color="auto"/>
                  </w:tcBorders>
                  <w:shd w:val="clear" w:color="auto" w:fill="auto"/>
                  <w:noWrap/>
                  <w:vAlign w:val="bottom"/>
                  <w:hideMark/>
                </w:tcPr>
                <w:p w14:paraId="51D51454"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147600</w:t>
                  </w:r>
                </w:p>
              </w:tc>
            </w:tr>
            <w:tr w:rsidR="00AC4BD2" w:rsidRPr="00AC4BD2" w14:paraId="303D9FE2"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35CC7B72" w14:textId="77777777" w:rsidR="00C22957" w:rsidRPr="00AC4BD2" w:rsidRDefault="00C22957" w:rsidP="003D61F2">
                  <w:pPr>
                    <w:framePr w:hSpace="180" w:wrap="around" w:vAnchor="text" w:hAnchor="text" w:y="1"/>
                    <w:suppressOverlap/>
                    <w:rPr>
                      <w:sz w:val="20"/>
                      <w:szCs w:val="20"/>
                    </w:rPr>
                  </w:pPr>
                  <w:r w:rsidRPr="00AC4BD2">
                    <w:rPr>
                      <w:sz w:val="20"/>
                      <w:szCs w:val="20"/>
                    </w:rPr>
                    <w:t>Carnikavas novada būvvalde</w:t>
                  </w:r>
                </w:p>
              </w:tc>
              <w:tc>
                <w:tcPr>
                  <w:tcW w:w="1040" w:type="dxa"/>
                  <w:tcBorders>
                    <w:top w:val="nil"/>
                    <w:left w:val="nil"/>
                    <w:bottom w:val="single" w:sz="4" w:space="0" w:color="auto"/>
                    <w:right w:val="single" w:sz="4" w:space="0" w:color="auto"/>
                  </w:tcBorders>
                  <w:shd w:val="clear" w:color="000000" w:fill="FFFFFF"/>
                  <w:hideMark/>
                </w:tcPr>
                <w:p w14:paraId="00A8A7B3"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133</w:t>
                  </w:r>
                </w:p>
              </w:tc>
              <w:tc>
                <w:tcPr>
                  <w:tcW w:w="1060" w:type="dxa"/>
                  <w:tcBorders>
                    <w:top w:val="nil"/>
                    <w:left w:val="nil"/>
                    <w:bottom w:val="single" w:sz="4" w:space="0" w:color="auto"/>
                    <w:right w:val="single" w:sz="4" w:space="0" w:color="auto"/>
                  </w:tcBorders>
                  <w:shd w:val="clear" w:color="auto" w:fill="auto"/>
                  <w:noWrap/>
                  <w:vAlign w:val="bottom"/>
                  <w:hideMark/>
                </w:tcPr>
                <w:p w14:paraId="613624FD"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35.57</w:t>
                  </w:r>
                </w:p>
              </w:tc>
              <w:tc>
                <w:tcPr>
                  <w:tcW w:w="1380" w:type="dxa"/>
                  <w:tcBorders>
                    <w:top w:val="nil"/>
                    <w:left w:val="nil"/>
                    <w:bottom w:val="single" w:sz="4" w:space="0" w:color="auto"/>
                    <w:right w:val="single" w:sz="4" w:space="0" w:color="auto"/>
                  </w:tcBorders>
                  <w:shd w:val="clear" w:color="auto" w:fill="auto"/>
                  <w:noWrap/>
                  <w:vAlign w:val="bottom"/>
                  <w:hideMark/>
                </w:tcPr>
                <w:p w14:paraId="7535E921"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4730.81</w:t>
                  </w:r>
                </w:p>
              </w:tc>
            </w:tr>
            <w:tr w:rsidR="00AC4BD2" w:rsidRPr="00AC4BD2" w14:paraId="4AAE11E2"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472B758C" w14:textId="77777777" w:rsidR="00C22957" w:rsidRPr="00AC4BD2" w:rsidRDefault="00C22957" w:rsidP="003D61F2">
                  <w:pPr>
                    <w:framePr w:hSpace="180" w:wrap="around" w:vAnchor="text" w:hAnchor="text" w:y="1"/>
                    <w:suppressOverlap/>
                    <w:rPr>
                      <w:sz w:val="20"/>
                      <w:szCs w:val="20"/>
                    </w:rPr>
                  </w:pPr>
                  <w:r w:rsidRPr="00AC4BD2">
                    <w:rPr>
                      <w:sz w:val="20"/>
                      <w:szCs w:val="20"/>
                    </w:rPr>
                    <w:t>Garkalnes novada būvvalde</w:t>
                  </w:r>
                </w:p>
              </w:tc>
              <w:tc>
                <w:tcPr>
                  <w:tcW w:w="1040" w:type="dxa"/>
                  <w:tcBorders>
                    <w:top w:val="nil"/>
                    <w:left w:val="nil"/>
                    <w:bottom w:val="single" w:sz="4" w:space="0" w:color="auto"/>
                    <w:right w:val="single" w:sz="4" w:space="0" w:color="auto"/>
                  </w:tcBorders>
                  <w:shd w:val="clear" w:color="000000" w:fill="FFFFFF"/>
                  <w:hideMark/>
                </w:tcPr>
                <w:p w14:paraId="69494A88"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121</w:t>
                  </w:r>
                </w:p>
              </w:tc>
              <w:tc>
                <w:tcPr>
                  <w:tcW w:w="1060" w:type="dxa"/>
                  <w:tcBorders>
                    <w:top w:val="nil"/>
                    <w:left w:val="nil"/>
                    <w:bottom w:val="single" w:sz="4" w:space="0" w:color="auto"/>
                    <w:right w:val="single" w:sz="4" w:space="0" w:color="auto"/>
                  </w:tcBorders>
                  <w:shd w:val="clear" w:color="auto" w:fill="auto"/>
                  <w:noWrap/>
                  <w:vAlign w:val="bottom"/>
                  <w:hideMark/>
                </w:tcPr>
                <w:p w14:paraId="3BBD38F8"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30</w:t>
                  </w:r>
                </w:p>
              </w:tc>
              <w:tc>
                <w:tcPr>
                  <w:tcW w:w="1380" w:type="dxa"/>
                  <w:tcBorders>
                    <w:top w:val="nil"/>
                    <w:left w:val="nil"/>
                    <w:bottom w:val="single" w:sz="4" w:space="0" w:color="auto"/>
                    <w:right w:val="single" w:sz="4" w:space="0" w:color="auto"/>
                  </w:tcBorders>
                  <w:shd w:val="clear" w:color="auto" w:fill="auto"/>
                  <w:noWrap/>
                  <w:vAlign w:val="bottom"/>
                  <w:hideMark/>
                </w:tcPr>
                <w:p w14:paraId="653F5BB5"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3630</w:t>
                  </w:r>
                </w:p>
              </w:tc>
            </w:tr>
            <w:tr w:rsidR="00AC4BD2" w:rsidRPr="00AC4BD2" w14:paraId="4FA1F21F"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12F0F0DB" w14:textId="77777777" w:rsidR="00C22957" w:rsidRPr="00AC4BD2" w:rsidRDefault="00C22957" w:rsidP="003D61F2">
                  <w:pPr>
                    <w:framePr w:hSpace="180" w:wrap="around" w:vAnchor="text" w:hAnchor="text" w:y="1"/>
                    <w:suppressOverlap/>
                    <w:rPr>
                      <w:sz w:val="20"/>
                      <w:szCs w:val="20"/>
                    </w:rPr>
                  </w:pPr>
                  <w:r w:rsidRPr="00AC4BD2">
                    <w:rPr>
                      <w:sz w:val="20"/>
                      <w:szCs w:val="20"/>
                    </w:rPr>
                    <w:t>Lielvārdes novada būvvalde</w:t>
                  </w:r>
                </w:p>
              </w:tc>
              <w:tc>
                <w:tcPr>
                  <w:tcW w:w="1040" w:type="dxa"/>
                  <w:tcBorders>
                    <w:top w:val="nil"/>
                    <w:left w:val="nil"/>
                    <w:bottom w:val="single" w:sz="4" w:space="0" w:color="auto"/>
                    <w:right w:val="single" w:sz="4" w:space="0" w:color="auto"/>
                  </w:tcBorders>
                  <w:shd w:val="clear" w:color="000000" w:fill="FFFFFF"/>
                  <w:hideMark/>
                </w:tcPr>
                <w:p w14:paraId="4054CEA9"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79</w:t>
                  </w:r>
                </w:p>
              </w:tc>
              <w:tc>
                <w:tcPr>
                  <w:tcW w:w="1060" w:type="dxa"/>
                  <w:tcBorders>
                    <w:top w:val="nil"/>
                    <w:left w:val="nil"/>
                    <w:bottom w:val="single" w:sz="4" w:space="0" w:color="auto"/>
                    <w:right w:val="single" w:sz="4" w:space="0" w:color="auto"/>
                  </w:tcBorders>
                  <w:shd w:val="clear" w:color="auto" w:fill="auto"/>
                  <w:noWrap/>
                  <w:vAlign w:val="bottom"/>
                  <w:hideMark/>
                </w:tcPr>
                <w:p w14:paraId="1088FFB7"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15</w:t>
                  </w:r>
                </w:p>
              </w:tc>
              <w:tc>
                <w:tcPr>
                  <w:tcW w:w="1380" w:type="dxa"/>
                  <w:tcBorders>
                    <w:top w:val="nil"/>
                    <w:left w:val="nil"/>
                    <w:bottom w:val="single" w:sz="4" w:space="0" w:color="auto"/>
                    <w:right w:val="single" w:sz="4" w:space="0" w:color="auto"/>
                  </w:tcBorders>
                  <w:shd w:val="clear" w:color="auto" w:fill="auto"/>
                  <w:noWrap/>
                  <w:vAlign w:val="bottom"/>
                  <w:hideMark/>
                </w:tcPr>
                <w:p w14:paraId="72C6CC8B"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1185</w:t>
                  </w:r>
                </w:p>
              </w:tc>
            </w:tr>
            <w:tr w:rsidR="00AC4BD2" w:rsidRPr="00AC4BD2" w14:paraId="7C8DE4AD"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12D27265" w14:textId="77777777" w:rsidR="00C22957" w:rsidRPr="00AC4BD2" w:rsidRDefault="00C22957" w:rsidP="003D61F2">
                  <w:pPr>
                    <w:framePr w:hSpace="180" w:wrap="around" w:vAnchor="text" w:hAnchor="text" w:y="1"/>
                    <w:suppressOverlap/>
                    <w:rPr>
                      <w:sz w:val="20"/>
                      <w:szCs w:val="20"/>
                    </w:rPr>
                  </w:pPr>
                  <w:r w:rsidRPr="00AC4BD2">
                    <w:rPr>
                      <w:sz w:val="20"/>
                      <w:szCs w:val="20"/>
                    </w:rPr>
                    <w:t>Dobeles novada būvvalde</w:t>
                  </w:r>
                </w:p>
              </w:tc>
              <w:tc>
                <w:tcPr>
                  <w:tcW w:w="1040" w:type="dxa"/>
                  <w:tcBorders>
                    <w:top w:val="nil"/>
                    <w:left w:val="nil"/>
                    <w:bottom w:val="single" w:sz="4" w:space="0" w:color="auto"/>
                    <w:right w:val="single" w:sz="4" w:space="0" w:color="auto"/>
                  </w:tcBorders>
                  <w:shd w:val="clear" w:color="000000" w:fill="FFFFFF"/>
                  <w:hideMark/>
                </w:tcPr>
                <w:p w14:paraId="2E7B4C15"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73</w:t>
                  </w:r>
                </w:p>
              </w:tc>
              <w:tc>
                <w:tcPr>
                  <w:tcW w:w="1060" w:type="dxa"/>
                  <w:tcBorders>
                    <w:top w:val="nil"/>
                    <w:left w:val="nil"/>
                    <w:bottom w:val="single" w:sz="4" w:space="0" w:color="auto"/>
                    <w:right w:val="single" w:sz="4" w:space="0" w:color="auto"/>
                  </w:tcBorders>
                  <w:shd w:val="clear" w:color="auto" w:fill="auto"/>
                  <w:noWrap/>
                  <w:vAlign w:val="bottom"/>
                  <w:hideMark/>
                </w:tcPr>
                <w:p w14:paraId="4B228EBB"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30</w:t>
                  </w:r>
                </w:p>
              </w:tc>
              <w:tc>
                <w:tcPr>
                  <w:tcW w:w="1380" w:type="dxa"/>
                  <w:tcBorders>
                    <w:top w:val="nil"/>
                    <w:left w:val="nil"/>
                    <w:bottom w:val="single" w:sz="4" w:space="0" w:color="auto"/>
                    <w:right w:val="single" w:sz="4" w:space="0" w:color="auto"/>
                  </w:tcBorders>
                  <w:shd w:val="clear" w:color="auto" w:fill="auto"/>
                  <w:noWrap/>
                  <w:vAlign w:val="bottom"/>
                  <w:hideMark/>
                </w:tcPr>
                <w:p w14:paraId="07CA7241"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2190</w:t>
                  </w:r>
                </w:p>
              </w:tc>
            </w:tr>
            <w:tr w:rsidR="00AC4BD2" w:rsidRPr="00AC4BD2" w14:paraId="53F0C1BA"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6A8AC279" w14:textId="77777777" w:rsidR="00C22957" w:rsidRPr="00AC4BD2" w:rsidRDefault="00C22957" w:rsidP="003D61F2">
                  <w:pPr>
                    <w:framePr w:hSpace="180" w:wrap="around" w:vAnchor="text" w:hAnchor="text" w:y="1"/>
                    <w:suppressOverlap/>
                    <w:rPr>
                      <w:sz w:val="20"/>
                      <w:szCs w:val="20"/>
                    </w:rPr>
                  </w:pPr>
                  <w:r w:rsidRPr="00AC4BD2">
                    <w:rPr>
                      <w:sz w:val="20"/>
                      <w:szCs w:val="20"/>
                    </w:rPr>
                    <w:t>Ķekavas novada būvvalde</w:t>
                  </w:r>
                </w:p>
              </w:tc>
              <w:tc>
                <w:tcPr>
                  <w:tcW w:w="1040" w:type="dxa"/>
                  <w:tcBorders>
                    <w:top w:val="nil"/>
                    <w:left w:val="nil"/>
                    <w:bottom w:val="single" w:sz="4" w:space="0" w:color="auto"/>
                    <w:right w:val="single" w:sz="4" w:space="0" w:color="auto"/>
                  </w:tcBorders>
                  <w:shd w:val="clear" w:color="000000" w:fill="FFFFFF"/>
                  <w:hideMark/>
                </w:tcPr>
                <w:p w14:paraId="68537F16"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310</w:t>
                  </w:r>
                </w:p>
              </w:tc>
              <w:tc>
                <w:tcPr>
                  <w:tcW w:w="1060" w:type="dxa"/>
                  <w:tcBorders>
                    <w:top w:val="nil"/>
                    <w:left w:val="nil"/>
                    <w:bottom w:val="single" w:sz="4" w:space="0" w:color="auto"/>
                    <w:right w:val="single" w:sz="4" w:space="0" w:color="auto"/>
                  </w:tcBorders>
                  <w:shd w:val="clear" w:color="auto" w:fill="auto"/>
                  <w:noWrap/>
                  <w:vAlign w:val="bottom"/>
                  <w:hideMark/>
                </w:tcPr>
                <w:p w14:paraId="663F54BE"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15</w:t>
                  </w:r>
                </w:p>
              </w:tc>
              <w:tc>
                <w:tcPr>
                  <w:tcW w:w="1380" w:type="dxa"/>
                  <w:tcBorders>
                    <w:top w:val="nil"/>
                    <w:left w:val="nil"/>
                    <w:bottom w:val="single" w:sz="4" w:space="0" w:color="auto"/>
                    <w:right w:val="single" w:sz="4" w:space="0" w:color="auto"/>
                  </w:tcBorders>
                  <w:shd w:val="clear" w:color="auto" w:fill="auto"/>
                  <w:noWrap/>
                  <w:vAlign w:val="bottom"/>
                  <w:hideMark/>
                </w:tcPr>
                <w:p w14:paraId="26A2F07D"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4650</w:t>
                  </w:r>
                </w:p>
              </w:tc>
            </w:tr>
            <w:tr w:rsidR="00AC4BD2" w:rsidRPr="00AC4BD2" w14:paraId="6AD748A6"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5644E000" w14:textId="77777777" w:rsidR="00C22957" w:rsidRPr="00AC4BD2" w:rsidRDefault="00C22957" w:rsidP="003D61F2">
                  <w:pPr>
                    <w:framePr w:hSpace="180" w:wrap="around" w:vAnchor="text" w:hAnchor="text" w:y="1"/>
                    <w:suppressOverlap/>
                    <w:rPr>
                      <w:sz w:val="20"/>
                      <w:szCs w:val="20"/>
                    </w:rPr>
                  </w:pPr>
                  <w:r w:rsidRPr="00AC4BD2">
                    <w:rPr>
                      <w:sz w:val="20"/>
                      <w:szCs w:val="20"/>
                    </w:rPr>
                    <w:lastRenderedPageBreak/>
                    <w:t>Jūrmalas būvvalde</w:t>
                  </w:r>
                </w:p>
              </w:tc>
              <w:tc>
                <w:tcPr>
                  <w:tcW w:w="1040" w:type="dxa"/>
                  <w:tcBorders>
                    <w:top w:val="nil"/>
                    <w:left w:val="nil"/>
                    <w:bottom w:val="single" w:sz="4" w:space="0" w:color="auto"/>
                    <w:right w:val="single" w:sz="4" w:space="0" w:color="auto"/>
                  </w:tcBorders>
                  <w:shd w:val="clear" w:color="000000" w:fill="FFFFFF"/>
                  <w:hideMark/>
                </w:tcPr>
                <w:p w14:paraId="2B523B44"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227</w:t>
                  </w:r>
                </w:p>
              </w:tc>
              <w:tc>
                <w:tcPr>
                  <w:tcW w:w="1060" w:type="dxa"/>
                  <w:tcBorders>
                    <w:top w:val="nil"/>
                    <w:left w:val="nil"/>
                    <w:bottom w:val="single" w:sz="4" w:space="0" w:color="auto"/>
                    <w:right w:val="single" w:sz="4" w:space="0" w:color="auto"/>
                  </w:tcBorders>
                  <w:shd w:val="clear" w:color="auto" w:fill="auto"/>
                  <w:noWrap/>
                  <w:vAlign w:val="bottom"/>
                  <w:hideMark/>
                </w:tcPr>
                <w:p w14:paraId="0CB85C53"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40</w:t>
                  </w:r>
                </w:p>
              </w:tc>
              <w:tc>
                <w:tcPr>
                  <w:tcW w:w="1380" w:type="dxa"/>
                  <w:tcBorders>
                    <w:top w:val="nil"/>
                    <w:left w:val="nil"/>
                    <w:bottom w:val="single" w:sz="4" w:space="0" w:color="auto"/>
                    <w:right w:val="single" w:sz="4" w:space="0" w:color="auto"/>
                  </w:tcBorders>
                  <w:shd w:val="clear" w:color="auto" w:fill="auto"/>
                  <w:noWrap/>
                  <w:vAlign w:val="bottom"/>
                  <w:hideMark/>
                </w:tcPr>
                <w:p w14:paraId="17BA8D9C"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9080</w:t>
                  </w:r>
                </w:p>
              </w:tc>
            </w:tr>
            <w:tr w:rsidR="00AC4BD2" w:rsidRPr="00AC4BD2" w14:paraId="07CB3B35" w14:textId="77777777" w:rsidTr="002B4EFF">
              <w:trPr>
                <w:trHeight w:val="290"/>
              </w:trPr>
              <w:tc>
                <w:tcPr>
                  <w:tcW w:w="3000" w:type="dxa"/>
                  <w:tcBorders>
                    <w:top w:val="nil"/>
                    <w:left w:val="single" w:sz="4" w:space="0" w:color="auto"/>
                    <w:bottom w:val="single" w:sz="4" w:space="0" w:color="auto"/>
                    <w:right w:val="single" w:sz="4" w:space="0" w:color="auto"/>
                  </w:tcBorders>
                  <w:shd w:val="clear" w:color="000000" w:fill="FFFFFF"/>
                  <w:hideMark/>
                </w:tcPr>
                <w:p w14:paraId="600B043C" w14:textId="77777777" w:rsidR="00C22957" w:rsidRPr="00AC4BD2" w:rsidRDefault="00C22957" w:rsidP="003D61F2">
                  <w:pPr>
                    <w:framePr w:hSpace="180" w:wrap="around" w:vAnchor="text" w:hAnchor="text" w:y="1"/>
                    <w:suppressOverlap/>
                    <w:rPr>
                      <w:sz w:val="20"/>
                      <w:szCs w:val="20"/>
                    </w:rPr>
                  </w:pPr>
                  <w:r w:rsidRPr="00AC4BD2">
                    <w:rPr>
                      <w:sz w:val="20"/>
                      <w:szCs w:val="20"/>
                    </w:rPr>
                    <w:t>Stopiņu un Salaspils novadu būvvaldes</w:t>
                  </w:r>
                </w:p>
              </w:tc>
              <w:tc>
                <w:tcPr>
                  <w:tcW w:w="1040" w:type="dxa"/>
                  <w:tcBorders>
                    <w:top w:val="nil"/>
                    <w:left w:val="nil"/>
                    <w:bottom w:val="single" w:sz="4" w:space="0" w:color="auto"/>
                    <w:right w:val="single" w:sz="4" w:space="0" w:color="auto"/>
                  </w:tcBorders>
                  <w:shd w:val="clear" w:color="000000" w:fill="FFFFFF"/>
                  <w:hideMark/>
                </w:tcPr>
                <w:p w14:paraId="21AE5C6C"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128</w:t>
                  </w:r>
                </w:p>
              </w:tc>
              <w:tc>
                <w:tcPr>
                  <w:tcW w:w="1060" w:type="dxa"/>
                  <w:tcBorders>
                    <w:top w:val="nil"/>
                    <w:left w:val="nil"/>
                    <w:bottom w:val="single" w:sz="4" w:space="0" w:color="auto"/>
                    <w:right w:val="single" w:sz="4" w:space="0" w:color="auto"/>
                  </w:tcBorders>
                  <w:shd w:val="clear" w:color="auto" w:fill="auto"/>
                  <w:noWrap/>
                  <w:vAlign w:val="bottom"/>
                  <w:hideMark/>
                </w:tcPr>
                <w:p w14:paraId="391C60EB"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30</w:t>
                  </w:r>
                </w:p>
              </w:tc>
              <w:tc>
                <w:tcPr>
                  <w:tcW w:w="1380" w:type="dxa"/>
                  <w:tcBorders>
                    <w:top w:val="nil"/>
                    <w:left w:val="nil"/>
                    <w:bottom w:val="single" w:sz="4" w:space="0" w:color="auto"/>
                    <w:right w:val="single" w:sz="4" w:space="0" w:color="auto"/>
                  </w:tcBorders>
                  <w:shd w:val="clear" w:color="auto" w:fill="auto"/>
                  <w:noWrap/>
                  <w:vAlign w:val="bottom"/>
                  <w:hideMark/>
                </w:tcPr>
                <w:p w14:paraId="10BEEE5E"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3840</w:t>
                  </w:r>
                </w:p>
              </w:tc>
            </w:tr>
            <w:tr w:rsidR="00AC4BD2" w:rsidRPr="00AC4BD2" w14:paraId="066DF0A7" w14:textId="77777777" w:rsidTr="002B4EFF">
              <w:trPr>
                <w:trHeight w:val="290"/>
              </w:trPr>
              <w:tc>
                <w:tcPr>
                  <w:tcW w:w="3000" w:type="dxa"/>
                  <w:tcBorders>
                    <w:top w:val="nil"/>
                    <w:left w:val="single" w:sz="4" w:space="0" w:color="auto"/>
                    <w:bottom w:val="nil"/>
                    <w:right w:val="single" w:sz="4" w:space="0" w:color="auto"/>
                  </w:tcBorders>
                  <w:shd w:val="clear" w:color="000000" w:fill="FFFFFF"/>
                  <w:hideMark/>
                </w:tcPr>
                <w:p w14:paraId="1AAB166E" w14:textId="77777777" w:rsidR="00C22957" w:rsidRPr="00AC4BD2" w:rsidRDefault="00C22957" w:rsidP="003D61F2">
                  <w:pPr>
                    <w:framePr w:hSpace="180" w:wrap="around" w:vAnchor="text" w:hAnchor="text" w:y="1"/>
                    <w:suppressOverlap/>
                    <w:jc w:val="right"/>
                    <w:rPr>
                      <w:sz w:val="20"/>
                      <w:szCs w:val="20"/>
                    </w:rPr>
                  </w:pPr>
                  <w:r w:rsidRPr="00AC4BD2">
                    <w:rPr>
                      <w:sz w:val="20"/>
                      <w:szCs w:val="20"/>
                    </w:rPr>
                    <w:t>Kopā:</w:t>
                  </w:r>
                </w:p>
              </w:tc>
              <w:tc>
                <w:tcPr>
                  <w:tcW w:w="1040" w:type="dxa"/>
                  <w:tcBorders>
                    <w:top w:val="nil"/>
                    <w:left w:val="nil"/>
                    <w:bottom w:val="single" w:sz="4" w:space="0" w:color="auto"/>
                    <w:right w:val="single" w:sz="4" w:space="0" w:color="auto"/>
                  </w:tcBorders>
                  <w:shd w:val="clear" w:color="auto" w:fill="auto"/>
                  <w:noWrap/>
                  <w:vAlign w:val="center"/>
                  <w:hideMark/>
                </w:tcPr>
                <w:p w14:paraId="308839F3"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2160</w:t>
                  </w:r>
                </w:p>
              </w:tc>
              <w:tc>
                <w:tcPr>
                  <w:tcW w:w="1060" w:type="dxa"/>
                  <w:tcBorders>
                    <w:top w:val="nil"/>
                    <w:left w:val="nil"/>
                    <w:bottom w:val="nil"/>
                    <w:right w:val="nil"/>
                  </w:tcBorders>
                  <w:shd w:val="clear" w:color="auto" w:fill="auto"/>
                  <w:noWrap/>
                  <w:vAlign w:val="bottom"/>
                  <w:hideMark/>
                </w:tcPr>
                <w:p w14:paraId="7523FDC2" w14:textId="77777777" w:rsidR="00C22957" w:rsidRPr="00AC4BD2" w:rsidRDefault="00C22957" w:rsidP="003D61F2">
                  <w:pPr>
                    <w:framePr w:hSpace="180" w:wrap="around" w:vAnchor="text" w:hAnchor="text" w:y="1"/>
                    <w:suppressOverlap/>
                    <w:jc w:val="right"/>
                    <w:rPr>
                      <w:sz w:val="20"/>
                      <w:szCs w:val="20"/>
                    </w:rPr>
                  </w:pPr>
                  <w:r w:rsidRPr="00AC4BD2">
                    <w:rPr>
                      <w:sz w:val="20"/>
                      <w:szCs w:val="20"/>
                    </w:rPr>
                    <w:t>Kopā:</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CAFD8E" w14:textId="77777777" w:rsidR="00C22957" w:rsidRPr="00AC4BD2" w:rsidRDefault="00C22957" w:rsidP="003D61F2">
                  <w:pPr>
                    <w:framePr w:hSpace="180" w:wrap="around" w:vAnchor="text" w:hAnchor="text" w:y="1"/>
                    <w:suppressOverlap/>
                    <w:jc w:val="center"/>
                    <w:rPr>
                      <w:sz w:val="20"/>
                      <w:szCs w:val="20"/>
                    </w:rPr>
                  </w:pPr>
                  <w:r w:rsidRPr="00AC4BD2">
                    <w:rPr>
                      <w:sz w:val="20"/>
                      <w:szCs w:val="20"/>
                    </w:rPr>
                    <w:t>184170.81</w:t>
                  </w:r>
                </w:p>
              </w:tc>
            </w:tr>
          </w:tbl>
          <w:p w14:paraId="42B5F5C2" w14:textId="27474E95" w:rsidR="00C22957" w:rsidRPr="00AC4BD2" w:rsidRDefault="00C22957" w:rsidP="002B4EFF">
            <w:pPr>
              <w:jc w:val="both"/>
            </w:pPr>
            <w:r w:rsidRPr="00AC4BD2">
              <w:t xml:space="preserve">AS "Sadales tīkls" savu elektroapgādes objektu izbūves un pārbūves projektus īsteno piesaistot ārējus būvkomersantus gan būvprojektēšanas, gan būvniecības darbu veikšanai. Pašvaldību noteiktās būvniecības nodevas tiešā veidā segtu šie konkursa kārtībā izvēlētie būvkomersanti, ietverot šīs izmaksas savā pakalpojuma tāmē. Līdz ar to visi AS "Sadales tīkls" sistēmas lietotāji caur elektroenerģijas sadales sistēmas pakalpojumu tarifiem segtu šīs izmaksas. </w:t>
            </w:r>
          </w:p>
          <w:p w14:paraId="361CCFE8" w14:textId="35CC70AC" w:rsidR="0013045F" w:rsidRPr="00AC4BD2" w:rsidRDefault="003B0278" w:rsidP="0013045F">
            <w:pPr>
              <w:jc w:val="both"/>
            </w:pPr>
            <w:r w:rsidRPr="00AC4BD2">
              <w:t>N</w:t>
            </w:r>
            <w:r w:rsidR="0013045F" w:rsidRPr="00AC4BD2">
              <w:t>oteikum</w:t>
            </w:r>
            <w:r w:rsidRPr="00AC4BD2">
              <w:t>u projekts</w:t>
            </w:r>
            <w:r w:rsidR="0013045F" w:rsidRPr="00AC4BD2">
              <w:t xml:space="preserve"> paredz vairākus būvniecības procesus vienkāršot</w:t>
            </w:r>
            <w:r w:rsidRPr="00AC4BD2">
              <w:t>. P</w:t>
            </w:r>
            <w:r w:rsidR="0013045F" w:rsidRPr="00AC4BD2">
              <w:t xml:space="preserve">rocesi, kas līdz šim bija realizējami ar būvatļauju, turpmāk, kā, piemēram, </w:t>
            </w:r>
            <w:r w:rsidRPr="00AC4BD2">
              <w:t xml:space="preserve">otrās un trešās </w:t>
            </w:r>
            <w:r w:rsidR="0013045F" w:rsidRPr="00AC4BD2">
              <w:t>grup</w:t>
            </w:r>
            <w:r w:rsidRPr="00AC4BD2">
              <w:t>as</w:t>
            </w:r>
            <w:r w:rsidR="0013045F" w:rsidRPr="00AC4BD2">
              <w:t xml:space="preserve"> inženierbūvju atjaunošana vai nojaukšana (demontāža) </w:t>
            </w:r>
            <w:r w:rsidRPr="00AC4BD2">
              <w:t xml:space="preserve">turpmāk </w:t>
            </w:r>
            <w:r w:rsidR="0013045F" w:rsidRPr="00AC4BD2">
              <w:t>būs veicam</w:t>
            </w:r>
            <w:r w:rsidR="00031B2F" w:rsidRPr="00AC4BD2">
              <w:t>a</w:t>
            </w:r>
            <w:r w:rsidR="0013045F" w:rsidRPr="00AC4BD2">
              <w:t xml:space="preserve"> ar paskaidrojuma rakstu</w:t>
            </w:r>
            <w:r w:rsidRPr="00AC4BD2">
              <w:t>.</w:t>
            </w:r>
          </w:p>
          <w:p w14:paraId="59A1F690" w14:textId="77777777" w:rsidR="00C22957" w:rsidRPr="00AC4BD2" w:rsidRDefault="00C22957" w:rsidP="002B4EFF">
            <w:pPr>
              <w:contextualSpacing/>
              <w:jc w:val="both"/>
            </w:pPr>
          </w:p>
          <w:p w14:paraId="357CE029" w14:textId="77777777" w:rsidR="00C22957" w:rsidRPr="00AC4BD2" w:rsidRDefault="00C22957" w:rsidP="002B4EFF">
            <w:pPr>
              <w:contextualSpacing/>
              <w:jc w:val="both"/>
              <w:rPr>
                <w:iCs/>
              </w:rPr>
            </w:pPr>
            <w:r w:rsidRPr="00AC4BD2">
              <w:rPr>
                <w:iCs/>
              </w:rPr>
              <w:t xml:space="preserve">[13] Lai nodrošinātu </w:t>
            </w:r>
            <w:r w:rsidRPr="00AC4BD2">
              <w:rPr>
                <w:lang w:eastAsia="en-US"/>
              </w:rPr>
              <w:t xml:space="preserve">noteikumu projekta </w:t>
            </w:r>
            <w:r w:rsidRPr="00AC4BD2">
              <w:rPr>
                <w:iCs/>
              </w:rPr>
              <w:t>īstenošanai nepieciešamos būvniecības informācijas sistēmas pielāgošanas darbus noteikumu projektam ir noteikts spēkā stāšanās laiks – 2021. gada 1. novembris.</w:t>
            </w:r>
          </w:p>
          <w:p w14:paraId="12B04350" w14:textId="77777777" w:rsidR="00C22957" w:rsidRPr="00AC4BD2" w:rsidRDefault="00C22957" w:rsidP="002B4EFF">
            <w:pPr>
              <w:contextualSpacing/>
              <w:jc w:val="both"/>
              <w:rPr>
                <w:sz w:val="28"/>
                <w:szCs w:val="28"/>
              </w:rPr>
            </w:pPr>
          </w:p>
        </w:tc>
      </w:tr>
      <w:tr w:rsidR="00AC4BD2" w:rsidRPr="00AC4BD2" w14:paraId="4DCA114B"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9D85680" w14:textId="77777777" w:rsidR="00C22957" w:rsidRPr="00AC4BD2" w:rsidRDefault="00C22957" w:rsidP="002B4EFF">
            <w:pPr>
              <w:contextualSpacing/>
              <w:jc w:val="center"/>
            </w:pPr>
            <w:r w:rsidRPr="00AC4BD2">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B7B4B10" w14:textId="77777777" w:rsidR="00C22957" w:rsidRPr="00AC4BD2" w:rsidRDefault="00C22957" w:rsidP="002B4EFF">
            <w:pPr>
              <w:contextualSpacing/>
            </w:pPr>
            <w:r w:rsidRPr="00AC4BD2">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33FB6121" w14:textId="77777777" w:rsidR="00C22957" w:rsidRPr="00AC4BD2" w:rsidRDefault="00C22957" w:rsidP="002B4EFF">
            <w:pPr>
              <w:contextualSpacing/>
              <w:jc w:val="both"/>
            </w:pPr>
            <w:r w:rsidRPr="00AC4BD2">
              <w:t>Ekonomikas ministrija, Latvijas Pašvaldību savienība, Būvniecības valsts kontroles birojs kā būvniecības informācijas sistēmas (BIS) pārzinis.</w:t>
            </w:r>
          </w:p>
        </w:tc>
      </w:tr>
      <w:tr w:rsidR="00AC4BD2" w:rsidRPr="00AC4BD2" w14:paraId="3D51E08C"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C065012" w14:textId="77777777" w:rsidR="00C22957" w:rsidRPr="00AC4BD2" w:rsidRDefault="00C22957" w:rsidP="002B4EFF">
            <w:pPr>
              <w:contextualSpacing/>
              <w:jc w:val="center"/>
            </w:pPr>
            <w:r w:rsidRPr="00AC4BD2">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93ABCF8" w14:textId="77777777" w:rsidR="00C22957" w:rsidRPr="00AC4BD2" w:rsidRDefault="00C22957" w:rsidP="002B4EFF">
            <w:pPr>
              <w:contextualSpacing/>
            </w:pPr>
            <w:r w:rsidRPr="00AC4BD2">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D706EA7" w14:textId="77777777" w:rsidR="00C22957" w:rsidRPr="00AC4BD2" w:rsidRDefault="00C22957" w:rsidP="002B4EFF">
            <w:pPr>
              <w:contextualSpacing/>
            </w:pPr>
            <w:r w:rsidRPr="00AC4BD2">
              <w:t>Nav</w:t>
            </w:r>
          </w:p>
        </w:tc>
      </w:tr>
    </w:tbl>
    <w:p w14:paraId="09203993" w14:textId="77777777" w:rsidR="00C22957" w:rsidRPr="00AC4BD2" w:rsidRDefault="00C22957" w:rsidP="00C22957">
      <w:r w:rsidRPr="00AC4BD2">
        <w:br w:type="textWrapping" w:clear="all"/>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C4BD2" w:rsidRPr="00AC4BD2" w14:paraId="1773F750" w14:textId="77777777" w:rsidTr="002B4EFF">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44D604B" w14:textId="77777777" w:rsidR="00C22957" w:rsidRPr="00AC4BD2" w:rsidRDefault="00C22957" w:rsidP="002B4EFF">
            <w:pPr>
              <w:contextualSpacing/>
              <w:jc w:val="center"/>
              <w:rPr>
                <w:b/>
                <w:bCs/>
              </w:rPr>
            </w:pPr>
            <w:r w:rsidRPr="00AC4BD2">
              <w:rPr>
                <w:b/>
                <w:bCs/>
              </w:rPr>
              <w:t>II. Tiesību akta projekta ietekme uz sabiedrību, tautsaimniecības attīstību un administratīvo slogu</w:t>
            </w:r>
          </w:p>
        </w:tc>
      </w:tr>
      <w:tr w:rsidR="00AC4BD2" w:rsidRPr="00AC4BD2" w14:paraId="000D67D8"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E37846" w14:textId="77777777" w:rsidR="00C22957" w:rsidRPr="00AC4BD2" w:rsidRDefault="00C22957" w:rsidP="002B4EFF">
            <w:pPr>
              <w:contextualSpacing/>
              <w:jc w:val="center"/>
            </w:pPr>
            <w:r w:rsidRPr="00AC4BD2">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F8A08D1" w14:textId="77777777" w:rsidR="00C22957" w:rsidRPr="00AC4BD2" w:rsidRDefault="00C22957" w:rsidP="002B4EFF">
            <w:pPr>
              <w:contextualSpacing/>
            </w:pPr>
            <w:r w:rsidRPr="00AC4BD2">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812FA4" w14:textId="77777777" w:rsidR="00C22957" w:rsidRPr="00AC4BD2" w:rsidRDefault="00C22957" w:rsidP="002B4EFF">
            <w:pPr>
              <w:contextualSpacing/>
              <w:jc w:val="both"/>
            </w:pPr>
            <w:r w:rsidRPr="00AC4BD2">
              <w:t>Plānotais tiesiskais regulējums ietekmēs visus būvniecības procesa dalībniekus, trešās personas, institūcijas, kuras pilda būvvaldes funkcijas, Būvniecības valsts kontroles biroju, valsts un pašvaldību institūcijas</w:t>
            </w:r>
          </w:p>
        </w:tc>
      </w:tr>
      <w:tr w:rsidR="00AC4BD2" w:rsidRPr="00AC4BD2" w14:paraId="6AF3BA97"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D5584F7" w14:textId="77777777" w:rsidR="00C22957" w:rsidRPr="00AC4BD2" w:rsidRDefault="00C22957" w:rsidP="002B4EFF">
            <w:pPr>
              <w:contextualSpacing/>
              <w:jc w:val="center"/>
            </w:pPr>
            <w:r w:rsidRPr="00AC4BD2">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4DAB3BF" w14:textId="77777777" w:rsidR="00C22957" w:rsidRPr="00AC4BD2" w:rsidRDefault="00C22957" w:rsidP="002B4EFF">
            <w:pPr>
              <w:contextualSpacing/>
            </w:pPr>
            <w:r w:rsidRPr="00AC4BD2">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052EA0D3" w14:textId="77777777" w:rsidR="00C22957" w:rsidRPr="00AC4BD2" w:rsidRDefault="00C22957" w:rsidP="002B4EFF">
            <w:pPr>
              <w:contextualSpacing/>
              <w:jc w:val="both"/>
            </w:pPr>
            <w:r w:rsidRPr="00AC4BD2">
              <w:t>Kopumā administratīvais slogs samazināsies būvniecības ierosinātajam, bet citām personām tas būtiski nemainīsies. Tā kā nav nosakāms mērķgrupas lielums un nav izdalāms viens tipisks gadījums, kas varētu attiekties uz visiem būvniecības ierosinātājiem vai būvdarbu veicējiem, kā arī šīs personas ir dažādas, tad attiecīgās izmaksas nav iespējams novērtēt.</w:t>
            </w:r>
          </w:p>
          <w:p w14:paraId="68DC6AA2" w14:textId="77777777" w:rsidR="00C22957" w:rsidRPr="00AC4BD2" w:rsidRDefault="00C22957" w:rsidP="002B4EFF">
            <w:pPr>
              <w:contextualSpacing/>
              <w:jc w:val="both"/>
            </w:pPr>
            <w:r w:rsidRPr="00AC4BD2">
              <w:t xml:space="preserve">Papildus ir precizēts to gadījumu skaits, kad nav nepieciešama būvniecības dokumentācija vai ir piemērojama paskaidrojuma raksta procedūra (vienkāršāka </w:t>
            </w:r>
            <w:r w:rsidRPr="00AC4BD2">
              <w:lastRenderedPageBreak/>
              <w:t>procedūra), nevis vispārīgais būvniecības process, kura ietvaros tiek izdota būvatļauja.</w:t>
            </w:r>
          </w:p>
        </w:tc>
      </w:tr>
      <w:tr w:rsidR="00AC4BD2" w:rsidRPr="00AC4BD2" w14:paraId="6F0420CD"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34A28B8" w14:textId="77777777" w:rsidR="00C22957" w:rsidRPr="00AC4BD2" w:rsidRDefault="00C22957" w:rsidP="002B4EFF">
            <w:pPr>
              <w:contextualSpacing/>
              <w:jc w:val="center"/>
            </w:pPr>
            <w:r w:rsidRPr="00AC4BD2">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F08EA0A" w14:textId="77777777" w:rsidR="00C22957" w:rsidRPr="00AC4BD2" w:rsidRDefault="00C22957" w:rsidP="002B4EFF">
            <w:pPr>
              <w:contextualSpacing/>
            </w:pPr>
            <w:r w:rsidRPr="00AC4BD2">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407819C" w14:textId="77777777" w:rsidR="00C22957" w:rsidRPr="00AC4BD2" w:rsidRDefault="00C22957" w:rsidP="002B4EFF">
            <w:pPr>
              <w:contextualSpacing/>
              <w:jc w:val="both"/>
            </w:pPr>
            <w:r w:rsidRPr="00AC4BD2">
              <w:t>Projekts šo jomu neskar.</w:t>
            </w:r>
          </w:p>
        </w:tc>
      </w:tr>
      <w:tr w:rsidR="00AC4BD2" w:rsidRPr="00AC4BD2" w14:paraId="74765B2E"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C6B3E3B" w14:textId="77777777" w:rsidR="00C22957" w:rsidRPr="00AC4BD2" w:rsidRDefault="00C22957" w:rsidP="002B4EFF">
            <w:pPr>
              <w:contextualSpacing/>
              <w:jc w:val="center"/>
            </w:pPr>
            <w:r w:rsidRPr="00AC4BD2">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3F0453" w14:textId="77777777" w:rsidR="00C22957" w:rsidRPr="00AC4BD2" w:rsidRDefault="00C22957" w:rsidP="002B4EFF">
            <w:pPr>
              <w:contextualSpacing/>
            </w:pPr>
            <w:r w:rsidRPr="00AC4BD2">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195A20B" w14:textId="77777777" w:rsidR="00C22957" w:rsidRPr="00AC4BD2" w:rsidRDefault="00C22957" w:rsidP="002B4EFF">
            <w:pPr>
              <w:contextualSpacing/>
              <w:jc w:val="both"/>
            </w:pPr>
            <w:r w:rsidRPr="00AC4BD2">
              <w:t>Projekts šo jomu neskar.</w:t>
            </w:r>
          </w:p>
        </w:tc>
      </w:tr>
      <w:tr w:rsidR="00C22957" w:rsidRPr="00AC4BD2" w14:paraId="002AC4ED" w14:textId="77777777" w:rsidTr="002B4EFF">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B94F615" w14:textId="77777777" w:rsidR="00C22957" w:rsidRPr="00AC4BD2" w:rsidRDefault="00C22957" w:rsidP="002B4EFF">
            <w:pPr>
              <w:contextualSpacing/>
              <w:jc w:val="center"/>
            </w:pPr>
            <w:r w:rsidRPr="00AC4BD2">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CB185EF" w14:textId="77777777" w:rsidR="00C22957" w:rsidRPr="00AC4BD2" w:rsidRDefault="00C22957" w:rsidP="002B4EFF">
            <w:pPr>
              <w:contextualSpacing/>
            </w:pPr>
            <w:r w:rsidRPr="00AC4BD2">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16BD081" w14:textId="77777777" w:rsidR="00C22957" w:rsidRPr="00AC4BD2" w:rsidRDefault="00C22957" w:rsidP="002B4EFF">
            <w:pPr>
              <w:contextualSpacing/>
              <w:jc w:val="both"/>
            </w:pPr>
            <w:r w:rsidRPr="00AC4BD2">
              <w:t>Nav</w:t>
            </w:r>
          </w:p>
        </w:tc>
      </w:tr>
    </w:tbl>
    <w:p w14:paraId="03D16655" w14:textId="77777777" w:rsidR="00C22957" w:rsidRPr="00AC4BD2" w:rsidRDefault="00C22957" w:rsidP="00C22957"/>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AC4BD2" w:rsidRPr="00AC4BD2" w14:paraId="6C19A451" w14:textId="77777777" w:rsidTr="002B4EFF">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34F8122" w14:textId="77777777" w:rsidR="00C22957" w:rsidRPr="00AC4BD2" w:rsidRDefault="00C22957" w:rsidP="002B4EFF">
            <w:pPr>
              <w:jc w:val="center"/>
              <w:rPr>
                <w:b/>
                <w:bCs/>
                <w:lang w:eastAsia="en-US"/>
              </w:rPr>
            </w:pPr>
            <w:r w:rsidRPr="00AC4BD2">
              <w:rPr>
                <w:b/>
                <w:bCs/>
                <w:lang w:eastAsia="en-US"/>
              </w:rPr>
              <w:t>III. Tiesību akta projekta ietekme uz valsts budžetu un pašvaldību budžetiem</w:t>
            </w:r>
          </w:p>
        </w:tc>
      </w:tr>
      <w:tr w:rsidR="00AC4BD2" w:rsidRPr="00AC4BD2" w14:paraId="36F8A714" w14:textId="77777777" w:rsidTr="002B4EFF">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C19C78" w14:textId="77777777" w:rsidR="00C22957" w:rsidRPr="00AC4BD2" w:rsidRDefault="00C22957" w:rsidP="002B4EFF">
            <w:pPr>
              <w:jc w:val="center"/>
              <w:rPr>
                <w:bCs/>
                <w:lang w:eastAsia="en-US"/>
              </w:rPr>
            </w:pPr>
            <w:r w:rsidRPr="00AC4BD2">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9C6C27" w14:textId="77777777" w:rsidR="00C22957" w:rsidRPr="00AC4BD2" w:rsidRDefault="00C22957" w:rsidP="002B4EFF">
            <w:pPr>
              <w:jc w:val="center"/>
              <w:rPr>
                <w:bCs/>
                <w:lang w:eastAsia="en-US"/>
              </w:rPr>
            </w:pPr>
            <w:r w:rsidRPr="00AC4BD2">
              <w:rPr>
                <w:bCs/>
                <w:lang w:eastAsia="en-US"/>
              </w:rPr>
              <w:t>2021.gads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EDF5BA" w14:textId="77777777" w:rsidR="00C22957" w:rsidRPr="00AC4BD2" w:rsidRDefault="00C22957" w:rsidP="002B4EFF">
            <w:pPr>
              <w:jc w:val="center"/>
              <w:rPr>
                <w:lang w:eastAsia="en-US"/>
              </w:rPr>
            </w:pPr>
            <w:r w:rsidRPr="00AC4BD2">
              <w:rPr>
                <w:lang w:eastAsia="en-US"/>
              </w:rPr>
              <w:t>Turpmākie trīs gadi (</w:t>
            </w:r>
            <w:r w:rsidRPr="00AC4BD2">
              <w:rPr>
                <w:i/>
                <w:iCs/>
                <w:lang w:eastAsia="en-US"/>
              </w:rPr>
              <w:t>euro</w:t>
            </w:r>
            <w:r w:rsidRPr="00AC4BD2">
              <w:rPr>
                <w:lang w:eastAsia="en-US"/>
              </w:rPr>
              <w:t>)</w:t>
            </w:r>
          </w:p>
        </w:tc>
      </w:tr>
      <w:tr w:rsidR="00AC4BD2" w:rsidRPr="00AC4BD2" w14:paraId="1E87F499" w14:textId="77777777" w:rsidTr="002B4EFF">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7C2E812E" w14:textId="77777777" w:rsidR="00C22957" w:rsidRPr="00AC4BD2" w:rsidRDefault="00C22957" w:rsidP="002B4EFF">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1F1EB687" w14:textId="77777777" w:rsidR="00C22957" w:rsidRPr="00AC4BD2" w:rsidRDefault="00C22957" w:rsidP="002B4EFF">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4D1369" w14:textId="77777777" w:rsidR="00C22957" w:rsidRPr="00AC4BD2" w:rsidRDefault="00C22957" w:rsidP="002B4EFF">
            <w:pPr>
              <w:jc w:val="center"/>
              <w:rPr>
                <w:bCs/>
                <w:lang w:eastAsia="en-US"/>
              </w:rPr>
            </w:pPr>
            <w:r w:rsidRPr="00AC4BD2">
              <w:rPr>
                <w:bCs/>
                <w:lang w:eastAsia="en-US"/>
              </w:rPr>
              <w:t>2022.</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EE9017" w14:textId="77777777" w:rsidR="00C22957" w:rsidRPr="00AC4BD2" w:rsidRDefault="00C22957" w:rsidP="002B4EFF">
            <w:pPr>
              <w:jc w:val="center"/>
              <w:rPr>
                <w:bCs/>
                <w:lang w:eastAsia="en-US"/>
              </w:rPr>
            </w:pPr>
            <w:r w:rsidRPr="00AC4BD2">
              <w:rPr>
                <w:bCs/>
                <w:lang w:eastAsia="en-US"/>
              </w:rPr>
              <w:t>2023.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AA064" w14:textId="77777777" w:rsidR="00C22957" w:rsidRPr="00AC4BD2" w:rsidRDefault="00C22957" w:rsidP="002B4EFF">
            <w:pPr>
              <w:jc w:val="center"/>
              <w:rPr>
                <w:bCs/>
                <w:lang w:eastAsia="en-US"/>
              </w:rPr>
            </w:pPr>
            <w:r w:rsidRPr="00AC4BD2">
              <w:rPr>
                <w:bCs/>
                <w:lang w:eastAsia="en-US"/>
              </w:rPr>
              <w:t>2024.</w:t>
            </w:r>
          </w:p>
        </w:tc>
      </w:tr>
      <w:tr w:rsidR="00AC4BD2" w:rsidRPr="00AC4BD2" w14:paraId="26BC49B1" w14:textId="77777777" w:rsidTr="002B4EFF">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0BF4402" w14:textId="77777777" w:rsidR="00C22957" w:rsidRPr="00AC4BD2" w:rsidRDefault="00C22957" w:rsidP="002B4EFF">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0E3EF" w14:textId="77777777" w:rsidR="00C22957" w:rsidRPr="00AC4BD2" w:rsidRDefault="00C22957" w:rsidP="002B4EFF">
            <w:pPr>
              <w:jc w:val="center"/>
              <w:rPr>
                <w:lang w:eastAsia="en-US"/>
              </w:rPr>
            </w:pPr>
            <w:r w:rsidRPr="00AC4BD2">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50E2E" w14:textId="77777777" w:rsidR="00C22957" w:rsidRPr="00AC4BD2" w:rsidRDefault="00C22957" w:rsidP="002B4EFF">
            <w:pPr>
              <w:jc w:val="center"/>
              <w:rPr>
                <w:lang w:eastAsia="en-US"/>
              </w:rPr>
            </w:pPr>
            <w:r w:rsidRPr="00AC4BD2">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DEA0F" w14:textId="77777777" w:rsidR="00C22957" w:rsidRPr="00AC4BD2" w:rsidRDefault="00C22957" w:rsidP="002B4EFF">
            <w:pPr>
              <w:jc w:val="center"/>
              <w:rPr>
                <w:lang w:eastAsia="en-US"/>
              </w:rPr>
            </w:pPr>
            <w:r w:rsidRPr="00AC4BD2">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8F1C7" w14:textId="77777777" w:rsidR="00C22957" w:rsidRPr="00AC4BD2" w:rsidRDefault="00C22957" w:rsidP="002B4EFF">
            <w:pPr>
              <w:jc w:val="center"/>
              <w:rPr>
                <w:lang w:eastAsia="en-US"/>
              </w:rPr>
            </w:pPr>
            <w:r w:rsidRPr="00AC4BD2">
              <w:rPr>
                <w:lang w:eastAsia="en-US"/>
              </w:rPr>
              <w:t>izmaiņas, salīdzinot ar vidēja termiņa budžeta ietvaru 2022.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03F34" w14:textId="77777777" w:rsidR="00C22957" w:rsidRPr="00AC4BD2" w:rsidRDefault="00C22957" w:rsidP="002B4EFF">
            <w:pPr>
              <w:jc w:val="center"/>
              <w:rPr>
                <w:lang w:eastAsia="en-US"/>
              </w:rPr>
            </w:pPr>
            <w:r w:rsidRPr="00AC4BD2">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5748D" w14:textId="77777777" w:rsidR="00C22957" w:rsidRPr="00AC4BD2" w:rsidRDefault="00C22957" w:rsidP="002B4EFF">
            <w:pPr>
              <w:jc w:val="center"/>
              <w:rPr>
                <w:lang w:eastAsia="en-US"/>
              </w:rPr>
            </w:pPr>
            <w:r w:rsidRPr="00AC4BD2">
              <w:rPr>
                <w:lang w:eastAsia="en-US"/>
              </w:rPr>
              <w:t>izmaiņas, salīdzinot ar vidēja termiņa budžeta ietvaru 2023.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503B7" w14:textId="77777777" w:rsidR="00C22957" w:rsidRPr="00AC4BD2" w:rsidRDefault="00C22957" w:rsidP="002B4EFF">
            <w:pPr>
              <w:jc w:val="center"/>
              <w:rPr>
                <w:lang w:eastAsia="en-US"/>
              </w:rPr>
            </w:pPr>
            <w:r w:rsidRPr="00AC4BD2">
              <w:rPr>
                <w:lang w:eastAsia="en-US"/>
              </w:rPr>
              <w:t xml:space="preserve">izmaiņas, salīdzinot ar vidēja termiņa budžeta ietvaru </w:t>
            </w:r>
            <w:r w:rsidRPr="00AC4BD2">
              <w:rPr>
                <w:lang w:eastAsia="en-US"/>
              </w:rPr>
              <w:br/>
              <w:t>2023. gadam</w:t>
            </w:r>
          </w:p>
        </w:tc>
      </w:tr>
      <w:tr w:rsidR="00AC4BD2" w:rsidRPr="00AC4BD2" w14:paraId="7E935127" w14:textId="77777777" w:rsidTr="002B4EFF">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3C659" w14:textId="77777777" w:rsidR="00C22957" w:rsidRPr="00AC4BD2" w:rsidRDefault="00C22957" w:rsidP="002B4EFF">
            <w:pPr>
              <w:jc w:val="center"/>
              <w:rPr>
                <w:lang w:eastAsia="en-US"/>
              </w:rPr>
            </w:pPr>
            <w:r w:rsidRPr="00AC4BD2">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CFCE7" w14:textId="77777777" w:rsidR="00C22957" w:rsidRPr="00AC4BD2" w:rsidRDefault="00C22957" w:rsidP="002B4EFF">
            <w:pPr>
              <w:jc w:val="center"/>
              <w:rPr>
                <w:lang w:eastAsia="en-US"/>
              </w:rPr>
            </w:pPr>
            <w:r w:rsidRPr="00AC4BD2">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F0914" w14:textId="77777777" w:rsidR="00C22957" w:rsidRPr="00AC4BD2" w:rsidRDefault="00C22957" w:rsidP="002B4EFF">
            <w:pPr>
              <w:jc w:val="center"/>
              <w:rPr>
                <w:lang w:eastAsia="en-US"/>
              </w:rPr>
            </w:pPr>
            <w:r w:rsidRPr="00AC4BD2">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C11F7" w14:textId="77777777" w:rsidR="00C22957" w:rsidRPr="00AC4BD2" w:rsidRDefault="00C22957" w:rsidP="002B4EFF">
            <w:pPr>
              <w:jc w:val="center"/>
              <w:rPr>
                <w:lang w:eastAsia="en-US"/>
              </w:rPr>
            </w:pPr>
            <w:r w:rsidRPr="00AC4BD2">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A186F" w14:textId="77777777" w:rsidR="00C22957" w:rsidRPr="00AC4BD2" w:rsidRDefault="00C22957" w:rsidP="002B4EFF">
            <w:pPr>
              <w:jc w:val="center"/>
              <w:rPr>
                <w:lang w:eastAsia="en-US"/>
              </w:rPr>
            </w:pPr>
            <w:r w:rsidRPr="00AC4BD2">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81CC9" w14:textId="77777777" w:rsidR="00C22957" w:rsidRPr="00AC4BD2" w:rsidRDefault="00C22957" w:rsidP="002B4EFF">
            <w:pPr>
              <w:jc w:val="center"/>
              <w:rPr>
                <w:lang w:eastAsia="en-US"/>
              </w:rPr>
            </w:pPr>
            <w:r w:rsidRPr="00AC4BD2">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52948" w14:textId="77777777" w:rsidR="00C22957" w:rsidRPr="00AC4BD2" w:rsidRDefault="00C22957" w:rsidP="002B4EFF">
            <w:pPr>
              <w:jc w:val="center"/>
              <w:rPr>
                <w:lang w:eastAsia="en-US"/>
              </w:rPr>
            </w:pPr>
            <w:r w:rsidRPr="00AC4BD2">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D75F7" w14:textId="77777777" w:rsidR="00C22957" w:rsidRPr="00AC4BD2" w:rsidRDefault="00C22957" w:rsidP="002B4EFF">
            <w:pPr>
              <w:jc w:val="center"/>
              <w:rPr>
                <w:lang w:eastAsia="en-US"/>
              </w:rPr>
            </w:pPr>
            <w:r w:rsidRPr="00AC4BD2">
              <w:rPr>
                <w:lang w:eastAsia="en-US"/>
              </w:rPr>
              <w:t>8</w:t>
            </w:r>
          </w:p>
        </w:tc>
      </w:tr>
      <w:tr w:rsidR="00AC4BD2" w:rsidRPr="00AC4BD2" w14:paraId="19432877" w14:textId="77777777" w:rsidTr="002B4EFF">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749D4FDB" w14:textId="77777777" w:rsidR="00C22957" w:rsidRPr="00AC4BD2" w:rsidRDefault="00C22957" w:rsidP="002B4EFF">
            <w:pPr>
              <w:rPr>
                <w:lang w:eastAsia="en-US"/>
              </w:rPr>
            </w:pPr>
            <w:r w:rsidRPr="00AC4BD2">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D8D27"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CF01A"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3F49A"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BAC28"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8702B"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4025B"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B23A4" w14:textId="77777777" w:rsidR="00C22957" w:rsidRPr="00AC4BD2" w:rsidRDefault="00C22957" w:rsidP="002B4EFF">
            <w:pPr>
              <w:rPr>
                <w:rFonts w:eastAsia="Calibri"/>
              </w:rPr>
            </w:pPr>
            <w:r w:rsidRPr="00AC4BD2">
              <w:rPr>
                <w:rFonts w:eastAsia="Calibri"/>
              </w:rPr>
              <w:t>0</w:t>
            </w:r>
          </w:p>
        </w:tc>
      </w:tr>
      <w:tr w:rsidR="00AC4BD2" w:rsidRPr="00AC4BD2" w14:paraId="1D8D450C"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4074278F" w14:textId="77777777" w:rsidR="00C22957" w:rsidRPr="00AC4BD2" w:rsidRDefault="00C22957" w:rsidP="002B4EFF">
            <w:pPr>
              <w:rPr>
                <w:lang w:eastAsia="en-US"/>
              </w:rPr>
            </w:pPr>
            <w:r w:rsidRPr="00AC4BD2">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431E79FB"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3A74A5"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9984FA"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8F5D03"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F0261D"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5F30133"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681D31F" w14:textId="77777777" w:rsidR="00C22957" w:rsidRPr="00AC4BD2" w:rsidRDefault="00C22957" w:rsidP="002B4EFF">
            <w:pPr>
              <w:rPr>
                <w:rFonts w:eastAsia="Calibri"/>
              </w:rPr>
            </w:pPr>
            <w:r w:rsidRPr="00AC4BD2">
              <w:rPr>
                <w:rFonts w:eastAsia="Calibri"/>
              </w:rPr>
              <w:t>0</w:t>
            </w:r>
          </w:p>
        </w:tc>
      </w:tr>
      <w:tr w:rsidR="00AC4BD2" w:rsidRPr="00AC4BD2" w14:paraId="482C8FEB"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4F9EAFB4" w14:textId="77777777" w:rsidR="00C22957" w:rsidRPr="00AC4BD2" w:rsidRDefault="00C22957" w:rsidP="002B4EFF">
            <w:pPr>
              <w:rPr>
                <w:lang w:eastAsia="en-US"/>
              </w:rPr>
            </w:pPr>
            <w:r w:rsidRPr="00AC4BD2">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C77E22"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3EADDA"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A05351"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A94370"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8CE0A6"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4932CA7"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D24CF2C" w14:textId="77777777" w:rsidR="00C22957" w:rsidRPr="00AC4BD2" w:rsidRDefault="00C22957" w:rsidP="002B4EFF">
            <w:pPr>
              <w:rPr>
                <w:rFonts w:eastAsia="Calibri"/>
              </w:rPr>
            </w:pPr>
            <w:r w:rsidRPr="00AC4BD2">
              <w:rPr>
                <w:rFonts w:eastAsia="Calibri"/>
              </w:rPr>
              <w:t>0</w:t>
            </w:r>
          </w:p>
        </w:tc>
      </w:tr>
      <w:tr w:rsidR="00AC4BD2" w:rsidRPr="00AC4BD2" w14:paraId="7DB6BF5F"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709A0867" w14:textId="77777777" w:rsidR="00C22957" w:rsidRPr="00AC4BD2" w:rsidRDefault="00C22957" w:rsidP="002B4EFF">
            <w:pPr>
              <w:rPr>
                <w:lang w:eastAsia="en-US"/>
              </w:rPr>
            </w:pPr>
            <w:r w:rsidRPr="00AC4BD2">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041560C"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8EE34D"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B2CBC1"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3F693C"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B4C62A"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2308E9"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B198957" w14:textId="77777777" w:rsidR="00C22957" w:rsidRPr="00AC4BD2" w:rsidRDefault="00C22957" w:rsidP="002B4EFF">
            <w:pPr>
              <w:rPr>
                <w:rFonts w:eastAsia="Calibri"/>
              </w:rPr>
            </w:pPr>
            <w:r w:rsidRPr="00AC4BD2">
              <w:rPr>
                <w:rFonts w:eastAsia="Calibri"/>
              </w:rPr>
              <w:t>0</w:t>
            </w:r>
          </w:p>
        </w:tc>
      </w:tr>
      <w:tr w:rsidR="00AC4BD2" w:rsidRPr="00AC4BD2" w14:paraId="1B1F0700"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66D895E5" w14:textId="77777777" w:rsidR="00C22957" w:rsidRPr="00AC4BD2" w:rsidRDefault="00C22957" w:rsidP="002B4EFF">
            <w:pPr>
              <w:rPr>
                <w:lang w:eastAsia="en-US"/>
              </w:rPr>
            </w:pPr>
            <w:r w:rsidRPr="00AC4BD2">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DFB7219"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54DEE1" w14:textId="77777777" w:rsidR="00C22957" w:rsidRPr="00AC4BD2" w:rsidRDefault="00C22957" w:rsidP="002B4EFF">
            <w:pPr>
              <w:rPr>
                <w:rFonts w:eastAsia="Calibri"/>
              </w:rPr>
            </w:pPr>
            <w:r w:rsidRPr="00AC4BD2">
              <w:rPr>
                <w:rFonts w:eastAsia="Calibri"/>
              </w:rPr>
              <w:t>14 399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F7479D"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831EC3"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3FF8AE"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B33FCE3"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79437D" w14:textId="77777777" w:rsidR="00C22957" w:rsidRPr="00AC4BD2" w:rsidRDefault="00C22957" w:rsidP="002B4EFF">
            <w:pPr>
              <w:rPr>
                <w:rFonts w:eastAsia="Calibri"/>
              </w:rPr>
            </w:pPr>
            <w:r w:rsidRPr="00AC4BD2">
              <w:rPr>
                <w:rFonts w:eastAsia="Calibri"/>
              </w:rPr>
              <w:t>0</w:t>
            </w:r>
          </w:p>
        </w:tc>
      </w:tr>
      <w:tr w:rsidR="00AC4BD2" w:rsidRPr="00AC4BD2" w14:paraId="3D4EA96E"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105C56C1" w14:textId="77777777" w:rsidR="00C22957" w:rsidRPr="00AC4BD2" w:rsidRDefault="00C22957" w:rsidP="002B4EFF">
            <w:pPr>
              <w:rPr>
                <w:lang w:eastAsia="en-US"/>
              </w:rPr>
            </w:pPr>
            <w:r w:rsidRPr="00AC4BD2">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178F617"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5B13D" w14:textId="77777777" w:rsidR="00C22957" w:rsidRPr="00AC4BD2" w:rsidRDefault="00C22957" w:rsidP="002B4EFF">
            <w:pPr>
              <w:rPr>
                <w:rFonts w:eastAsia="Calibri"/>
              </w:rPr>
            </w:pPr>
            <w:r w:rsidRPr="00AC4BD2">
              <w:rPr>
                <w:rFonts w:eastAsia="Calibri"/>
              </w:rPr>
              <w:t>14 399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ED45AF"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6F9DA"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C11A3"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B3D745B"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FA58E3D" w14:textId="77777777" w:rsidR="00C22957" w:rsidRPr="00AC4BD2" w:rsidRDefault="00C22957" w:rsidP="002B4EFF">
            <w:pPr>
              <w:rPr>
                <w:rFonts w:eastAsia="Calibri"/>
              </w:rPr>
            </w:pPr>
            <w:r w:rsidRPr="00AC4BD2">
              <w:rPr>
                <w:rFonts w:eastAsia="Calibri"/>
              </w:rPr>
              <w:t>0</w:t>
            </w:r>
          </w:p>
        </w:tc>
      </w:tr>
      <w:tr w:rsidR="00AC4BD2" w:rsidRPr="00AC4BD2" w14:paraId="4947EE97"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0DC6B0C3" w14:textId="77777777" w:rsidR="00C22957" w:rsidRPr="00AC4BD2" w:rsidRDefault="00C22957" w:rsidP="002B4EFF">
            <w:pPr>
              <w:rPr>
                <w:lang w:eastAsia="en-US"/>
              </w:rPr>
            </w:pPr>
            <w:r w:rsidRPr="00AC4BD2">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A77ED7A"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DE237C"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040E6F"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AA8F9D"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46B54"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7A64191"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2E3F87" w14:textId="77777777" w:rsidR="00C22957" w:rsidRPr="00AC4BD2" w:rsidRDefault="00C22957" w:rsidP="002B4EFF">
            <w:pPr>
              <w:rPr>
                <w:rFonts w:eastAsia="Calibri"/>
              </w:rPr>
            </w:pPr>
            <w:r w:rsidRPr="00AC4BD2">
              <w:rPr>
                <w:rFonts w:eastAsia="Calibri"/>
              </w:rPr>
              <w:t>0</w:t>
            </w:r>
          </w:p>
        </w:tc>
      </w:tr>
      <w:tr w:rsidR="00AC4BD2" w:rsidRPr="00AC4BD2" w14:paraId="352F8314"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6798FACF" w14:textId="77777777" w:rsidR="00C22957" w:rsidRPr="00AC4BD2" w:rsidRDefault="00C22957" w:rsidP="002B4EFF">
            <w:pPr>
              <w:rPr>
                <w:lang w:eastAsia="en-US"/>
              </w:rPr>
            </w:pPr>
            <w:r w:rsidRPr="00AC4BD2">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2DABCE0"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8CC9DF"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294A73"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1A00D5"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9ECA2B"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9BE7E7B"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C070A9F" w14:textId="77777777" w:rsidR="00C22957" w:rsidRPr="00AC4BD2" w:rsidRDefault="00C22957" w:rsidP="002B4EFF">
            <w:pPr>
              <w:rPr>
                <w:rFonts w:eastAsia="Calibri"/>
              </w:rPr>
            </w:pPr>
            <w:r w:rsidRPr="00AC4BD2">
              <w:rPr>
                <w:rFonts w:eastAsia="Calibri"/>
              </w:rPr>
              <w:t>0</w:t>
            </w:r>
          </w:p>
        </w:tc>
      </w:tr>
      <w:tr w:rsidR="00AC4BD2" w:rsidRPr="00AC4BD2" w14:paraId="0856A963"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7AC45FEB" w14:textId="77777777" w:rsidR="00C22957" w:rsidRPr="00AC4BD2" w:rsidRDefault="00C22957" w:rsidP="002B4EFF">
            <w:pPr>
              <w:rPr>
                <w:lang w:eastAsia="en-US"/>
              </w:rPr>
            </w:pPr>
            <w:r w:rsidRPr="00AC4BD2">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5AA0A96A"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028D7" w14:textId="77777777" w:rsidR="00C22957" w:rsidRPr="00AC4BD2" w:rsidRDefault="00C22957" w:rsidP="002B4EFF">
            <w:pPr>
              <w:rPr>
                <w:rFonts w:eastAsia="Calibri"/>
              </w:rPr>
            </w:pPr>
            <w:r w:rsidRPr="00AC4BD2">
              <w:rPr>
                <w:rFonts w:eastAsia="Calibri"/>
              </w:rPr>
              <w:t>-14 399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7B9813"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85CDD2"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35BE9D"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9DE7842"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6B8530C" w14:textId="77777777" w:rsidR="00C22957" w:rsidRPr="00AC4BD2" w:rsidRDefault="00C22957" w:rsidP="002B4EFF">
            <w:pPr>
              <w:rPr>
                <w:rFonts w:eastAsia="Calibri"/>
              </w:rPr>
            </w:pPr>
            <w:r w:rsidRPr="00AC4BD2">
              <w:rPr>
                <w:rFonts w:eastAsia="Calibri"/>
              </w:rPr>
              <w:t>0</w:t>
            </w:r>
          </w:p>
        </w:tc>
      </w:tr>
      <w:tr w:rsidR="00AC4BD2" w:rsidRPr="00AC4BD2" w14:paraId="102F09C2"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7FACED03" w14:textId="77777777" w:rsidR="00C22957" w:rsidRPr="00AC4BD2" w:rsidRDefault="00C22957" w:rsidP="002B4EFF">
            <w:pPr>
              <w:rPr>
                <w:lang w:eastAsia="en-US"/>
              </w:rPr>
            </w:pPr>
            <w:r w:rsidRPr="00AC4BD2">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80D992E"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A54C0" w14:textId="77777777" w:rsidR="00C22957" w:rsidRPr="00AC4BD2" w:rsidRDefault="00C22957" w:rsidP="002B4EFF">
            <w:pPr>
              <w:rPr>
                <w:rFonts w:eastAsia="Calibri"/>
              </w:rPr>
            </w:pPr>
            <w:r w:rsidRPr="00AC4BD2">
              <w:rPr>
                <w:rFonts w:eastAsia="Calibri"/>
              </w:rPr>
              <w:t>-14 399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5217D4"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68DDD4"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130899"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63DCCCA"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BE66149" w14:textId="77777777" w:rsidR="00C22957" w:rsidRPr="00AC4BD2" w:rsidRDefault="00C22957" w:rsidP="002B4EFF">
            <w:pPr>
              <w:rPr>
                <w:rFonts w:eastAsia="Calibri"/>
              </w:rPr>
            </w:pPr>
            <w:r w:rsidRPr="00AC4BD2">
              <w:rPr>
                <w:rFonts w:eastAsia="Calibri"/>
              </w:rPr>
              <w:t>0</w:t>
            </w:r>
          </w:p>
        </w:tc>
      </w:tr>
      <w:tr w:rsidR="00AC4BD2" w:rsidRPr="00AC4BD2" w14:paraId="49F8BBD6"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779621F4" w14:textId="77777777" w:rsidR="00C22957" w:rsidRPr="00AC4BD2" w:rsidRDefault="00C22957" w:rsidP="002B4EFF">
            <w:pPr>
              <w:rPr>
                <w:lang w:eastAsia="en-US"/>
              </w:rPr>
            </w:pPr>
            <w:r w:rsidRPr="00AC4BD2">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5A17C9C"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3646F6"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4D207C"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E41C13"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15D55F"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3A7A0DD"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D301CB" w14:textId="77777777" w:rsidR="00C22957" w:rsidRPr="00AC4BD2" w:rsidRDefault="00C22957" w:rsidP="002B4EFF">
            <w:pPr>
              <w:rPr>
                <w:rFonts w:eastAsia="Calibri"/>
              </w:rPr>
            </w:pPr>
            <w:r w:rsidRPr="00AC4BD2">
              <w:rPr>
                <w:rFonts w:eastAsia="Calibri"/>
              </w:rPr>
              <w:t>0</w:t>
            </w:r>
          </w:p>
        </w:tc>
      </w:tr>
      <w:tr w:rsidR="00AC4BD2" w:rsidRPr="00AC4BD2" w14:paraId="77AB0413"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664ADA94" w14:textId="77777777" w:rsidR="00C22957" w:rsidRPr="00AC4BD2" w:rsidRDefault="00C22957" w:rsidP="002B4EFF">
            <w:pPr>
              <w:rPr>
                <w:lang w:eastAsia="en-US"/>
              </w:rPr>
            </w:pPr>
            <w:r w:rsidRPr="00AC4BD2">
              <w:rPr>
                <w:lang w:eastAsia="en-US"/>
              </w:rPr>
              <w:lastRenderedPageBreak/>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0B057CD" w14:textId="77777777" w:rsidR="00C22957" w:rsidRPr="00AC4BD2" w:rsidRDefault="00C22957" w:rsidP="002B4EFF">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252CDC"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36E882" w14:textId="77777777" w:rsidR="00C22957" w:rsidRPr="00AC4BD2" w:rsidRDefault="00C22957" w:rsidP="002B4EFF">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82B557"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73BD05" w14:textId="77777777" w:rsidR="00C22957" w:rsidRPr="00AC4BD2" w:rsidRDefault="00C22957" w:rsidP="002B4EFF">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62750AB"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E80AB" w14:textId="77777777" w:rsidR="00C22957" w:rsidRPr="00AC4BD2" w:rsidRDefault="00C22957" w:rsidP="002B4EFF">
            <w:pPr>
              <w:rPr>
                <w:rFonts w:eastAsia="Calibri"/>
              </w:rPr>
            </w:pPr>
            <w:r w:rsidRPr="00AC4BD2">
              <w:rPr>
                <w:rFonts w:eastAsia="Calibri"/>
              </w:rPr>
              <w:t>0</w:t>
            </w:r>
          </w:p>
        </w:tc>
      </w:tr>
      <w:tr w:rsidR="00AC4BD2" w:rsidRPr="00AC4BD2" w14:paraId="4543C18E"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76C832BA" w14:textId="77777777" w:rsidR="00C22957" w:rsidRPr="00AC4BD2" w:rsidRDefault="00C22957" w:rsidP="002B4EFF">
            <w:pPr>
              <w:rPr>
                <w:lang w:eastAsia="en-US"/>
              </w:rPr>
            </w:pPr>
            <w:r w:rsidRPr="00AC4BD2">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794F0413" w14:textId="77777777" w:rsidR="00C22957" w:rsidRPr="00AC4BD2" w:rsidRDefault="00C22957" w:rsidP="002B4EFF">
            <w:pPr>
              <w:rPr>
                <w:lang w:eastAsia="en-US"/>
              </w:rPr>
            </w:pPr>
            <w:r w:rsidRPr="00AC4BD2">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5C4C81" w14:textId="77777777" w:rsidR="00C22957" w:rsidRPr="00AC4BD2" w:rsidRDefault="00C22957" w:rsidP="002B4EFF">
            <w:pPr>
              <w:rPr>
                <w:rFonts w:eastAsia="Calibri"/>
              </w:rPr>
            </w:pPr>
            <w:r w:rsidRPr="00AC4BD2">
              <w:rPr>
                <w:rFonts w:eastAsia="Calibri"/>
              </w:rPr>
              <w:t>+14 399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EFD797" w14:textId="77777777" w:rsidR="00C22957" w:rsidRPr="00AC4BD2" w:rsidRDefault="00C22957" w:rsidP="002B4EFF">
            <w:pPr>
              <w:rPr>
                <w:rFonts w:eastAsia="Calibri"/>
              </w:rPr>
            </w:pPr>
            <w:r w:rsidRPr="00AC4BD2">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2E96D2" w14:textId="77777777" w:rsidR="00C22957" w:rsidRPr="00AC4BD2" w:rsidRDefault="00C22957" w:rsidP="002B4EFF">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5CBD66" w14:textId="77777777" w:rsidR="00C22957" w:rsidRPr="00AC4BD2" w:rsidRDefault="00C22957" w:rsidP="002B4EFF">
            <w:pPr>
              <w:rPr>
                <w:rFonts w:eastAsia="Calibri"/>
              </w:rPr>
            </w:pPr>
            <w:r w:rsidRPr="00AC4BD2">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CDAB3FE"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37EB1E" w14:textId="77777777" w:rsidR="00C22957" w:rsidRPr="00AC4BD2" w:rsidRDefault="00C22957" w:rsidP="002B4EFF">
            <w:pPr>
              <w:rPr>
                <w:rFonts w:eastAsia="Calibri"/>
              </w:rPr>
            </w:pPr>
            <w:r w:rsidRPr="00AC4BD2">
              <w:rPr>
                <w:rFonts w:eastAsia="Calibri"/>
              </w:rPr>
              <w:t>0</w:t>
            </w:r>
          </w:p>
        </w:tc>
      </w:tr>
      <w:tr w:rsidR="00AC4BD2" w:rsidRPr="00AC4BD2" w14:paraId="1F062939"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53652E64" w14:textId="77777777" w:rsidR="00C22957" w:rsidRPr="00AC4BD2" w:rsidRDefault="00C22957" w:rsidP="002B4EFF">
            <w:pPr>
              <w:rPr>
                <w:lang w:eastAsia="en-US"/>
              </w:rPr>
            </w:pPr>
            <w:r w:rsidRPr="00AC4BD2">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6BB188F1" w14:textId="77777777" w:rsidR="00C22957" w:rsidRPr="00AC4BD2" w:rsidRDefault="00C22957" w:rsidP="002B4EFF">
            <w:pPr>
              <w:rPr>
                <w:lang w:eastAsia="en-US"/>
              </w:rPr>
            </w:pPr>
            <w:r w:rsidRPr="00AC4BD2">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DF84DB" w14:textId="77777777" w:rsidR="00C22957" w:rsidRPr="00AC4BD2" w:rsidRDefault="00C22957" w:rsidP="002B4EFF">
            <w:pPr>
              <w:rPr>
                <w:rFonts w:eastAsia="Calibri"/>
              </w:rPr>
            </w:pPr>
            <w:r w:rsidRPr="00AC4BD2">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DF89069" w14:textId="77777777" w:rsidR="00C22957" w:rsidRPr="00AC4BD2" w:rsidRDefault="00C22957" w:rsidP="002B4EFF">
            <w:pPr>
              <w:rPr>
                <w:rFonts w:eastAsia="Calibri"/>
              </w:rPr>
            </w:pPr>
            <w:r w:rsidRPr="00AC4BD2">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C8F798" w14:textId="77777777" w:rsidR="00C22957" w:rsidRPr="00AC4BD2" w:rsidRDefault="00C22957" w:rsidP="002B4EFF">
            <w:pPr>
              <w:rPr>
                <w:rFonts w:eastAsia="Calibri"/>
              </w:rPr>
            </w:pPr>
            <w:r w:rsidRPr="00AC4BD2">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FCF47D3" w14:textId="77777777" w:rsidR="00C22957" w:rsidRPr="00AC4BD2" w:rsidRDefault="00C22957" w:rsidP="002B4EFF">
            <w:pPr>
              <w:rPr>
                <w:rFonts w:eastAsia="Calibri"/>
              </w:rPr>
            </w:pPr>
            <w:r w:rsidRPr="00AC4BD2">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E036009"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288392C" w14:textId="77777777" w:rsidR="00C22957" w:rsidRPr="00AC4BD2" w:rsidRDefault="00C22957" w:rsidP="002B4EFF">
            <w:pPr>
              <w:rPr>
                <w:rFonts w:eastAsia="Calibri"/>
              </w:rPr>
            </w:pPr>
            <w:r w:rsidRPr="00AC4BD2">
              <w:rPr>
                <w:rFonts w:eastAsia="Calibri"/>
              </w:rPr>
              <w:t>0</w:t>
            </w:r>
          </w:p>
        </w:tc>
      </w:tr>
      <w:tr w:rsidR="00AC4BD2" w:rsidRPr="00AC4BD2" w14:paraId="3AF720EB"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4A683A2F" w14:textId="77777777" w:rsidR="00C22957" w:rsidRPr="00AC4BD2" w:rsidRDefault="00C22957" w:rsidP="002B4EFF">
            <w:pPr>
              <w:rPr>
                <w:lang w:eastAsia="en-US"/>
              </w:rPr>
            </w:pPr>
            <w:r w:rsidRPr="00AC4BD2">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B8D0C0C" w14:textId="77777777" w:rsidR="00C22957" w:rsidRPr="00AC4BD2" w:rsidRDefault="00C22957" w:rsidP="002B4EFF">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13DC37" w14:textId="77777777" w:rsidR="00C22957" w:rsidRPr="00AC4BD2" w:rsidRDefault="00C22957" w:rsidP="002B4EFF">
            <w:pPr>
              <w:rPr>
                <w:lang w:eastAsia="en-US"/>
              </w:rPr>
            </w:pPr>
            <w:r w:rsidRPr="00AC4BD2">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F3D1C4" w14:textId="77777777" w:rsidR="00C22957" w:rsidRPr="00AC4BD2" w:rsidRDefault="00C22957" w:rsidP="002B4EFF">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DC3375A" w14:textId="77777777" w:rsidR="00C22957" w:rsidRPr="00AC4BD2" w:rsidRDefault="00C22957" w:rsidP="002B4EFF">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2F47CB" w14:textId="77777777" w:rsidR="00C22957" w:rsidRPr="00AC4BD2" w:rsidRDefault="00C22957" w:rsidP="002B4EFF">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1E21741"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9A2F0A8" w14:textId="77777777" w:rsidR="00C22957" w:rsidRPr="00AC4BD2" w:rsidRDefault="00C22957" w:rsidP="002B4EFF">
            <w:pPr>
              <w:rPr>
                <w:rFonts w:eastAsia="Calibri"/>
              </w:rPr>
            </w:pPr>
            <w:r w:rsidRPr="00AC4BD2">
              <w:rPr>
                <w:rFonts w:eastAsia="Calibri"/>
              </w:rPr>
              <w:t>0</w:t>
            </w:r>
          </w:p>
        </w:tc>
      </w:tr>
      <w:tr w:rsidR="00AC4BD2" w:rsidRPr="00AC4BD2" w14:paraId="60AC8044"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35B6A094" w14:textId="77777777" w:rsidR="00C22957" w:rsidRPr="00AC4BD2" w:rsidRDefault="00C22957" w:rsidP="002B4EFF">
            <w:pPr>
              <w:rPr>
                <w:lang w:eastAsia="en-US"/>
              </w:rPr>
            </w:pPr>
            <w:r w:rsidRPr="00AC4BD2">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3A3B1300" w14:textId="77777777" w:rsidR="00C22957" w:rsidRPr="00AC4BD2" w:rsidRDefault="00C22957" w:rsidP="002B4EFF">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754BA8D" w14:textId="77777777" w:rsidR="00C22957" w:rsidRPr="00AC4BD2" w:rsidRDefault="00C22957" w:rsidP="002B4EFF">
            <w:pPr>
              <w:rPr>
                <w:lang w:eastAsia="en-US"/>
              </w:rPr>
            </w:pPr>
            <w:r w:rsidRPr="00AC4BD2">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8554A4" w14:textId="77777777" w:rsidR="00C22957" w:rsidRPr="00AC4BD2" w:rsidRDefault="00C22957" w:rsidP="002B4EFF">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E0CF1DF" w14:textId="77777777" w:rsidR="00C22957" w:rsidRPr="00AC4BD2" w:rsidRDefault="00C22957" w:rsidP="002B4EFF">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A7A6C5" w14:textId="77777777" w:rsidR="00C22957" w:rsidRPr="00AC4BD2" w:rsidRDefault="00C22957" w:rsidP="002B4EFF">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7B5943B"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C046BE8" w14:textId="77777777" w:rsidR="00C22957" w:rsidRPr="00AC4BD2" w:rsidRDefault="00C22957" w:rsidP="002B4EFF">
            <w:pPr>
              <w:rPr>
                <w:rFonts w:eastAsia="Calibri"/>
              </w:rPr>
            </w:pPr>
            <w:r w:rsidRPr="00AC4BD2">
              <w:rPr>
                <w:rFonts w:eastAsia="Calibri"/>
              </w:rPr>
              <w:t>0</w:t>
            </w:r>
          </w:p>
        </w:tc>
      </w:tr>
      <w:tr w:rsidR="00AC4BD2" w:rsidRPr="00AC4BD2" w14:paraId="4D4660C7"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54C19A80" w14:textId="77777777" w:rsidR="00C22957" w:rsidRPr="00AC4BD2" w:rsidRDefault="00C22957" w:rsidP="002B4EFF">
            <w:pPr>
              <w:rPr>
                <w:lang w:eastAsia="en-US"/>
              </w:rPr>
            </w:pPr>
            <w:r w:rsidRPr="00AC4BD2">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510CA0" w14:textId="77777777" w:rsidR="00C22957" w:rsidRPr="00AC4BD2" w:rsidRDefault="00C22957" w:rsidP="002B4EFF">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5E0DB9" w14:textId="77777777" w:rsidR="00C22957" w:rsidRPr="00AC4BD2" w:rsidRDefault="00C22957" w:rsidP="002B4EFF">
            <w:pPr>
              <w:rPr>
                <w:lang w:eastAsia="en-US"/>
              </w:rPr>
            </w:pPr>
            <w:r w:rsidRPr="00AC4BD2">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414382" w14:textId="77777777" w:rsidR="00C22957" w:rsidRPr="00AC4BD2" w:rsidRDefault="00C22957" w:rsidP="002B4EFF">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3C788C6" w14:textId="77777777" w:rsidR="00C22957" w:rsidRPr="00AC4BD2" w:rsidRDefault="00C22957" w:rsidP="002B4EFF">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6F6C3" w14:textId="77777777" w:rsidR="00C22957" w:rsidRPr="00AC4BD2" w:rsidRDefault="00C22957" w:rsidP="002B4EFF">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59C560B8" w14:textId="77777777" w:rsidR="00C22957" w:rsidRPr="00AC4BD2" w:rsidRDefault="00C22957" w:rsidP="002B4EFF">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41C506F" w14:textId="77777777" w:rsidR="00C22957" w:rsidRPr="00AC4BD2" w:rsidRDefault="00C22957" w:rsidP="002B4EFF">
            <w:pPr>
              <w:rPr>
                <w:rFonts w:eastAsia="Calibri"/>
              </w:rPr>
            </w:pPr>
            <w:r w:rsidRPr="00AC4BD2">
              <w:rPr>
                <w:rFonts w:eastAsia="Calibri"/>
              </w:rPr>
              <w:t>0</w:t>
            </w:r>
          </w:p>
        </w:tc>
      </w:tr>
      <w:tr w:rsidR="00AC4BD2" w:rsidRPr="00AC4BD2" w14:paraId="65DD3D0E"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1FFBA3D0" w14:textId="77777777" w:rsidR="00C22957" w:rsidRPr="00AC4BD2" w:rsidRDefault="00C22957" w:rsidP="002B4EFF">
            <w:pPr>
              <w:rPr>
                <w:lang w:eastAsia="en-US"/>
              </w:rPr>
            </w:pPr>
            <w:r w:rsidRPr="00AC4BD2">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13C81D29" w14:textId="77777777" w:rsidR="00C22957" w:rsidRPr="00AC4BD2" w:rsidRDefault="00C22957" w:rsidP="002B4EFF">
            <w:pPr>
              <w:jc w:val="both"/>
              <w:rPr>
                <w:iCs/>
                <w:lang w:eastAsia="en-US"/>
              </w:rPr>
            </w:pPr>
            <w:r w:rsidRPr="00AC4BD2">
              <w:rPr>
                <w:iCs/>
                <w:lang w:eastAsia="en-US"/>
              </w:rPr>
              <w:t>Lai nodrošinātu noteikumu projekta īstenošanu, nepieciešams veikt pielāgošanas darbus Būvniecības informācijas sistēmā.</w:t>
            </w:r>
          </w:p>
          <w:p w14:paraId="7F136304" w14:textId="77777777" w:rsidR="00C22957" w:rsidRPr="00AC4BD2" w:rsidRDefault="00C22957" w:rsidP="002B4EFF">
            <w:pPr>
              <w:jc w:val="both"/>
              <w:rPr>
                <w:iCs/>
                <w:lang w:eastAsia="en-US"/>
              </w:rPr>
            </w:pPr>
            <w:r w:rsidRPr="00AC4BD2">
              <w:rPr>
                <w:lang w:eastAsia="en-US"/>
              </w:rPr>
              <w:t>Ņemot vērā līdz šim esošās būvniecības informācijas sistēmas izstrādes un pielāgošanas izmaksas, aprēķināts, ka projektā paredzēto grozījumu ieviešanai nepieciešamas 35 cilvēkdienas. Vienas cilvēkdienas izmaksas ir 340 </w:t>
            </w:r>
            <w:r w:rsidRPr="00AC4BD2">
              <w:rPr>
                <w:i/>
                <w:iCs/>
                <w:lang w:eastAsia="en-US"/>
              </w:rPr>
              <w:t>euro</w:t>
            </w:r>
            <w:r w:rsidRPr="00AC4BD2">
              <w:rPr>
                <w:lang w:eastAsia="en-US"/>
              </w:rPr>
              <w:t xml:space="preserve"> (bez PVN), līdz ar to pielāgošanas izmaksas varētu sasniegt </w:t>
            </w:r>
            <w:r w:rsidRPr="00AC4BD2">
              <w:rPr>
                <w:b/>
                <w:bCs/>
              </w:rPr>
              <w:t>14 399</w:t>
            </w:r>
            <w:r w:rsidRPr="00AC4BD2">
              <w:rPr>
                <w:lang w:eastAsia="en-US"/>
              </w:rPr>
              <w:t xml:space="preserve">  </w:t>
            </w:r>
            <w:r w:rsidRPr="00AC4BD2">
              <w:rPr>
                <w:i/>
                <w:iCs/>
                <w:lang w:eastAsia="en-US"/>
              </w:rPr>
              <w:t>euro</w:t>
            </w:r>
            <w:r w:rsidRPr="00AC4BD2">
              <w:rPr>
                <w:lang w:eastAsia="en-US"/>
              </w:rPr>
              <w:t xml:space="preserve"> (ieskaitot PVN).</w:t>
            </w:r>
          </w:p>
          <w:p w14:paraId="25CA8857" w14:textId="77777777" w:rsidR="00C22957" w:rsidRPr="00AC4BD2" w:rsidRDefault="00C22957" w:rsidP="002B4EFF">
            <w:pPr>
              <w:rPr>
                <w:lang w:eastAsia="en-US"/>
              </w:rPr>
            </w:pPr>
          </w:p>
        </w:tc>
      </w:tr>
      <w:tr w:rsidR="00AC4BD2" w:rsidRPr="00AC4BD2" w14:paraId="442A9DF8"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737C3EEA" w14:textId="77777777" w:rsidR="00C22957" w:rsidRPr="00AC4BD2" w:rsidRDefault="00C22957" w:rsidP="002B4EFF">
            <w:pPr>
              <w:rPr>
                <w:lang w:eastAsia="en-US"/>
              </w:rPr>
            </w:pPr>
            <w:r w:rsidRPr="00AC4BD2">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0868861" w14:textId="77777777" w:rsidR="00C22957" w:rsidRPr="00AC4BD2" w:rsidRDefault="00C22957" w:rsidP="002B4EFF">
            <w:pPr>
              <w:rPr>
                <w:lang w:eastAsia="en-US"/>
              </w:rPr>
            </w:pPr>
          </w:p>
        </w:tc>
      </w:tr>
      <w:tr w:rsidR="00AC4BD2" w:rsidRPr="00AC4BD2" w14:paraId="2B6A0524"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31FB1DCB" w14:textId="77777777" w:rsidR="00C22957" w:rsidRPr="00AC4BD2" w:rsidRDefault="00C22957" w:rsidP="002B4EFF">
            <w:pPr>
              <w:rPr>
                <w:lang w:eastAsia="en-US"/>
              </w:rPr>
            </w:pPr>
            <w:r w:rsidRPr="00AC4BD2">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9B2CCDE" w14:textId="77777777" w:rsidR="00C22957" w:rsidRPr="00AC4BD2" w:rsidRDefault="00C22957" w:rsidP="002B4EFF">
            <w:pPr>
              <w:rPr>
                <w:lang w:eastAsia="en-US"/>
              </w:rPr>
            </w:pPr>
          </w:p>
        </w:tc>
      </w:tr>
      <w:tr w:rsidR="00AC4BD2" w:rsidRPr="00AC4BD2" w14:paraId="11B9F7AD"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1D53FB2A" w14:textId="77777777" w:rsidR="00C22957" w:rsidRPr="00AC4BD2" w:rsidRDefault="00C22957" w:rsidP="002B4EFF">
            <w:pPr>
              <w:rPr>
                <w:lang w:eastAsia="en-US"/>
              </w:rPr>
            </w:pPr>
            <w:r w:rsidRPr="00AC4BD2">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39D73FDE" w14:textId="77777777" w:rsidR="00C22957" w:rsidRPr="00AC4BD2" w:rsidRDefault="00C22957" w:rsidP="002B4EFF">
            <w:pPr>
              <w:rPr>
                <w:lang w:eastAsia="en-US"/>
              </w:rPr>
            </w:pPr>
            <w:r w:rsidRPr="00AC4BD2">
              <w:rPr>
                <w:lang w:eastAsia="en-US"/>
              </w:rPr>
              <w:t>Nav izmaiņas.</w:t>
            </w:r>
          </w:p>
        </w:tc>
      </w:tr>
      <w:tr w:rsidR="00AC4BD2" w:rsidRPr="00AC4BD2" w14:paraId="65F2E07A" w14:textId="77777777" w:rsidTr="002B4EFF">
        <w:trPr>
          <w:cantSplit/>
        </w:trPr>
        <w:tc>
          <w:tcPr>
            <w:tcW w:w="2162" w:type="dxa"/>
            <w:tcBorders>
              <w:top w:val="single" w:sz="4" w:space="0" w:color="auto"/>
              <w:left w:val="single" w:sz="4" w:space="0" w:color="auto"/>
              <w:bottom w:val="single" w:sz="4" w:space="0" w:color="auto"/>
              <w:right w:val="single" w:sz="4" w:space="0" w:color="auto"/>
            </w:tcBorders>
            <w:hideMark/>
          </w:tcPr>
          <w:p w14:paraId="265F5B07" w14:textId="77777777" w:rsidR="00C22957" w:rsidRPr="00AC4BD2" w:rsidRDefault="00C22957" w:rsidP="002B4EFF">
            <w:pPr>
              <w:rPr>
                <w:lang w:eastAsia="en-US"/>
              </w:rPr>
            </w:pPr>
            <w:r w:rsidRPr="00AC4BD2">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3333D158" w14:textId="77777777" w:rsidR="00C22957" w:rsidRPr="00AC4BD2" w:rsidRDefault="00C22957" w:rsidP="002B4EFF">
            <w:pPr>
              <w:jc w:val="both"/>
              <w:rPr>
                <w:lang w:eastAsia="en-US"/>
              </w:rPr>
            </w:pPr>
            <w:r w:rsidRPr="00AC4BD2">
              <w:rPr>
                <w:iCs/>
                <w:lang w:eastAsia="en-US"/>
              </w:rPr>
              <w:t>Būvniecības informācijas sistēmas pielāgošanai nepieciešamais finansējums 14 399 euro apmērā tiks nodrošināts Ekonomikas ministrijas budžeta programmā 20.00.00 “Būvniecība” 2021.gadā piešķirto līdzekļu ietvaros.</w:t>
            </w:r>
          </w:p>
        </w:tc>
      </w:tr>
    </w:tbl>
    <w:p w14:paraId="319A9B69" w14:textId="77777777" w:rsidR="00C22957" w:rsidRPr="00AC4BD2" w:rsidRDefault="00C22957" w:rsidP="00C22957"/>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C4BD2" w:rsidRPr="00AC4BD2" w14:paraId="6E856937" w14:textId="77777777" w:rsidTr="002B4EFF">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8E4FD" w14:textId="77777777" w:rsidR="00C22957" w:rsidRPr="00AC4BD2" w:rsidRDefault="00C22957" w:rsidP="002B4EFF">
            <w:pPr>
              <w:spacing w:before="100" w:beforeAutospacing="1" w:after="100" w:afterAutospacing="1" w:line="293" w:lineRule="atLeast"/>
              <w:jc w:val="center"/>
              <w:rPr>
                <w:b/>
                <w:bCs/>
              </w:rPr>
            </w:pPr>
            <w:r w:rsidRPr="00AC4BD2">
              <w:rPr>
                <w:b/>
                <w:bCs/>
              </w:rPr>
              <w:t>IV. Tiesību akta projekta ietekme uz spēkā esošo tiesību normu sistēmu</w:t>
            </w:r>
          </w:p>
        </w:tc>
      </w:tr>
      <w:tr w:rsidR="00AC4BD2" w:rsidRPr="00AC4BD2" w14:paraId="35329499" w14:textId="77777777" w:rsidTr="002B4EFF">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0F2262BD" w14:textId="77777777" w:rsidR="00C22957" w:rsidRPr="00AC4BD2" w:rsidRDefault="00C22957" w:rsidP="002B4EFF">
            <w:pPr>
              <w:jc w:val="center"/>
            </w:pPr>
            <w:r w:rsidRPr="00AC4BD2">
              <w:t>Projekts šo jomu neskar</w:t>
            </w:r>
          </w:p>
        </w:tc>
      </w:tr>
    </w:tbl>
    <w:p w14:paraId="707B844D" w14:textId="77777777" w:rsidR="00C22957" w:rsidRPr="00AC4BD2" w:rsidRDefault="00C22957" w:rsidP="00C22957">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C4BD2" w:rsidRPr="00AC4BD2" w14:paraId="12367523" w14:textId="77777777" w:rsidTr="002B4EFF">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F6C31" w14:textId="77777777" w:rsidR="00C22957" w:rsidRPr="00AC4BD2" w:rsidRDefault="00C22957" w:rsidP="002B4EFF">
            <w:pPr>
              <w:spacing w:before="100" w:beforeAutospacing="1" w:after="100" w:afterAutospacing="1" w:line="293" w:lineRule="atLeast"/>
              <w:jc w:val="center"/>
              <w:rPr>
                <w:b/>
                <w:bCs/>
              </w:rPr>
            </w:pPr>
            <w:r w:rsidRPr="00AC4BD2">
              <w:rPr>
                <w:b/>
                <w:bCs/>
              </w:rPr>
              <w:t>V. Tiesību akta projekta atbilstība Latvijas Republikas starptautiskajām saistībām</w:t>
            </w:r>
          </w:p>
        </w:tc>
      </w:tr>
      <w:tr w:rsidR="00AC4BD2" w:rsidRPr="00AC4BD2" w14:paraId="666013B4" w14:textId="77777777" w:rsidTr="002B4EFF">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E387151" w14:textId="77777777" w:rsidR="00C22957" w:rsidRPr="00AC4BD2" w:rsidRDefault="00C22957" w:rsidP="002B4EFF">
            <w:pPr>
              <w:jc w:val="center"/>
            </w:pPr>
            <w:r w:rsidRPr="00AC4BD2">
              <w:t>Projekts šo jomu neskar</w:t>
            </w:r>
          </w:p>
        </w:tc>
      </w:tr>
    </w:tbl>
    <w:p w14:paraId="0EE0D415" w14:textId="77777777" w:rsidR="00C22957" w:rsidRPr="00AC4BD2" w:rsidRDefault="00C22957" w:rsidP="00C22957">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C4BD2" w:rsidRPr="00AC4BD2" w14:paraId="23AE087B" w14:textId="77777777" w:rsidTr="002B4EFF">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4EE7C" w14:textId="77777777" w:rsidR="00C22957" w:rsidRPr="00AC4BD2" w:rsidRDefault="00C22957" w:rsidP="002B4EFF">
            <w:pPr>
              <w:spacing w:before="100" w:beforeAutospacing="1" w:after="100" w:afterAutospacing="1" w:line="293" w:lineRule="atLeast"/>
              <w:jc w:val="center"/>
              <w:rPr>
                <w:b/>
                <w:bCs/>
              </w:rPr>
            </w:pPr>
            <w:r w:rsidRPr="00AC4BD2">
              <w:rPr>
                <w:b/>
                <w:bCs/>
              </w:rPr>
              <w:t>VI. Sabiedrības līdzdalība un komunikācijas aktivitātes</w:t>
            </w:r>
          </w:p>
        </w:tc>
      </w:tr>
      <w:tr w:rsidR="00AC4BD2" w:rsidRPr="00AC4BD2" w14:paraId="1F365BC8" w14:textId="77777777" w:rsidTr="002B4EF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880CB4" w14:textId="77777777" w:rsidR="00C22957" w:rsidRPr="00AC4BD2" w:rsidRDefault="00C22957" w:rsidP="002B4EFF">
            <w:pPr>
              <w:spacing w:before="100" w:beforeAutospacing="1" w:after="100" w:afterAutospacing="1" w:line="293" w:lineRule="atLeast"/>
              <w:jc w:val="center"/>
            </w:pPr>
            <w:r w:rsidRPr="00AC4BD2">
              <w:lastRenderedPageBreak/>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5C542C" w14:textId="77777777" w:rsidR="00C22957" w:rsidRPr="00AC4BD2" w:rsidRDefault="00C22957" w:rsidP="002B4EFF">
            <w:r w:rsidRPr="00AC4BD2">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D15DC59" w14:textId="77777777" w:rsidR="00C22957" w:rsidRPr="00AC4BD2" w:rsidRDefault="00C22957" w:rsidP="002B4EFF">
            <w:pPr>
              <w:jc w:val="both"/>
              <w:rPr>
                <w:bCs/>
                <w:iCs/>
              </w:rPr>
            </w:pPr>
            <w:r w:rsidRPr="00AC4BD2">
              <w:t xml:space="preserve">Noteikumu projekts sabiedrībai publiski ir pieejams Ekonomikas ministrijas tīmekļa vietnē </w:t>
            </w:r>
            <w:r w:rsidRPr="00AC4BD2">
              <w:rPr>
                <w:bCs/>
                <w:iCs/>
              </w:rPr>
              <w:t>sadaļā “Sabiedrības līdzdalība”, aicinot sabiedrības pārstāvjiem rakstveidā sniegt viedokli par noteikumu projektiem līdz 2020. gada 18.oktobrim.</w:t>
            </w:r>
          </w:p>
          <w:p w14:paraId="5AB31D4B" w14:textId="77777777" w:rsidR="00C22957" w:rsidRPr="00AC4BD2" w:rsidRDefault="00C22957" w:rsidP="002B4EFF">
            <w:pPr>
              <w:jc w:val="both"/>
              <w:rPr>
                <w:bCs/>
                <w:iCs/>
              </w:rPr>
            </w:pPr>
            <w:r w:rsidRPr="00AC4BD2">
              <w:rPr>
                <w:bCs/>
                <w:iCs/>
              </w:rPr>
              <w:t>Sabiedrības pārstāvju izteiktie priekšlikumi un iebildumi tiks izskatīti vienlaicīgi ar saņemtajiem priekšlikumiem vai iebildumiem no valsts institūcijām pēc noteikumu projekta izskatīšanas Valsts sekretāru sanāksmē. Tāpat jāņem vērā, ka plānotais regulējums pēc savas būtības mazina noteiktā procesa posmā sabiedrības pārstāvjiem administratīvo slogu, nevis to palielina.</w:t>
            </w:r>
          </w:p>
          <w:p w14:paraId="2477B3B8" w14:textId="77777777" w:rsidR="00C22957" w:rsidRPr="00AC4BD2" w:rsidRDefault="00C22957" w:rsidP="002B4EFF">
            <w:pPr>
              <w:jc w:val="both"/>
            </w:pPr>
            <w:r w:rsidRPr="00AC4BD2">
              <w:t>Par šo noteikumu projektu izstrādi ir informēta arī Latvijas Būvniecības padome.</w:t>
            </w:r>
          </w:p>
        </w:tc>
      </w:tr>
      <w:tr w:rsidR="00AC4BD2" w:rsidRPr="00AC4BD2" w14:paraId="7747CADB" w14:textId="77777777" w:rsidTr="002B4EF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BDB81" w14:textId="77777777" w:rsidR="00C22957" w:rsidRPr="00AC4BD2" w:rsidRDefault="00C22957" w:rsidP="002B4EFF">
            <w:pPr>
              <w:spacing w:before="100" w:beforeAutospacing="1" w:after="100" w:afterAutospacing="1" w:line="293" w:lineRule="atLeast"/>
              <w:jc w:val="center"/>
            </w:pPr>
            <w:r w:rsidRPr="00AC4BD2">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BD0A127" w14:textId="77777777" w:rsidR="00C22957" w:rsidRPr="00AC4BD2" w:rsidRDefault="00C22957" w:rsidP="002B4EFF">
            <w:r w:rsidRPr="00AC4BD2">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DC34555" w14:textId="77777777" w:rsidR="00C22957" w:rsidRPr="00AC4BD2" w:rsidRDefault="00C22957" w:rsidP="002B4EFF">
            <w:pPr>
              <w:jc w:val="both"/>
            </w:pPr>
            <w:r w:rsidRPr="00AC4BD2">
              <w:rPr>
                <w:bCs/>
                <w:iCs/>
              </w:rPr>
              <w:t>Projekts ir papildināts pēc sabiedrības pārstāvju viedokļu saņemšanas.</w:t>
            </w:r>
          </w:p>
        </w:tc>
      </w:tr>
      <w:tr w:rsidR="00AC4BD2" w:rsidRPr="00AC4BD2" w14:paraId="7C403DDD" w14:textId="77777777" w:rsidTr="002B4EF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3E32DD" w14:textId="77777777" w:rsidR="00C22957" w:rsidRPr="00AC4BD2" w:rsidRDefault="00C22957" w:rsidP="002B4EFF">
            <w:pPr>
              <w:spacing w:before="100" w:beforeAutospacing="1" w:after="100" w:afterAutospacing="1" w:line="293" w:lineRule="atLeast"/>
              <w:jc w:val="center"/>
            </w:pPr>
            <w:r w:rsidRPr="00AC4BD2">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321324" w14:textId="77777777" w:rsidR="00C22957" w:rsidRPr="00AC4BD2" w:rsidRDefault="00C22957" w:rsidP="002B4EFF">
            <w:r w:rsidRPr="00AC4BD2">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D15112A" w14:textId="77777777" w:rsidR="00C22957" w:rsidRPr="00AC4BD2" w:rsidRDefault="00C22957" w:rsidP="002B4EFF">
            <w:pPr>
              <w:jc w:val="both"/>
            </w:pPr>
            <w:r w:rsidRPr="00AC4BD2">
              <w:rPr>
                <w:bCs/>
                <w:iCs/>
              </w:rPr>
              <w:t>Projekts ir papildināts pēc sabiedrības pārstāvju viedokļu saņemšanas.</w:t>
            </w:r>
          </w:p>
        </w:tc>
      </w:tr>
      <w:tr w:rsidR="00AC4BD2" w:rsidRPr="00AC4BD2" w14:paraId="1BDC3E7B" w14:textId="77777777" w:rsidTr="002B4EF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923DAC" w14:textId="77777777" w:rsidR="00C22957" w:rsidRPr="00AC4BD2" w:rsidRDefault="00C22957" w:rsidP="002B4EFF">
            <w:pPr>
              <w:spacing w:before="100" w:beforeAutospacing="1" w:after="100" w:afterAutospacing="1" w:line="293" w:lineRule="atLeast"/>
              <w:jc w:val="center"/>
            </w:pPr>
            <w:r w:rsidRPr="00AC4BD2">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054C906" w14:textId="77777777" w:rsidR="00C22957" w:rsidRPr="00AC4BD2" w:rsidRDefault="00C22957" w:rsidP="002B4EFF">
            <w:r w:rsidRPr="00AC4BD2">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FB0C757" w14:textId="77777777" w:rsidR="00C22957" w:rsidRPr="00AC4BD2" w:rsidRDefault="00C22957" w:rsidP="002B4EFF">
            <w:r w:rsidRPr="00AC4BD2">
              <w:t>Nav</w:t>
            </w:r>
          </w:p>
        </w:tc>
      </w:tr>
    </w:tbl>
    <w:p w14:paraId="6B55C168" w14:textId="77777777" w:rsidR="00C22957" w:rsidRPr="00AC4BD2" w:rsidRDefault="00C22957" w:rsidP="00C22957">
      <w:r w:rsidRPr="00AC4BD2">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C4BD2" w:rsidRPr="00AC4BD2" w14:paraId="47843F4B" w14:textId="77777777" w:rsidTr="002B4EFF">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9B2FC" w14:textId="77777777" w:rsidR="00C22957" w:rsidRPr="00AC4BD2" w:rsidRDefault="00C22957" w:rsidP="002B4EFF">
            <w:pPr>
              <w:spacing w:before="100" w:beforeAutospacing="1" w:after="100" w:afterAutospacing="1" w:line="293" w:lineRule="atLeast"/>
              <w:jc w:val="center"/>
              <w:rPr>
                <w:b/>
                <w:bCs/>
              </w:rPr>
            </w:pPr>
            <w:r w:rsidRPr="00AC4BD2">
              <w:rPr>
                <w:b/>
                <w:bCs/>
              </w:rPr>
              <w:t>VII. Tiesību akta projekta izpildes nodrošināšana un tās ietekme uz institūcijām</w:t>
            </w:r>
          </w:p>
        </w:tc>
      </w:tr>
      <w:tr w:rsidR="00AC4BD2" w:rsidRPr="00AC4BD2" w14:paraId="56108FAB" w14:textId="77777777" w:rsidTr="002B4EF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77D009B" w14:textId="77777777" w:rsidR="00C22957" w:rsidRPr="00AC4BD2" w:rsidRDefault="00C22957" w:rsidP="002B4EFF">
            <w:pPr>
              <w:spacing w:before="100" w:beforeAutospacing="1" w:after="100" w:afterAutospacing="1" w:line="293" w:lineRule="atLeast"/>
              <w:jc w:val="center"/>
            </w:pPr>
            <w:r w:rsidRPr="00AC4BD2">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18D0469" w14:textId="77777777" w:rsidR="00C22957" w:rsidRPr="00AC4BD2" w:rsidRDefault="00C22957" w:rsidP="002B4EFF">
            <w:r w:rsidRPr="00AC4BD2">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EF22A3" w14:textId="77777777" w:rsidR="00C22957" w:rsidRPr="00AC4BD2" w:rsidRDefault="00C22957" w:rsidP="002B4EFF">
            <w:pPr>
              <w:jc w:val="both"/>
            </w:pPr>
            <w:r w:rsidRPr="00AC4BD2">
              <w:t xml:space="preserve">Būvvaldes un institūcijas, kas pilda būvvaldes funkcijas, Būvniecības valsts kontroles birojs kā </w:t>
            </w:r>
            <w:r w:rsidRPr="00AC4BD2">
              <w:rPr>
                <w:shd w:val="clear" w:color="auto" w:fill="FFFFFF"/>
              </w:rPr>
              <w:t>būvniecības informācijas sistēmas</w:t>
            </w:r>
            <w:r w:rsidRPr="00AC4BD2">
              <w:t xml:space="preserve"> (BIS) pārzinis.</w:t>
            </w:r>
          </w:p>
        </w:tc>
      </w:tr>
      <w:tr w:rsidR="00AC4BD2" w:rsidRPr="00AC4BD2" w14:paraId="0BB13F86" w14:textId="77777777" w:rsidTr="002B4EF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6485C3" w14:textId="77777777" w:rsidR="00C22957" w:rsidRPr="00AC4BD2" w:rsidRDefault="00C22957" w:rsidP="002B4EFF">
            <w:pPr>
              <w:spacing w:before="100" w:beforeAutospacing="1" w:after="100" w:afterAutospacing="1" w:line="293" w:lineRule="atLeast"/>
              <w:jc w:val="center"/>
            </w:pPr>
            <w:r w:rsidRPr="00AC4BD2">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F6C603C" w14:textId="77777777" w:rsidR="00C22957" w:rsidRPr="00AC4BD2" w:rsidRDefault="00C22957" w:rsidP="002B4EFF">
            <w:r w:rsidRPr="00AC4BD2">
              <w:t>Projekta izpildes ietekme uz pārvaldes funkcijām un institucionālo struktūru.</w:t>
            </w:r>
            <w:r w:rsidRPr="00AC4BD2">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B4A1D4" w14:textId="77777777" w:rsidR="00C22957" w:rsidRPr="00AC4BD2" w:rsidRDefault="00C22957" w:rsidP="002B4EFF">
            <w:pPr>
              <w:jc w:val="both"/>
            </w:pPr>
            <w:r w:rsidRPr="00AC4BD2">
              <w:t>Papildu cilvēkresursi un finanšu līdzekļi nav nepieciešami, jaunas institūcijas netiek veidotas, kā arī netiek likvidētas esošās.</w:t>
            </w:r>
          </w:p>
        </w:tc>
      </w:tr>
      <w:tr w:rsidR="00AC4BD2" w:rsidRPr="00AC4BD2" w14:paraId="355DED56" w14:textId="77777777" w:rsidTr="002B4EF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DEB4BF" w14:textId="77777777" w:rsidR="00C22957" w:rsidRPr="00AC4BD2" w:rsidRDefault="00C22957" w:rsidP="002B4EFF">
            <w:pPr>
              <w:spacing w:before="100" w:beforeAutospacing="1" w:after="100" w:afterAutospacing="1" w:line="293" w:lineRule="atLeast"/>
              <w:jc w:val="center"/>
            </w:pPr>
            <w:r w:rsidRPr="00AC4BD2">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FC8DEA6" w14:textId="77777777" w:rsidR="00C22957" w:rsidRPr="00AC4BD2" w:rsidRDefault="00C22957" w:rsidP="002B4EFF">
            <w:r w:rsidRPr="00AC4BD2">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8126949" w14:textId="77777777" w:rsidR="00C22957" w:rsidRPr="00AC4BD2" w:rsidRDefault="00C22957" w:rsidP="002B4EFF">
            <w:r w:rsidRPr="00AC4BD2">
              <w:t>Nav</w:t>
            </w:r>
          </w:p>
        </w:tc>
      </w:tr>
    </w:tbl>
    <w:p w14:paraId="6F66D195" w14:textId="77777777" w:rsidR="00C22957" w:rsidRPr="00AC4BD2" w:rsidRDefault="00C22957" w:rsidP="00C22957">
      <w:pPr>
        <w:rPr>
          <w:shd w:val="clear" w:color="auto" w:fill="FFFFFF"/>
        </w:rPr>
      </w:pPr>
    </w:p>
    <w:p w14:paraId="56833D0F" w14:textId="77777777" w:rsidR="00C22957" w:rsidRPr="00AC4BD2" w:rsidRDefault="00C22957" w:rsidP="00C22957">
      <w:pPr>
        <w:tabs>
          <w:tab w:val="left" w:pos="6840"/>
        </w:tabs>
        <w:jc w:val="both"/>
      </w:pPr>
    </w:p>
    <w:p w14:paraId="03CA5314" w14:textId="77777777" w:rsidR="00C22957" w:rsidRPr="00AC4BD2" w:rsidRDefault="00C22957" w:rsidP="00C22957">
      <w:pPr>
        <w:tabs>
          <w:tab w:val="left" w:pos="7230"/>
        </w:tabs>
        <w:jc w:val="both"/>
      </w:pPr>
      <w:r w:rsidRPr="00AC4BD2">
        <w:t>Iesniedzējs:</w:t>
      </w:r>
    </w:p>
    <w:p w14:paraId="03E1C597" w14:textId="77777777" w:rsidR="00C22957" w:rsidRPr="00AC4BD2" w:rsidRDefault="00C22957" w:rsidP="00C22957">
      <w:pPr>
        <w:tabs>
          <w:tab w:val="left" w:pos="7230"/>
        </w:tabs>
        <w:jc w:val="both"/>
      </w:pPr>
      <w:r w:rsidRPr="00AC4BD2">
        <w:t>Ekonomikas ministrs</w:t>
      </w:r>
      <w:r w:rsidRPr="00AC4BD2">
        <w:tab/>
        <w:t>J. Vitenbergs</w:t>
      </w:r>
    </w:p>
    <w:p w14:paraId="0765E27D" w14:textId="77777777" w:rsidR="00C22957" w:rsidRPr="00AC4BD2" w:rsidRDefault="00C22957" w:rsidP="00C22957">
      <w:pPr>
        <w:tabs>
          <w:tab w:val="left" w:pos="7230"/>
        </w:tabs>
      </w:pPr>
    </w:p>
    <w:p w14:paraId="6AAE8476" w14:textId="77777777" w:rsidR="00C22957" w:rsidRPr="00AC4BD2" w:rsidRDefault="00C22957" w:rsidP="00C22957">
      <w:pPr>
        <w:tabs>
          <w:tab w:val="left" w:pos="7230"/>
        </w:tabs>
      </w:pPr>
    </w:p>
    <w:p w14:paraId="441CA5C4" w14:textId="77777777" w:rsidR="00C22957" w:rsidRPr="00AC4BD2" w:rsidRDefault="00C22957" w:rsidP="00C22957">
      <w:pPr>
        <w:tabs>
          <w:tab w:val="left" w:pos="7230"/>
        </w:tabs>
      </w:pPr>
      <w:r w:rsidRPr="00AC4BD2">
        <w:t>Vīza:</w:t>
      </w:r>
    </w:p>
    <w:p w14:paraId="1A10368F" w14:textId="77777777" w:rsidR="00C22957" w:rsidRPr="00AC4BD2" w:rsidRDefault="00C22957" w:rsidP="00C22957">
      <w:pPr>
        <w:tabs>
          <w:tab w:val="left" w:pos="7230"/>
        </w:tabs>
        <w:jc w:val="both"/>
      </w:pPr>
      <w:r w:rsidRPr="00AC4BD2">
        <w:t>Valsts sekretārs</w:t>
      </w:r>
      <w:r w:rsidRPr="00AC4BD2">
        <w:tab/>
        <w:t>E. Valantis</w:t>
      </w:r>
    </w:p>
    <w:p w14:paraId="7B09C411" w14:textId="77777777" w:rsidR="00C22957" w:rsidRPr="00AC4BD2" w:rsidRDefault="00C22957" w:rsidP="00C22957">
      <w:pPr>
        <w:contextualSpacing/>
        <w:rPr>
          <w:sz w:val="20"/>
          <w:szCs w:val="20"/>
        </w:rPr>
      </w:pPr>
    </w:p>
    <w:p w14:paraId="40B3C240" w14:textId="77777777" w:rsidR="00C22957" w:rsidRPr="00AC4BD2" w:rsidRDefault="00C22957" w:rsidP="00C22957">
      <w:pPr>
        <w:contextualSpacing/>
        <w:rPr>
          <w:sz w:val="20"/>
          <w:szCs w:val="20"/>
        </w:rPr>
      </w:pPr>
    </w:p>
    <w:p w14:paraId="0A3D8D4E" w14:textId="77777777" w:rsidR="00C22957" w:rsidRPr="00AC4BD2" w:rsidRDefault="00C22957" w:rsidP="00C22957">
      <w:pPr>
        <w:contextualSpacing/>
        <w:rPr>
          <w:sz w:val="18"/>
          <w:szCs w:val="18"/>
        </w:rPr>
      </w:pPr>
      <w:r w:rsidRPr="00AC4BD2">
        <w:rPr>
          <w:sz w:val="18"/>
          <w:szCs w:val="18"/>
        </w:rPr>
        <w:t>Bučinska, 67013032</w:t>
      </w:r>
    </w:p>
    <w:p w14:paraId="76629A90" w14:textId="77777777" w:rsidR="00C22957" w:rsidRPr="00AC4BD2" w:rsidRDefault="00C22957" w:rsidP="00C22957">
      <w:pPr>
        <w:contextualSpacing/>
        <w:rPr>
          <w:sz w:val="18"/>
          <w:szCs w:val="18"/>
        </w:rPr>
      </w:pPr>
      <w:r w:rsidRPr="00AC4BD2">
        <w:rPr>
          <w:sz w:val="18"/>
          <w:szCs w:val="18"/>
        </w:rPr>
        <w:t>Elga.Bucinska@em.gov.lv</w:t>
      </w:r>
    </w:p>
    <w:p w14:paraId="3FD06D1D" w14:textId="77777777" w:rsidR="00C22957" w:rsidRPr="00AC4BD2" w:rsidRDefault="00C22957" w:rsidP="00C22957">
      <w:pPr>
        <w:contextualSpacing/>
        <w:rPr>
          <w:sz w:val="18"/>
          <w:szCs w:val="18"/>
        </w:rPr>
      </w:pPr>
    </w:p>
    <w:p w14:paraId="39F6D378" w14:textId="77777777" w:rsidR="00C22957" w:rsidRPr="00AC4BD2" w:rsidRDefault="00C22957" w:rsidP="00C22957">
      <w:pPr>
        <w:contextualSpacing/>
        <w:jc w:val="both"/>
        <w:rPr>
          <w:sz w:val="18"/>
          <w:szCs w:val="18"/>
        </w:rPr>
      </w:pPr>
      <w:r w:rsidRPr="00AC4BD2">
        <w:rPr>
          <w:sz w:val="18"/>
          <w:szCs w:val="18"/>
        </w:rPr>
        <w:t>Lazarevs, 67013035</w:t>
      </w:r>
    </w:p>
    <w:p w14:paraId="4D1B6594" w14:textId="77777777" w:rsidR="00C22957" w:rsidRPr="00AC4BD2" w:rsidRDefault="00C22957" w:rsidP="00C22957">
      <w:pPr>
        <w:contextualSpacing/>
        <w:jc w:val="both"/>
        <w:rPr>
          <w:sz w:val="18"/>
          <w:szCs w:val="18"/>
        </w:rPr>
      </w:pPr>
      <w:r w:rsidRPr="00AC4BD2">
        <w:rPr>
          <w:sz w:val="18"/>
          <w:szCs w:val="18"/>
        </w:rPr>
        <w:t>Andris.Lazarevs@em.gov.lv</w:t>
      </w:r>
    </w:p>
    <w:p w14:paraId="2F14C771" w14:textId="77777777" w:rsidR="00C22957" w:rsidRPr="00AC4BD2" w:rsidRDefault="00C22957" w:rsidP="00C22957"/>
    <w:p w14:paraId="4AA4ACB7" w14:textId="77777777" w:rsidR="0013045F" w:rsidRPr="00AC4BD2" w:rsidRDefault="0013045F"/>
    <w:sectPr w:rsidR="0013045F" w:rsidRPr="00AC4BD2" w:rsidSect="00191C41">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42D03" w14:textId="77777777" w:rsidR="000D0CBE" w:rsidRDefault="000D0CBE" w:rsidP="003F101E">
      <w:r>
        <w:separator/>
      </w:r>
    </w:p>
  </w:endnote>
  <w:endnote w:type="continuationSeparator" w:id="0">
    <w:p w14:paraId="1E4F5AB3" w14:textId="77777777" w:rsidR="000D0CBE" w:rsidRDefault="000D0CBE" w:rsidP="003F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0C50" w14:textId="77777777" w:rsidR="003F101E" w:rsidRDefault="003F1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6FF9" w14:textId="7B585194" w:rsidR="00191C41" w:rsidRPr="003116EC" w:rsidRDefault="0038577C" w:rsidP="00191C41">
    <w:pPr>
      <w:pStyle w:val="Footer"/>
      <w:jc w:val="both"/>
      <w:rPr>
        <w:sz w:val="20"/>
        <w:szCs w:val="20"/>
      </w:rPr>
    </w:pPr>
    <w:r w:rsidRPr="003116EC">
      <w:rPr>
        <w:rFonts w:eastAsia="Calibri"/>
        <w:sz w:val="20"/>
        <w:szCs w:val="20"/>
        <w:lang w:eastAsia="en-US"/>
      </w:rPr>
      <w:fldChar w:fldCharType="begin"/>
    </w:r>
    <w:r w:rsidRPr="003116EC">
      <w:rPr>
        <w:rFonts w:eastAsia="Calibri"/>
        <w:sz w:val="20"/>
        <w:szCs w:val="20"/>
        <w:lang w:eastAsia="en-US"/>
      </w:rPr>
      <w:instrText xml:space="preserve"> FILENAME   \* MERGEFORMAT </w:instrText>
    </w:r>
    <w:r w:rsidRPr="003116EC">
      <w:rPr>
        <w:rFonts w:eastAsia="Calibri"/>
        <w:sz w:val="20"/>
        <w:szCs w:val="20"/>
        <w:lang w:eastAsia="en-US"/>
      </w:rPr>
      <w:fldChar w:fldCharType="separate"/>
    </w:r>
    <w:r w:rsidR="003F101E">
      <w:rPr>
        <w:rFonts w:eastAsia="Calibri"/>
        <w:noProof/>
        <w:sz w:val="20"/>
        <w:szCs w:val="20"/>
        <w:lang w:eastAsia="en-US"/>
      </w:rPr>
      <w:t>EManot_190221_groz253_groz480.docx</w:t>
    </w:r>
    <w:r w:rsidRPr="003116EC">
      <w:rPr>
        <w:rFonts w:eastAsia="Calibri"/>
        <w:sz w:val="20"/>
        <w:szCs w:val="20"/>
        <w:lang w:eastAsia="en-US"/>
      </w:rPr>
      <w:fldChar w:fldCharType="end"/>
    </w:r>
    <w:r w:rsidRPr="003116EC">
      <w:rPr>
        <w:rFonts w:eastAsia="Calibri"/>
        <w:sz w:val="20"/>
        <w:szCs w:val="20"/>
        <w:lang w:eastAsia="en-US"/>
      </w:rPr>
      <w:t>; Ministru kabineta noteikumu projekta “</w:t>
    </w:r>
    <w:r w:rsidRPr="003116EC">
      <w:rPr>
        <w:sz w:val="20"/>
        <w:szCs w:val="20"/>
      </w:rPr>
      <w:t>Grozījumi Ministru kabineta 2017. gada 9. maija noteikumos Nr. 253 “Atsevišķu inženierbūvju būvnoteikumi”” un</w:t>
    </w:r>
    <w:r w:rsidRPr="003116EC">
      <w:rPr>
        <w:bCs/>
        <w:sz w:val="20"/>
        <w:szCs w:val="20"/>
      </w:rPr>
      <w:t xml:space="preserve"> Ministru kabineta noteikumu projekta</w:t>
    </w:r>
    <w:r w:rsidRPr="003116EC">
      <w:rPr>
        <w:sz w:val="20"/>
        <w:szCs w:val="20"/>
      </w:rPr>
      <w:t xml:space="preserve"> “Grozījums Ministru kabineta 2005. gada 28. jūnija noteikumos Nr. 480 “Noteikumi par kārtību, kādā pašvaldības var uzlikt pašvaldības nodevas””</w:t>
    </w:r>
    <w:r>
      <w:rPr>
        <w:sz w:val="20"/>
        <w:szCs w:val="20"/>
      </w:rPr>
      <w:t xml:space="preserve"> </w:t>
    </w:r>
    <w:r w:rsidRPr="003116EC">
      <w:rPr>
        <w:rFonts w:eastAsia="Calibri"/>
        <w:sz w:val="20"/>
        <w:szCs w:val="20"/>
        <w:lang w:eastAsia="en-US"/>
      </w:rPr>
      <w:t xml:space="preserve"> sākotnējās ietekmes novērtējuma </w:t>
    </w:r>
    <w:smartTag w:uri="schemas-tilde-lv/tildestengine" w:element="veidnes">
      <w:smartTagPr>
        <w:attr w:name="text" w:val="ziņojums"/>
        <w:attr w:name="baseform" w:val="ziņojums"/>
        <w:attr w:name="id" w:val="-1"/>
      </w:smartTagPr>
      <w:r w:rsidRPr="003116EC">
        <w:rPr>
          <w:rFonts w:eastAsia="Calibri"/>
          <w:sz w:val="20"/>
          <w:szCs w:val="20"/>
          <w:lang w:eastAsia="en-US"/>
        </w:rPr>
        <w:t>ziņojums</w:t>
      </w:r>
    </w:smartTag>
    <w:r w:rsidRPr="003116EC">
      <w:rPr>
        <w:rFonts w:eastAsia="Calibri"/>
        <w:sz w:val="20"/>
        <w:szCs w:val="20"/>
        <w:lang w:eastAsia="en-US"/>
      </w:rPr>
      <w:t xml:space="preserve">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E5F8" w14:textId="3FEDC0BD" w:rsidR="00191C41" w:rsidRPr="003116EC" w:rsidRDefault="0038577C" w:rsidP="00191C41">
    <w:pPr>
      <w:pStyle w:val="Footer"/>
      <w:jc w:val="both"/>
      <w:rPr>
        <w:sz w:val="20"/>
        <w:szCs w:val="20"/>
      </w:rPr>
    </w:pPr>
    <w:r w:rsidRPr="003116EC">
      <w:rPr>
        <w:rFonts w:eastAsia="Calibri"/>
        <w:sz w:val="20"/>
        <w:szCs w:val="20"/>
        <w:lang w:eastAsia="en-US"/>
      </w:rPr>
      <w:fldChar w:fldCharType="begin"/>
    </w:r>
    <w:r w:rsidRPr="003116EC">
      <w:rPr>
        <w:rFonts w:eastAsia="Calibri"/>
        <w:sz w:val="20"/>
        <w:szCs w:val="20"/>
        <w:lang w:eastAsia="en-US"/>
      </w:rPr>
      <w:instrText xml:space="preserve"> FILENAME   \* MERGEFORMAT </w:instrText>
    </w:r>
    <w:r w:rsidRPr="003116EC">
      <w:rPr>
        <w:rFonts w:eastAsia="Calibri"/>
        <w:sz w:val="20"/>
        <w:szCs w:val="20"/>
        <w:lang w:eastAsia="en-US"/>
      </w:rPr>
      <w:fldChar w:fldCharType="separate"/>
    </w:r>
    <w:r w:rsidR="003F101E">
      <w:rPr>
        <w:rFonts w:eastAsia="Calibri"/>
        <w:noProof/>
        <w:sz w:val="20"/>
        <w:szCs w:val="20"/>
        <w:lang w:eastAsia="en-US"/>
      </w:rPr>
      <w:t>EManot_190221_groz253_groz480.docx</w:t>
    </w:r>
    <w:r w:rsidRPr="003116EC">
      <w:rPr>
        <w:rFonts w:eastAsia="Calibri"/>
        <w:sz w:val="20"/>
        <w:szCs w:val="20"/>
        <w:lang w:eastAsia="en-US"/>
      </w:rPr>
      <w:fldChar w:fldCharType="end"/>
    </w:r>
    <w:r w:rsidRPr="003116EC">
      <w:rPr>
        <w:rFonts w:eastAsia="Calibri"/>
        <w:sz w:val="20"/>
        <w:szCs w:val="20"/>
        <w:lang w:eastAsia="en-US"/>
      </w:rPr>
      <w:t>; Ministru kabineta noteikumu projekta “</w:t>
    </w:r>
    <w:r w:rsidRPr="003116EC">
      <w:rPr>
        <w:sz w:val="20"/>
        <w:szCs w:val="20"/>
      </w:rPr>
      <w:t>Grozījumi Ministru kabineta 2017. gada 9. maija noteikumos Nr. 253 “Atsevišķu inženierbūvju būvnoteikumi”” un</w:t>
    </w:r>
    <w:r w:rsidRPr="003116EC">
      <w:rPr>
        <w:bCs/>
        <w:sz w:val="20"/>
        <w:szCs w:val="20"/>
      </w:rPr>
      <w:t xml:space="preserve"> Ministru kabineta noteikumu projekta</w:t>
    </w:r>
    <w:r w:rsidRPr="003116EC">
      <w:rPr>
        <w:sz w:val="20"/>
        <w:szCs w:val="20"/>
      </w:rPr>
      <w:t xml:space="preserve"> “Grozījums Ministru kabineta 2005. gada 28. jūnija noteikumos Nr. 480 “Noteikumi par kārtību, kādā pašvaldības var uzlikt pašvaldības nodevas””</w:t>
    </w:r>
    <w:r>
      <w:rPr>
        <w:sz w:val="20"/>
        <w:szCs w:val="20"/>
      </w:rPr>
      <w:t xml:space="preserve"> </w:t>
    </w:r>
    <w:r w:rsidRPr="003116EC">
      <w:rPr>
        <w:rFonts w:eastAsia="Calibri"/>
        <w:sz w:val="20"/>
        <w:szCs w:val="20"/>
        <w:lang w:eastAsia="en-US"/>
      </w:rPr>
      <w:t xml:space="preserve"> sākotnējās ietekmes novērtējuma </w:t>
    </w:r>
    <w:smartTag w:uri="schemas-tilde-lv/tildestengine" w:element="veidnes">
      <w:smartTagPr>
        <w:attr w:name="text" w:val="ziņojums"/>
        <w:attr w:name="baseform" w:val="ziņojums"/>
        <w:attr w:name="id" w:val="-1"/>
      </w:smartTagPr>
      <w:r w:rsidRPr="003116EC">
        <w:rPr>
          <w:rFonts w:eastAsia="Calibri"/>
          <w:sz w:val="20"/>
          <w:szCs w:val="20"/>
          <w:lang w:eastAsia="en-US"/>
        </w:rPr>
        <w:t>ziņojums</w:t>
      </w:r>
    </w:smartTag>
    <w:r w:rsidRPr="003116EC">
      <w:rPr>
        <w:rFonts w:eastAsia="Calibri"/>
        <w:sz w:val="20"/>
        <w:szCs w:val="20"/>
        <w:lang w:eastAsia="en-US"/>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893A" w14:textId="77777777" w:rsidR="000D0CBE" w:rsidRDefault="000D0CBE" w:rsidP="003F101E">
      <w:r>
        <w:separator/>
      </w:r>
    </w:p>
  </w:footnote>
  <w:footnote w:type="continuationSeparator" w:id="0">
    <w:p w14:paraId="140AF1D9" w14:textId="77777777" w:rsidR="000D0CBE" w:rsidRDefault="000D0CBE" w:rsidP="003F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5C6B" w14:textId="77777777" w:rsidR="003F101E" w:rsidRDefault="003F1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6A94F6C6" w14:textId="77777777" w:rsidR="00191C41" w:rsidRPr="00DD16CD" w:rsidRDefault="0038577C">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1C4E" w14:textId="77777777" w:rsidR="003F101E" w:rsidRDefault="003F1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57"/>
    <w:rsid w:val="00031B2F"/>
    <w:rsid w:val="000C789B"/>
    <w:rsid w:val="000D0CBE"/>
    <w:rsid w:val="0013045F"/>
    <w:rsid w:val="00293C79"/>
    <w:rsid w:val="0038577C"/>
    <w:rsid w:val="003B0278"/>
    <w:rsid w:val="003D61F2"/>
    <w:rsid w:val="003F101E"/>
    <w:rsid w:val="00490066"/>
    <w:rsid w:val="006D3535"/>
    <w:rsid w:val="008B130E"/>
    <w:rsid w:val="008E36C7"/>
    <w:rsid w:val="00957B6F"/>
    <w:rsid w:val="0096697F"/>
    <w:rsid w:val="00AC4BD2"/>
    <w:rsid w:val="00C22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108185"/>
  <w15:chartTrackingRefBased/>
  <w15:docId w15:val="{A6EA1535-1D17-408D-A0DE-5EC37EC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57"/>
    <w:pPr>
      <w:tabs>
        <w:tab w:val="center" w:pos="4153"/>
        <w:tab w:val="right" w:pos="8306"/>
      </w:tabs>
    </w:pPr>
  </w:style>
  <w:style w:type="character" w:customStyle="1" w:styleId="HeaderChar">
    <w:name w:val="Header Char"/>
    <w:basedOn w:val="DefaultParagraphFont"/>
    <w:link w:val="Header"/>
    <w:uiPriority w:val="99"/>
    <w:rsid w:val="00C2295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22957"/>
    <w:pPr>
      <w:tabs>
        <w:tab w:val="center" w:pos="4153"/>
        <w:tab w:val="right" w:pos="8306"/>
      </w:tabs>
    </w:pPr>
  </w:style>
  <w:style w:type="character" w:customStyle="1" w:styleId="FooterChar">
    <w:name w:val="Footer Char"/>
    <w:basedOn w:val="DefaultParagraphFont"/>
    <w:link w:val="Footer"/>
    <w:uiPriority w:val="99"/>
    <w:rsid w:val="00C22957"/>
    <w:rPr>
      <w:rFonts w:ascii="Times New Roman" w:eastAsia="Times New Roman" w:hAnsi="Times New Roman" w:cs="Times New Roman"/>
      <w:sz w:val="24"/>
      <w:szCs w:val="24"/>
      <w:lang w:eastAsia="lv-LV"/>
    </w:rPr>
  </w:style>
  <w:style w:type="paragraph" w:customStyle="1" w:styleId="paragraph">
    <w:name w:val="paragraph"/>
    <w:basedOn w:val="Normal"/>
    <w:rsid w:val="00C22957"/>
    <w:pPr>
      <w:spacing w:before="100" w:beforeAutospacing="1" w:after="100" w:afterAutospacing="1"/>
    </w:pPr>
  </w:style>
  <w:style w:type="character" w:customStyle="1" w:styleId="normaltextrun">
    <w:name w:val="normaltextrun"/>
    <w:basedOn w:val="DefaultParagraphFont"/>
    <w:rsid w:val="00C22957"/>
  </w:style>
  <w:style w:type="paragraph" w:customStyle="1" w:styleId="Normal1">
    <w:name w:val="Normal1"/>
    <w:basedOn w:val="Normal"/>
    <w:rsid w:val="00C229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15</Pages>
  <Words>24434</Words>
  <Characters>13928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9</cp:revision>
  <dcterms:created xsi:type="dcterms:W3CDTF">2021-02-16T14:53:00Z</dcterms:created>
  <dcterms:modified xsi:type="dcterms:W3CDTF">2021-02-26T10:06:00Z</dcterms:modified>
</cp:coreProperties>
</file>