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2985"/>
      </w:tblGrid>
      <w:tr w:rsidR="00EA44B0" w:rsidRPr="004B00CC" w:rsidTr="00296BDA">
        <w:trPr>
          <w:trHeight w:val="345"/>
          <w:jc w:val="center"/>
        </w:trPr>
        <w:tc>
          <w:tcPr>
            <w:tcW w:w="12985" w:type="dxa"/>
            <w:tcBorders>
              <w:bottom w:val="single" w:sz="6" w:space="0" w:color="000000"/>
            </w:tcBorders>
          </w:tcPr>
          <w:p w:rsidR="00EA44B0" w:rsidRPr="004B00CC" w:rsidRDefault="00EA44B0" w:rsidP="00296BDA">
            <w:pPr>
              <w:pStyle w:val="naisnod"/>
              <w:spacing w:before="0" w:after="0"/>
              <w:ind w:left="57" w:right="57"/>
            </w:pPr>
            <w:bookmarkStart w:id="0" w:name="OLE_LINK1"/>
            <w:bookmarkStart w:id="1" w:name="OLE_LINK2"/>
            <w:r w:rsidRPr="004B00CC">
              <w:t>Izziņa par atzinumos sniegtajiem iebildumiem</w:t>
            </w:r>
            <w:bookmarkEnd w:id="0"/>
            <w:bookmarkEnd w:id="1"/>
          </w:p>
          <w:p w:rsidR="00EA44B0" w:rsidRPr="004B00CC" w:rsidRDefault="00EA44B0" w:rsidP="00296BDA">
            <w:pPr>
              <w:pStyle w:val="naisnod"/>
              <w:spacing w:before="0" w:after="0"/>
              <w:ind w:left="57" w:right="57"/>
            </w:pPr>
            <w:r w:rsidRPr="004B00CC">
              <w:t>noteikumu projekts “Grozījumi Ministru kabineta 2017.gada 9.maija noteikumos Nr.253 “Atsevišķu inženierbūvju būvnoteikumi””</w:t>
            </w:r>
          </w:p>
        </w:tc>
      </w:tr>
    </w:tbl>
    <w:p w:rsidR="00EA44B0" w:rsidRPr="004B00CC" w:rsidRDefault="00EA44B0" w:rsidP="00EA44B0">
      <w:pPr>
        <w:pStyle w:val="naisc"/>
        <w:spacing w:before="0" w:after="0"/>
        <w:ind w:left="57" w:right="57"/>
      </w:pPr>
      <w:r w:rsidRPr="004B00CC">
        <w:t>(dokumenta veids un nosaukums)</w:t>
      </w:r>
    </w:p>
    <w:p w:rsidR="00EA44B0" w:rsidRPr="004B00CC" w:rsidRDefault="00EA44B0" w:rsidP="00EA44B0">
      <w:pPr>
        <w:pStyle w:val="naisc"/>
        <w:spacing w:before="0" w:after="0"/>
        <w:ind w:left="57" w:right="57"/>
      </w:pPr>
    </w:p>
    <w:p w:rsidR="00EA44B0" w:rsidRPr="004B00CC" w:rsidRDefault="00EA44B0" w:rsidP="00EA44B0">
      <w:pPr>
        <w:pStyle w:val="naisf"/>
        <w:numPr>
          <w:ilvl w:val="0"/>
          <w:numId w:val="1"/>
        </w:numPr>
        <w:spacing w:before="60" w:after="60"/>
        <w:ind w:left="57" w:right="57" w:firstLine="0"/>
        <w:jc w:val="center"/>
        <w:rPr>
          <w:b/>
        </w:rPr>
      </w:pPr>
      <w:r w:rsidRPr="004B00CC">
        <w:rPr>
          <w:b/>
        </w:rPr>
        <w:t>Jautājumi, par kuriem saskaņošanā vienošanās nav panākta</w:t>
      </w:r>
    </w:p>
    <w:tbl>
      <w:tblPr>
        <w:tblpPr w:leftFromText="180" w:rightFromText="180" w:vertAnchor="text" w:tblpX="-459" w:tblpY="1"/>
        <w:tblOverlap w:val="neve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294"/>
        <w:gridCol w:w="3260"/>
        <w:gridCol w:w="3402"/>
        <w:gridCol w:w="3261"/>
        <w:gridCol w:w="2100"/>
      </w:tblGrid>
      <w:tr w:rsidR="00EA44B0" w:rsidRPr="004B00CC" w:rsidTr="00296BDA">
        <w:tc>
          <w:tcPr>
            <w:tcW w:w="675" w:type="dxa"/>
            <w:tcBorders>
              <w:top w:val="single" w:sz="6" w:space="0" w:color="000000"/>
              <w:left w:val="single" w:sz="6" w:space="0" w:color="000000"/>
              <w:bottom w:val="single" w:sz="6" w:space="0" w:color="000000"/>
              <w:right w:val="single" w:sz="6" w:space="0" w:color="000000"/>
            </w:tcBorders>
            <w:vAlign w:val="center"/>
          </w:tcPr>
          <w:p w:rsidR="00EA44B0" w:rsidRPr="004B00CC" w:rsidRDefault="00EA44B0" w:rsidP="00296BDA">
            <w:pPr>
              <w:pStyle w:val="naisc"/>
              <w:spacing w:before="0" w:after="0"/>
              <w:ind w:left="57" w:right="57"/>
              <w:contextualSpacing/>
              <w:jc w:val="left"/>
            </w:pPr>
            <w:proofErr w:type="spellStart"/>
            <w:r w:rsidRPr="004B00CC">
              <w:t>Nrp.k</w:t>
            </w:r>
            <w:proofErr w:type="spellEnd"/>
            <w:r w:rsidRPr="004B00CC">
              <w:t>.</w:t>
            </w:r>
          </w:p>
        </w:tc>
        <w:tc>
          <w:tcPr>
            <w:tcW w:w="2294" w:type="dxa"/>
            <w:tcBorders>
              <w:top w:val="single" w:sz="6" w:space="0" w:color="000000"/>
              <w:left w:val="single" w:sz="6" w:space="0" w:color="000000"/>
              <w:bottom w:val="single" w:sz="6" w:space="0" w:color="000000"/>
              <w:right w:val="single" w:sz="6" w:space="0" w:color="000000"/>
            </w:tcBorders>
            <w:vAlign w:val="center"/>
          </w:tcPr>
          <w:p w:rsidR="00EA44B0" w:rsidRPr="004B00CC" w:rsidRDefault="00EA44B0" w:rsidP="00296BDA">
            <w:pPr>
              <w:pStyle w:val="naisc"/>
              <w:spacing w:before="0" w:after="0"/>
              <w:ind w:left="57" w:right="57"/>
              <w:contextualSpacing/>
            </w:pPr>
            <w:r w:rsidRPr="004B00CC">
              <w:t>Saskaņošanai nosūtītā projekta redakcija (konkrēta punkta (panta) redakcija)</w:t>
            </w:r>
          </w:p>
        </w:tc>
        <w:tc>
          <w:tcPr>
            <w:tcW w:w="3260" w:type="dxa"/>
            <w:tcBorders>
              <w:top w:val="single" w:sz="6" w:space="0" w:color="000000"/>
              <w:left w:val="single" w:sz="6" w:space="0" w:color="000000"/>
              <w:bottom w:val="single" w:sz="6" w:space="0" w:color="000000"/>
              <w:right w:val="single" w:sz="6" w:space="0" w:color="000000"/>
            </w:tcBorders>
            <w:vAlign w:val="center"/>
          </w:tcPr>
          <w:p w:rsidR="00EA44B0" w:rsidRPr="004B00CC" w:rsidRDefault="00EA44B0" w:rsidP="00296BDA">
            <w:pPr>
              <w:pStyle w:val="naisc"/>
              <w:spacing w:before="0" w:after="0"/>
              <w:ind w:left="57" w:right="57"/>
              <w:contextualSpacing/>
            </w:pPr>
            <w:r w:rsidRPr="004B00CC">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rsidR="00EA44B0" w:rsidRPr="004B00CC" w:rsidRDefault="00EA44B0" w:rsidP="00296BDA">
            <w:pPr>
              <w:pStyle w:val="naisc"/>
              <w:spacing w:before="0" w:after="0"/>
              <w:ind w:left="57" w:right="57"/>
              <w:contextualSpacing/>
            </w:pPr>
            <w:r w:rsidRPr="004B00CC">
              <w:t>Atbildīgās ministrijas pamatojums iebilduma noraidījumam</w:t>
            </w:r>
          </w:p>
        </w:tc>
        <w:tc>
          <w:tcPr>
            <w:tcW w:w="3261" w:type="dxa"/>
            <w:tcBorders>
              <w:top w:val="single" w:sz="4" w:space="0" w:color="auto"/>
              <w:left w:val="single" w:sz="4" w:space="0" w:color="auto"/>
              <w:bottom w:val="single" w:sz="4" w:space="0" w:color="auto"/>
              <w:right w:val="single" w:sz="4" w:space="0" w:color="auto"/>
            </w:tcBorders>
          </w:tcPr>
          <w:p w:rsidR="00EA44B0" w:rsidRPr="004B00CC" w:rsidRDefault="00EA44B0" w:rsidP="00296BDA">
            <w:pPr>
              <w:ind w:left="57" w:right="57"/>
              <w:contextualSpacing/>
              <w:jc w:val="center"/>
            </w:pPr>
            <w:r w:rsidRPr="004B00CC">
              <w:t>Atzinuma sniedzēja uzturētais iebildums, ja tas atšķiras no atzinumā norādītā iebilduma pamatojuma</w:t>
            </w:r>
          </w:p>
        </w:tc>
        <w:tc>
          <w:tcPr>
            <w:tcW w:w="2100" w:type="dxa"/>
            <w:tcBorders>
              <w:top w:val="single" w:sz="4" w:space="0" w:color="auto"/>
              <w:left w:val="single" w:sz="4" w:space="0" w:color="auto"/>
              <w:bottom w:val="single" w:sz="4" w:space="0" w:color="auto"/>
            </w:tcBorders>
            <w:vAlign w:val="center"/>
          </w:tcPr>
          <w:p w:rsidR="00EA44B0" w:rsidRPr="004B00CC" w:rsidRDefault="00EA44B0" w:rsidP="00296BDA">
            <w:pPr>
              <w:ind w:left="57" w:right="57"/>
              <w:contextualSpacing/>
              <w:jc w:val="center"/>
            </w:pPr>
            <w:r w:rsidRPr="004B00CC">
              <w:t>Projekta attiecīgā punkta (panta) galīgā redakcija</w:t>
            </w:r>
          </w:p>
        </w:tc>
      </w:tr>
      <w:tr w:rsidR="00EA44B0" w:rsidRPr="004B00CC" w:rsidTr="00296BDA">
        <w:tc>
          <w:tcPr>
            <w:tcW w:w="675"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contextualSpacing/>
              <w:jc w:val="left"/>
            </w:pPr>
            <w:r w:rsidRPr="004B00CC">
              <w:t>1</w:t>
            </w:r>
          </w:p>
        </w:tc>
        <w:tc>
          <w:tcPr>
            <w:tcW w:w="2294"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contextualSpacing/>
            </w:pPr>
            <w:r w:rsidRPr="004B00CC">
              <w:t>2</w:t>
            </w:r>
          </w:p>
        </w:tc>
        <w:tc>
          <w:tcPr>
            <w:tcW w:w="3260"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contextualSpacing/>
            </w:pPr>
            <w:r w:rsidRPr="004B00CC">
              <w:t>3</w:t>
            </w:r>
          </w:p>
        </w:tc>
        <w:tc>
          <w:tcPr>
            <w:tcW w:w="3402"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contextualSpacing/>
            </w:pPr>
            <w:r w:rsidRPr="004B00CC">
              <w:t>4</w:t>
            </w:r>
          </w:p>
        </w:tc>
        <w:tc>
          <w:tcPr>
            <w:tcW w:w="3261" w:type="dxa"/>
            <w:tcBorders>
              <w:top w:val="single" w:sz="4" w:space="0" w:color="auto"/>
              <w:left w:val="single" w:sz="4" w:space="0" w:color="auto"/>
              <w:bottom w:val="single" w:sz="4" w:space="0" w:color="auto"/>
              <w:right w:val="single" w:sz="4" w:space="0" w:color="auto"/>
            </w:tcBorders>
          </w:tcPr>
          <w:p w:rsidR="00EA44B0" w:rsidRPr="004B00CC" w:rsidRDefault="00EA44B0" w:rsidP="00296BDA">
            <w:pPr>
              <w:ind w:left="57" w:right="57"/>
              <w:contextualSpacing/>
              <w:jc w:val="center"/>
            </w:pPr>
            <w:r w:rsidRPr="004B00CC">
              <w:t>5</w:t>
            </w:r>
          </w:p>
        </w:tc>
        <w:tc>
          <w:tcPr>
            <w:tcW w:w="2100" w:type="dxa"/>
            <w:tcBorders>
              <w:top w:val="single" w:sz="4" w:space="0" w:color="auto"/>
              <w:left w:val="single" w:sz="4" w:space="0" w:color="auto"/>
              <w:bottom w:val="single" w:sz="4" w:space="0" w:color="auto"/>
            </w:tcBorders>
          </w:tcPr>
          <w:p w:rsidR="00EA44B0" w:rsidRPr="004B00CC" w:rsidRDefault="00EA44B0" w:rsidP="00296BDA">
            <w:pPr>
              <w:pStyle w:val="naisc"/>
              <w:spacing w:before="0" w:after="0"/>
              <w:ind w:left="57" w:right="57"/>
              <w:contextualSpacing/>
            </w:pPr>
            <w:r w:rsidRPr="004B00CC">
              <w:t>6</w:t>
            </w:r>
          </w:p>
        </w:tc>
      </w:tr>
      <w:tr w:rsidR="00EA44B0" w:rsidRPr="004B00CC" w:rsidTr="00296BDA">
        <w:tc>
          <w:tcPr>
            <w:tcW w:w="675"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contextualSpacing/>
              <w:jc w:val="both"/>
            </w:pPr>
          </w:p>
        </w:tc>
        <w:tc>
          <w:tcPr>
            <w:tcW w:w="2294"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contextualSpacing/>
              <w:jc w:val="both"/>
              <w:rPr>
                <w:i/>
                <w:iCs/>
              </w:rPr>
            </w:pPr>
          </w:p>
        </w:tc>
        <w:tc>
          <w:tcPr>
            <w:tcW w:w="3260"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contextualSpacing/>
              <w:jc w:val="both"/>
            </w:pPr>
          </w:p>
        </w:tc>
        <w:tc>
          <w:tcPr>
            <w:tcW w:w="3402"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contextualSpacing/>
              <w:jc w:val="both"/>
            </w:pPr>
          </w:p>
        </w:tc>
        <w:tc>
          <w:tcPr>
            <w:tcW w:w="3261" w:type="dxa"/>
            <w:tcBorders>
              <w:top w:val="single" w:sz="4" w:space="0" w:color="auto"/>
              <w:left w:val="single" w:sz="4" w:space="0" w:color="auto"/>
              <w:bottom w:val="single" w:sz="4" w:space="0" w:color="auto"/>
              <w:right w:val="single" w:sz="4" w:space="0" w:color="auto"/>
            </w:tcBorders>
          </w:tcPr>
          <w:p w:rsidR="00EA44B0" w:rsidRPr="004B00CC" w:rsidRDefault="00EA44B0" w:rsidP="00296BDA">
            <w:pPr>
              <w:ind w:left="57" w:right="57"/>
              <w:contextualSpacing/>
              <w:jc w:val="both"/>
            </w:pPr>
          </w:p>
        </w:tc>
        <w:tc>
          <w:tcPr>
            <w:tcW w:w="2100" w:type="dxa"/>
            <w:tcBorders>
              <w:top w:val="single" w:sz="4" w:space="0" w:color="auto"/>
              <w:left w:val="single" w:sz="4" w:space="0" w:color="auto"/>
              <w:bottom w:val="single" w:sz="4" w:space="0" w:color="auto"/>
            </w:tcBorders>
          </w:tcPr>
          <w:p w:rsidR="00EA44B0" w:rsidRPr="004B00CC" w:rsidRDefault="00EA44B0" w:rsidP="00296BDA">
            <w:pPr>
              <w:pStyle w:val="naisc"/>
              <w:spacing w:before="0" w:after="0"/>
              <w:ind w:left="57" w:right="57"/>
              <w:contextualSpacing/>
              <w:jc w:val="both"/>
            </w:pPr>
          </w:p>
        </w:tc>
      </w:tr>
    </w:tbl>
    <w:p w:rsidR="00EA44B0" w:rsidRPr="004B00CC" w:rsidRDefault="00EA44B0" w:rsidP="00EA44B0">
      <w:pPr>
        <w:pStyle w:val="naisc"/>
        <w:spacing w:before="0" w:after="0"/>
        <w:ind w:left="57" w:right="57"/>
      </w:pPr>
    </w:p>
    <w:p w:rsidR="00EA44B0" w:rsidRPr="004B00CC" w:rsidRDefault="00EA44B0" w:rsidP="00EA44B0">
      <w:pPr>
        <w:jc w:val="both"/>
        <w:outlineLvl w:val="0"/>
      </w:pPr>
      <w:r w:rsidRPr="004B00CC">
        <w:t xml:space="preserve">Informācija par  </w:t>
      </w:r>
      <w:proofErr w:type="spellStart"/>
      <w:r w:rsidRPr="004B00CC">
        <w:t>starpministriju</w:t>
      </w:r>
      <w:proofErr w:type="spellEnd"/>
      <w:r w:rsidRPr="004B00CC">
        <w:t xml:space="preserve"> (starpinstitūciju) sanāksmi:</w:t>
      </w:r>
    </w:p>
    <w:tbl>
      <w:tblPr>
        <w:tblW w:w="14459" w:type="dxa"/>
        <w:tblLook w:val="00A0" w:firstRow="1" w:lastRow="0" w:firstColumn="1" w:lastColumn="0" w:noHBand="0" w:noVBand="0"/>
      </w:tblPr>
      <w:tblGrid>
        <w:gridCol w:w="3936"/>
        <w:gridCol w:w="2772"/>
        <w:gridCol w:w="7751"/>
      </w:tblGrid>
      <w:tr w:rsidR="00EA44B0" w:rsidRPr="004B00CC" w:rsidTr="00296BDA">
        <w:tc>
          <w:tcPr>
            <w:tcW w:w="3936" w:type="dxa"/>
          </w:tcPr>
          <w:p w:rsidR="00EA44B0" w:rsidRPr="004B00CC" w:rsidRDefault="00EA44B0" w:rsidP="00296BDA">
            <w:pPr>
              <w:pStyle w:val="naisf"/>
              <w:spacing w:before="0" w:after="0"/>
              <w:ind w:firstLine="0"/>
            </w:pPr>
            <w:r w:rsidRPr="004B00CC">
              <w:t xml:space="preserve">Datums  </w:t>
            </w:r>
          </w:p>
        </w:tc>
        <w:tc>
          <w:tcPr>
            <w:tcW w:w="10523" w:type="dxa"/>
            <w:gridSpan w:val="2"/>
          </w:tcPr>
          <w:p w:rsidR="00EA44B0" w:rsidRPr="004B00CC" w:rsidRDefault="00EA44B0" w:rsidP="00296BDA">
            <w:pPr>
              <w:pStyle w:val="NormalWeb"/>
              <w:spacing w:before="0" w:beforeAutospacing="0" w:after="0" w:afterAutospacing="0"/>
              <w:ind w:left="33"/>
              <w:jc w:val="both"/>
            </w:pPr>
            <w:r w:rsidRPr="004B00CC">
              <w:t>26..01.2021.</w:t>
            </w:r>
          </w:p>
        </w:tc>
      </w:tr>
      <w:tr w:rsidR="00EA44B0" w:rsidRPr="004B00CC" w:rsidTr="00296BDA">
        <w:trPr>
          <w:trHeight w:val="135"/>
        </w:trPr>
        <w:tc>
          <w:tcPr>
            <w:tcW w:w="3936" w:type="dxa"/>
          </w:tcPr>
          <w:p w:rsidR="00EA44B0" w:rsidRPr="004B00CC" w:rsidRDefault="00EA44B0" w:rsidP="00296BDA">
            <w:pPr>
              <w:pStyle w:val="naisf"/>
              <w:spacing w:before="0" w:after="0"/>
              <w:ind w:firstLine="0"/>
            </w:pPr>
          </w:p>
        </w:tc>
        <w:tc>
          <w:tcPr>
            <w:tcW w:w="10523" w:type="dxa"/>
            <w:gridSpan w:val="2"/>
          </w:tcPr>
          <w:p w:rsidR="00EA44B0" w:rsidRPr="004B00CC" w:rsidRDefault="00EA44B0" w:rsidP="00296BDA">
            <w:pPr>
              <w:pStyle w:val="NormalWeb"/>
              <w:spacing w:before="0" w:beforeAutospacing="0" w:after="0" w:afterAutospacing="0"/>
              <w:jc w:val="both"/>
            </w:pPr>
          </w:p>
        </w:tc>
      </w:tr>
      <w:tr w:rsidR="00EA44B0" w:rsidRPr="004B00CC" w:rsidTr="00296BDA">
        <w:tc>
          <w:tcPr>
            <w:tcW w:w="3936" w:type="dxa"/>
          </w:tcPr>
          <w:p w:rsidR="00EA44B0" w:rsidRPr="004B00CC" w:rsidRDefault="00EA44B0" w:rsidP="00296BDA">
            <w:pPr>
              <w:pStyle w:val="naiskr"/>
              <w:spacing w:before="0" w:after="0"/>
              <w:ind w:right="-108"/>
              <w:jc w:val="both"/>
            </w:pPr>
            <w:r w:rsidRPr="004B00CC">
              <w:t xml:space="preserve">Saskaņošanas dalībnieki   </w:t>
            </w:r>
          </w:p>
        </w:tc>
        <w:tc>
          <w:tcPr>
            <w:tcW w:w="10523" w:type="dxa"/>
            <w:gridSpan w:val="2"/>
          </w:tcPr>
          <w:p w:rsidR="00EA44B0" w:rsidRPr="004B00CC" w:rsidRDefault="00EA44B0" w:rsidP="00296BDA">
            <w:pPr>
              <w:pStyle w:val="naiskr"/>
              <w:spacing w:before="0" w:after="0"/>
              <w:jc w:val="both"/>
              <w:rPr>
                <w:b/>
              </w:rPr>
            </w:pPr>
            <w:r w:rsidRPr="004B00CC">
              <w:t xml:space="preserve">Tieslietu ministrija, Finanšu ministrija, Aizsardzības ministrija, </w:t>
            </w:r>
            <w:proofErr w:type="spellStart"/>
            <w:r w:rsidRPr="004B00CC">
              <w:t>Iekšlietu</w:t>
            </w:r>
            <w:proofErr w:type="spellEnd"/>
            <w:r w:rsidRPr="004B00CC">
              <w:t xml:space="preserve"> ministrija, Satiksmes ministrija, Vides aizsardzības un reģionālās attīstības ministrija, Zemkopības ministrija, Latvijas Pašvaldību savienība, Latvijas Lielo pilsētu asociācija, AS “Sadales tīkls”, AS “Latvenergo”, AS “Augstsprieguma tīkls”</w:t>
            </w:r>
          </w:p>
        </w:tc>
      </w:tr>
      <w:tr w:rsidR="00EA44B0" w:rsidRPr="004B00CC" w:rsidTr="00296BDA">
        <w:trPr>
          <w:trHeight w:val="285"/>
        </w:trPr>
        <w:tc>
          <w:tcPr>
            <w:tcW w:w="3936" w:type="dxa"/>
          </w:tcPr>
          <w:p w:rsidR="00EA44B0" w:rsidRPr="004B00CC" w:rsidRDefault="00EA44B0" w:rsidP="00296BDA">
            <w:pPr>
              <w:pStyle w:val="naiskr"/>
              <w:spacing w:before="0" w:after="0"/>
              <w:ind w:right="-108"/>
              <w:jc w:val="both"/>
            </w:pPr>
          </w:p>
        </w:tc>
        <w:tc>
          <w:tcPr>
            <w:tcW w:w="10523" w:type="dxa"/>
            <w:gridSpan w:val="2"/>
          </w:tcPr>
          <w:p w:rsidR="00EA44B0" w:rsidRPr="004B00CC" w:rsidRDefault="00EA44B0" w:rsidP="00296BDA">
            <w:pPr>
              <w:pStyle w:val="naiskr"/>
              <w:spacing w:before="0" w:after="0"/>
              <w:ind w:left="33" w:right="-108"/>
              <w:jc w:val="both"/>
            </w:pPr>
          </w:p>
        </w:tc>
      </w:tr>
      <w:tr w:rsidR="00EA44B0" w:rsidRPr="004B00CC" w:rsidTr="00296BDA">
        <w:trPr>
          <w:trHeight w:val="285"/>
        </w:trPr>
        <w:tc>
          <w:tcPr>
            <w:tcW w:w="6708" w:type="dxa"/>
            <w:gridSpan w:val="2"/>
          </w:tcPr>
          <w:p w:rsidR="00EA44B0" w:rsidRPr="004B00CC" w:rsidRDefault="00EA44B0" w:rsidP="00296BDA">
            <w:pPr>
              <w:pStyle w:val="naiskr"/>
              <w:spacing w:before="0" w:after="0"/>
              <w:jc w:val="both"/>
            </w:pPr>
            <w:r w:rsidRPr="004B00CC">
              <w:t>Saskaņošanas dalībnieki izskatīja šādu ministriju (citu institūciju) iebildumus</w:t>
            </w:r>
          </w:p>
        </w:tc>
        <w:tc>
          <w:tcPr>
            <w:tcW w:w="7751" w:type="dxa"/>
          </w:tcPr>
          <w:p w:rsidR="00EA44B0" w:rsidRPr="004B00CC" w:rsidRDefault="00EA44B0" w:rsidP="00296BDA">
            <w:pPr>
              <w:pStyle w:val="naiskr"/>
              <w:spacing w:before="0" w:after="0"/>
              <w:jc w:val="both"/>
              <w:rPr>
                <w:b/>
              </w:rPr>
            </w:pPr>
            <w:r w:rsidRPr="004B00CC">
              <w:t>Tieslietu ministrija, Satiksmes ministrija, Vides aizsardzības un reģionālās attīstības ministrija, Latvijas Pašvaldību savienība, Latvijas Lielo pilsētu asociācija, AS “Sadales tīkls”, AS “Latvenergo”</w:t>
            </w:r>
          </w:p>
        </w:tc>
      </w:tr>
      <w:tr w:rsidR="00EA44B0" w:rsidRPr="004B00CC" w:rsidTr="00296BDA">
        <w:trPr>
          <w:trHeight w:val="95"/>
        </w:trPr>
        <w:tc>
          <w:tcPr>
            <w:tcW w:w="6708" w:type="dxa"/>
            <w:gridSpan w:val="2"/>
          </w:tcPr>
          <w:p w:rsidR="00EA44B0" w:rsidRPr="004B00CC" w:rsidRDefault="00EA44B0" w:rsidP="00296BDA">
            <w:pPr>
              <w:pStyle w:val="naiskr"/>
              <w:spacing w:before="0" w:after="0"/>
              <w:jc w:val="both"/>
            </w:pPr>
          </w:p>
          <w:p w:rsidR="00EA44B0" w:rsidRPr="004B00CC" w:rsidRDefault="00EA44B0" w:rsidP="00296BDA">
            <w:pPr>
              <w:pStyle w:val="naiskr"/>
              <w:spacing w:before="0" w:after="0"/>
              <w:jc w:val="both"/>
            </w:pPr>
            <w:r w:rsidRPr="004B00CC">
              <w:t>Ministrijas (citas institūcijas), kuras nav ieradušās uz sanāksmi vai kuras nav atbildējušas uz uzaicinājumu piedalīties elektroniskajā saskaņošanā</w:t>
            </w:r>
          </w:p>
        </w:tc>
        <w:tc>
          <w:tcPr>
            <w:tcW w:w="7751" w:type="dxa"/>
          </w:tcPr>
          <w:p w:rsidR="00EA44B0" w:rsidRPr="004B00CC" w:rsidRDefault="00EA44B0" w:rsidP="00296BDA">
            <w:pPr>
              <w:ind w:right="-108"/>
              <w:jc w:val="both"/>
            </w:pPr>
          </w:p>
          <w:p w:rsidR="00EA44B0" w:rsidRPr="004B00CC" w:rsidRDefault="00EA44B0" w:rsidP="00296BDA">
            <w:pPr>
              <w:ind w:right="-108"/>
              <w:jc w:val="both"/>
            </w:pPr>
          </w:p>
        </w:tc>
      </w:tr>
    </w:tbl>
    <w:p w:rsidR="00EA44B0" w:rsidRPr="004B00CC" w:rsidRDefault="00EA44B0" w:rsidP="00EA44B0">
      <w:pPr>
        <w:jc w:val="both"/>
        <w:outlineLvl w:val="0"/>
      </w:pPr>
    </w:p>
    <w:p w:rsidR="00EA44B0" w:rsidRPr="004B00CC" w:rsidRDefault="00EA44B0" w:rsidP="00EA44B0">
      <w:pPr>
        <w:pStyle w:val="naisf"/>
        <w:numPr>
          <w:ilvl w:val="0"/>
          <w:numId w:val="1"/>
        </w:numPr>
        <w:spacing w:before="60" w:after="60"/>
        <w:ind w:right="57" w:firstLine="0"/>
        <w:jc w:val="center"/>
        <w:rPr>
          <w:b/>
        </w:rPr>
      </w:pPr>
      <w:r w:rsidRPr="004B00CC">
        <w:rPr>
          <w:b/>
        </w:rPr>
        <w:t>Jautājumi, par kuriem saskaņošanā vienošanās ir panākta</w:t>
      </w:r>
    </w:p>
    <w:tbl>
      <w:tblPr>
        <w:tblW w:w="15688"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3680"/>
        <w:gridCol w:w="4386"/>
        <w:gridCol w:w="3275"/>
        <w:gridCol w:w="3638"/>
      </w:tblGrid>
      <w:tr w:rsidR="00EA44B0" w:rsidRPr="004B00CC" w:rsidTr="00296BDA">
        <w:tc>
          <w:tcPr>
            <w:tcW w:w="709" w:type="dxa"/>
            <w:tcBorders>
              <w:top w:val="single" w:sz="6" w:space="0" w:color="000000"/>
              <w:left w:val="single" w:sz="6" w:space="0" w:color="000000"/>
              <w:bottom w:val="single" w:sz="6" w:space="0" w:color="000000"/>
              <w:right w:val="single" w:sz="6" w:space="0" w:color="000000"/>
            </w:tcBorders>
            <w:vAlign w:val="center"/>
          </w:tcPr>
          <w:p w:rsidR="00EA44B0" w:rsidRPr="004B00CC" w:rsidRDefault="00EA44B0" w:rsidP="00296BDA">
            <w:pPr>
              <w:pStyle w:val="naisc"/>
              <w:spacing w:before="0" w:after="0"/>
              <w:ind w:left="57" w:right="57"/>
              <w:contextualSpacing/>
              <w:jc w:val="both"/>
            </w:pPr>
            <w:proofErr w:type="spellStart"/>
            <w:r w:rsidRPr="004B00CC">
              <w:lastRenderedPageBreak/>
              <w:t>Nrp.k</w:t>
            </w:r>
            <w:proofErr w:type="spellEnd"/>
            <w:r w:rsidRPr="004B00CC">
              <w:t>.</w:t>
            </w:r>
          </w:p>
        </w:tc>
        <w:tc>
          <w:tcPr>
            <w:tcW w:w="3680" w:type="dxa"/>
            <w:tcBorders>
              <w:top w:val="single" w:sz="6" w:space="0" w:color="000000"/>
              <w:left w:val="single" w:sz="6" w:space="0" w:color="000000"/>
              <w:bottom w:val="single" w:sz="6" w:space="0" w:color="000000"/>
              <w:right w:val="single" w:sz="6" w:space="0" w:color="000000"/>
            </w:tcBorders>
            <w:vAlign w:val="center"/>
          </w:tcPr>
          <w:p w:rsidR="00EA44B0" w:rsidRPr="004B00CC" w:rsidRDefault="00EA44B0" w:rsidP="00296BDA">
            <w:pPr>
              <w:pStyle w:val="naisc"/>
              <w:spacing w:before="0" w:after="0"/>
              <w:ind w:left="57" w:right="57"/>
              <w:contextualSpacing/>
              <w:jc w:val="both"/>
            </w:pPr>
            <w:r w:rsidRPr="004B00CC">
              <w:t>Saskaņošanai nosūtītā projekta redakcija (konkrēta punkta (panta) redakcija)</w:t>
            </w:r>
          </w:p>
          <w:p w:rsidR="00EA44B0" w:rsidRPr="004B00CC" w:rsidRDefault="00EA44B0" w:rsidP="00296BDA"/>
        </w:tc>
        <w:tc>
          <w:tcPr>
            <w:tcW w:w="4386" w:type="dxa"/>
            <w:tcBorders>
              <w:top w:val="single" w:sz="6" w:space="0" w:color="000000"/>
              <w:left w:val="single" w:sz="6" w:space="0" w:color="000000"/>
              <w:bottom w:val="single" w:sz="6" w:space="0" w:color="000000"/>
              <w:right w:val="single" w:sz="6" w:space="0" w:color="000000"/>
            </w:tcBorders>
            <w:vAlign w:val="center"/>
          </w:tcPr>
          <w:p w:rsidR="00EA44B0" w:rsidRPr="004B00CC" w:rsidRDefault="00EA44B0" w:rsidP="00296BDA">
            <w:pPr>
              <w:pStyle w:val="naisc"/>
              <w:spacing w:before="0" w:after="0"/>
              <w:ind w:left="57" w:right="57"/>
              <w:contextualSpacing/>
              <w:jc w:val="both"/>
            </w:pPr>
            <w:r w:rsidRPr="004B00CC">
              <w:t>Atzinumā norādītais ministrijas (citas institūcijas) iebildums, kā arī saskaņošanā papildus izteiktais iebildums par projekta konkrēto punktu (pantu)</w:t>
            </w:r>
          </w:p>
        </w:tc>
        <w:tc>
          <w:tcPr>
            <w:tcW w:w="3275" w:type="dxa"/>
            <w:tcBorders>
              <w:top w:val="single" w:sz="6" w:space="0" w:color="000000"/>
              <w:left w:val="single" w:sz="6" w:space="0" w:color="000000"/>
              <w:bottom w:val="single" w:sz="6" w:space="0" w:color="000000"/>
              <w:right w:val="single" w:sz="6" w:space="0" w:color="000000"/>
            </w:tcBorders>
            <w:vAlign w:val="center"/>
          </w:tcPr>
          <w:p w:rsidR="00EA44B0" w:rsidRPr="004B00CC" w:rsidRDefault="00EA44B0" w:rsidP="00296BDA">
            <w:pPr>
              <w:pStyle w:val="naisc"/>
              <w:spacing w:before="0" w:after="0"/>
              <w:ind w:left="57" w:right="57"/>
              <w:contextualSpacing/>
              <w:jc w:val="both"/>
            </w:pPr>
            <w:r w:rsidRPr="004B00CC">
              <w:t>Atbildīgās ministrijas norāde par to, ka iebildums ir ņemts vērā, vai informācija par saskaņošanā panākto alternatīvo risinājumu</w:t>
            </w:r>
          </w:p>
        </w:tc>
        <w:tc>
          <w:tcPr>
            <w:tcW w:w="3638" w:type="dxa"/>
            <w:tcBorders>
              <w:top w:val="single" w:sz="4" w:space="0" w:color="auto"/>
              <w:left w:val="single" w:sz="4" w:space="0" w:color="auto"/>
              <w:bottom w:val="single" w:sz="4" w:space="0" w:color="auto"/>
            </w:tcBorders>
            <w:vAlign w:val="center"/>
          </w:tcPr>
          <w:p w:rsidR="00EA44B0" w:rsidRPr="004B00CC" w:rsidRDefault="00EA44B0" w:rsidP="00296BDA">
            <w:pPr>
              <w:ind w:left="57" w:right="57"/>
              <w:contextualSpacing/>
              <w:jc w:val="both"/>
            </w:pPr>
            <w:r w:rsidRPr="004B00CC">
              <w:t>Projekta attiecīgā punkta (panta) galīgā redakcija</w:t>
            </w:r>
          </w:p>
        </w:tc>
      </w:tr>
      <w:tr w:rsidR="00EA44B0" w:rsidRPr="004B00CC" w:rsidTr="00296BDA">
        <w:trPr>
          <w:trHeight w:val="318"/>
        </w:trPr>
        <w:tc>
          <w:tcPr>
            <w:tcW w:w="709" w:type="dxa"/>
            <w:tcBorders>
              <w:top w:val="single" w:sz="6" w:space="0" w:color="000000"/>
              <w:left w:val="single" w:sz="6" w:space="0" w:color="000000"/>
              <w:bottom w:val="single" w:sz="4" w:space="0" w:color="auto"/>
              <w:right w:val="single" w:sz="6" w:space="0" w:color="000000"/>
            </w:tcBorders>
          </w:tcPr>
          <w:p w:rsidR="00EA44B0" w:rsidRPr="004B00CC" w:rsidRDefault="00EA44B0" w:rsidP="00296BDA">
            <w:pPr>
              <w:pStyle w:val="naisc"/>
              <w:spacing w:before="0" w:after="0"/>
              <w:ind w:left="57" w:right="57"/>
              <w:contextualSpacing/>
            </w:pPr>
            <w:r w:rsidRPr="004B00CC">
              <w:t>1</w:t>
            </w:r>
          </w:p>
        </w:tc>
        <w:tc>
          <w:tcPr>
            <w:tcW w:w="3680" w:type="dxa"/>
            <w:tcBorders>
              <w:top w:val="single" w:sz="6" w:space="0" w:color="000000"/>
              <w:left w:val="single" w:sz="6" w:space="0" w:color="000000"/>
              <w:bottom w:val="single" w:sz="4" w:space="0" w:color="auto"/>
              <w:right w:val="single" w:sz="6" w:space="0" w:color="000000"/>
            </w:tcBorders>
          </w:tcPr>
          <w:p w:rsidR="00EA44B0" w:rsidRPr="004B00CC" w:rsidRDefault="00EA44B0" w:rsidP="00296BDA">
            <w:pPr>
              <w:pStyle w:val="naisc"/>
              <w:spacing w:before="0" w:after="0"/>
              <w:ind w:left="57" w:right="57"/>
              <w:contextualSpacing/>
            </w:pPr>
            <w:r w:rsidRPr="004B00CC">
              <w:t>2</w:t>
            </w:r>
          </w:p>
        </w:tc>
        <w:tc>
          <w:tcPr>
            <w:tcW w:w="4386" w:type="dxa"/>
            <w:tcBorders>
              <w:top w:val="single" w:sz="6" w:space="0" w:color="000000"/>
              <w:left w:val="single" w:sz="6" w:space="0" w:color="000000"/>
              <w:bottom w:val="single" w:sz="4" w:space="0" w:color="auto"/>
              <w:right w:val="single" w:sz="6" w:space="0" w:color="000000"/>
            </w:tcBorders>
          </w:tcPr>
          <w:p w:rsidR="00EA44B0" w:rsidRPr="004B00CC" w:rsidRDefault="00EA44B0" w:rsidP="00296BDA">
            <w:pPr>
              <w:pStyle w:val="naisc"/>
              <w:spacing w:before="0" w:after="0"/>
              <w:ind w:left="57" w:right="57"/>
              <w:contextualSpacing/>
            </w:pPr>
            <w:r w:rsidRPr="004B00CC">
              <w:t>3</w:t>
            </w:r>
          </w:p>
        </w:tc>
        <w:tc>
          <w:tcPr>
            <w:tcW w:w="3275" w:type="dxa"/>
            <w:tcBorders>
              <w:top w:val="single" w:sz="6" w:space="0" w:color="000000"/>
              <w:left w:val="single" w:sz="6" w:space="0" w:color="000000"/>
              <w:bottom w:val="single" w:sz="4" w:space="0" w:color="auto"/>
              <w:right w:val="single" w:sz="6" w:space="0" w:color="000000"/>
            </w:tcBorders>
          </w:tcPr>
          <w:p w:rsidR="00EA44B0" w:rsidRPr="004B00CC" w:rsidRDefault="00EA44B0" w:rsidP="00296BDA">
            <w:pPr>
              <w:pStyle w:val="naisc"/>
              <w:spacing w:before="0" w:after="0"/>
              <w:ind w:left="57" w:right="57"/>
              <w:contextualSpacing/>
            </w:pPr>
            <w:r w:rsidRPr="004B00CC">
              <w:t>4</w:t>
            </w:r>
          </w:p>
        </w:tc>
        <w:tc>
          <w:tcPr>
            <w:tcW w:w="3638" w:type="dxa"/>
            <w:tcBorders>
              <w:top w:val="single" w:sz="4" w:space="0" w:color="auto"/>
              <w:left w:val="single" w:sz="4" w:space="0" w:color="auto"/>
              <w:bottom w:val="single" w:sz="4" w:space="0" w:color="auto"/>
            </w:tcBorders>
          </w:tcPr>
          <w:p w:rsidR="00EA44B0" w:rsidRPr="004B00CC" w:rsidRDefault="00EA44B0" w:rsidP="00296BDA">
            <w:pPr>
              <w:ind w:left="57" w:right="57"/>
              <w:contextualSpacing/>
              <w:jc w:val="center"/>
            </w:pPr>
            <w:r w:rsidRPr="004B00CC">
              <w:t>5</w:t>
            </w:r>
          </w:p>
        </w:tc>
      </w:tr>
      <w:tr w:rsidR="00EA44B0" w:rsidRPr="004B00CC" w:rsidTr="00296BDA">
        <w:trPr>
          <w:trHeight w:val="318"/>
        </w:trPr>
        <w:tc>
          <w:tcPr>
            <w:tcW w:w="709" w:type="dxa"/>
            <w:tcBorders>
              <w:top w:val="single" w:sz="6" w:space="0" w:color="000000"/>
              <w:left w:val="single" w:sz="6" w:space="0" w:color="000000"/>
              <w:bottom w:val="single" w:sz="4" w:space="0" w:color="auto"/>
              <w:right w:val="single" w:sz="6" w:space="0" w:color="000000"/>
            </w:tcBorders>
          </w:tcPr>
          <w:p w:rsidR="00EA44B0" w:rsidRPr="004B00CC" w:rsidRDefault="00EA44B0" w:rsidP="00296BDA">
            <w:pPr>
              <w:pStyle w:val="naisc"/>
              <w:spacing w:before="0" w:after="0"/>
              <w:ind w:left="57" w:right="57"/>
              <w:contextualSpacing/>
              <w:jc w:val="both"/>
            </w:pPr>
            <w:r w:rsidRPr="004B00CC">
              <w:t>1.</w:t>
            </w:r>
          </w:p>
        </w:tc>
        <w:tc>
          <w:tcPr>
            <w:tcW w:w="3680" w:type="dxa"/>
            <w:tcBorders>
              <w:top w:val="single" w:sz="6" w:space="0" w:color="000000"/>
              <w:left w:val="single" w:sz="6" w:space="0" w:color="000000"/>
              <w:bottom w:val="single" w:sz="4" w:space="0" w:color="auto"/>
              <w:right w:val="single" w:sz="6" w:space="0" w:color="000000"/>
            </w:tcBorders>
          </w:tcPr>
          <w:p w:rsidR="00EA44B0" w:rsidRPr="004B00CC" w:rsidRDefault="00EA44B0" w:rsidP="00296BDA">
            <w:pPr>
              <w:pStyle w:val="NormalWeb"/>
              <w:spacing w:before="0" w:beforeAutospacing="0" w:after="0" w:afterAutospacing="0"/>
              <w:jc w:val="both"/>
            </w:pPr>
            <w:r w:rsidRPr="004B00CC">
              <w:t>1.1. izteikt norādi, uz kāda likuma pamata noteikumi izdoti, šādā redakcijā:</w:t>
            </w:r>
          </w:p>
          <w:p w:rsidR="00EA44B0" w:rsidRPr="004B00CC" w:rsidRDefault="00EA44B0" w:rsidP="00296BDA">
            <w:pPr>
              <w:pStyle w:val="NormalWeb"/>
              <w:spacing w:before="0" w:beforeAutospacing="0" w:after="0" w:afterAutospacing="0"/>
              <w:jc w:val="both"/>
            </w:pPr>
            <w:r w:rsidRPr="004B00CC">
              <w:t>“Izdoti saskaņā ar Būvniecības likuma 5. panta pirmās daļas 2. punktu, otrās daļas 5., 7. un 10. punktu un 14. panta septīto daļu un Enerģētikas likuma 76. panta otro daļu”;</w:t>
            </w:r>
          </w:p>
          <w:p w:rsidR="00EA44B0" w:rsidRPr="004B00CC" w:rsidRDefault="00EA44B0" w:rsidP="00296BDA">
            <w:pPr>
              <w:pStyle w:val="naisc"/>
              <w:spacing w:before="0" w:after="0"/>
              <w:ind w:left="57" w:right="57"/>
              <w:contextualSpacing/>
              <w:jc w:val="both"/>
            </w:pPr>
          </w:p>
          <w:p w:rsidR="00EA44B0" w:rsidRPr="004B00CC" w:rsidRDefault="00EA44B0" w:rsidP="00296BDA">
            <w:pPr>
              <w:pStyle w:val="naisc"/>
              <w:spacing w:before="0" w:after="0"/>
              <w:ind w:left="57" w:right="57"/>
              <w:contextualSpacing/>
              <w:jc w:val="both"/>
              <w:rPr>
                <w:i/>
                <w:iCs/>
              </w:rPr>
            </w:pPr>
            <w:r w:rsidRPr="004B00CC">
              <w:rPr>
                <w:i/>
                <w:iCs/>
              </w:rPr>
              <w:t>Enerģētikas likuma 76.panta (2)daļa:</w:t>
            </w:r>
          </w:p>
          <w:p w:rsidR="00EA44B0" w:rsidRPr="004B00CC" w:rsidRDefault="00EA44B0" w:rsidP="00296BDA">
            <w:pPr>
              <w:pStyle w:val="naisc"/>
              <w:spacing w:before="0" w:after="0"/>
              <w:ind w:left="57" w:right="57"/>
              <w:contextualSpacing/>
              <w:jc w:val="both"/>
            </w:pPr>
            <w:r w:rsidRPr="004B00CC">
              <w:rPr>
                <w:i/>
                <w:iCs/>
              </w:rPr>
              <w:t>(2) Ministru kabinets nosaka kārtību, kādā ierīkojami jauni energoapgādes komersantu objekti.</w:t>
            </w:r>
          </w:p>
          <w:p w:rsidR="00EA44B0" w:rsidRPr="004B00CC" w:rsidRDefault="00EA44B0" w:rsidP="00296BDA">
            <w:pPr>
              <w:pStyle w:val="naisc"/>
              <w:spacing w:before="0" w:after="0"/>
              <w:ind w:left="57" w:right="57"/>
              <w:contextualSpacing/>
              <w:jc w:val="both"/>
            </w:pPr>
          </w:p>
          <w:p w:rsidR="00EA44B0" w:rsidRPr="004B00CC" w:rsidRDefault="00EA44B0" w:rsidP="00296BDA">
            <w:pPr>
              <w:pStyle w:val="naisc"/>
              <w:spacing w:before="0" w:after="0"/>
              <w:ind w:left="57" w:right="57"/>
              <w:contextualSpacing/>
              <w:jc w:val="both"/>
              <w:rPr>
                <w:i/>
                <w:iCs/>
              </w:rPr>
            </w:pPr>
            <w:r w:rsidRPr="004B00CC">
              <w:rPr>
                <w:i/>
                <w:iCs/>
              </w:rPr>
              <w:t>MK noteikumi 253:</w:t>
            </w:r>
          </w:p>
          <w:p w:rsidR="00EA44B0" w:rsidRPr="004B00CC" w:rsidRDefault="00EA44B0" w:rsidP="00296BDA">
            <w:pPr>
              <w:jc w:val="both"/>
              <w:rPr>
                <w:i/>
                <w:iCs/>
              </w:rPr>
            </w:pPr>
            <w:r w:rsidRPr="004B00CC">
              <w:rPr>
                <w:i/>
                <w:iCs/>
              </w:rPr>
              <w:t>1. Noteikumi nosaka:</w:t>
            </w:r>
          </w:p>
          <w:p w:rsidR="00EA44B0" w:rsidRPr="004B00CC" w:rsidRDefault="00EA44B0" w:rsidP="00296BDA">
            <w:pPr>
              <w:jc w:val="both"/>
              <w:rPr>
                <w:i/>
                <w:iCs/>
              </w:rPr>
            </w:pPr>
            <w:r w:rsidRPr="004B00CC">
              <w:rPr>
                <w:i/>
                <w:iCs/>
              </w:rPr>
              <w:t xml:space="preserve">1.1. ostu hidrotehnisko, siltumenerģijas, gāzes un citu, atsevišķi neklasificētu, inženierbūvju būvniecības procesa kārtību, būvniecības procesā </w:t>
            </w:r>
            <w:r w:rsidRPr="004B00CC">
              <w:rPr>
                <w:i/>
                <w:iCs/>
              </w:rPr>
              <w:lastRenderedPageBreak/>
              <w:t xml:space="preserve">iesaistītās institūcijas un atbildīgos </w:t>
            </w:r>
            <w:proofErr w:type="spellStart"/>
            <w:r w:rsidRPr="004B00CC">
              <w:rPr>
                <w:i/>
                <w:iCs/>
              </w:rPr>
              <w:t>būvspeciālistus</w:t>
            </w:r>
            <w:proofErr w:type="spellEnd"/>
            <w:r w:rsidRPr="004B00CC">
              <w:rPr>
                <w:i/>
                <w:iCs/>
              </w:rPr>
              <w:t>;</w:t>
            </w:r>
          </w:p>
          <w:p w:rsidR="00EA44B0" w:rsidRPr="004B00CC" w:rsidRDefault="00EA44B0" w:rsidP="00296BDA">
            <w:pPr>
              <w:pStyle w:val="naisc"/>
              <w:spacing w:before="0" w:after="0"/>
              <w:ind w:left="57" w:right="57"/>
              <w:contextualSpacing/>
              <w:jc w:val="both"/>
            </w:pPr>
          </w:p>
        </w:tc>
        <w:tc>
          <w:tcPr>
            <w:tcW w:w="4386" w:type="dxa"/>
            <w:tcBorders>
              <w:top w:val="single" w:sz="6" w:space="0" w:color="000000"/>
              <w:left w:val="single" w:sz="6" w:space="0" w:color="000000"/>
              <w:bottom w:val="single" w:sz="4" w:space="0" w:color="auto"/>
              <w:right w:val="single" w:sz="6" w:space="0" w:color="000000"/>
            </w:tcBorders>
          </w:tcPr>
          <w:p w:rsidR="00EA44B0" w:rsidRPr="007949C6" w:rsidRDefault="00EA44B0" w:rsidP="00296BDA">
            <w:pPr>
              <w:pStyle w:val="naisc"/>
              <w:spacing w:before="0" w:after="0"/>
              <w:ind w:left="57" w:right="57"/>
              <w:contextualSpacing/>
              <w:jc w:val="both"/>
              <w:rPr>
                <w:b/>
                <w:bCs/>
                <w:u w:val="single"/>
              </w:rPr>
            </w:pPr>
            <w:r w:rsidRPr="007949C6">
              <w:rPr>
                <w:b/>
                <w:bCs/>
                <w:u w:val="single"/>
              </w:rPr>
              <w:lastRenderedPageBreak/>
              <w:t>Tieslietu ministrija</w:t>
            </w:r>
          </w:p>
          <w:p w:rsidR="00EA44B0" w:rsidRPr="004B00CC" w:rsidRDefault="00EA44B0" w:rsidP="00296BDA">
            <w:pPr>
              <w:jc w:val="both"/>
            </w:pPr>
            <w:r w:rsidRPr="004B00CC">
              <w:t xml:space="preserve">1.Projekta 1.1. apakšpunkts paredz izteikt jaunā redakcijā norādi uz </w:t>
            </w:r>
            <w:bookmarkStart w:id="2" w:name="_Hlk60749872"/>
            <w:r w:rsidRPr="004B00CC">
              <w:t xml:space="preserve">Ministru kabineta 2017. gada 9. maija noteikumu Nr. 253 "Atsevišķu inženierbūvju būvnoteikumi" </w:t>
            </w:r>
            <w:bookmarkEnd w:id="2"/>
            <w:r w:rsidRPr="004B00CC">
              <w:t>(turpmāk – būvnoteikumi) izdošanas tiesisko pamatu, pēc būtības papildinot to ar Enerģētikas likuma 76. panta otro daļu. Enerģētikas likuma 76. panta otrā daļa pilnvaro Ministru kabinetu noteikt kārtību, kādā ierīkojami jauni energoapgādes komersantu objekti. Ministru kabineta 2009. gada 3. februāra noteikumu Nr. 108 "Normatīvo aktu projektu sagatavošanas noteikumi" 100. punkts paredz, ka noteikumu projekta pirmajā punktā secīgi raksta vārdus "noteikumi nosaka" un likumā noteikto pilnvarojumu Ministru kabinetam. Projekts neparedz papildināt būvnoteikumu 1. punktu ar Enerģētikas likuma 76. panta otrajā daļā Ministru kabinetam doto pilnvarojumu. Ņemot vērā minēto, lūdzam papildināt projektu ar jaunu punktu.</w:t>
            </w:r>
          </w:p>
          <w:p w:rsidR="00EA44B0" w:rsidRPr="004B00CC" w:rsidRDefault="00EA44B0" w:rsidP="00296BDA">
            <w:pPr>
              <w:pStyle w:val="naisc"/>
              <w:spacing w:before="0" w:after="0"/>
              <w:ind w:left="57" w:right="57"/>
              <w:contextualSpacing/>
              <w:jc w:val="both"/>
            </w:pPr>
          </w:p>
        </w:tc>
        <w:tc>
          <w:tcPr>
            <w:tcW w:w="3275" w:type="dxa"/>
            <w:tcBorders>
              <w:top w:val="single" w:sz="6" w:space="0" w:color="000000"/>
              <w:left w:val="single" w:sz="6" w:space="0" w:color="000000"/>
              <w:bottom w:val="single" w:sz="4" w:space="0" w:color="auto"/>
              <w:right w:val="single" w:sz="6" w:space="0" w:color="000000"/>
            </w:tcBorders>
          </w:tcPr>
          <w:p w:rsidR="00EA44B0" w:rsidRPr="004B00CC" w:rsidRDefault="00EA44B0" w:rsidP="00296BDA">
            <w:pPr>
              <w:contextualSpacing/>
              <w:jc w:val="center"/>
              <w:rPr>
                <w:b/>
                <w:bCs/>
              </w:rPr>
            </w:pPr>
            <w:r w:rsidRPr="004B00CC">
              <w:rPr>
                <w:b/>
                <w:bCs/>
              </w:rPr>
              <w:t>Panākta vienošanās starpinstitūciju sanāksmē</w:t>
            </w:r>
          </w:p>
          <w:p w:rsidR="00EA44B0" w:rsidRPr="004B00CC" w:rsidRDefault="00EA44B0" w:rsidP="00296BDA">
            <w:pPr>
              <w:pStyle w:val="naisc"/>
              <w:spacing w:before="0" w:after="0"/>
              <w:ind w:left="57" w:right="57"/>
              <w:contextualSpacing/>
              <w:jc w:val="both"/>
            </w:pPr>
            <w:r w:rsidRPr="004B00CC">
              <w:t>Grozījumi Ministru kabineta 2017.gada 9.maija noteikumos Nr.253 “Atsevišķu inženierbūvju būvnoteikumi” nosaka, kā tiks būvētas elektroenerģijas ražošanas, pārvades un sadales būves, kas pēc būtības nosaka šādu būvju ierīkošanu. Noteikumos tiek lietota Būvniecības likumā lietotā terminoloģija, kas ietver arī “ierīkošanu”.  Būvniecības likumā lietotais termins “ierīkošana” attiecas tikai uz</w:t>
            </w:r>
            <w:r w:rsidRPr="004B00CC">
              <w:rPr>
                <w:b/>
                <w:bCs/>
              </w:rPr>
              <w:t xml:space="preserve"> </w:t>
            </w:r>
            <w:r w:rsidRPr="004B00CC">
              <w:t xml:space="preserve"> inženiertīkla montāžu, ievietošanu vai novietošanu pamatnē (zemē vai gultnē) vai būvē. Būvniecības likumā dotais deleģējums ir plašāks un konkrētāks, tā kā paredz visus būvniecības procesa posmus no projektēšanas līdz </w:t>
            </w:r>
            <w:r w:rsidRPr="004B00CC">
              <w:lastRenderedPageBreak/>
              <w:t xml:space="preserve">uzbūvētās būves nodošanai ekspluatācijā. </w:t>
            </w:r>
          </w:p>
          <w:p w:rsidR="00EA44B0" w:rsidRPr="004B00CC" w:rsidRDefault="00EA44B0" w:rsidP="00296BDA">
            <w:pPr>
              <w:pStyle w:val="naisc"/>
              <w:spacing w:before="0" w:after="0"/>
              <w:ind w:left="57" w:right="57"/>
              <w:contextualSpacing/>
              <w:jc w:val="both"/>
            </w:pPr>
          </w:p>
        </w:tc>
        <w:tc>
          <w:tcPr>
            <w:tcW w:w="3638" w:type="dxa"/>
            <w:tcBorders>
              <w:top w:val="single" w:sz="4" w:space="0" w:color="auto"/>
              <w:left w:val="single" w:sz="4" w:space="0" w:color="auto"/>
              <w:bottom w:val="single" w:sz="4" w:space="0" w:color="auto"/>
            </w:tcBorders>
          </w:tcPr>
          <w:p w:rsidR="00EA44B0" w:rsidRPr="004B00CC" w:rsidRDefault="00EA44B0" w:rsidP="00296BDA">
            <w:pPr>
              <w:pStyle w:val="NormalWeb"/>
              <w:numPr>
                <w:ilvl w:val="1"/>
                <w:numId w:val="4"/>
              </w:numPr>
              <w:spacing w:before="0" w:beforeAutospacing="0" w:after="0" w:afterAutospacing="0"/>
              <w:jc w:val="both"/>
            </w:pPr>
            <w:r w:rsidRPr="004B00CC">
              <w:lastRenderedPageBreak/>
              <w:t>apakšpunkts svītrots</w:t>
            </w:r>
          </w:p>
          <w:p w:rsidR="00EA44B0" w:rsidRPr="004B00CC" w:rsidRDefault="00EA44B0" w:rsidP="00296BDA">
            <w:pPr>
              <w:jc w:val="both"/>
            </w:pPr>
          </w:p>
          <w:p w:rsidR="00EA44B0" w:rsidRPr="004B00CC" w:rsidRDefault="00EA44B0" w:rsidP="00296BDA">
            <w:pPr>
              <w:jc w:val="both"/>
            </w:pPr>
            <w:r w:rsidRPr="004B00CC">
              <w:t>1.2. papildināt 1.1. apakšpunktu aiz vārda “siltumenerģijas” ar vārdiem “elektroenerģijas ražošanas. pārvades un sadales”;</w:t>
            </w:r>
          </w:p>
          <w:p w:rsidR="00EA44B0" w:rsidRPr="004B00CC" w:rsidRDefault="00EA44B0" w:rsidP="00296BDA">
            <w:pPr>
              <w:ind w:left="57" w:right="57"/>
              <w:contextualSpacing/>
              <w:jc w:val="both"/>
            </w:pPr>
          </w:p>
        </w:tc>
      </w:tr>
      <w:tr w:rsidR="00EA44B0" w:rsidRPr="004B00CC" w:rsidTr="00296BDA">
        <w:trPr>
          <w:trHeight w:val="318"/>
        </w:trPr>
        <w:tc>
          <w:tcPr>
            <w:tcW w:w="709" w:type="dxa"/>
            <w:tcBorders>
              <w:top w:val="single" w:sz="6" w:space="0" w:color="000000"/>
              <w:left w:val="single" w:sz="6" w:space="0" w:color="000000"/>
              <w:bottom w:val="single" w:sz="4" w:space="0" w:color="auto"/>
              <w:right w:val="single" w:sz="6" w:space="0" w:color="000000"/>
            </w:tcBorders>
          </w:tcPr>
          <w:p w:rsidR="00EA44B0" w:rsidRPr="004B00CC" w:rsidRDefault="00EA44B0" w:rsidP="00296BDA">
            <w:pPr>
              <w:pStyle w:val="naisc"/>
              <w:spacing w:before="0" w:after="0"/>
              <w:ind w:left="57" w:right="57"/>
              <w:contextualSpacing/>
              <w:jc w:val="both"/>
            </w:pPr>
            <w:r w:rsidRPr="004B00CC">
              <w:t>2.</w:t>
            </w:r>
          </w:p>
        </w:tc>
        <w:tc>
          <w:tcPr>
            <w:tcW w:w="3680" w:type="dxa"/>
            <w:tcBorders>
              <w:top w:val="single" w:sz="6" w:space="0" w:color="000000"/>
              <w:left w:val="single" w:sz="6" w:space="0" w:color="000000"/>
              <w:bottom w:val="single" w:sz="4" w:space="0" w:color="auto"/>
              <w:right w:val="single" w:sz="6" w:space="0" w:color="000000"/>
            </w:tcBorders>
          </w:tcPr>
          <w:p w:rsidR="00EA44B0" w:rsidRPr="004B00CC" w:rsidRDefault="00EA44B0" w:rsidP="00296BDA">
            <w:pPr>
              <w:pStyle w:val="NormalWeb"/>
              <w:spacing w:before="0" w:beforeAutospacing="0" w:after="0" w:afterAutospacing="0"/>
              <w:jc w:val="both"/>
            </w:pPr>
            <w:r w:rsidRPr="004B00CC">
              <w:t>1.2. aizstāt noteikumu tekstā vārdus “sertifikāta numurs” ar vārdiem “</w:t>
            </w:r>
            <w:bookmarkStart w:id="3" w:name="_Hlk59468325"/>
            <w:r w:rsidRPr="004B00CC">
              <w:t>sertifikāta numurs un darbības sfēra</w:t>
            </w:r>
            <w:bookmarkEnd w:id="3"/>
            <w:r w:rsidRPr="004B00CC">
              <w:t>”;</w:t>
            </w:r>
          </w:p>
          <w:p w:rsidR="00EA44B0" w:rsidRPr="004B00CC" w:rsidRDefault="00EA44B0" w:rsidP="00296BDA">
            <w:pPr>
              <w:pStyle w:val="naisc"/>
              <w:spacing w:before="0" w:after="0"/>
              <w:ind w:left="57" w:right="57"/>
              <w:contextualSpacing/>
              <w:jc w:val="both"/>
            </w:pPr>
          </w:p>
          <w:p w:rsidR="00EA44B0" w:rsidRPr="004B00CC" w:rsidRDefault="00EA44B0" w:rsidP="00296BDA">
            <w:pPr>
              <w:jc w:val="both"/>
            </w:pPr>
            <w:r w:rsidRPr="004B00CC">
              <w:rPr>
                <w:shd w:val="clear" w:color="auto" w:fill="FFFFFF"/>
              </w:rPr>
              <w:t>1.100. Papildināt noteikumus ar 4.</w:t>
            </w:r>
            <w:r w:rsidRPr="004B00CC">
              <w:rPr>
                <w:shd w:val="clear" w:color="auto" w:fill="FFFFFF"/>
                <w:vertAlign w:val="superscript"/>
              </w:rPr>
              <w:t>1</w:t>
            </w:r>
            <w:r w:rsidRPr="004B00CC">
              <w:rPr>
                <w:shd w:val="clear" w:color="auto" w:fill="FFFFFF"/>
              </w:rPr>
              <w:t> pielikumu šādā redakcijā:</w:t>
            </w:r>
          </w:p>
          <w:p w:rsidR="00EA44B0" w:rsidRPr="004B00CC" w:rsidRDefault="00EA44B0" w:rsidP="00296BDA">
            <w:pPr>
              <w:jc w:val="right"/>
            </w:pPr>
            <w:r w:rsidRPr="004B00CC">
              <w:t>4.</w:t>
            </w:r>
            <w:r w:rsidRPr="004B00CC">
              <w:rPr>
                <w:vertAlign w:val="superscript"/>
              </w:rPr>
              <w:t xml:space="preserve">1 </w:t>
            </w:r>
            <w:r w:rsidRPr="004B00CC">
              <w:t>pielikums</w:t>
            </w:r>
          </w:p>
          <w:p w:rsidR="00EA44B0" w:rsidRPr="004B00CC" w:rsidRDefault="00EA44B0" w:rsidP="00296BDA">
            <w:pPr>
              <w:jc w:val="right"/>
            </w:pPr>
            <w:r w:rsidRPr="004B00CC">
              <w:t>Ministru kabineta</w:t>
            </w:r>
            <w:bookmarkStart w:id="4" w:name="668862"/>
            <w:bookmarkStart w:id="5" w:name="n-668862"/>
            <w:bookmarkEnd w:id="4"/>
            <w:bookmarkEnd w:id="5"/>
          </w:p>
          <w:p w:rsidR="00EA44B0" w:rsidRPr="004B00CC" w:rsidRDefault="00EA44B0" w:rsidP="00296BDA">
            <w:pPr>
              <w:jc w:val="right"/>
            </w:pPr>
            <w:r w:rsidRPr="004B00CC">
              <w:t xml:space="preserve">2017. gada 9. maija </w:t>
            </w:r>
          </w:p>
          <w:p w:rsidR="00EA44B0" w:rsidRPr="004B00CC" w:rsidRDefault="00EA44B0" w:rsidP="00296BDA">
            <w:pPr>
              <w:jc w:val="right"/>
            </w:pPr>
            <w:r w:rsidRPr="004B00CC">
              <w:t>noteikumiem Nr. 253</w:t>
            </w:r>
          </w:p>
          <w:p w:rsidR="00EA44B0" w:rsidRPr="004B00CC" w:rsidRDefault="00EA44B0" w:rsidP="00296BDA">
            <w:pPr>
              <w:pStyle w:val="naisc"/>
              <w:spacing w:before="0" w:after="0"/>
              <w:ind w:left="57" w:right="57"/>
              <w:contextualSpacing/>
              <w:jc w:val="both"/>
            </w:pPr>
          </w:p>
          <w:p w:rsidR="00EA44B0" w:rsidRPr="004B00CC" w:rsidRDefault="00EA44B0" w:rsidP="00296BDA">
            <w:pPr>
              <w:pStyle w:val="naisc"/>
              <w:spacing w:before="0" w:after="0"/>
              <w:ind w:left="57" w:right="57"/>
              <w:contextualSpacing/>
              <w:jc w:val="both"/>
            </w:pPr>
          </w:p>
        </w:tc>
        <w:tc>
          <w:tcPr>
            <w:tcW w:w="4386" w:type="dxa"/>
            <w:tcBorders>
              <w:top w:val="single" w:sz="6" w:space="0" w:color="000000"/>
              <w:left w:val="single" w:sz="6" w:space="0" w:color="000000"/>
              <w:bottom w:val="single" w:sz="4" w:space="0" w:color="auto"/>
              <w:right w:val="single" w:sz="6" w:space="0" w:color="000000"/>
            </w:tcBorders>
          </w:tcPr>
          <w:p w:rsidR="00EA44B0" w:rsidRPr="007949C6" w:rsidRDefault="00EA44B0" w:rsidP="00296BDA">
            <w:pPr>
              <w:pStyle w:val="naisc"/>
              <w:spacing w:before="0" w:after="0"/>
              <w:ind w:left="57" w:right="57"/>
              <w:contextualSpacing/>
              <w:jc w:val="both"/>
              <w:rPr>
                <w:b/>
                <w:bCs/>
                <w:u w:val="single"/>
              </w:rPr>
            </w:pPr>
            <w:r w:rsidRPr="007949C6">
              <w:rPr>
                <w:b/>
                <w:bCs/>
                <w:u w:val="single"/>
              </w:rPr>
              <w:t>Tieslietu ministrija</w:t>
            </w:r>
          </w:p>
          <w:p w:rsidR="00EA44B0" w:rsidRPr="004B00CC" w:rsidRDefault="00EA44B0" w:rsidP="00296BDA">
            <w:pPr>
              <w:pStyle w:val="naisc"/>
              <w:spacing w:before="0" w:after="0"/>
              <w:ind w:left="57" w:right="57"/>
              <w:contextualSpacing/>
              <w:jc w:val="both"/>
            </w:pPr>
            <w:r w:rsidRPr="004B00CC">
              <w:t>2. Projekta 1.2. apakšpunkts paredz aizstāt būvnoteikumu tekstā vārdus "sertifikāta numurs" ar vārdiem "sertifikāta numurs un darbības sfēra". Vienlaikus projekta 1.100.  apakšpunkts paredz papildināt būvnoteikumus ar 4.</w:t>
            </w:r>
            <w:r w:rsidRPr="004B00CC">
              <w:rPr>
                <w:vertAlign w:val="superscript"/>
              </w:rPr>
              <w:t>1</w:t>
            </w:r>
            <w:r w:rsidRPr="004B00CC">
              <w:t xml:space="preserve"> pielikumu, kura 6.2. apakšpunktā ir paredzēts, ka </w:t>
            </w:r>
            <w:proofErr w:type="spellStart"/>
            <w:r w:rsidRPr="004B00CC">
              <w:t>būvspeciālists</w:t>
            </w:r>
            <w:proofErr w:type="spellEnd"/>
            <w:r w:rsidRPr="004B00CC">
              <w:t xml:space="preserve"> norāda sertifikāta numuru, taču nav prasīts norādīt arī darbības sfēru. Ņemot vērā minēto, lūdzam precizēt projekta 1.100. apakšpunktā ietverto būvnoteikumu 4.</w:t>
            </w:r>
            <w:r w:rsidRPr="004B00CC">
              <w:rPr>
                <w:vertAlign w:val="superscript"/>
              </w:rPr>
              <w:t>1</w:t>
            </w:r>
            <w:r w:rsidRPr="004B00CC">
              <w:t> pielikuma 6.2. apakšpunktu.</w:t>
            </w:r>
          </w:p>
          <w:p w:rsidR="00EA44B0" w:rsidRPr="004B00CC" w:rsidRDefault="00EA44B0" w:rsidP="00296BDA">
            <w:pPr>
              <w:pStyle w:val="naisc"/>
              <w:spacing w:before="0" w:after="0"/>
              <w:ind w:left="57" w:right="57"/>
              <w:contextualSpacing/>
              <w:jc w:val="both"/>
            </w:pPr>
          </w:p>
        </w:tc>
        <w:tc>
          <w:tcPr>
            <w:tcW w:w="3275" w:type="dxa"/>
            <w:tcBorders>
              <w:top w:val="single" w:sz="6" w:space="0" w:color="000000"/>
              <w:left w:val="single" w:sz="6" w:space="0" w:color="000000"/>
              <w:bottom w:val="single" w:sz="4" w:space="0" w:color="auto"/>
              <w:right w:val="single" w:sz="6" w:space="0" w:color="000000"/>
            </w:tcBorders>
          </w:tcPr>
          <w:p w:rsidR="00EA44B0" w:rsidRPr="004B00CC" w:rsidRDefault="00EA44B0" w:rsidP="00296BDA">
            <w:pPr>
              <w:pStyle w:val="naisc"/>
              <w:spacing w:before="0" w:after="0"/>
              <w:ind w:left="57" w:right="57"/>
              <w:contextualSpacing/>
              <w:rPr>
                <w:b/>
                <w:bCs/>
              </w:rPr>
            </w:pPr>
            <w:r w:rsidRPr="004B00CC">
              <w:rPr>
                <w:b/>
                <w:bCs/>
              </w:rPr>
              <w:t>Ņemts vērā</w:t>
            </w:r>
          </w:p>
        </w:tc>
        <w:tc>
          <w:tcPr>
            <w:tcW w:w="3638" w:type="dxa"/>
            <w:tcBorders>
              <w:top w:val="single" w:sz="4" w:space="0" w:color="auto"/>
              <w:left w:val="single" w:sz="4" w:space="0" w:color="auto"/>
              <w:bottom w:val="single" w:sz="4" w:space="0" w:color="auto"/>
            </w:tcBorders>
          </w:tcPr>
          <w:p w:rsidR="00EA44B0" w:rsidRPr="004B00CC" w:rsidRDefault="00EA44B0" w:rsidP="00296BDA">
            <w:r w:rsidRPr="004B00CC">
              <w:t>Precizēts 4.</w:t>
            </w:r>
            <w:r w:rsidRPr="004B00CC">
              <w:rPr>
                <w:vertAlign w:val="superscript"/>
              </w:rPr>
              <w:t xml:space="preserve">1 </w:t>
            </w:r>
            <w:r w:rsidRPr="004B00CC">
              <w:t>pielikums</w:t>
            </w:r>
          </w:p>
          <w:p w:rsidR="00EA44B0" w:rsidRPr="004B00CC" w:rsidRDefault="00EA44B0" w:rsidP="00296BDA">
            <w:pPr>
              <w:ind w:left="57" w:right="57"/>
              <w:contextualSpacing/>
              <w:jc w:val="both"/>
            </w:pPr>
          </w:p>
        </w:tc>
      </w:tr>
      <w:tr w:rsidR="00EA44B0" w:rsidRPr="004B00CC" w:rsidTr="00296BDA">
        <w:trPr>
          <w:trHeight w:val="318"/>
        </w:trPr>
        <w:tc>
          <w:tcPr>
            <w:tcW w:w="709" w:type="dxa"/>
            <w:tcBorders>
              <w:top w:val="single" w:sz="6" w:space="0" w:color="000000"/>
              <w:left w:val="single" w:sz="6" w:space="0" w:color="000000"/>
              <w:bottom w:val="single" w:sz="4" w:space="0" w:color="auto"/>
              <w:right w:val="single" w:sz="6" w:space="0" w:color="000000"/>
            </w:tcBorders>
          </w:tcPr>
          <w:p w:rsidR="00EA44B0" w:rsidRPr="004B00CC" w:rsidRDefault="00EA44B0" w:rsidP="00296BDA">
            <w:pPr>
              <w:pStyle w:val="naisc"/>
              <w:spacing w:before="0" w:after="0"/>
              <w:ind w:left="57" w:right="57"/>
              <w:contextualSpacing/>
              <w:jc w:val="both"/>
            </w:pPr>
            <w:r w:rsidRPr="004B00CC">
              <w:t>3.</w:t>
            </w:r>
          </w:p>
        </w:tc>
        <w:tc>
          <w:tcPr>
            <w:tcW w:w="3680" w:type="dxa"/>
            <w:tcBorders>
              <w:top w:val="single" w:sz="6" w:space="0" w:color="000000"/>
              <w:left w:val="single" w:sz="6" w:space="0" w:color="000000"/>
              <w:bottom w:val="single" w:sz="4" w:space="0" w:color="auto"/>
              <w:right w:val="single" w:sz="6" w:space="0" w:color="000000"/>
            </w:tcBorders>
          </w:tcPr>
          <w:p w:rsidR="00EA44B0" w:rsidRPr="004B00CC" w:rsidRDefault="00EA44B0" w:rsidP="00296BDA">
            <w:pPr>
              <w:pStyle w:val="NormalWeb"/>
              <w:spacing w:before="0" w:beforeAutospacing="0" w:after="0" w:afterAutospacing="0"/>
              <w:jc w:val="both"/>
              <w:rPr>
                <w:rStyle w:val="normaltextrun"/>
                <w:bCs/>
              </w:rPr>
            </w:pPr>
            <w:r w:rsidRPr="004B00CC">
              <w:t>1.4. aizstāt 2.1. apakšpunktā vārdus “</w:t>
            </w:r>
            <w:r w:rsidRPr="004B00CC">
              <w:rPr>
                <w:rStyle w:val="normaltextrun"/>
              </w:rPr>
              <w:t>elektroenerģijas ražošanas, pārvades un sadales būvēm” ar vārdiem un skaitli “</w:t>
            </w:r>
            <w:r w:rsidRPr="004B00CC">
              <w:rPr>
                <w:rStyle w:val="normaltextrun"/>
                <w:bCs/>
              </w:rPr>
              <w:t>enerģijas ražošanas hidrotehniskām būvēm ar jaudu līdz 2 MW”;</w:t>
            </w:r>
          </w:p>
          <w:p w:rsidR="00EA44B0" w:rsidRPr="004B00CC" w:rsidRDefault="00EA44B0" w:rsidP="00296BDA">
            <w:pPr>
              <w:pStyle w:val="naisc"/>
              <w:spacing w:before="0" w:after="0"/>
              <w:ind w:left="57" w:right="57"/>
              <w:contextualSpacing/>
              <w:jc w:val="both"/>
            </w:pPr>
          </w:p>
        </w:tc>
        <w:tc>
          <w:tcPr>
            <w:tcW w:w="4386" w:type="dxa"/>
            <w:tcBorders>
              <w:top w:val="single" w:sz="6" w:space="0" w:color="000000"/>
              <w:left w:val="single" w:sz="6" w:space="0" w:color="000000"/>
              <w:bottom w:val="single" w:sz="4" w:space="0" w:color="auto"/>
              <w:right w:val="single" w:sz="6" w:space="0" w:color="000000"/>
            </w:tcBorders>
          </w:tcPr>
          <w:p w:rsidR="00EA44B0" w:rsidRPr="007949C6" w:rsidRDefault="00EA44B0" w:rsidP="00296BDA">
            <w:pPr>
              <w:pStyle w:val="naisc"/>
              <w:spacing w:before="0" w:after="0"/>
              <w:ind w:left="57" w:right="57"/>
              <w:contextualSpacing/>
              <w:jc w:val="both"/>
              <w:rPr>
                <w:b/>
                <w:u w:val="single"/>
              </w:rPr>
            </w:pPr>
            <w:r w:rsidRPr="007949C6">
              <w:rPr>
                <w:b/>
                <w:u w:val="single"/>
              </w:rPr>
              <w:t>Vides aizsardzības un reģionālās attīstības ministrija</w:t>
            </w:r>
          </w:p>
          <w:p w:rsidR="00EA44B0" w:rsidRPr="004B00CC" w:rsidRDefault="00EA44B0" w:rsidP="00296BDA">
            <w:pPr>
              <w:jc w:val="both"/>
              <w:rPr>
                <w:bCs/>
              </w:rPr>
            </w:pPr>
            <w:r w:rsidRPr="004B00CC">
              <w:t xml:space="preserve">1. Ar Noteikumu projekta 1.4. apakšpunktu tiek grozīts noteikumu 2.1. apakšpunkts, no kura izriet, ka šie noteikumi neattieksies uz </w:t>
            </w:r>
            <w:r w:rsidRPr="004B00CC">
              <w:rPr>
                <w:rStyle w:val="normaltextrun"/>
                <w:bCs/>
              </w:rPr>
              <w:t xml:space="preserve">enerģijas ražošanas hidrotehniskām būvēm ar jaudu līdz 2 MW, tas ir, uz mazajām hidroelektrostacijām. Saskaņā ar Noteikumu projekta anotācijā norādīto, </w:t>
            </w:r>
            <w:r w:rsidRPr="004B00CC">
              <w:t xml:space="preserve">spēku zaudēs Ministru kabineta 2014.gada 30.septembra noteikumi Nr.573 “Elektroenerģijas ražošanas, pārvades un sadales būvju būvnoteikumi”, kuri līdz šim </w:t>
            </w:r>
            <w:r w:rsidRPr="004B00CC">
              <w:lastRenderedPageBreak/>
              <w:t xml:space="preserve">noteica elektroenerģijas ražošanas būvju, elektroenerģijas pārvades un sadales būvju būvniecības procesa kārtību, tāpēc lūdzam skaidrot un Anotācijā norādīt, kur turpmāk tiks noteikta būvniecības procesa kārtība </w:t>
            </w:r>
            <w:r w:rsidRPr="004B00CC">
              <w:rPr>
                <w:rStyle w:val="normaltextrun"/>
                <w:bCs/>
              </w:rPr>
              <w:t xml:space="preserve">enerģijas ražošanas hidrotehniskām būvēm ar jaudu līdz 2 MW. Tāpat no Noteikumu projekta teksta nav nepārprotami nolasāms, ka šie noteikumi turpmāk attieksies arī uz </w:t>
            </w:r>
            <w:r w:rsidRPr="004B00CC">
              <w:rPr>
                <w:shd w:val="clear" w:color="auto" w:fill="FFFFFF"/>
              </w:rPr>
              <w:t xml:space="preserve">elektroenerģijas ražošanas, pārvades un sadales būvēm, tai skaitā vēja elektrostacijām, </w:t>
            </w:r>
            <w:proofErr w:type="spellStart"/>
            <w:r w:rsidRPr="004B00CC">
              <w:rPr>
                <w:shd w:val="clear" w:color="auto" w:fill="FFFFFF"/>
              </w:rPr>
              <w:t>solārās</w:t>
            </w:r>
            <w:proofErr w:type="spellEnd"/>
            <w:r w:rsidRPr="004B00CC">
              <w:rPr>
                <w:shd w:val="clear" w:color="auto" w:fill="FFFFFF"/>
              </w:rPr>
              <w:t xml:space="preserve"> enerģijas būvēm u.tml. Tas </w:t>
            </w:r>
            <w:r w:rsidRPr="004B00CC">
              <w:rPr>
                <w:rStyle w:val="normaltextrun"/>
                <w:bCs/>
              </w:rPr>
              <w:t xml:space="preserve">izriet tikai no Anotācijas, kur paskaidrots, ka </w:t>
            </w:r>
            <w:r w:rsidRPr="004B00CC">
              <w:t xml:space="preserve">Noteikumu projekts attieksies arī uz elektroenerģijas būvēm, līdz ar to spēku zaudēs Ministru kabineta 2014.gada 30.septembra noteikumi Nr.573 “Elektroenerģijas ražošanas, pārvades un sadales būvju būvnoteikumi”. Bez tam Anotācija vienlaikus kopīga diviem dažādiem Noteikumu projektiem.  </w:t>
            </w:r>
            <w:r w:rsidRPr="004B00CC">
              <w:rPr>
                <w:b/>
                <w:bCs/>
              </w:rPr>
              <w:t>Līdz ar to lūdzam pārskatīt noteikumu projekta 2.punkta redakciju un mainīt apakšpunktu secību, vispirms skaidri un nepārprotami nosakot, uz ko tad šie noteikumi attiecas, un tikai pēc tam - uz ko neattiecas.</w:t>
            </w:r>
          </w:p>
          <w:p w:rsidR="00EA44B0" w:rsidRPr="004B00CC" w:rsidRDefault="00EA44B0" w:rsidP="00296BDA">
            <w:pPr>
              <w:pStyle w:val="naisc"/>
              <w:spacing w:before="0" w:after="0"/>
              <w:ind w:left="57" w:right="57"/>
              <w:contextualSpacing/>
              <w:jc w:val="both"/>
            </w:pPr>
          </w:p>
        </w:tc>
        <w:tc>
          <w:tcPr>
            <w:tcW w:w="3275" w:type="dxa"/>
            <w:tcBorders>
              <w:top w:val="single" w:sz="6" w:space="0" w:color="000000"/>
              <w:left w:val="single" w:sz="6" w:space="0" w:color="000000"/>
              <w:bottom w:val="single" w:sz="4" w:space="0" w:color="auto"/>
              <w:right w:val="single" w:sz="6" w:space="0" w:color="000000"/>
            </w:tcBorders>
          </w:tcPr>
          <w:p w:rsidR="00EA44B0" w:rsidRPr="004B00CC" w:rsidRDefault="00EA44B0" w:rsidP="00296BDA">
            <w:pPr>
              <w:contextualSpacing/>
              <w:jc w:val="center"/>
              <w:rPr>
                <w:b/>
                <w:bCs/>
              </w:rPr>
            </w:pPr>
            <w:r w:rsidRPr="004B00CC">
              <w:rPr>
                <w:b/>
                <w:bCs/>
              </w:rPr>
              <w:lastRenderedPageBreak/>
              <w:t>Panākta vienošanās starpinstitūciju sanāksmē</w:t>
            </w:r>
          </w:p>
          <w:p w:rsidR="00EA44B0" w:rsidRPr="004B00CC" w:rsidRDefault="00EA44B0" w:rsidP="00296BDA">
            <w:pPr>
              <w:pStyle w:val="naisc"/>
              <w:spacing w:before="0" w:after="0"/>
              <w:ind w:left="57" w:right="57"/>
              <w:contextualSpacing/>
              <w:jc w:val="both"/>
            </w:pPr>
            <w:r w:rsidRPr="004B00CC">
              <w:t>Katros speciālajos būvnoteikumos ir noteikts, uz kādām būvēm tie attiecas.</w:t>
            </w:r>
          </w:p>
          <w:p w:rsidR="00EA44B0" w:rsidRPr="004B00CC" w:rsidRDefault="00EA44B0" w:rsidP="00296BDA">
            <w:pPr>
              <w:jc w:val="both"/>
            </w:pPr>
            <w:r w:rsidRPr="004B00CC">
              <w:t>Ministru kabineta 2014.gada 16.septembra noteikumu Nr.550 “Hidrotehnisko un meliorācijas būvju būvnoteikumi” 1.punkts nosaka:</w:t>
            </w:r>
          </w:p>
          <w:p w:rsidR="00EA44B0" w:rsidRPr="004B00CC" w:rsidRDefault="00EA44B0" w:rsidP="00296BDA">
            <w:pPr>
              <w:pStyle w:val="tv213"/>
              <w:spacing w:before="0" w:beforeAutospacing="0" w:after="0" w:afterAutospacing="0"/>
              <w:jc w:val="both"/>
            </w:pPr>
            <w:bookmarkStart w:id="6" w:name="p1"/>
            <w:bookmarkStart w:id="7" w:name="p-527813"/>
            <w:bookmarkEnd w:id="6"/>
            <w:bookmarkEnd w:id="7"/>
            <w:r w:rsidRPr="004B00CC">
              <w:t>“1. Noteikumi nosaka:</w:t>
            </w:r>
          </w:p>
          <w:p w:rsidR="00EA44B0" w:rsidRPr="004B00CC" w:rsidRDefault="00EA44B0" w:rsidP="00296BDA">
            <w:pPr>
              <w:pStyle w:val="tv213"/>
              <w:spacing w:before="0" w:beforeAutospacing="0" w:after="0" w:afterAutospacing="0"/>
              <w:jc w:val="both"/>
            </w:pPr>
            <w:r w:rsidRPr="004B00CC">
              <w:lastRenderedPageBreak/>
              <w:t xml:space="preserve">1.1. hidrotehnisko un meliorācijas būvju (izņemot ostu, jūras un enerģijas ražošanas hidrotehniskās būves ar jaudu virs 2 MW) (turpmāk – būve) būvniecības procesa kārtību, būvniecības procesā iesaistītās institūcijas un atbildīgos </w:t>
            </w:r>
            <w:proofErr w:type="spellStart"/>
            <w:r w:rsidRPr="004B00CC">
              <w:t>būvspeciālistus</w:t>
            </w:r>
            <w:proofErr w:type="spellEnd"/>
            <w:r w:rsidRPr="004B00CC">
              <w:t>;”</w:t>
            </w:r>
          </w:p>
          <w:p w:rsidR="00EA44B0" w:rsidRPr="004B00CC" w:rsidRDefault="00EA44B0" w:rsidP="00296BDA">
            <w:pPr>
              <w:pStyle w:val="naisc"/>
              <w:spacing w:before="0" w:after="0"/>
              <w:ind w:left="57" w:right="57"/>
              <w:contextualSpacing/>
              <w:jc w:val="both"/>
            </w:pPr>
            <w:r w:rsidRPr="004B00CC">
              <w:t>Noteikumu grozījumos nepārkārto numerāciju, jo pēc būtības tas nemaina regulējumu.</w:t>
            </w:r>
          </w:p>
          <w:p w:rsidR="00EA44B0" w:rsidRPr="004B00CC" w:rsidRDefault="00EA44B0" w:rsidP="00296BDA">
            <w:pPr>
              <w:pStyle w:val="naisc"/>
              <w:spacing w:before="0" w:after="0"/>
              <w:ind w:left="57" w:right="57"/>
              <w:contextualSpacing/>
              <w:jc w:val="both"/>
            </w:pPr>
          </w:p>
          <w:p w:rsidR="00EA44B0" w:rsidRPr="004B00CC" w:rsidRDefault="00EA44B0" w:rsidP="00296BDA">
            <w:pPr>
              <w:pStyle w:val="naisc"/>
              <w:spacing w:before="0" w:after="0"/>
              <w:ind w:left="57" w:right="57"/>
              <w:contextualSpacing/>
              <w:jc w:val="left"/>
            </w:pPr>
          </w:p>
        </w:tc>
        <w:tc>
          <w:tcPr>
            <w:tcW w:w="3638" w:type="dxa"/>
            <w:tcBorders>
              <w:top w:val="single" w:sz="4" w:space="0" w:color="auto"/>
              <w:left w:val="single" w:sz="4" w:space="0" w:color="auto"/>
              <w:bottom w:val="single" w:sz="4" w:space="0" w:color="auto"/>
            </w:tcBorders>
          </w:tcPr>
          <w:p w:rsidR="00EA44B0" w:rsidRPr="004B00CC" w:rsidRDefault="00EA44B0" w:rsidP="00296BDA">
            <w:pPr>
              <w:pStyle w:val="NormalWeb"/>
              <w:jc w:val="both"/>
              <w:rPr>
                <w:bCs/>
              </w:rPr>
            </w:pPr>
            <w:r w:rsidRPr="004B00CC">
              <w:lastRenderedPageBreak/>
              <w:t>1.4. aizstāt 2.1. apakšpunktā vārdus “elektroenerģijas ražošanas, pārvades un sadales būvēm” ar vārdiem un skaitli “</w:t>
            </w:r>
            <w:r w:rsidRPr="004B00CC">
              <w:rPr>
                <w:bCs/>
              </w:rPr>
              <w:t>enerģijas ražošanas hidrotehniskām būvēm ar jaudu līdz 2 MW”;</w:t>
            </w:r>
          </w:p>
          <w:p w:rsidR="00EA44B0" w:rsidRPr="004B00CC" w:rsidRDefault="00EA44B0" w:rsidP="00296BDA">
            <w:pPr>
              <w:ind w:left="57" w:right="57"/>
              <w:contextualSpacing/>
              <w:jc w:val="both"/>
            </w:pPr>
          </w:p>
        </w:tc>
      </w:tr>
      <w:tr w:rsidR="00EA44B0" w:rsidRPr="004B00CC" w:rsidTr="00296BDA">
        <w:trPr>
          <w:trHeight w:val="318"/>
        </w:trPr>
        <w:tc>
          <w:tcPr>
            <w:tcW w:w="709" w:type="dxa"/>
            <w:tcBorders>
              <w:top w:val="single" w:sz="6" w:space="0" w:color="000000"/>
              <w:left w:val="single" w:sz="6" w:space="0" w:color="000000"/>
              <w:bottom w:val="single" w:sz="4" w:space="0" w:color="auto"/>
              <w:right w:val="single" w:sz="6" w:space="0" w:color="000000"/>
            </w:tcBorders>
          </w:tcPr>
          <w:p w:rsidR="00EA44B0" w:rsidRPr="004B00CC" w:rsidRDefault="00EA44B0" w:rsidP="00296BDA">
            <w:pPr>
              <w:pStyle w:val="naisc"/>
              <w:spacing w:before="0" w:after="0"/>
              <w:ind w:left="57" w:right="57"/>
              <w:contextualSpacing/>
              <w:jc w:val="both"/>
            </w:pPr>
            <w:r w:rsidRPr="004B00CC">
              <w:t>4.</w:t>
            </w:r>
          </w:p>
        </w:tc>
        <w:tc>
          <w:tcPr>
            <w:tcW w:w="3680" w:type="dxa"/>
            <w:tcBorders>
              <w:top w:val="single" w:sz="6" w:space="0" w:color="000000"/>
              <w:left w:val="single" w:sz="6" w:space="0" w:color="000000"/>
              <w:bottom w:val="single" w:sz="4" w:space="0" w:color="auto"/>
              <w:right w:val="single" w:sz="6" w:space="0" w:color="000000"/>
            </w:tcBorders>
          </w:tcPr>
          <w:p w:rsidR="00EA44B0" w:rsidRPr="004B00CC" w:rsidRDefault="00EA44B0" w:rsidP="00296BDA">
            <w:pPr>
              <w:jc w:val="both"/>
              <w:rPr>
                <w:rStyle w:val="normaltextrun"/>
              </w:rPr>
            </w:pPr>
            <w:r w:rsidRPr="004B00CC">
              <w:t>1.8. izteikt 6.3.1. un 6.3.2. apakšpunktu šādā redakcijā:</w:t>
            </w:r>
          </w:p>
          <w:p w:rsidR="00EA44B0" w:rsidRPr="004B00CC" w:rsidRDefault="00EA44B0" w:rsidP="00296BDA">
            <w:pPr>
              <w:pStyle w:val="paragraph"/>
              <w:spacing w:before="0" w:beforeAutospacing="0" w:after="0" w:afterAutospacing="0"/>
              <w:jc w:val="both"/>
              <w:textAlignment w:val="baseline"/>
            </w:pPr>
            <w:r w:rsidRPr="004B00CC">
              <w:rPr>
                <w:rStyle w:val="normaltextrun"/>
              </w:rPr>
              <w:lastRenderedPageBreak/>
              <w:t>“6.3.1. iekšējo inženiertīklu būvdarbiem (izņemot elektronisko sakaru iekšējo inženiertīklu būvdarbus un šo noteikumu 6.</w:t>
            </w:r>
            <w:r w:rsidRPr="004B00CC">
              <w:rPr>
                <w:rStyle w:val="normaltextrun"/>
                <w:vertAlign w:val="superscript"/>
              </w:rPr>
              <w:t>1</w:t>
            </w:r>
            <w:r w:rsidRPr="004B00CC">
              <w:rPr>
                <w:rStyle w:val="normaltextrun"/>
              </w:rPr>
              <w:t> 1. apakšpunktā minētajos gadījumos);</w:t>
            </w:r>
          </w:p>
          <w:p w:rsidR="00EA44B0" w:rsidRPr="004B00CC" w:rsidRDefault="00EA44B0" w:rsidP="00296BDA">
            <w:pPr>
              <w:pStyle w:val="naisc"/>
              <w:spacing w:before="0" w:after="0"/>
              <w:ind w:left="57" w:right="57"/>
              <w:contextualSpacing/>
              <w:jc w:val="both"/>
            </w:pPr>
          </w:p>
        </w:tc>
        <w:tc>
          <w:tcPr>
            <w:tcW w:w="4386" w:type="dxa"/>
            <w:tcBorders>
              <w:top w:val="single" w:sz="6" w:space="0" w:color="000000"/>
              <w:left w:val="single" w:sz="6" w:space="0" w:color="000000"/>
              <w:bottom w:val="single" w:sz="4" w:space="0" w:color="auto"/>
              <w:right w:val="single" w:sz="6" w:space="0" w:color="000000"/>
            </w:tcBorders>
          </w:tcPr>
          <w:p w:rsidR="00EA44B0" w:rsidRPr="00E40DC5" w:rsidRDefault="00EA44B0" w:rsidP="00296BDA">
            <w:pPr>
              <w:pStyle w:val="naisc"/>
              <w:spacing w:before="0" w:after="0"/>
              <w:ind w:left="57" w:right="57"/>
              <w:contextualSpacing/>
              <w:jc w:val="both"/>
              <w:rPr>
                <w:b/>
                <w:bCs/>
                <w:u w:val="single"/>
              </w:rPr>
            </w:pPr>
            <w:r w:rsidRPr="00E40DC5">
              <w:rPr>
                <w:b/>
                <w:bCs/>
                <w:u w:val="single"/>
              </w:rPr>
              <w:lastRenderedPageBreak/>
              <w:t>Latvijas Pašvaldību savienība:</w:t>
            </w:r>
          </w:p>
          <w:p w:rsidR="00EA44B0" w:rsidRPr="004B00CC" w:rsidRDefault="00EA44B0" w:rsidP="00296BDA">
            <w:pPr>
              <w:jc w:val="both"/>
            </w:pPr>
            <w:r w:rsidRPr="004B00CC">
              <w:t>1.Lūdzam  izslēgt  Projekta Nr.2 6.3.1. apakšpunktā vārdus iekavās (</w:t>
            </w:r>
            <w:r w:rsidRPr="004B00CC">
              <w:rPr>
                <w:i/>
                <w:iCs/>
              </w:rPr>
              <w:t xml:space="preserve">izņemot </w:t>
            </w:r>
            <w:r w:rsidRPr="004B00CC">
              <w:rPr>
                <w:i/>
                <w:iCs/>
              </w:rPr>
              <w:lastRenderedPageBreak/>
              <w:t>elektronisko sakaru iekšējo inženiertīklu būvdarbus un</w:t>
            </w:r>
            <w:r w:rsidRPr="004B00CC">
              <w:t>), jo redakcija ir pretrunā ar  Ministru kabineta 2014.gada 19.augusta noteikumu Nr.501 “Elektronisko sakaru tīklu ierīkošanas, būvniecības un uzraudzības kārtība” 15. punktu, kas definē gadījumus, kad  būvniecības ieceres dokumenti nav nepieciešami;</w:t>
            </w:r>
          </w:p>
          <w:p w:rsidR="00EA44B0" w:rsidRPr="004B00CC" w:rsidRDefault="00EA44B0" w:rsidP="00296BDA">
            <w:pPr>
              <w:jc w:val="both"/>
            </w:pPr>
          </w:p>
          <w:p w:rsidR="00EA44B0" w:rsidRPr="00E40DC5" w:rsidRDefault="00EA44B0" w:rsidP="00296BDA">
            <w:pPr>
              <w:jc w:val="both"/>
              <w:rPr>
                <w:b/>
                <w:bCs/>
                <w:u w:val="single"/>
              </w:rPr>
            </w:pPr>
            <w:r w:rsidRPr="00E40DC5">
              <w:rPr>
                <w:b/>
                <w:bCs/>
                <w:u w:val="single"/>
              </w:rPr>
              <w:t>Latvijas Lielo pilsētu asociācija:</w:t>
            </w:r>
          </w:p>
          <w:p w:rsidR="00EA44B0" w:rsidRPr="004B00CC" w:rsidRDefault="00EA44B0" w:rsidP="00296BDA">
            <w:pPr>
              <w:pStyle w:val="tv213"/>
              <w:spacing w:before="0" w:beforeAutospacing="0" w:after="0" w:afterAutospacing="0"/>
              <w:jc w:val="both"/>
              <w:rPr>
                <w:lang w:eastAsia="en-US"/>
              </w:rPr>
            </w:pPr>
            <w:r w:rsidRPr="004B00CC">
              <w:rPr>
                <w:lang w:eastAsia="en-US"/>
              </w:rPr>
              <w:t>6.3.1. apakšpunkts paredz, ka būvniecības ieceres dokumentācija ir nepieciešama elektronisko sakaru iekšējo inženiertīklu būvdarbiem. Minētais punkts maldina personas, radot uztveri, ka personai šis punkts ir jāpiemēro elektronisko sakaru iekšējo inženiertīklu būvdarbiem, lai gan Ministru kabineta 19.08.2014. noteikumu Nr. 501 “Elektronisko sakaru tīklu ierīkošanas, būvniecības un uzraudzības kārtība” 15.</w:t>
            </w:r>
            <w:r w:rsidRPr="004B00CC">
              <w:rPr>
                <w:vertAlign w:val="superscript"/>
                <w:lang w:eastAsia="en-US"/>
              </w:rPr>
              <w:t>1</w:t>
            </w:r>
            <w:r w:rsidRPr="004B00CC">
              <w:rPr>
                <w:lang w:eastAsia="en-US"/>
              </w:rPr>
              <w:t> punkts nosaka, ka būvniecības ieceres dokumenti nav nepieciešami:</w:t>
            </w:r>
          </w:p>
          <w:p w:rsidR="00EA44B0" w:rsidRPr="004B00CC" w:rsidRDefault="00EA44B0" w:rsidP="00296BDA">
            <w:pPr>
              <w:jc w:val="both"/>
            </w:pPr>
            <w:r w:rsidRPr="004B00CC">
              <w:t>15.</w:t>
            </w:r>
            <w:r w:rsidRPr="004B00CC">
              <w:rPr>
                <w:vertAlign w:val="superscript"/>
              </w:rPr>
              <w:t>1 </w:t>
            </w:r>
            <w:r w:rsidRPr="004B00CC">
              <w:t>1. elektronisko sakaru tīkla un to iekārtu avāriju un bojājumu (arī bojājumu, kas radušies dabas stihijas, zādzības un citu neparedzētu apstākļu dēļ) seku novēršanai;</w:t>
            </w:r>
          </w:p>
          <w:p w:rsidR="00EA44B0" w:rsidRPr="004B00CC" w:rsidRDefault="00EA44B0" w:rsidP="00296BDA">
            <w:pPr>
              <w:jc w:val="both"/>
            </w:pPr>
            <w:r w:rsidRPr="004B00CC">
              <w:t>15.</w:t>
            </w:r>
            <w:r w:rsidRPr="004B00CC">
              <w:rPr>
                <w:vertAlign w:val="superscript"/>
              </w:rPr>
              <w:t>1 </w:t>
            </w:r>
            <w:r w:rsidRPr="004B00CC">
              <w:t>2. iekšējā elektronisko sakaru tīkla ierīkošanai vienā būvē, ja nav paredzēts publisko tiesību juridiskās personas vai Eiropas Savienības politiku instrumentu līdzfinansējums.</w:t>
            </w:r>
          </w:p>
          <w:p w:rsidR="00EA44B0" w:rsidRPr="004B00CC" w:rsidRDefault="00EA44B0" w:rsidP="00296BDA">
            <w:pPr>
              <w:pStyle w:val="naisc"/>
              <w:spacing w:before="0" w:after="0"/>
              <w:ind w:left="57" w:right="57"/>
              <w:contextualSpacing/>
              <w:jc w:val="both"/>
              <w:rPr>
                <w:rStyle w:val="normaltextrun"/>
              </w:rPr>
            </w:pPr>
            <w:r w:rsidRPr="004B00CC">
              <w:lastRenderedPageBreak/>
              <w:t>Līdz ar to lūdzam svītrot 6.3.1. apakšpunktā vārdus iekavās (</w:t>
            </w:r>
            <w:r w:rsidRPr="004B00CC">
              <w:rPr>
                <w:rStyle w:val="normaltextrun"/>
              </w:rPr>
              <w:t>izņemot elektronisko sakaru iekšējo inženiertīklu būvdarbus un).</w:t>
            </w:r>
          </w:p>
          <w:p w:rsidR="00EA44B0" w:rsidRPr="004B00CC" w:rsidRDefault="00EA44B0" w:rsidP="00296BDA">
            <w:pPr>
              <w:pStyle w:val="naisc"/>
              <w:spacing w:before="0" w:after="0"/>
              <w:ind w:left="57" w:right="57"/>
              <w:contextualSpacing/>
              <w:jc w:val="both"/>
            </w:pPr>
          </w:p>
          <w:p w:rsidR="00EA44B0" w:rsidRPr="00E40DC5" w:rsidRDefault="00EA44B0" w:rsidP="00296BDA">
            <w:pPr>
              <w:pStyle w:val="naisc"/>
              <w:spacing w:before="0" w:after="0"/>
              <w:ind w:left="57" w:right="57"/>
              <w:contextualSpacing/>
              <w:jc w:val="both"/>
              <w:rPr>
                <w:b/>
                <w:u w:val="single"/>
              </w:rPr>
            </w:pPr>
            <w:r w:rsidRPr="00E40DC5">
              <w:rPr>
                <w:b/>
                <w:u w:val="single"/>
              </w:rPr>
              <w:t>Latvijas Lielo pilsētu asociācija:</w:t>
            </w:r>
          </w:p>
          <w:p w:rsidR="00EA44B0" w:rsidRPr="004B00CC" w:rsidRDefault="00EA44B0" w:rsidP="00296BDA">
            <w:pPr>
              <w:pStyle w:val="naisc"/>
              <w:spacing w:before="0" w:after="0"/>
              <w:ind w:left="57" w:right="57"/>
              <w:contextualSpacing/>
              <w:jc w:val="both"/>
              <w:rPr>
                <w:bCs/>
              </w:rPr>
            </w:pPr>
            <w:r w:rsidRPr="004B00CC">
              <w:rPr>
                <w:bCs/>
              </w:rPr>
              <w:t xml:space="preserve">Nepieciešams papildināt spēkā esošo </w:t>
            </w:r>
            <w:r w:rsidRPr="004B00CC">
              <w:rPr>
                <w:bCs/>
                <w:iCs/>
              </w:rPr>
              <w:t>Ministru kabineta 2017. gada 9. maija noteikumu Nr. 253 “Atsevišķu inženierbūvju būvnoteikumi”</w:t>
            </w:r>
            <w:r w:rsidRPr="004B00CC">
              <w:rPr>
                <w:bCs/>
              </w:rPr>
              <w:t xml:space="preserve"> 2. punktu ar terminu “iekšējais inženiertīkls”.</w:t>
            </w:r>
          </w:p>
          <w:p w:rsidR="00EA44B0" w:rsidRPr="004B00CC" w:rsidRDefault="00EA44B0" w:rsidP="00296BDA">
            <w:pPr>
              <w:pStyle w:val="naisc"/>
              <w:spacing w:before="0" w:after="0"/>
              <w:ind w:left="57" w:right="57"/>
              <w:contextualSpacing/>
              <w:jc w:val="both"/>
            </w:pPr>
            <w:r w:rsidRPr="004B00CC">
              <w:t>Šāda definīcija nav ne Būvniecības likumā, ne Ministru kabineta 2014.gada 19.augusta noteikumos Nr.500 "Vispārīgie būvnoteikumi" (turpmāk – Vispārīgie būvnoteikumi).</w:t>
            </w:r>
          </w:p>
          <w:p w:rsidR="00EA44B0" w:rsidRPr="004B00CC" w:rsidRDefault="00EA44B0" w:rsidP="00296BDA">
            <w:pPr>
              <w:pStyle w:val="naisc"/>
              <w:spacing w:before="0" w:after="0"/>
              <w:ind w:left="57" w:right="57"/>
              <w:contextualSpacing/>
              <w:jc w:val="both"/>
            </w:pPr>
          </w:p>
          <w:p w:rsidR="00EA44B0" w:rsidRPr="00E40DC5" w:rsidRDefault="00EA44B0" w:rsidP="00296BDA">
            <w:pPr>
              <w:pStyle w:val="naisc"/>
              <w:spacing w:before="0" w:after="0"/>
              <w:ind w:left="57" w:right="57"/>
              <w:contextualSpacing/>
              <w:jc w:val="both"/>
              <w:rPr>
                <w:b/>
                <w:u w:val="single"/>
              </w:rPr>
            </w:pPr>
            <w:r w:rsidRPr="00E40DC5">
              <w:rPr>
                <w:b/>
                <w:u w:val="single"/>
              </w:rPr>
              <w:t>Latvijas Lielo pilsētu asociācija (16.02.2021.):</w:t>
            </w:r>
          </w:p>
          <w:p w:rsidR="00EA44B0" w:rsidRPr="004B00CC" w:rsidRDefault="00EA44B0" w:rsidP="00296BDA">
            <w:pPr>
              <w:pStyle w:val="CommentText"/>
              <w:jc w:val="both"/>
              <w:rPr>
                <w:rFonts w:ascii="Times New Roman" w:hAnsi="Times New Roman"/>
                <w:sz w:val="24"/>
                <w:szCs w:val="24"/>
              </w:rPr>
            </w:pPr>
            <w:r w:rsidRPr="004B00CC">
              <w:rPr>
                <w:rFonts w:ascii="Times New Roman" w:hAnsi="Times New Roman"/>
                <w:bCs/>
                <w:sz w:val="24"/>
                <w:szCs w:val="24"/>
              </w:rPr>
              <w:t xml:space="preserve">Nepieciešams papildināt spēkā esošo </w:t>
            </w:r>
            <w:r w:rsidRPr="004B00CC">
              <w:rPr>
                <w:rFonts w:ascii="Times New Roman" w:hAnsi="Times New Roman"/>
                <w:bCs/>
                <w:iCs/>
                <w:sz w:val="24"/>
                <w:szCs w:val="24"/>
              </w:rPr>
              <w:t xml:space="preserve">noteikumu </w:t>
            </w:r>
            <w:r w:rsidRPr="004B00CC">
              <w:rPr>
                <w:rFonts w:ascii="Times New Roman" w:hAnsi="Times New Roman"/>
                <w:bCs/>
                <w:sz w:val="24"/>
                <w:szCs w:val="24"/>
              </w:rPr>
              <w:t>2. punktu ar terminu “iekšējais inženiertīkls”, nevis iekļaut to konkrētajā punktā.</w:t>
            </w:r>
          </w:p>
          <w:p w:rsidR="00EA44B0" w:rsidRPr="004B00CC" w:rsidRDefault="00EA44B0" w:rsidP="00296BDA">
            <w:pPr>
              <w:pStyle w:val="naisc"/>
              <w:spacing w:before="0" w:after="0"/>
              <w:ind w:left="57" w:right="57"/>
              <w:contextualSpacing/>
              <w:jc w:val="both"/>
            </w:pPr>
          </w:p>
          <w:p w:rsidR="00EA44B0" w:rsidRPr="004B00CC" w:rsidRDefault="00EA44B0" w:rsidP="00296BDA">
            <w:pPr>
              <w:pStyle w:val="naisc"/>
              <w:spacing w:before="0" w:after="0"/>
              <w:ind w:left="57" w:right="57"/>
              <w:contextualSpacing/>
              <w:jc w:val="both"/>
            </w:pPr>
          </w:p>
        </w:tc>
        <w:tc>
          <w:tcPr>
            <w:tcW w:w="3275" w:type="dxa"/>
            <w:tcBorders>
              <w:top w:val="single" w:sz="6" w:space="0" w:color="000000"/>
              <w:left w:val="single" w:sz="6" w:space="0" w:color="000000"/>
              <w:bottom w:val="single" w:sz="4" w:space="0" w:color="auto"/>
              <w:right w:val="single" w:sz="6" w:space="0" w:color="000000"/>
            </w:tcBorders>
          </w:tcPr>
          <w:p w:rsidR="00EA44B0" w:rsidRPr="004B00CC" w:rsidRDefault="00EA44B0" w:rsidP="00296BDA">
            <w:pPr>
              <w:contextualSpacing/>
              <w:jc w:val="center"/>
              <w:rPr>
                <w:b/>
                <w:bCs/>
              </w:rPr>
            </w:pPr>
            <w:r w:rsidRPr="004B00CC">
              <w:rPr>
                <w:b/>
                <w:bCs/>
              </w:rPr>
              <w:lastRenderedPageBreak/>
              <w:t>Panākta vienošanās starpinstitūciju sanāksmē</w:t>
            </w:r>
          </w:p>
          <w:p w:rsidR="00EA44B0" w:rsidRPr="004B00CC" w:rsidRDefault="00EA44B0" w:rsidP="00296BDA">
            <w:pPr>
              <w:pStyle w:val="naisc"/>
              <w:spacing w:before="0" w:after="0"/>
              <w:ind w:left="57" w:right="57"/>
              <w:contextualSpacing/>
              <w:jc w:val="both"/>
            </w:pPr>
            <w:r w:rsidRPr="004B00CC">
              <w:lastRenderedPageBreak/>
              <w:t>Elektronisko sakaru tīklu, tai skaitā iekšējo tīklu, būvniecību reglamentē Ministru kabineta 2014.gada 19.augusta noteikumi Nr.501 “Elektronisko sakaru tīklu ierīkošanas, būvniecības un uzraudzības kārtība”</w:t>
            </w:r>
          </w:p>
          <w:p w:rsidR="00EA44B0" w:rsidRPr="004B00CC" w:rsidRDefault="00EA44B0" w:rsidP="00296BDA">
            <w:pPr>
              <w:pStyle w:val="naisc"/>
              <w:spacing w:before="0" w:after="0"/>
              <w:ind w:left="57" w:right="57"/>
              <w:contextualSpacing/>
              <w:jc w:val="both"/>
            </w:pPr>
          </w:p>
          <w:p w:rsidR="00A236B6" w:rsidRDefault="00A236B6" w:rsidP="00296BDA">
            <w:pPr>
              <w:contextualSpacing/>
              <w:jc w:val="center"/>
              <w:rPr>
                <w:b/>
                <w:bCs/>
              </w:rPr>
            </w:pPr>
          </w:p>
          <w:p w:rsidR="00EA44B0" w:rsidRPr="004B00CC" w:rsidRDefault="00EA44B0" w:rsidP="00296BDA">
            <w:pPr>
              <w:contextualSpacing/>
              <w:jc w:val="center"/>
              <w:rPr>
                <w:b/>
                <w:bCs/>
              </w:rPr>
            </w:pPr>
            <w:r w:rsidRPr="004B00CC">
              <w:rPr>
                <w:b/>
                <w:bCs/>
              </w:rPr>
              <w:t>Panākta vienošanās starpinstitūciju sanāksmē</w:t>
            </w:r>
          </w:p>
          <w:p w:rsidR="00EA44B0" w:rsidRPr="004B00CC" w:rsidRDefault="00EA44B0" w:rsidP="00296BDA">
            <w:pPr>
              <w:pStyle w:val="naisc"/>
              <w:spacing w:before="0" w:after="0"/>
              <w:ind w:left="57" w:right="57"/>
              <w:contextualSpacing/>
              <w:jc w:val="both"/>
            </w:pPr>
            <w:r w:rsidRPr="004B00CC">
              <w:t>Elektronisko sakaru tīklu, tai skaitā iekšējo tīklu, būvniecību reglamentē Ministru kabineta 2014.gada 19.augusta noteikumi Nr.501 “Elektronisko sakaru tīklu ierīkošanas, būvniecības un uzraudzības kārtība”</w:t>
            </w:r>
          </w:p>
          <w:p w:rsidR="00EA44B0" w:rsidRPr="004B00CC" w:rsidRDefault="00EA44B0" w:rsidP="00296BDA">
            <w:pPr>
              <w:pStyle w:val="naisc"/>
              <w:spacing w:before="0" w:after="0"/>
              <w:ind w:left="57" w:right="57"/>
              <w:contextualSpacing/>
              <w:jc w:val="both"/>
            </w:pPr>
          </w:p>
          <w:p w:rsidR="00EA44B0" w:rsidRPr="004B00CC" w:rsidRDefault="00EA44B0" w:rsidP="00296BDA">
            <w:pPr>
              <w:pStyle w:val="naisc"/>
              <w:spacing w:before="0" w:after="0"/>
              <w:ind w:left="57" w:right="57"/>
              <w:contextualSpacing/>
              <w:jc w:val="both"/>
            </w:pPr>
          </w:p>
          <w:p w:rsidR="00EA44B0" w:rsidRPr="004B00CC" w:rsidRDefault="00EA44B0" w:rsidP="00296BDA">
            <w:pPr>
              <w:pStyle w:val="naisc"/>
              <w:spacing w:before="0" w:after="0"/>
              <w:ind w:left="57" w:right="57"/>
              <w:contextualSpacing/>
              <w:jc w:val="both"/>
            </w:pPr>
          </w:p>
          <w:p w:rsidR="00EA44B0" w:rsidRPr="004B00CC" w:rsidRDefault="00EA44B0" w:rsidP="00296BDA">
            <w:pPr>
              <w:pStyle w:val="naisc"/>
              <w:spacing w:before="0" w:after="0"/>
              <w:ind w:left="57" w:right="57"/>
              <w:contextualSpacing/>
              <w:jc w:val="both"/>
            </w:pPr>
          </w:p>
          <w:p w:rsidR="00EA44B0" w:rsidRPr="004B00CC" w:rsidRDefault="00EA44B0" w:rsidP="00296BDA">
            <w:pPr>
              <w:pStyle w:val="naisc"/>
              <w:spacing w:before="0" w:after="0"/>
              <w:ind w:left="57" w:right="57"/>
              <w:contextualSpacing/>
              <w:jc w:val="both"/>
            </w:pPr>
          </w:p>
          <w:p w:rsidR="00EA44B0" w:rsidRPr="004B00CC" w:rsidRDefault="00EA44B0" w:rsidP="00296BDA">
            <w:pPr>
              <w:pStyle w:val="naisc"/>
              <w:spacing w:before="0" w:after="0"/>
              <w:ind w:left="57" w:right="57"/>
              <w:contextualSpacing/>
              <w:jc w:val="both"/>
            </w:pPr>
          </w:p>
          <w:p w:rsidR="00EA44B0" w:rsidRPr="004B00CC" w:rsidRDefault="00EA44B0" w:rsidP="00296BDA">
            <w:pPr>
              <w:pStyle w:val="naisc"/>
              <w:spacing w:before="0" w:after="0"/>
              <w:ind w:left="57" w:right="57"/>
              <w:contextualSpacing/>
              <w:jc w:val="both"/>
            </w:pPr>
          </w:p>
          <w:p w:rsidR="00EA44B0" w:rsidRPr="004B00CC" w:rsidRDefault="00EA44B0" w:rsidP="00296BDA">
            <w:pPr>
              <w:pStyle w:val="naisc"/>
              <w:spacing w:before="0" w:after="0"/>
              <w:ind w:left="57" w:right="57"/>
              <w:contextualSpacing/>
              <w:jc w:val="both"/>
            </w:pPr>
          </w:p>
          <w:p w:rsidR="00EA44B0" w:rsidRPr="004B00CC" w:rsidRDefault="00EA44B0" w:rsidP="00296BDA">
            <w:pPr>
              <w:pStyle w:val="naisc"/>
              <w:spacing w:before="0" w:after="0"/>
              <w:ind w:left="57" w:right="57"/>
              <w:contextualSpacing/>
              <w:jc w:val="both"/>
            </w:pPr>
          </w:p>
          <w:p w:rsidR="00EA44B0" w:rsidRPr="004B00CC" w:rsidRDefault="00EA44B0" w:rsidP="00296BDA">
            <w:pPr>
              <w:pStyle w:val="naisc"/>
              <w:spacing w:before="0" w:after="0"/>
              <w:ind w:left="57" w:right="57"/>
              <w:contextualSpacing/>
              <w:jc w:val="both"/>
            </w:pPr>
          </w:p>
          <w:p w:rsidR="00EA44B0" w:rsidRPr="004B00CC" w:rsidRDefault="00EA44B0" w:rsidP="00296BDA">
            <w:pPr>
              <w:pStyle w:val="naisc"/>
              <w:spacing w:before="0" w:after="0"/>
              <w:ind w:left="57" w:right="57"/>
              <w:contextualSpacing/>
              <w:jc w:val="both"/>
            </w:pPr>
          </w:p>
          <w:p w:rsidR="00EA44B0" w:rsidRPr="004B00CC" w:rsidRDefault="00EA44B0" w:rsidP="00296BDA">
            <w:pPr>
              <w:pStyle w:val="naisc"/>
              <w:spacing w:before="0" w:after="0"/>
              <w:ind w:left="57" w:right="57"/>
              <w:contextualSpacing/>
              <w:jc w:val="both"/>
            </w:pPr>
          </w:p>
          <w:p w:rsidR="00EA44B0" w:rsidRPr="004B00CC" w:rsidRDefault="00EA44B0" w:rsidP="00296BDA">
            <w:pPr>
              <w:pStyle w:val="naisc"/>
              <w:spacing w:before="0" w:after="0"/>
              <w:ind w:left="57" w:right="57"/>
              <w:contextualSpacing/>
              <w:jc w:val="both"/>
            </w:pPr>
          </w:p>
          <w:p w:rsidR="00EA44B0" w:rsidRPr="004B00CC" w:rsidRDefault="00EA44B0" w:rsidP="00296BDA">
            <w:pPr>
              <w:pStyle w:val="naisc"/>
              <w:spacing w:before="0" w:after="0"/>
              <w:ind w:left="57" w:right="57"/>
              <w:contextualSpacing/>
              <w:jc w:val="both"/>
            </w:pPr>
          </w:p>
          <w:p w:rsidR="00EA44B0" w:rsidRPr="004B00CC" w:rsidRDefault="00EA44B0" w:rsidP="00296BDA">
            <w:pPr>
              <w:pStyle w:val="naisc"/>
              <w:spacing w:before="0" w:after="0"/>
              <w:ind w:left="57" w:right="57"/>
              <w:contextualSpacing/>
              <w:jc w:val="both"/>
            </w:pPr>
          </w:p>
          <w:p w:rsidR="00EA44B0" w:rsidRPr="004B00CC" w:rsidRDefault="00EA44B0" w:rsidP="00296BDA">
            <w:pPr>
              <w:pStyle w:val="naisc"/>
              <w:spacing w:before="0" w:after="0"/>
              <w:ind w:left="57" w:right="57"/>
              <w:contextualSpacing/>
              <w:jc w:val="both"/>
            </w:pPr>
          </w:p>
          <w:p w:rsidR="00EA44B0" w:rsidRPr="004B00CC" w:rsidRDefault="00EA44B0" w:rsidP="00296BDA">
            <w:pPr>
              <w:pStyle w:val="naisc"/>
              <w:spacing w:before="0" w:after="0"/>
              <w:ind w:left="57" w:right="57"/>
              <w:contextualSpacing/>
              <w:jc w:val="both"/>
            </w:pPr>
          </w:p>
          <w:p w:rsidR="00A236B6" w:rsidRDefault="00A236B6" w:rsidP="00296BDA">
            <w:pPr>
              <w:pStyle w:val="naisc"/>
              <w:spacing w:before="0" w:after="0"/>
              <w:ind w:left="57" w:right="57"/>
              <w:contextualSpacing/>
              <w:rPr>
                <w:b/>
                <w:bCs/>
              </w:rPr>
            </w:pPr>
          </w:p>
          <w:p w:rsidR="00EA44B0" w:rsidRPr="004B00CC" w:rsidRDefault="00EA44B0" w:rsidP="00296BDA">
            <w:pPr>
              <w:pStyle w:val="naisc"/>
              <w:spacing w:before="0" w:after="0"/>
              <w:ind w:left="57" w:right="57"/>
              <w:contextualSpacing/>
              <w:rPr>
                <w:b/>
                <w:bCs/>
              </w:rPr>
            </w:pPr>
            <w:r w:rsidRPr="004B00CC">
              <w:rPr>
                <w:b/>
                <w:bCs/>
              </w:rPr>
              <w:t>Ņemts vērā</w:t>
            </w:r>
          </w:p>
          <w:p w:rsidR="00EA44B0" w:rsidRPr="004B00CC" w:rsidRDefault="00EA44B0" w:rsidP="00296BDA">
            <w:pPr>
              <w:pStyle w:val="naisc"/>
              <w:spacing w:before="0" w:after="0"/>
              <w:ind w:left="57" w:right="57"/>
              <w:contextualSpacing/>
              <w:rPr>
                <w:b/>
                <w:bCs/>
              </w:rPr>
            </w:pPr>
          </w:p>
          <w:p w:rsidR="00EA44B0" w:rsidRPr="004B00CC" w:rsidRDefault="00EA44B0" w:rsidP="00296BDA">
            <w:pPr>
              <w:pStyle w:val="naisc"/>
              <w:spacing w:before="0" w:after="0"/>
              <w:ind w:left="57" w:right="57"/>
              <w:contextualSpacing/>
              <w:rPr>
                <w:b/>
                <w:bCs/>
              </w:rPr>
            </w:pPr>
          </w:p>
          <w:p w:rsidR="00EA44B0" w:rsidRPr="004B00CC" w:rsidRDefault="00EA44B0" w:rsidP="00296BDA">
            <w:pPr>
              <w:pStyle w:val="naisc"/>
              <w:spacing w:before="0" w:after="0"/>
              <w:ind w:left="57" w:right="57"/>
              <w:contextualSpacing/>
              <w:rPr>
                <w:b/>
                <w:bCs/>
              </w:rPr>
            </w:pPr>
          </w:p>
          <w:p w:rsidR="00EA44B0" w:rsidRPr="004B00CC" w:rsidRDefault="00EA44B0" w:rsidP="00296BDA">
            <w:pPr>
              <w:pStyle w:val="naisc"/>
              <w:spacing w:before="0" w:after="0"/>
              <w:ind w:left="57" w:right="57"/>
              <w:contextualSpacing/>
              <w:rPr>
                <w:b/>
                <w:bCs/>
              </w:rPr>
            </w:pPr>
          </w:p>
          <w:p w:rsidR="00EA44B0" w:rsidRPr="004B00CC" w:rsidRDefault="00EA44B0" w:rsidP="00296BDA">
            <w:pPr>
              <w:pStyle w:val="naisc"/>
              <w:spacing w:before="0" w:after="0"/>
              <w:ind w:left="57" w:right="57"/>
              <w:contextualSpacing/>
              <w:rPr>
                <w:b/>
                <w:bCs/>
              </w:rPr>
            </w:pPr>
          </w:p>
          <w:p w:rsidR="00EA44B0" w:rsidRPr="004B00CC" w:rsidRDefault="00EA44B0" w:rsidP="00296BDA">
            <w:pPr>
              <w:pStyle w:val="naisc"/>
              <w:spacing w:before="0" w:after="0"/>
              <w:ind w:left="57" w:right="57"/>
              <w:contextualSpacing/>
              <w:rPr>
                <w:b/>
                <w:bCs/>
              </w:rPr>
            </w:pPr>
          </w:p>
          <w:p w:rsidR="00EA44B0" w:rsidRPr="004B00CC" w:rsidRDefault="00EA44B0" w:rsidP="00296BDA">
            <w:pPr>
              <w:pStyle w:val="naisc"/>
              <w:spacing w:before="0" w:after="0"/>
              <w:ind w:left="57" w:right="57"/>
              <w:contextualSpacing/>
              <w:rPr>
                <w:b/>
                <w:bCs/>
              </w:rPr>
            </w:pPr>
          </w:p>
          <w:p w:rsidR="00EA44B0" w:rsidRPr="004B00CC" w:rsidRDefault="00EA44B0" w:rsidP="00296BDA">
            <w:pPr>
              <w:pStyle w:val="naisc"/>
              <w:spacing w:before="0" w:after="0"/>
              <w:ind w:left="57" w:right="57"/>
              <w:contextualSpacing/>
              <w:rPr>
                <w:b/>
                <w:bCs/>
              </w:rPr>
            </w:pPr>
          </w:p>
          <w:p w:rsidR="00EA44B0" w:rsidRPr="004B00CC" w:rsidRDefault="00EA44B0" w:rsidP="00296BDA">
            <w:pPr>
              <w:pStyle w:val="naisc"/>
              <w:spacing w:before="0" w:after="0"/>
              <w:ind w:left="57" w:right="57"/>
              <w:contextualSpacing/>
              <w:rPr>
                <w:b/>
                <w:bCs/>
              </w:rPr>
            </w:pPr>
          </w:p>
          <w:p w:rsidR="00EA44B0" w:rsidRPr="004B00CC" w:rsidRDefault="00EA44B0" w:rsidP="00296BDA">
            <w:pPr>
              <w:pStyle w:val="naisc"/>
              <w:spacing w:before="0" w:after="0"/>
              <w:ind w:left="57" w:right="57"/>
              <w:contextualSpacing/>
              <w:rPr>
                <w:b/>
                <w:bCs/>
              </w:rPr>
            </w:pPr>
          </w:p>
          <w:p w:rsidR="00A236B6" w:rsidRDefault="00A236B6" w:rsidP="00296BDA">
            <w:pPr>
              <w:pStyle w:val="naisc"/>
              <w:spacing w:before="0" w:after="0"/>
              <w:ind w:left="57" w:right="57"/>
              <w:contextualSpacing/>
              <w:rPr>
                <w:b/>
                <w:bCs/>
              </w:rPr>
            </w:pPr>
          </w:p>
          <w:p w:rsidR="00EA44B0" w:rsidRPr="004B00CC" w:rsidRDefault="00EA44B0" w:rsidP="00296BDA">
            <w:pPr>
              <w:pStyle w:val="naisc"/>
              <w:spacing w:before="0" w:after="0"/>
              <w:ind w:left="57" w:right="57"/>
              <w:contextualSpacing/>
              <w:rPr>
                <w:b/>
                <w:bCs/>
              </w:rPr>
            </w:pPr>
            <w:r w:rsidRPr="004B00CC">
              <w:rPr>
                <w:b/>
                <w:bCs/>
              </w:rPr>
              <w:t>Ņemts vērā</w:t>
            </w:r>
          </w:p>
          <w:p w:rsidR="00EA44B0" w:rsidRPr="004B00CC" w:rsidRDefault="00EA44B0" w:rsidP="00296BDA">
            <w:pPr>
              <w:pStyle w:val="naisc"/>
              <w:spacing w:before="0" w:after="0"/>
              <w:ind w:left="57" w:right="57"/>
              <w:contextualSpacing/>
              <w:jc w:val="both"/>
            </w:pPr>
            <w:r w:rsidRPr="004B00CC">
              <w:t>Termins skaidrojums tika pārrunāts 26.01.2021. starpinstitūciju sanāksmē un tika panākta vienošanās. Spēkā esošajā redakcijā nav skaidrots neviens termins, bet, ja nepieciešams, tie ir iekļauti pie attiecīgā punkta.</w:t>
            </w:r>
          </w:p>
          <w:p w:rsidR="00EA44B0" w:rsidRPr="004B00CC" w:rsidRDefault="00EA44B0" w:rsidP="00296BDA">
            <w:pPr>
              <w:pStyle w:val="naisc"/>
              <w:spacing w:before="0" w:after="0"/>
              <w:ind w:left="57" w:right="57"/>
              <w:contextualSpacing/>
              <w:jc w:val="both"/>
            </w:pPr>
          </w:p>
        </w:tc>
        <w:tc>
          <w:tcPr>
            <w:tcW w:w="3638" w:type="dxa"/>
            <w:tcBorders>
              <w:top w:val="single" w:sz="4" w:space="0" w:color="auto"/>
              <w:left w:val="single" w:sz="4" w:space="0" w:color="auto"/>
              <w:bottom w:val="single" w:sz="4" w:space="0" w:color="auto"/>
            </w:tcBorders>
          </w:tcPr>
          <w:p w:rsidR="00EA44B0" w:rsidRPr="004B00CC" w:rsidRDefault="00EA44B0" w:rsidP="00296BDA">
            <w:pPr>
              <w:jc w:val="both"/>
              <w:rPr>
                <w:rStyle w:val="normaltextrun"/>
              </w:rPr>
            </w:pPr>
            <w:r w:rsidRPr="004B00CC">
              <w:lastRenderedPageBreak/>
              <w:t>1.8. izteikt 6.3.1. un 6.3.2. apakšpunktu šādā redakcijā:</w:t>
            </w:r>
          </w:p>
          <w:p w:rsidR="00EA44B0" w:rsidRPr="004B00CC" w:rsidRDefault="00EA44B0" w:rsidP="00296BDA">
            <w:pPr>
              <w:jc w:val="both"/>
            </w:pPr>
            <w:r w:rsidRPr="004B00CC">
              <w:rPr>
                <w:rStyle w:val="normaltextrun"/>
              </w:rPr>
              <w:lastRenderedPageBreak/>
              <w:t>“</w:t>
            </w:r>
            <w:bookmarkStart w:id="8" w:name="_Hlk61518969"/>
            <w:r w:rsidRPr="004B00CC">
              <w:rPr>
                <w:rStyle w:val="normaltextrun"/>
              </w:rPr>
              <w:t xml:space="preserve">6.3.1. iekšējo inženiertīklu </w:t>
            </w:r>
            <w:bookmarkStart w:id="9" w:name="_Hlk60998472"/>
            <w:r w:rsidRPr="004B00CC">
              <w:rPr>
                <w:rStyle w:val="normaltextrun"/>
              </w:rPr>
              <w:t>(</w:t>
            </w:r>
            <w:r w:rsidRPr="004B00CC">
              <w:t xml:space="preserve">būves piederums, kas sastāv no cauruļvadiem, kabeļiem, vadiem, aprīkojuma, iekārtām un ierīcēm un paredzēts elektroenerģijas, siltumenerģijas, gāzes, ūdens un citu resursu pārvadei vai sadalei) </w:t>
            </w:r>
            <w:r w:rsidRPr="004B00CC">
              <w:rPr>
                <w:rStyle w:val="normaltextrun"/>
              </w:rPr>
              <w:t>būvdarbiem (izņemot šo noteikumu 6.</w:t>
            </w:r>
            <w:r w:rsidRPr="004B00CC">
              <w:rPr>
                <w:rStyle w:val="normaltextrun"/>
                <w:vertAlign w:val="superscript"/>
              </w:rPr>
              <w:t>1</w:t>
            </w:r>
            <w:r w:rsidRPr="004B00CC">
              <w:rPr>
                <w:rStyle w:val="normaltextrun"/>
              </w:rPr>
              <w:t> 1. apakšpunktā minētajos gadījumos), ja tie atbilst šo noteikumu 6.</w:t>
            </w:r>
            <w:r w:rsidRPr="004B00CC">
              <w:rPr>
                <w:rStyle w:val="normaltextrun"/>
                <w:vertAlign w:val="superscript"/>
              </w:rPr>
              <w:t>5</w:t>
            </w:r>
            <w:r w:rsidRPr="004B00CC">
              <w:rPr>
                <w:rStyle w:val="normaltextrun"/>
              </w:rPr>
              <w:t> punkta nosacījumiem;</w:t>
            </w:r>
          </w:p>
          <w:bookmarkEnd w:id="8"/>
          <w:bookmarkEnd w:id="9"/>
          <w:p w:rsidR="00EA44B0" w:rsidRPr="004B00CC" w:rsidRDefault="00EA44B0" w:rsidP="00296BDA">
            <w:pPr>
              <w:ind w:left="57" w:right="57"/>
              <w:contextualSpacing/>
              <w:jc w:val="both"/>
            </w:pPr>
          </w:p>
        </w:tc>
      </w:tr>
      <w:tr w:rsidR="00EA44B0" w:rsidRPr="004B00CC" w:rsidTr="00296BDA">
        <w:trPr>
          <w:trHeight w:val="318"/>
        </w:trPr>
        <w:tc>
          <w:tcPr>
            <w:tcW w:w="709" w:type="dxa"/>
            <w:tcBorders>
              <w:top w:val="single" w:sz="6" w:space="0" w:color="000000"/>
              <w:left w:val="single" w:sz="6" w:space="0" w:color="000000"/>
              <w:bottom w:val="single" w:sz="4" w:space="0" w:color="auto"/>
              <w:right w:val="single" w:sz="6" w:space="0" w:color="000000"/>
            </w:tcBorders>
          </w:tcPr>
          <w:p w:rsidR="00EA44B0" w:rsidRPr="004B00CC" w:rsidRDefault="00EA44B0" w:rsidP="00296BDA">
            <w:pPr>
              <w:pStyle w:val="naisc"/>
              <w:spacing w:before="0" w:after="0"/>
              <w:ind w:left="57" w:right="57"/>
              <w:contextualSpacing/>
              <w:jc w:val="both"/>
            </w:pPr>
            <w:r w:rsidRPr="004B00CC">
              <w:lastRenderedPageBreak/>
              <w:t>5.</w:t>
            </w:r>
          </w:p>
        </w:tc>
        <w:tc>
          <w:tcPr>
            <w:tcW w:w="3680" w:type="dxa"/>
            <w:tcBorders>
              <w:top w:val="single" w:sz="6" w:space="0" w:color="000000"/>
              <w:left w:val="single" w:sz="6" w:space="0" w:color="000000"/>
              <w:bottom w:val="single" w:sz="4" w:space="0" w:color="auto"/>
              <w:right w:val="single" w:sz="6" w:space="0" w:color="000000"/>
            </w:tcBorders>
          </w:tcPr>
          <w:p w:rsidR="00EA44B0" w:rsidRPr="004B00CC" w:rsidRDefault="00EA44B0" w:rsidP="00296BDA">
            <w:pPr>
              <w:pStyle w:val="paragraph"/>
              <w:spacing w:before="0" w:beforeAutospacing="0" w:after="0" w:afterAutospacing="0"/>
              <w:jc w:val="both"/>
              <w:textAlignment w:val="baseline"/>
              <w:rPr>
                <w:rStyle w:val="eop"/>
              </w:rPr>
            </w:pPr>
            <w:r w:rsidRPr="004B00CC">
              <w:rPr>
                <w:rStyle w:val="eop"/>
              </w:rPr>
              <w:t>1.9. papildināt noteikumus ar 6.3.4.</w:t>
            </w:r>
            <w:r w:rsidRPr="004B00CC">
              <w:rPr>
                <w:rStyle w:val="eop"/>
                <w:vertAlign w:val="superscript"/>
              </w:rPr>
              <w:t>1</w:t>
            </w:r>
            <w:r w:rsidRPr="004B00CC">
              <w:rPr>
                <w:rStyle w:val="eop"/>
              </w:rPr>
              <w:t xml:space="preserve"> un 6.3.4.</w:t>
            </w:r>
            <w:r w:rsidRPr="004B00CC">
              <w:rPr>
                <w:rStyle w:val="eop"/>
                <w:vertAlign w:val="superscript"/>
              </w:rPr>
              <w:t>2</w:t>
            </w:r>
            <w:r w:rsidRPr="004B00CC">
              <w:rPr>
                <w:rStyle w:val="eop"/>
              </w:rPr>
              <w:t> apakšpunktu šādā redakcijā:</w:t>
            </w:r>
          </w:p>
          <w:p w:rsidR="00EA44B0" w:rsidRPr="004B00CC" w:rsidRDefault="00EA44B0" w:rsidP="00296BDA">
            <w:pPr>
              <w:pStyle w:val="paragraph"/>
              <w:spacing w:before="0" w:beforeAutospacing="0" w:after="0" w:afterAutospacing="0"/>
              <w:jc w:val="both"/>
              <w:textAlignment w:val="baseline"/>
              <w:rPr>
                <w:rStyle w:val="normaltextrun"/>
              </w:rPr>
            </w:pPr>
            <w:r w:rsidRPr="004B00CC">
              <w:rPr>
                <w:rStyle w:val="normaltextrun"/>
              </w:rPr>
              <w:t>6.3.4.</w:t>
            </w:r>
            <w:r w:rsidRPr="004B00CC">
              <w:rPr>
                <w:rStyle w:val="normaltextrun"/>
                <w:vertAlign w:val="superscript"/>
              </w:rPr>
              <w:t>2 </w:t>
            </w:r>
            <w:r w:rsidRPr="004B00CC">
              <w:rPr>
                <w:rStyle w:val="normaltextrun"/>
              </w:rPr>
              <w:t xml:space="preserve"> gaisvada elektrības </w:t>
            </w:r>
            <w:proofErr w:type="spellStart"/>
            <w:r w:rsidRPr="004B00CC">
              <w:rPr>
                <w:rStyle w:val="normaltextrun"/>
              </w:rPr>
              <w:t>pieslēgumam</w:t>
            </w:r>
            <w:proofErr w:type="spellEnd"/>
            <w:r w:rsidRPr="004B00CC">
              <w:rPr>
                <w:rStyle w:val="normaltextrun"/>
              </w:rPr>
              <w:t xml:space="preserve"> līdz 5 m pie stacionārā reklāmas un informācijas stenda”;</w:t>
            </w:r>
          </w:p>
          <w:p w:rsidR="00EA44B0" w:rsidRPr="004B00CC" w:rsidRDefault="00EA44B0" w:rsidP="00296BDA">
            <w:pPr>
              <w:pStyle w:val="naisc"/>
              <w:spacing w:before="0" w:after="0"/>
              <w:ind w:left="57" w:right="57"/>
              <w:contextualSpacing/>
              <w:jc w:val="both"/>
            </w:pPr>
          </w:p>
        </w:tc>
        <w:tc>
          <w:tcPr>
            <w:tcW w:w="4386" w:type="dxa"/>
            <w:tcBorders>
              <w:top w:val="single" w:sz="6" w:space="0" w:color="000000"/>
              <w:left w:val="single" w:sz="6" w:space="0" w:color="000000"/>
              <w:bottom w:val="single" w:sz="4" w:space="0" w:color="auto"/>
              <w:right w:val="single" w:sz="6" w:space="0" w:color="000000"/>
            </w:tcBorders>
          </w:tcPr>
          <w:p w:rsidR="00EA44B0" w:rsidRPr="004B00CC" w:rsidRDefault="00EA44B0" w:rsidP="00296BDA">
            <w:pPr>
              <w:pStyle w:val="naisc"/>
              <w:spacing w:before="0" w:after="0"/>
              <w:ind w:left="57" w:right="57"/>
              <w:contextualSpacing/>
              <w:jc w:val="both"/>
              <w:rPr>
                <w:b/>
                <w:bCs/>
              </w:rPr>
            </w:pPr>
            <w:r w:rsidRPr="004B00CC">
              <w:rPr>
                <w:b/>
                <w:bCs/>
              </w:rPr>
              <w:t>AS “Sadales tīkls”:</w:t>
            </w:r>
          </w:p>
          <w:p w:rsidR="00EA44B0" w:rsidRPr="004B00CC" w:rsidRDefault="00EA44B0" w:rsidP="00296BDA">
            <w:pPr>
              <w:pStyle w:val="naisc"/>
              <w:spacing w:before="0" w:after="0"/>
              <w:ind w:left="57" w:right="57"/>
              <w:contextualSpacing/>
              <w:jc w:val="both"/>
              <w:rPr>
                <w:i/>
                <w:iCs/>
              </w:rPr>
            </w:pPr>
            <w:r w:rsidRPr="004B00CC">
              <w:t xml:space="preserve">1.2. Lai nodrošinātu iespējami vienkāršāku </w:t>
            </w:r>
            <w:proofErr w:type="spellStart"/>
            <w:r w:rsidRPr="004B00CC">
              <w:t>pieslēguma</w:t>
            </w:r>
            <w:proofErr w:type="spellEnd"/>
            <w:r w:rsidRPr="004B00CC">
              <w:t xml:space="preserve"> ierīkošanas procesu, bez būvniecības ieceres dokumentācijas sagatavošanas arī cita veida objektiem (ne tikai reklāmas stendiem), kas atrodas esošo gaisvadu elektrotīklu tuvumā, AS "Sadales tīkls" rosina paplašināt Noteikumu projekta 1.9. apakšpunktā ietvertā 6.3.4.</w:t>
            </w:r>
            <w:r w:rsidRPr="004B00CC">
              <w:rPr>
                <w:vertAlign w:val="superscript"/>
              </w:rPr>
              <w:t>2</w:t>
            </w:r>
            <w:r w:rsidRPr="004B00CC">
              <w:t xml:space="preserve"> apakšpunkta tvērumu, neattiecinot prasības tikai uz reklāmas un informācijas stendiem, un arī palielinot pieļaujamo gaisvadu pievada garumu. Ja gaisvadu elektrotīkla </w:t>
            </w:r>
            <w:proofErr w:type="spellStart"/>
            <w:r w:rsidRPr="004B00CC">
              <w:t>pievads</w:t>
            </w:r>
            <w:proofErr w:type="spellEnd"/>
            <w:r w:rsidRPr="004B00CC">
              <w:t xml:space="preserve"> ierīkots atbilstoši būvnormatīvu prasībām, tā garums neatstāj būtisku ietekmi, it īpaši teritorijās ārpus pilsētām un ciemiem. AS "Sadales tīkls" neiebilstu pret prasību veikt arī šādu pievadu uzmērīšanu pēc ierīkošanas. </w:t>
            </w:r>
            <w:proofErr w:type="spellStart"/>
            <w:r w:rsidRPr="004B00CC">
              <w:t>Energostandarts</w:t>
            </w:r>
            <w:proofErr w:type="spellEnd"/>
            <w:r w:rsidRPr="004B00CC">
              <w:t xml:space="preserve"> LEK014 "0,4 </w:t>
            </w:r>
            <w:proofErr w:type="spellStart"/>
            <w:r w:rsidRPr="004B00CC">
              <w:t>kV</w:t>
            </w:r>
            <w:proofErr w:type="spellEnd"/>
            <w:r w:rsidRPr="004B00CC">
              <w:t xml:space="preserve"> gaisvadu elektrolīnijas. Galvenās tehniskās prasības" 2.4. punktā nosaka, ka "</w:t>
            </w:r>
            <w:proofErr w:type="spellStart"/>
            <w:r w:rsidRPr="004B00CC">
              <w:t>Pievads</w:t>
            </w:r>
            <w:proofErr w:type="spellEnd"/>
            <w:r w:rsidRPr="004B00CC">
              <w:t xml:space="preserve"> ar </w:t>
            </w:r>
            <w:proofErr w:type="spellStart"/>
            <w:r w:rsidRPr="004B00CC">
              <w:t>piekarkabeli</w:t>
            </w:r>
            <w:proofErr w:type="spellEnd"/>
            <w:r w:rsidRPr="004B00CC">
              <w:t xml:space="preserve"> no gaisvadu elektrolīnijas balsta līdz ēkas sienai vai konstrukcijai garumā nedrīkst pārsniegt 25 m.". Gaisvadu līnijas vadi atrodas 6m augstumā, vidējais pārlaidums starp zemsprieguma elektrolīnijas balstiem ir +/- 60 m. Ar 5m garu pievadu ierīkot gaisvadu </w:t>
            </w:r>
            <w:proofErr w:type="spellStart"/>
            <w:r w:rsidRPr="004B00CC">
              <w:t>pieslēgumu</w:t>
            </w:r>
            <w:proofErr w:type="spellEnd"/>
            <w:r w:rsidRPr="004B00CC">
              <w:t xml:space="preserve"> elektrolīnijai ir praktiski neiespējami, ja vien </w:t>
            </w:r>
            <w:r w:rsidRPr="004B00CC">
              <w:lastRenderedPageBreak/>
              <w:t xml:space="preserve">pieslēdzamais objekts neatrodas tieši blakus gaisvadu līnijas balstam. Ja atļautais pievada garums būtu 25m, kas ir aptuveni puse no vidējā zemsprieguma līnijas pārlaiduma garuma, tas nozīmētu, ka šādu gaisvada </w:t>
            </w:r>
            <w:proofErr w:type="spellStart"/>
            <w:r w:rsidRPr="004B00CC">
              <w:t>pieslēgumu</w:t>
            </w:r>
            <w:proofErr w:type="spellEnd"/>
            <w:r w:rsidRPr="004B00CC">
              <w:t xml:space="preserve"> būtu iespējams ierīkot gandrīz jebkurā posmā starp diviem esošas gaisvadu līnijas balstiem, lieki </w:t>
            </w:r>
            <w:proofErr w:type="spellStart"/>
            <w:r w:rsidRPr="004B00CC">
              <w:t>nesarežģījot</w:t>
            </w:r>
            <w:proofErr w:type="spellEnd"/>
            <w:r w:rsidRPr="004B00CC">
              <w:t xml:space="preserve"> </w:t>
            </w:r>
            <w:proofErr w:type="spellStart"/>
            <w:r w:rsidRPr="004B00CC">
              <w:t>pieslēguma</w:t>
            </w:r>
            <w:proofErr w:type="spellEnd"/>
            <w:r w:rsidRPr="004B00CC">
              <w:t xml:space="preserve"> ierīkošanas procesu. Ierīkotā pievada uzmērījums varētu tikt prasīts.  Ievērojot iepriekš minēto, rosinām izteikt 6.3.4.</w:t>
            </w:r>
            <w:r w:rsidRPr="004B00CC">
              <w:rPr>
                <w:vertAlign w:val="superscript"/>
              </w:rPr>
              <w:t>2</w:t>
            </w:r>
            <w:r w:rsidRPr="004B00CC">
              <w:t xml:space="preserve"> punktu šādā redakcijā: </w:t>
            </w:r>
            <w:r w:rsidRPr="004B00CC">
              <w:rPr>
                <w:i/>
                <w:iCs/>
              </w:rPr>
              <w:t>"6.3.4.</w:t>
            </w:r>
            <w:r w:rsidRPr="004B00CC">
              <w:rPr>
                <w:i/>
                <w:iCs/>
                <w:vertAlign w:val="superscript"/>
              </w:rPr>
              <w:t>2</w:t>
            </w:r>
            <w:r w:rsidRPr="004B00CC">
              <w:rPr>
                <w:i/>
                <w:iCs/>
              </w:rPr>
              <w:t xml:space="preserve"> elektrolīnijas gaisvada </w:t>
            </w:r>
            <w:proofErr w:type="spellStart"/>
            <w:r w:rsidRPr="004B00CC">
              <w:rPr>
                <w:i/>
                <w:iCs/>
              </w:rPr>
              <w:t>pieslēgumam</w:t>
            </w:r>
            <w:proofErr w:type="spellEnd"/>
            <w:r w:rsidRPr="004B00CC">
              <w:rPr>
                <w:i/>
                <w:iCs/>
              </w:rPr>
              <w:t xml:space="preserve">, kas ierīkojams </w:t>
            </w:r>
            <w:proofErr w:type="spellStart"/>
            <w:r w:rsidRPr="004B00CC">
              <w:rPr>
                <w:i/>
                <w:iCs/>
              </w:rPr>
              <w:t>elektroizolētā</w:t>
            </w:r>
            <w:proofErr w:type="spellEnd"/>
            <w:r w:rsidRPr="004B00CC">
              <w:rPr>
                <w:i/>
                <w:iCs/>
              </w:rPr>
              <w:t xml:space="preserve"> izpildījumā vienā pārlaidumā ar garumu līdz 10 m, nešķērsojot ielu brauktuves, ceļus un citas virszemes būves (izņemot žogus, sētas)". </w:t>
            </w:r>
          </w:p>
          <w:p w:rsidR="00EA44B0" w:rsidRPr="004B00CC" w:rsidRDefault="00EA44B0" w:rsidP="00296BDA">
            <w:pPr>
              <w:pStyle w:val="naisc"/>
              <w:spacing w:before="0" w:after="0"/>
              <w:ind w:left="57" w:right="57"/>
              <w:contextualSpacing/>
              <w:jc w:val="both"/>
            </w:pPr>
          </w:p>
        </w:tc>
        <w:tc>
          <w:tcPr>
            <w:tcW w:w="3275" w:type="dxa"/>
            <w:tcBorders>
              <w:top w:val="single" w:sz="6" w:space="0" w:color="000000"/>
              <w:left w:val="single" w:sz="6" w:space="0" w:color="000000"/>
              <w:bottom w:val="single" w:sz="4" w:space="0" w:color="auto"/>
              <w:right w:val="single" w:sz="6" w:space="0" w:color="000000"/>
            </w:tcBorders>
          </w:tcPr>
          <w:p w:rsidR="00EA44B0" w:rsidRPr="004B00CC" w:rsidRDefault="00EA44B0" w:rsidP="00296BDA">
            <w:pPr>
              <w:pStyle w:val="naisc"/>
              <w:spacing w:before="0" w:after="0"/>
              <w:ind w:left="57" w:right="57"/>
              <w:contextualSpacing/>
              <w:rPr>
                <w:b/>
                <w:bCs/>
              </w:rPr>
            </w:pPr>
            <w:r w:rsidRPr="004B00CC">
              <w:rPr>
                <w:b/>
                <w:bCs/>
              </w:rPr>
              <w:lastRenderedPageBreak/>
              <w:t>Ņemts vērā</w:t>
            </w:r>
          </w:p>
        </w:tc>
        <w:tc>
          <w:tcPr>
            <w:tcW w:w="3638" w:type="dxa"/>
            <w:tcBorders>
              <w:top w:val="single" w:sz="4" w:space="0" w:color="auto"/>
              <w:left w:val="single" w:sz="4" w:space="0" w:color="auto"/>
              <w:bottom w:val="single" w:sz="4" w:space="0" w:color="auto"/>
            </w:tcBorders>
          </w:tcPr>
          <w:p w:rsidR="00EA44B0" w:rsidRPr="004B00CC" w:rsidRDefault="00EA44B0" w:rsidP="00296BDA">
            <w:pPr>
              <w:pStyle w:val="paragraph"/>
              <w:spacing w:before="0" w:beforeAutospacing="0" w:after="0" w:afterAutospacing="0"/>
              <w:jc w:val="both"/>
              <w:textAlignment w:val="baseline"/>
              <w:rPr>
                <w:rStyle w:val="eop"/>
              </w:rPr>
            </w:pPr>
            <w:r w:rsidRPr="004B00CC">
              <w:rPr>
                <w:rStyle w:val="eop"/>
              </w:rPr>
              <w:t>1.10. papildināt noteikumus ar 6.3.4.</w:t>
            </w:r>
            <w:r w:rsidRPr="004B00CC">
              <w:rPr>
                <w:rStyle w:val="eop"/>
                <w:vertAlign w:val="superscript"/>
              </w:rPr>
              <w:t>1</w:t>
            </w:r>
            <w:r w:rsidRPr="004B00CC">
              <w:rPr>
                <w:rStyle w:val="eop"/>
              </w:rPr>
              <w:t xml:space="preserve"> un 6.3.4.</w:t>
            </w:r>
            <w:r w:rsidRPr="004B00CC">
              <w:rPr>
                <w:rStyle w:val="eop"/>
                <w:vertAlign w:val="superscript"/>
              </w:rPr>
              <w:t>2</w:t>
            </w:r>
            <w:r w:rsidRPr="004B00CC">
              <w:rPr>
                <w:rStyle w:val="eop"/>
              </w:rPr>
              <w:t> apakšpunktu šādā redakcijā:</w:t>
            </w:r>
          </w:p>
          <w:p w:rsidR="00EA44B0" w:rsidRPr="004B00CC" w:rsidRDefault="00EA44B0" w:rsidP="00296BDA">
            <w:pPr>
              <w:pStyle w:val="paragraph"/>
              <w:spacing w:before="0" w:beforeAutospacing="0" w:after="0" w:afterAutospacing="0"/>
              <w:jc w:val="both"/>
              <w:textAlignment w:val="baseline"/>
            </w:pPr>
            <w:bookmarkStart w:id="10" w:name="_Hlk59470096"/>
            <w:r w:rsidRPr="004B00CC">
              <w:rPr>
                <w:rStyle w:val="normaltextrun"/>
              </w:rPr>
              <w:t>6.3.4.</w:t>
            </w:r>
            <w:r w:rsidRPr="004B00CC">
              <w:rPr>
                <w:rStyle w:val="normaltextrun"/>
                <w:vertAlign w:val="superscript"/>
              </w:rPr>
              <w:t>2 </w:t>
            </w:r>
            <w:r w:rsidRPr="004B00CC">
              <w:rPr>
                <w:rStyle w:val="normaltextrun"/>
              </w:rPr>
              <w:t> </w:t>
            </w:r>
            <w:bookmarkStart w:id="11" w:name="_Hlk61519052"/>
            <w:r w:rsidRPr="004B00CC">
              <w:t xml:space="preserve">elektrolīnijas gaisvada </w:t>
            </w:r>
            <w:proofErr w:type="spellStart"/>
            <w:r w:rsidRPr="004B00CC">
              <w:t>pieslēgumam</w:t>
            </w:r>
            <w:proofErr w:type="spellEnd"/>
            <w:r w:rsidRPr="004B00CC">
              <w:t xml:space="preserve">, kas ierīkojams </w:t>
            </w:r>
            <w:proofErr w:type="spellStart"/>
            <w:r w:rsidRPr="004B00CC">
              <w:t>elektroizolētā</w:t>
            </w:r>
            <w:proofErr w:type="spellEnd"/>
            <w:r w:rsidRPr="004B00CC">
              <w:t xml:space="preserve"> izpildījumā vienā pārlaidumā ar garumu līdz 10 m, nešķērsojot ielu brauktuves, ceļus un citas virszemes būves (izņemot žogu un ietvi)”;</w:t>
            </w:r>
          </w:p>
          <w:bookmarkEnd w:id="10"/>
          <w:bookmarkEnd w:id="11"/>
          <w:p w:rsidR="00EA44B0" w:rsidRPr="004B00CC" w:rsidRDefault="00EA44B0" w:rsidP="00296BDA">
            <w:pPr>
              <w:ind w:left="57" w:right="57"/>
              <w:contextualSpacing/>
              <w:jc w:val="both"/>
            </w:pPr>
          </w:p>
        </w:tc>
      </w:tr>
      <w:tr w:rsidR="00EA44B0" w:rsidRPr="004B00CC" w:rsidTr="00296BDA">
        <w:trPr>
          <w:trHeight w:val="318"/>
        </w:trPr>
        <w:tc>
          <w:tcPr>
            <w:tcW w:w="709" w:type="dxa"/>
            <w:tcBorders>
              <w:top w:val="single" w:sz="6" w:space="0" w:color="000000"/>
              <w:left w:val="single" w:sz="6" w:space="0" w:color="000000"/>
              <w:bottom w:val="single" w:sz="4" w:space="0" w:color="auto"/>
              <w:right w:val="single" w:sz="6" w:space="0" w:color="000000"/>
            </w:tcBorders>
          </w:tcPr>
          <w:p w:rsidR="00EA44B0" w:rsidRPr="004B00CC" w:rsidRDefault="00EA44B0" w:rsidP="00296BDA">
            <w:pPr>
              <w:pStyle w:val="naisc"/>
              <w:spacing w:before="0" w:after="0"/>
              <w:ind w:left="57" w:right="57"/>
              <w:contextualSpacing/>
              <w:jc w:val="both"/>
            </w:pPr>
            <w:r w:rsidRPr="004B00CC">
              <w:t>6.</w:t>
            </w:r>
          </w:p>
        </w:tc>
        <w:tc>
          <w:tcPr>
            <w:tcW w:w="3680" w:type="dxa"/>
            <w:tcBorders>
              <w:top w:val="single" w:sz="6" w:space="0" w:color="000000"/>
              <w:left w:val="single" w:sz="6" w:space="0" w:color="000000"/>
              <w:bottom w:val="single" w:sz="4" w:space="0" w:color="auto"/>
              <w:right w:val="single" w:sz="6" w:space="0" w:color="000000"/>
            </w:tcBorders>
          </w:tcPr>
          <w:p w:rsidR="00EA44B0" w:rsidRPr="004B00CC" w:rsidRDefault="00EA44B0" w:rsidP="00296BDA">
            <w:pPr>
              <w:jc w:val="both"/>
              <w:rPr>
                <w:rStyle w:val="normaltextrun"/>
              </w:rPr>
            </w:pPr>
            <w:r w:rsidRPr="004B00CC">
              <w:t>1.12. papildināt noteikumus ar 6.</w:t>
            </w:r>
            <w:r w:rsidRPr="004B00CC">
              <w:rPr>
                <w:vertAlign w:val="superscript"/>
              </w:rPr>
              <w:t>1</w:t>
            </w:r>
            <w:r w:rsidRPr="004B00CC">
              <w:t>, 6.</w:t>
            </w:r>
            <w:r w:rsidRPr="004B00CC">
              <w:rPr>
                <w:vertAlign w:val="superscript"/>
              </w:rPr>
              <w:t>2</w:t>
            </w:r>
            <w:r w:rsidRPr="004B00CC">
              <w:t>, 6.</w:t>
            </w:r>
            <w:r w:rsidRPr="004B00CC">
              <w:rPr>
                <w:vertAlign w:val="superscript"/>
              </w:rPr>
              <w:t>3</w:t>
            </w:r>
            <w:r w:rsidRPr="004B00CC">
              <w:t xml:space="preserve"> un 6.</w:t>
            </w:r>
            <w:r w:rsidRPr="004B00CC">
              <w:rPr>
                <w:vertAlign w:val="superscript"/>
              </w:rPr>
              <w:t>4</w:t>
            </w:r>
            <w:r w:rsidRPr="004B00CC">
              <w:t> punktu šādā redakcijā:</w:t>
            </w:r>
          </w:p>
          <w:p w:rsidR="00EA44B0" w:rsidRPr="004B00CC" w:rsidRDefault="00EA44B0" w:rsidP="00296BDA">
            <w:pPr>
              <w:pStyle w:val="paragraph"/>
              <w:spacing w:before="0" w:beforeAutospacing="0" w:after="0" w:afterAutospacing="0"/>
              <w:jc w:val="both"/>
              <w:textAlignment w:val="baseline"/>
              <w:rPr>
                <w:lang w:eastAsia="en-US"/>
              </w:rPr>
            </w:pPr>
            <w:r w:rsidRPr="004B00CC">
              <w:rPr>
                <w:rStyle w:val="normaltextrun"/>
                <w:lang w:eastAsia="en-US"/>
              </w:rPr>
              <w:t>“6.</w:t>
            </w:r>
            <w:r w:rsidRPr="004B00CC">
              <w:rPr>
                <w:rStyle w:val="normaltextrun"/>
                <w:vertAlign w:val="superscript"/>
                <w:lang w:eastAsia="en-US"/>
              </w:rPr>
              <w:t>1 </w:t>
            </w:r>
            <w:r w:rsidRPr="004B00CC">
              <w:rPr>
                <w:rStyle w:val="normaltextrun"/>
                <w:lang w:eastAsia="en-US"/>
              </w:rPr>
              <w:t>Paziņojumu par būvniecību piemēro šādos gadījumos:</w:t>
            </w:r>
          </w:p>
          <w:p w:rsidR="00EA44B0" w:rsidRPr="004B00CC" w:rsidRDefault="00EA44B0" w:rsidP="00296BDA">
            <w:pPr>
              <w:pStyle w:val="naisc"/>
              <w:spacing w:before="0" w:after="0"/>
              <w:ind w:left="57" w:right="57"/>
              <w:contextualSpacing/>
              <w:jc w:val="both"/>
              <w:rPr>
                <w:bCs/>
              </w:rPr>
            </w:pPr>
            <w:r w:rsidRPr="004B00CC">
              <w:rPr>
                <w:bCs/>
              </w:rPr>
              <w:t>6.</w:t>
            </w:r>
            <w:r w:rsidRPr="004B00CC">
              <w:rPr>
                <w:bCs/>
                <w:vertAlign w:val="superscript"/>
              </w:rPr>
              <w:t>1</w:t>
            </w:r>
            <w:r w:rsidRPr="004B00CC">
              <w:rPr>
                <w:bCs/>
              </w:rPr>
              <w:t>1. daudzdzīvokļu dzīvojamās ēkas koplietošanas iekšējā inženiertīkla atjaunošanai vai pārbūvei</w:t>
            </w:r>
          </w:p>
          <w:p w:rsidR="00EA44B0" w:rsidRPr="004B00CC" w:rsidRDefault="00EA44B0" w:rsidP="00296BDA">
            <w:pPr>
              <w:pStyle w:val="naisc"/>
              <w:spacing w:before="0" w:after="0"/>
              <w:ind w:left="57" w:right="57"/>
              <w:contextualSpacing/>
              <w:jc w:val="both"/>
              <w:rPr>
                <w:bCs/>
              </w:rPr>
            </w:pPr>
          </w:p>
          <w:p w:rsidR="00EA44B0" w:rsidRPr="004B00CC" w:rsidRDefault="00EA44B0" w:rsidP="00296BDA">
            <w:pPr>
              <w:pStyle w:val="paragraph"/>
              <w:spacing w:before="0" w:beforeAutospacing="0" w:after="0" w:afterAutospacing="0"/>
              <w:jc w:val="both"/>
              <w:textAlignment w:val="baseline"/>
            </w:pPr>
          </w:p>
        </w:tc>
        <w:tc>
          <w:tcPr>
            <w:tcW w:w="4386" w:type="dxa"/>
            <w:tcBorders>
              <w:top w:val="single" w:sz="6" w:space="0" w:color="000000"/>
              <w:left w:val="single" w:sz="6" w:space="0" w:color="000000"/>
              <w:bottom w:val="single" w:sz="4" w:space="0" w:color="auto"/>
              <w:right w:val="single" w:sz="6" w:space="0" w:color="000000"/>
            </w:tcBorders>
          </w:tcPr>
          <w:p w:rsidR="00EA44B0" w:rsidRPr="00E40DC5" w:rsidRDefault="00EA44B0" w:rsidP="00296BDA">
            <w:pPr>
              <w:pStyle w:val="naisc"/>
              <w:spacing w:before="0" w:after="0"/>
              <w:ind w:left="57" w:right="57"/>
              <w:contextualSpacing/>
              <w:jc w:val="both"/>
              <w:rPr>
                <w:b/>
                <w:bCs/>
                <w:u w:val="single"/>
              </w:rPr>
            </w:pPr>
            <w:r w:rsidRPr="00E40DC5">
              <w:rPr>
                <w:b/>
                <w:bCs/>
                <w:u w:val="single"/>
              </w:rPr>
              <w:t>Latvijas Lielo pilsētu asociācija:</w:t>
            </w:r>
          </w:p>
          <w:p w:rsidR="00EA44B0" w:rsidRPr="004B00CC" w:rsidRDefault="00EA44B0" w:rsidP="00296BDA">
            <w:pPr>
              <w:pStyle w:val="naisc"/>
              <w:spacing w:before="0" w:after="0"/>
              <w:ind w:left="57" w:right="57"/>
              <w:contextualSpacing/>
              <w:jc w:val="both"/>
              <w:rPr>
                <w:bCs/>
              </w:rPr>
            </w:pPr>
            <w:r w:rsidRPr="004B00CC">
              <w:rPr>
                <w:bCs/>
                <w:iCs/>
              </w:rPr>
              <w:t xml:space="preserve">Ņemot vērā sagatavoto noteikumu projekta  6.3.1. un </w:t>
            </w:r>
            <w:r w:rsidRPr="004B00CC">
              <w:rPr>
                <w:bCs/>
              </w:rPr>
              <w:t>6.</w:t>
            </w:r>
            <w:r w:rsidRPr="004B00CC">
              <w:rPr>
                <w:bCs/>
                <w:vertAlign w:val="superscript"/>
              </w:rPr>
              <w:t>1</w:t>
            </w:r>
            <w:r w:rsidRPr="004B00CC">
              <w:rPr>
                <w:bCs/>
              </w:rPr>
              <w:t>1. apakšpunktos noteikto, daudzdzīvokļu dzīvojamās ēkas koplietošanas iekšējā inženiertīkla jaunai būvniecībai vai nojaukšanai būvniecības ieceres dokumentācija nav nepieciešama. Nav saprotams, kāpēc koplietošanas tīklu jaunai būvniecībai vai nojaukšanai ir mazākas prasības (būtībā nav vispār) nekā atjaunošanai vai pārbūvei.</w:t>
            </w:r>
          </w:p>
          <w:p w:rsidR="00EA44B0" w:rsidRPr="004B00CC" w:rsidRDefault="00EA44B0" w:rsidP="00296BDA">
            <w:pPr>
              <w:pStyle w:val="naisc"/>
              <w:spacing w:before="0" w:after="0"/>
              <w:ind w:left="57" w:right="57"/>
              <w:contextualSpacing/>
              <w:jc w:val="both"/>
            </w:pPr>
          </w:p>
          <w:p w:rsidR="00EA44B0" w:rsidRPr="00E40DC5" w:rsidRDefault="00EA44B0" w:rsidP="00296BDA">
            <w:pPr>
              <w:pStyle w:val="naisc"/>
              <w:spacing w:before="0" w:after="0"/>
              <w:ind w:left="57" w:right="57"/>
              <w:contextualSpacing/>
              <w:jc w:val="both"/>
              <w:rPr>
                <w:b/>
                <w:bCs/>
                <w:u w:val="single"/>
              </w:rPr>
            </w:pPr>
            <w:r w:rsidRPr="00E40DC5">
              <w:rPr>
                <w:b/>
                <w:bCs/>
                <w:u w:val="single"/>
              </w:rPr>
              <w:lastRenderedPageBreak/>
              <w:t>Latvijas Lielo pilsētu asociācija (16.02.2021.):</w:t>
            </w:r>
          </w:p>
          <w:p w:rsidR="00EA44B0" w:rsidRPr="004B00CC" w:rsidRDefault="00EA44B0" w:rsidP="00296BDA">
            <w:pPr>
              <w:pStyle w:val="naisc"/>
              <w:spacing w:before="0" w:after="0"/>
              <w:ind w:left="57" w:right="57"/>
              <w:contextualSpacing/>
              <w:jc w:val="both"/>
            </w:pPr>
            <w:r w:rsidRPr="004B00CC">
              <w:t>Nepieciešams precizēt punkta redakciju, novēršot pretrunu / kļūdu “</w:t>
            </w:r>
            <w:r w:rsidRPr="004B00CC">
              <w:rPr>
                <w:bCs/>
              </w:rPr>
              <w:t>neatbilst -atbilst”</w:t>
            </w:r>
            <w:r w:rsidRPr="004B00CC">
              <w:t>.</w:t>
            </w:r>
          </w:p>
          <w:p w:rsidR="00EA44B0" w:rsidRPr="004B00CC" w:rsidRDefault="00EA44B0" w:rsidP="00296BDA">
            <w:pPr>
              <w:pStyle w:val="naisc"/>
              <w:spacing w:before="0" w:after="0"/>
              <w:ind w:left="57" w:right="57"/>
              <w:contextualSpacing/>
              <w:jc w:val="both"/>
            </w:pPr>
          </w:p>
        </w:tc>
        <w:tc>
          <w:tcPr>
            <w:tcW w:w="3275" w:type="dxa"/>
            <w:tcBorders>
              <w:top w:val="single" w:sz="6" w:space="0" w:color="000000"/>
              <w:left w:val="single" w:sz="6" w:space="0" w:color="000000"/>
              <w:bottom w:val="single" w:sz="4" w:space="0" w:color="auto"/>
              <w:right w:val="single" w:sz="6" w:space="0" w:color="000000"/>
            </w:tcBorders>
          </w:tcPr>
          <w:p w:rsidR="00EA44B0" w:rsidRPr="004B00CC" w:rsidRDefault="00EA44B0" w:rsidP="00296BDA">
            <w:pPr>
              <w:pStyle w:val="naisc"/>
              <w:spacing w:before="0" w:after="0"/>
              <w:ind w:left="57" w:right="57"/>
              <w:contextualSpacing/>
              <w:rPr>
                <w:b/>
                <w:bCs/>
              </w:rPr>
            </w:pPr>
            <w:r w:rsidRPr="004B00CC">
              <w:rPr>
                <w:b/>
                <w:bCs/>
              </w:rPr>
              <w:lastRenderedPageBreak/>
              <w:t>Ņemts vērā</w:t>
            </w:r>
          </w:p>
          <w:p w:rsidR="00EA44B0" w:rsidRPr="004B00CC" w:rsidRDefault="00EA44B0" w:rsidP="00296BDA">
            <w:pPr>
              <w:pStyle w:val="naisc"/>
              <w:spacing w:before="0" w:after="0"/>
              <w:ind w:left="57" w:right="57"/>
              <w:contextualSpacing/>
              <w:rPr>
                <w:b/>
                <w:bCs/>
              </w:rPr>
            </w:pPr>
          </w:p>
          <w:p w:rsidR="00EA44B0" w:rsidRPr="004B00CC" w:rsidRDefault="00EA44B0" w:rsidP="00296BDA">
            <w:pPr>
              <w:pStyle w:val="naisc"/>
              <w:spacing w:before="0" w:after="0"/>
              <w:ind w:left="57" w:right="57"/>
              <w:contextualSpacing/>
              <w:rPr>
                <w:b/>
                <w:bCs/>
              </w:rPr>
            </w:pPr>
          </w:p>
          <w:p w:rsidR="00EA44B0" w:rsidRPr="004B00CC" w:rsidRDefault="00EA44B0" w:rsidP="00296BDA">
            <w:pPr>
              <w:pStyle w:val="naisc"/>
              <w:spacing w:before="0" w:after="0"/>
              <w:ind w:left="57" w:right="57"/>
              <w:contextualSpacing/>
              <w:rPr>
                <w:b/>
                <w:bCs/>
              </w:rPr>
            </w:pPr>
          </w:p>
          <w:p w:rsidR="00EA44B0" w:rsidRPr="004B00CC" w:rsidRDefault="00EA44B0" w:rsidP="00296BDA">
            <w:pPr>
              <w:pStyle w:val="naisc"/>
              <w:spacing w:before="0" w:after="0"/>
              <w:ind w:left="57" w:right="57"/>
              <w:contextualSpacing/>
              <w:rPr>
                <w:b/>
                <w:bCs/>
              </w:rPr>
            </w:pPr>
          </w:p>
          <w:p w:rsidR="00EA44B0" w:rsidRPr="004B00CC" w:rsidRDefault="00EA44B0" w:rsidP="00296BDA">
            <w:pPr>
              <w:pStyle w:val="naisc"/>
              <w:spacing w:before="0" w:after="0"/>
              <w:ind w:left="57" w:right="57"/>
              <w:contextualSpacing/>
              <w:rPr>
                <w:b/>
                <w:bCs/>
              </w:rPr>
            </w:pPr>
          </w:p>
          <w:p w:rsidR="00EA44B0" w:rsidRPr="004B00CC" w:rsidRDefault="00EA44B0" w:rsidP="00296BDA">
            <w:pPr>
              <w:pStyle w:val="naisc"/>
              <w:spacing w:before="0" w:after="0"/>
              <w:ind w:left="57" w:right="57"/>
              <w:contextualSpacing/>
              <w:rPr>
                <w:b/>
                <w:bCs/>
              </w:rPr>
            </w:pPr>
          </w:p>
          <w:p w:rsidR="00EA44B0" w:rsidRPr="004B00CC" w:rsidRDefault="00EA44B0" w:rsidP="00296BDA">
            <w:pPr>
              <w:pStyle w:val="naisc"/>
              <w:spacing w:before="0" w:after="0"/>
              <w:ind w:left="57" w:right="57"/>
              <w:contextualSpacing/>
              <w:rPr>
                <w:b/>
                <w:bCs/>
              </w:rPr>
            </w:pPr>
          </w:p>
          <w:p w:rsidR="00EA44B0" w:rsidRPr="004B00CC" w:rsidRDefault="00EA44B0" w:rsidP="00296BDA">
            <w:pPr>
              <w:pStyle w:val="naisc"/>
              <w:spacing w:before="0" w:after="0"/>
              <w:ind w:left="57" w:right="57"/>
              <w:contextualSpacing/>
              <w:rPr>
                <w:b/>
                <w:bCs/>
              </w:rPr>
            </w:pPr>
          </w:p>
          <w:p w:rsidR="00EA44B0" w:rsidRPr="004B00CC" w:rsidRDefault="00EA44B0" w:rsidP="00296BDA">
            <w:pPr>
              <w:pStyle w:val="naisc"/>
              <w:spacing w:before="0" w:after="0"/>
              <w:ind w:left="57" w:right="57"/>
              <w:contextualSpacing/>
              <w:rPr>
                <w:b/>
                <w:bCs/>
              </w:rPr>
            </w:pPr>
          </w:p>
          <w:p w:rsidR="00EA44B0" w:rsidRPr="004B00CC" w:rsidRDefault="00EA44B0" w:rsidP="00296BDA">
            <w:pPr>
              <w:pStyle w:val="naisc"/>
              <w:spacing w:before="0" w:after="0"/>
              <w:ind w:left="57" w:right="57"/>
              <w:contextualSpacing/>
              <w:rPr>
                <w:b/>
                <w:bCs/>
              </w:rPr>
            </w:pPr>
          </w:p>
          <w:p w:rsidR="00EA44B0" w:rsidRPr="004B00CC" w:rsidRDefault="00EA44B0" w:rsidP="00296BDA">
            <w:pPr>
              <w:pStyle w:val="naisc"/>
              <w:spacing w:before="0" w:after="0"/>
              <w:ind w:left="57" w:right="57"/>
              <w:contextualSpacing/>
              <w:rPr>
                <w:b/>
                <w:bCs/>
              </w:rPr>
            </w:pPr>
          </w:p>
          <w:p w:rsidR="00EA44B0" w:rsidRPr="004B00CC" w:rsidRDefault="00EA44B0" w:rsidP="00296BDA">
            <w:pPr>
              <w:pStyle w:val="naisc"/>
              <w:spacing w:before="0" w:after="0"/>
              <w:ind w:left="57" w:right="57"/>
              <w:contextualSpacing/>
              <w:rPr>
                <w:b/>
                <w:bCs/>
              </w:rPr>
            </w:pPr>
            <w:r w:rsidRPr="004B00CC">
              <w:rPr>
                <w:b/>
                <w:bCs/>
              </w:rPr>
              <w:lastRenderedPageBreak/>
              <w:t>Ņemts vērā</w:t>
            </w:r>
          </w:p>
        </w:tc>
        <w:tc>
          <w:tcPr>
            <w:tcW w:w="3638" w:type="dxa"/>
            <w:tcBorders>
              <w:top w:val="single" w:sz="4" w:space="0" w:color="auto"/>
              <w:left w:val="single" w:sz="4" w:space="0" w:color="auto"/>
              <w:bottom w:val="single" w:sz="4" w:space="0" w:color="auto"/>
            </w:tcBorders>
          </w:tcPr>
          <w:p w:rsidR="00EA44B0" w:rsidRPr="004B00CC" w:rsidRDefault="00EA44B0" w:rsidP="00296BDA">
            <w:pPr>
              <w:tabs>
                <w:tab w:val="left" w:pos="709"/>
              </w:tabs>
              <w:jc w:val="both"/>
            </w:pPr>
            <w:r w:rsidRPr="004B00CC">
              <w:lastRenderedPageBreak/>
              <w:t>1.13. papildināt noteikumus ar 6.</w:t>
            </w:r>
            <w:r w:rsidRPr="004B00CC">
              <w:rPr>
                <w:vertAlign w:val="superscript"/>
              </w:rPr>
              <w:t>1</w:t>
            </w:r>
            <w:r w:rsidRPr="004B00CC">
              <w:t>, 6.</w:t>
            </w:r>
            <w:r w:rsidRPr="004B00CC">
              <w:rPr>
                <w:vertAlign w:val="superscript"/>
              </w:rPr>
              <w:t>2</w:t>
            </w:r>
            <w:r w:rsidRPr="004B00CC">
              <w:t>, 6.</w:t>
            </w:r>
            <w:r w:rsidRPr="004B00CC">
              <w:rPr>
                <w:vertAlign w:val="superscript"/>
              </w:rPr>
              <w:t>3</w:t>
            </w:r>
            <w:r w:rsidRPr="004B00CC">
              <w:t>, 6.</w:t>
            </w:r>
            <w:r w:rsidRPr="004B00CC">
              <w:rPr>
                <w:vertAlign w:val="superscript"/>
              </w:rPr>
              <w:t>4</w:t>
            </w:r>
            <w:r w:rsidRPr="004B00CC">
              <w:t xml:space="preserve"> un 6.</w:t>
            </w:r>
            <w:r w:rsidRPr="004B00CC">
              <w:rPr>
                <w:vertAlign w:val="superscript"/>
              </w:rPr>
              <w:t>5</w:t>
            </w:r>
            <w:r w:rsidRPr="004B00CC">
              <w:t> punktu šādā redakcijā:</w:t>
            </w:r>
          </w:p>
          <w:p w:rsidR="00EA44B0" w:rsidRPr="004B00CC" w:rsidRDefault="00EA44B0" w:rsidP="00296BDA">
            <w:pPr>
              <w:pStyle w:val="paragraph"/>
              <w:spacing w:before="0" w:beforeAutospacing="0" w:after="0" w:afterAutospacing="0"/>
              <w:jc w:val="both"/>
              <w:textAlignment w:val="baseline"/>
            </w:pPr>
            <w:r w:rsidRPr="004B00CC">
              <w:rPr>
                <w:rStyle w:val="normaltextrun"/>
              </w:rPr>
              <w:t>“6.</w:t>
            </w:r>
            <w:r w:rsidRPr="004B00CC">
              <w:rPr>
                <w:rStyle w:val="normaltextrun"/>
                <w:vertAlign w:val="superscript"/>
              </w:rPr>
              <w:t>1 </w:t>
            </w:r>
            <w:r w:rsidRPr="004B00CC">
              <w:rPr>
                <w:rStyle w:val="normaltextrun"/>
              </w:rPr>
              <w:t>Paziņojumu par būvniecību piemēro šādos gadījumos:</w:t>
            </w:r>
          </w:p>
          <w:p w:rsidR="00EA44B0" w:rsidRPr="004B00CC" w:rsidRDefault="00EA44B0" w:rsidP="00296BDA">
            <w:pPr>
              <w:jc w:val="both"/>
            </w:pPr>
            <w:r w:rsidRPr="004B00CC">
              <w:rPr>
                <w:rStyle w:val="normaltextrun"/>
              </w:rPr>
              <w:t>6.</w:t>
            </w:r>
            <w:r w:rsidRPr="004B00CC">
              <w:rPr>
                <w:rStyle w:val="normaltextrun"/>
                <w:vertAlign w:val="superscript"/>
              </w:rPr>
              <w:t>1 </w:t>
            </w:r>
            <w:r w:rsidRPr="004B00CC">
              <w:rPr>
                <w:rStyle w:val="normaltextrun"/>
              </w:rPr>
              <w:t xml:space="preserve">1. daudzdzīvokļu dzīvojamās ēkas koplietošanas iekšējā inženiertīkla ierīkošanai vai pārbūvei, kā arī citu būvju iekšējā inženiertīkla ierīkošanai vai pārbūvei, ja tie neatbilst šo </w:t>
            </w:r>
            <w:r w:rsidRPr="004B00CC">
              <w:rPr>
                <w:rStyle w:val="normaltextrun"/>
              </w:rPr>
              <w:lastRenderedPageBreak/>
              <w:t>noteikumu 6.</w:t>
            </w:r>
            <w:r w:rsidRPr="004B00CC">
              <w:rPr>
                <w:rStyle w:val="normaltextrun"/>
                <w:vertAlign w:val="superscript"/>
              </w:rPr>
              <w:t>5</w:t>
            </w:r>
            <w:r w:rsidRPr="004B00CC">
              <w:rPr>
                <w:rStyle w:val="normaltextrun"/>
              </w:rPr>
              <w:t> punkta nosacījumiem;</w:t>
            </w:r>
          </w:p>
          <w:p w:rsidR="00EA44B0" w:rsidRPr="004B00CC" w:rsidRDefault="00EA44B0" w:rsidP="00296BDA">
            <w:pPr>
              <w:ind w:left="57" w:right="57"/>
              <w:contextualSpacing/>
              <w:jc w:val="both"/>
            </w:pPr>
          </w:p>
        </w:tc>
      </w:tr>
      <w:tr w:rsidR="00EA44B0" w:rsidRPr="004B00CC" w:rsidTr="00296BDA">
        <w:trPr>
          <w:trHeight w:val="318"/>
        </w:trPr>
        <w:tc>
          <w:tcPr>
            <w:tcW w:w="709" w:type="dxa"/>
            <w:tcBorders>
              <w:top w:val="single" w:sz="6" w:space="0" w:color="000000"/>
              <w:left w:val="single" w:sz="6" w:space="0" w:color="000000"/>
              <w:bottom w:val="single" w:sz="4" w:space="0" w:color="auto"/>
              <w:right w:val="single" w:sz="6" w:space="0" w:color="000000"/>
            </w:tcBorders>
          </w:tcPr>
          <w:p w:rsidR="00EA44B0" w:rsidRPr="004B00CC" w:rsidRDefault="00EA44B0" w:rsidP="00296BDA">
            <w:pPr>
              <w:pStyle w:val="naisc"/>
              <w:spacing w:before="0" w:after="0"/>
              <w:ind w:left="57" w:right="57"/>
              <w:contextualSpacing/>
              <w:jc w:val="both"/>
            </w:pPr>
            <w:r w:rsidRPr="004B00CC">
              <w:lastRenderedPageBreak/>
              <w:t>7.</w:t>
            </w:r>
          </w:p>
        </w:tc>
        <w:tc>
          <w:tcPr>
            <w:tcW w:w="3680" w:type="dxa"/>
            <w:tcBorders>
              <w:top w:val="single" w:sz="6" w:space="0" w:color="000000"/>
              <w:left w:val="single" w:sz="6" w:space="0" w:color="000000"/>
              <w:bottom w:val="single" w:sz="4" w:space="0" w:color="auto"/>
              <w:right w:val="single" w:sz="6" w:space="0" w:color="000000"/>
            </w:tcBorders>
          </w:tcPr>
          <w:p w:rsidR="00EA44B0" w:rsidRPr="004B00CC" w:rsidRDefault="00EA44B0" w:rsidP="00296BDA">
            <w:pPr>
              <w:tabs>
                <w:tab w:val="left" w:pos="709"/>
              </w:tabs>
              <w:jc w:val="both"/>
            </w:pPr>
            <w:r w:rsidRPr="004B00CC">
              <w:t>1.12. papildināt noteikumus ar 6.</w:t>
            </w:r>
            <w:r w:rsidRPr="004B00CC">
              <w:rPr>
                <w:vertAlign w:val="superscript"/>
              </w:rPr>
              <w:t>1</w:t>
            </w:r>
            <w:r w:rsidRPr="004B00CC">
              <w:t>, 6.</w:t>
            </w:r>
            <w:r w:rsidRPr="004B00CC">
              <w:rPr>
                <w:vertAlign w:val="superscript"/>
              </w:rPr>
              <w:t>2</w:t>
            </w:r>
            <w:r w:rsidRPr="004B00CC">
              <w:t>, 6.</w:t>
            </w:r>
            <w:r w:rsidRPr="004B00CC">
              <w:rPr>
                <w:vertAlign w:val="superscript"/>
              </w:rPr>
              <w:t>3</w:t>
            </w:r>
            <w:r w:rsidRPr="004B00CC">
              <w:t xml:space="preserve"> un 6.</w:t>
            </w:r>
            <w:r w:rsidRPr="004B00CC">
              <w:rPr>
                <w:vertAlign w:val="superscript"/>
              </w:rPr>
              <w:t>4</w:t>
            </w:r>
            <w:r w:rsidRPr="004B00CC">
              <w:t> punktu šādā redakcijā:</w:t>
            </w:r>
          </w:p>
          <w:p w:rsidR="00EA44B0" w:rsidRPr="004B00CC" w:rsidRDefault="00EA44B0" w:rsidP="00296BDA">
            <w:pPr>
              <w:pStyle w:val="paragraph"/>
              <w:spacing w:before="0" w:beforeAutospacing="0" w:after="0" w:afterAutospacing="0"/>
              <w:jc w:val="both"/>
              <w:textAlignment w:val="baseline"/>
            </w:pPr>
            <w:r w:rsidRPr="004B00CC">
              <w:rPr>
                <w:rStyle w:val="normaltextrun"/>
              </w:rPr>
              <w:t>“6.</w:t>
            </w:r>
            <w:r w:rsidRPr="004B00CC">
              <w:rPr>
                <w:rStyle w:val="normaltextrun"/>
                <w:vertAlign w:val="superscript"/>
              </w:rPr>
              <w:t>1 </w:t>
            </w:r>
            <w:r w:rsidRPr="004B00CC">
              <w:rPr>
                <w:rStyle w:val="normaltextrun"/>
              </w:rPr>
              <w:t>Paziņojumu par būvniecību piemēro šādos gadījumos:</w:t>
            </w:r>
          </w:p>
          <w:p w:rsidR="00EA44B0" w:rsidRPr="004B00CC" w:rsidRDefault="00EA44B0" w:rsidP="00296BDA">
            <w:pPr>
              <w:pStyle w:val="paragraph"/>
              <w:spacing w:before="0" w:beforeAutospacing="0" w:after="0" w:afterAutospacing="0"/>
              <w:jc w:val="both"/>
              <w:textAlignment w:val="baseline"/>
            </w:pPr>
            <w:r w:rsidRPr="004B00CC">
              <w:rPr>
                <w:rStyle w:val="normaltextrun"/>
              </w:rPr>
              <w:t>6.</w:t>
            </w:r>
            <w:r w:rsidRPr="004B00CC">
              <w:rPr>
                <w:rStyle w:val="normaltextrun"/>
                <w:vertAlign w:val="superscript"/>
              </w:rPr>
              <w:t>1 </w:t>
            </w:r>
            <w:r w:rsidRPr="004B00CC">
              <w:rPr>
                <w:rStyle w:val="normaltextrun"/>
              </w:rPr>
              <w:t>2. pirmās grupas inženierbūves nojaukšanai;</w:t>
            </w:r>
          </w:p>
          <w:p w:rsidR="00EA44B0" w:rsidRPr="004B00CC" w:rsidRDefault="00EA44B0" w:rsidP="00296BDA">
            <w:pPr>
              <w:pStyle w:val="naisc"/>
              <w:spacing w:before="0" w:after="0"/>
              <w:ind w:left="57" w:right="57"/>
              <w:contextualSpacing/>
              <w:jc w:val="both"/>
            </w:pPr>
          </w:p>
          <w:p w:rsidR="00EA44B0" w:rsidRPr="004B00CC" w:rsidRDefault="00EA44B0" w:rsidP="00296BDA">
            <w:pPr>
              <w:pStyle w:val="naisc"/>
              <w:spacing w:before="0" w:after="0"/>
              <w:ind w:left="57" w:right="57"/>
              <w:contextualSpacing/>
              <w:jc w:val="both"/>
            </w:pPr>
          </w:p>
        </w:tc>
        <w:tc>
          <w:tcPr>
            <w:tcW w:w="4386" w:type="dxa"/>
            <w:tcBorders>
              <w:top w:val="single" w:sz="6" w:space="0" w:color="000000"/>
              <w:left w:val="single" w:sz="6" w:space="0" w:color="000000"/>
              <w:bottom w:val="single" w:sz="4" w:space="0" w:color="auto"/>
              <w:right w:val="single" w:sz="6" w:space="0" w:color="000000"/>
            </w:tcBorders>
          </w:tcPr>
          <w:p w:rsidR="00EA44B0" w:rsidRPr="00E40DC5" w:rsidRDefault="00EA44B0" w:rsidP="00296BDA">
            <w:pPr>
              <w:rPr>
                <w:b/>
                <w:bCs/>
                <w:u w:val="single"/>
              </w:rPr>
            </w:pPr>
            <w:r w:rsidRPr="00E40DC5">
              <w:rPr>
                <w:b/>
                <w:bCs/>
                <w:u w:val="single"/>
              </w:rPr>
              <w:t>Tieslietu ministrija</w:t>
            </w:r>
          </w:p>
          <w:p w:rsidR="00EA44B0" w:rsidRPr="004B00CC" w:rsidRDefault="00EA44B0" w:rsidP="00296BDA">
            <w:pPr>
              <w:jc w:val="both"/>
            </w:pPr>
            <w:r w:rsidRPr="004B00CC">
              <w:t>3. Projekta 1.12. apakšpunktā ietvertais būvnoteikumu 6.</w:t>
            </w:r>
            <w:r w:rsidRPr="004B00CC">
              <w:rPr>
                <w:vertAlign w:val="superscript"/>
              </w:rPr>
              <w:t>1</w:t>
            </w:r>
            <w:r w:rsidRPr="004B00CC">
              <w:t>2. apakšpunkts paredz, ka paziņojumu par būvniecību piemēro pirmās grupas inženierbūves nojaukšanai. Lai nodrošinātu, ka ar šo paziņojumu pirmās grupas inženierbūves nojaukšanai tiek ierosināts datu apmaiņas process par kadastrā reģistrētas pirmās grupas inženierbūves datu dzēšanu, lūdzam papildināt projektu ar jaunu punktu, kas noteiktu, ka, ierosinot būvnoteikumu 6.</w:t>
            </w:r>
            <w:r w:rsidRPr="004B00CC">
              <w:rPr>
                <w:vertAlign w:val="superscript"/>
              </w:rPr>
              <w:t>1</w:t>
            </w:r>
            <w:r w:rsidRPr="004B00CC">
              <w:t>2. apakšpunktā minēto būvniecību, būvniecības ierosinātāja paziņojums par būvniecību vienlaikus ir uzskatāms par datu apmaiņas ierosināšanu starp būvniecības informācijas sistēmu un Nekustamā īpašuma valsts kadastra informācijas sistēmu par tajā reģistrētās būves datu dzēšanu, ja būvniecības ierosinātājs būvniecības informācijas sistēmā ir apstiprinājis šo būvdarbu pabeigšanu.</w:t>
            </w:r>
          </w:p>
          <w:p w:rsidR="00EA44B0" w:rsidRPr="004B00CC" w:rsidRDefault="00EA44B0" w:rsidP="00296BDA">
            <w:pPr>
              <w:jc w:val="both"/>
            </w:pPr>
          </w:p>
        </w:tc>
        <w:tc>
          <w:tcPr>
            <w:tcW w:w="3275" w:type="dxa"/>
            <w:tcBorders>
              <w:top w:val="single" w:sz="6" w:space="0" w:color="000000"/>
              <w:left w:val="single" w:sz="6" w:space="0" w:color="000000"/>
              <w:bottom w:val="single" w:sz="4" w:space="0" w:color="auto"/>
              <w:right w:val="single" w:sz="6" w:space="0" w:color="000000"/>
            </w:tcBorders>
          </w:tcPr>
          <w:p w:rsidR="00EA44B0" w:rsidRPr="004B00CC" w:rsidRDefault="00EA44B0" w:rsidP="00296BDA">
            <w:pPr>
              <w:contextualSpacing/>
              <w:jc w:val="center"/>
              <w:rPr>
                <w:b/>
                <w:bCs/>
              </w:rPr>
            </w:pPr>
            <w:r w:rsidRPr="004B00CC">
              <w:rPr>
                <w:b/>
                <w:bCs/>
              </w:rPr>
              <w:t>Panākta vienošanās starpinstitūciju sanāksmē</w:t>
            </w:r>
          </w:p>
          <w:p w:rsidR="00EA44B0" w:rsidRPr="004B00CC" w:rsidRDefault="00EA44B0" w:rsidP="00296BDA">
            <w:pPr>
              <w:jc w:val="both"/>
            </w:pPr>
            <w:r w:rsidRPr="004B00CC">
              <w:t xml:space="preserve">Datu par būves neesamību apmaiņu notiek starp būvniecības informācijas sistēmu un Nekustamā īpašuma valsts kadastra informācijas sistēmu bez personas iesaistes (nav nepieciešams iesniegums par būves dzēšanu), ievērojot Ministru kabineta 2015. gada 28. jūlija noteikumu Nr.438 “Būvniecības informācijas sistēmas noteikumi” 34.4.apakšpunktu. Arī paziņojuma par būvniecību gadījumā datus par pirmās grupas ēkas vai otrās grupas palīgēkas </w:t>
            </w:r>
            <w:proofErr w:type="spellStart"/>
            <w:r w:rsidRPr="004B00CC">
              <w:t>neesību</w:t>
            </w:r>
            <w:proofErr w:type="spellEnd"/>
            <w:r w:rsidRPr="004B00CC">
              <w:t xml:space="preserve"> nodos Nekustamā īpašuma valsts kadastra informācijas sistēmai, tādēļ nav nepieciešams noteikt citu kārtību.</w:t>
            </w:r>
          </w:p>
          <w:p w:rsidR="00EA44B0" w:rsidRPr="004B00CC" w:rsidRDefault="00EA44B0" w:rsidP="00296BDA">
            <w:pPr>
              <w:pStyle w:val="naisc"/>
              <w:spacing w:before="0" w:after="0"/>
              <w:ind w:left="57" w:right="57"/>
              <w:contextualSpacing/>
              <w:jc w:val="both"/>
            </w:pPr>
          </w:p>
        </w:tc>
        <w:tc>
          <w:tcPr>
            <w:tcW w:w="3638" w:type="dxa"/>
            <w:tcBorders>
              <w:top w:val="single" w:sz="4" w:space="0" w:color="auto"/>
              <w:left w:val="single" w:sz="4" w:space="0" w:color="auto"/>
              <w:bottom w:val="single" w:sz="4" w:space="0" w:color="auto"/>
            </w:tcBorders>
          </w:tcPr>
          <w:p w:rsidR="00EA44B0" w:rsidRPr="004B00CC" w:rsidRDefault="00EA44B0" w:rsidP="00296BDA">
            <w:pPr>
              <w:tabs>
                <w:tab w:val="left" w:pos="709"/>
              </w:tabs>
              <w:jc w:val="both"/>
            </w:pPr>
            <w:r w:rsidRPr="004B00CC">
              <w:t>1.13. papildināt noteikumus ar 6.</w:t>
            </w:r>
            <w:r w:rsidRPr="004B00CC">
              <w:rPr>
                <w:vertAlign w:val="superscript"/>
              </w:rPr>
              <w:t>1</w:t>
            </w:r>
            <w:r w:rsidRPr="004B00CC">
              <w:t>, 6.</w:t>
            </w:r>
            <w:r w:rsidRPr="004B00CC">
              <w:rPr>
                <w:vertAlign w:val="superscript"/>
              </w:rPr>
              <w:t>2</w:t>
            </w:r>
            <w:r w:rsidRPr="004B00CC">
              <w:t>, 6.</w:t>
            </w:r>
            <w:r w:rsidRPr="004B00CC">
              <w:rPr>
                <w:vertAlign w:val="superscript"/>
              </w:rPr>
              <w:t>3</w:t>
            </w:r>
            <w:r w:rsidRPr="004B00CC">
              <w:t>, 6.</w:t>
            </w:r>
            <w:r w:rsidRPr="004B00CC">
              <w:rPr>
                <w:vertAlign w:val="superscript"/>
              </w:rPr>
              <w:t>4</w:t>
            </w:r>
            <w:r w:rsidRPr="004B00CC">
              <w:t xml:space="preserve"> un 6.</w:t>
            </w:r>
            <w:r w:rsidRPr="004B00CC">
              <w:rPr>
                <w:vertAlign w:val="superscript"/>
              </w:rPr>
              <w:t>5</w:t>
            </w:r>
            <w:r w:rsidRPr="004B00CC">
              <w:t> punktu šādā redakcijā:</w:t>
            </w:r>
          </w:p>
          <w:p w:rsidR="00EA44B0" w:rsidRPr="004B00CC" w:rsidRDefault="00EA44B0" w:rsidP="00296BDA">
            <w:pPr>
              <w:pStyle w:val="paragraph"/>
              <w:spacing w:before="0" w:beforeAutospacing="0" w:after="0" w:afterAutospacing="0"/>
              <w:jc w:val="both"/>
              <w:textAlignment w:val="baseline"/>
            </w:pPr>
            <w:r w:rsidRPr="004B00CC">
              <w:rPr>
                <w:rStyle w:val="normaltextrun"/>
              </w:rPr>
              <w:t xml:space="preserve"> “6.</w:t>
            </w:r>
            <w:r w:rsidRPr="004B00CC">
              <w:rPr>
                <w:rStyle w:val="normaltextrun"/>
                <w:vertAlign w:val="superscript"/>
              </w:rPr>
              <w:t>1 </w:t>
            </w:r>
            <w:r w:rsidRPr="004B00CC">
              <w:rPr>
                <w:rStyle w:val="normaltextrun"/>
              </w:rPr>
              <w:t>Paziņojumu par būvniecību piemēro šādos gadījumos:</w:t>
            </w:r>
          </w:p>
          <w:p w:rsidR="00EA44B0" w:rsidRPr="004B00CC" w:rsidRDefault="00EA44B0" w:rsidP="00296BDA">
            <w:pPr>
              <w:pStyle w:val="paragraph"/>
              <w:spacing w:before="0" w:beforeAutospacing="0" w:after="0" w:afterAutospacing="0"/>
              <w:jc w:val="both"/>
              <w:textAlignment w:val="baseline"/>
            </w:pPr>
            <w:r w:rsidRPr="004B00CC">
              <w:rPr>
                <w:rStyle w:val="normaltextrun"/>
              </w:rPr>
              <w:t>6.</w:t>
            </w:r>
            <w:r w:rsidRPr="004B00CC">
              <w:rPr>
                <w:rStyle w:val="normaltextrun"/>
                <w:vertAlign w:val="superscript"/>
              </w:rPr>
              <w:t>1 </w:t>
            </w:r>
            <w:r w:rsidRPr="004B00CC">
              <w:rPr>
                <w:rStyle w:val="normaltextrun"/>
              </w:rPr>
              <w:t>2. pirmās grupas inženierbūves nojaukšanai;</w:t>
            </w:r>
          </w:p>
          <w:p w:rsidR="00EA44B0" w:rsidRPr="004B00CC" w:rsidRDefault="00EA44B0" w:rsidP="00296BDA">
            <w:pPr>
              <w:ind w:left="57" w:right="57"/>
              <w:contextualSpacing/>
              <w:jc w:val="both"/>
            </w:pPr>
          </w:p>
        </w:tc>
      </w:tr>
      <w:tr w:rsidR="00EA44B0" w:rsidRPr="004B00CC" w:rsidTr="00296BDA">
        <w:trPr>
          <w:trHeight w:val="318"/>
        </w:trPr>
        <w:tc>
          <w:tcPr>
            <w:tcW w:w="709" w:type="dxa"/>
            <w:tcBorders>
              <w:top w:val="single" w:sz="6" w:space="0" w:color="000000"/>
              <w:left w:val="single" w:sz="6" w:space="0" w:color="000000"/>
              <w:bottom w:val="single" w:sz="4" w:space="0" w:color="auto"/>
              <w:right w:val="single" w:sz="6" w:space="0" w:color="000000"/>
            </w:tcBorders>
          </w:tcPr>
          <w:p w:rsidR="00EA44B0" w:rsidRPr="004B00CC" w:rsidRDefault="00EA44B0" w:rsidP="00296BDA">
            <w:pPr>
              <w:pStyle w:val="naisc"/>
              <w:spacing w:before="0" w:after="0"/>
              <w:ind w:left="57" w:right="57"/>
              <w:contextualSpacing/>
              <w:jc w:val="both"/>
            </w:pPr>
            <w:r w:rsidRPr="004B00CC">
              <w:lastRenderedPageBreak/>
              <w:t>8.</w:t>
            </w:r>
          </w:p>
        </w:tc>
        <w:tc>
          <w:tcPr>
            <w:tcW w:w="3680" w:type="dxa"/>
            <w:tcBorders>
              <w:top w:val="single" w:sz="6" w:space="0" w:color="000000"/>
              <w:left w:val="single" w:sz="6" w:space="0" w:color="000000"/>
              <w:bottom w:val="single" w:sz="4" w:space="0" w:color="auto"/>
              <w:right w:val="single" w:sz="6" w:space="0" w:color="000000"/>
            </w:tcBorders>
          </w:tcPr>
          <w:p w:rsidR="00EA44B0" w:rsidRPr="004B00CC" w:rsidRDefault="00EA44B0" w:rsidP="00296BDA">
            <w:pPr>
              <w:jc w:val="both"/>
              <w:rPr>
                <w:rStyle w:val="normaltextrun"/>
              </w:rPr>
            </w:pPr>
            <w:r w:rsidRPr="004B00CC">
              <w:t>1.12. papildināt noteikumus ar 6.</w:t>
            </w:r>
            <w:r w:rsidRPr="004B00CC">
              <w:rPr>
                <w:vertAlign w:val="superscript"/>
              </w:rPr>
              <w:t>1</w:t>
            </w:r>
            <w:r w:rsidRPr="004B00CC">
              <w:t>, 6.</w:t>
            </w:r>
            <w:r w:rsidRPr="004B00CC">
              <w:rPr>
                <w:vertAlign w:val="superscript"/>
              </w:rPr>
              <w:t>2</w:t>
            </w:r>
            <w:r w:rsidRPr="004B00CC">
              <w:t>, 6.</w:t>
            </w:r>
            <w:r w:rsidRPr="004B00CC">
              <w:rPr>
                <w:vertAlign w:val="superscript"/>
              </w:rPr>
              <w:t>3</w:t>
            </w:r>
            <w:r w:rsidRPr="004B00CC">
              <w:t xml:space="preserve"> un 6.</w:t>
            </w:r>
            <w:r w:rsidRPr="004B00CC">
              <w:rPr>
                <w:vertAlign w:val="superscript"/>
              </w:rPr>
              <w:t>4</w:t>
            </w:r>
            <w:r w:rsidRPr="004B00CC">
              <w:t> punktu šādā redakcijā:</w:t>
            </w:r>
          </w:p>
          <w:p w:rsidR="00EA44B0" w:rsidRPr="004B00CC" w:rsidRDefault="00EA44B0" w:rsidP="00296BDA">
            <w:pPr>
              <w:pStyle w:val="paragraph"/>
              <w:spacing w:before="0" w:beforeAutospacing="0" w:after="0" w:afterAutospacing="0"/>
              <w:jc w:val="both"/>
              <w:textAlignment w:val="baseline"/>
              <w:rPr>
                <w:lang w:eastAsia="en-US"/>
              </w:rPr>
            </w:pPr>
            <w:r w:rsidRPr="004B00CC">
              <w:rPr>
                <w:rStyle w:val="normaltextrun"/>
                <w:lang w:eastAsia="en-US"/>
              </w:rPr>
              <w:t>“6.</w:t>
            </w:r>
            <w:r w:rsidRPr="004B00CC">
              <w:rPr>
                <w:rStyle w:val="normaltextrun"/>
                <w:vertAlign w:val="superscript"/>
                <w:lang w:eastAsia="en-US"/>
              </w:rPr>
              <w:t>1 </w:t>
            </w:r>
            <w:r w:rsidRPr="004B00CC">
              <w:rPr>
                <w:rStyle w:val="normaltextrun"/>
                <w:lang w:eastAsia="en-US"/>
              </w:rPr>
              <w:t>Paziņojumu par būvniecību piemēro šādos gadījumos:</w:t>
            </w:r>
          </w:p>
          <w:p w:rsidR="00EA44B0" w:rsidRPr="004B00CC" w:rsidRDefault="00EA44B0" w:rsidP="00296BDA">
            <w:pPr>
              <w:pStyle w:val="naisc"/>
              <w:spacing w:before="0" w:after="0"/>
              <w:ind w:left="57" w:right="57"/>
              <w:contextualSpacing/>
              <w:jc w:val="both"/>
            </w:pPr>
            <w:r w:rsidRPr="004B00CC">
              <w:t>6.</w:t>
            </w:r>
            <w:r w:rsidRPr="004B00CC">
              <w:rPr>
                <w:vertAlign w:val="superscript"/>
              </w:rPr>
              <w:t>1</w:t>
            </w:r>
            <w:r w:rsidRPr="004B00CC">
              <w:t>3. viendzīvokļa dzīvojamās ēkas inženiertīkla (izņemot elektroenerģijas tīkla) pievada jaunai būvniecībai, ierīkošanai vai pārbūvei atbilstoši šo noteikumu 18. punktam;</w:t>
            </w:r>
          </w:p>
        </w:tc>
        <w:tc>
          <w:tcPr>
            <w:tcW w:w="4386" w:type="dxa"/>
            <w:tcBorders>
              <w:top w:val="single" w:sz="6" w:space="0" w:color="000000"/>
              <w:left w:val="single" w:sz="6" w:space="0" w:color="000000"/>
              <w:bottom w:val="single" w:sz="4" w:space="0" w:color="auto"/>
              <w:right w:val="single" w:sz="6" w:space="0" w:color="000000"/>
            </w:tcBorders>
          </w:tcPr>
          <w:p w:rsidR="00EA44B0" w:rsidRPr="00E40DC5" w:rsidRDefault="00EA44B0" w:rsidP="00296BDA">
            <w:pPr>
              <w:pStyle w:val="naisc"/>
              <w:spacing w:before="0" w:after="0"/>
              <w:ind w:left="57" w:right="57"/>
              <w:contextualSpacing/>
              <w:jc w:val="both"/>
              <w:rPr>
                <w:b/>
                <w:bCs/>
                <w:u w:val="single"/>
              </w:rPr>
            </w:pPr>
            <w:r w:rsidRPr="00E40DC5">
              <w:rPr>
                <w:b/>
                <w:bCs/>
                <w:u w:val="single"/>
              </w:rPr>
              <w:t>Latvijas Lielo pilsētu asociācija:</w:t>
            </w:r>
          </w:p>
          <w:p w:rsidR="00EA44B0" w:rsidRPr="004B00CC" w:rsidRDefault="00EA44B0" w:rsidP="00296BDA">
            <w:pPr>
              <w:jc w:val="both"/>
            </w:pPr>
            <w:r w:rsidRPr="004B00CC">
              <w:t xml:space="preserve">Nav saprotama motivācija elektroenerģijas tīkla </w:t>
            </w:r>
            <w:proofErr w:type="spellStart"/>
            <w:r w:rsidRPr="004B00CC">
              <w:t>pievadam</w:t>
            </w:r>
            <w:proofErr w:type="spellEnd"/>
            <w:r w:rsidRPr="004B00CC">
              <w:t xml:space="preserve"> izvirzīt augstākas prasības (paskaidrojuma raksta izstrāde) nekā citiem tīkliem. Šobrīd praksē tikai jaunu viendzīvokļa dzīvojamo ēku būvniecības gadījumā tiek izstrādāts risinājums elektroenerģijas tīkla </w:t>
            </w:r>
            <w:proofErr w:type="spellStart"/>
            <w:r w:rsidRPr="004B00CC">
              <w:t>pievadam</w:t>
            </w:r>
            <w:proofErr w:type="spellEnd"/>
            <w:r w:rsidRPr="004B00CC">
              <w:t xml:space="preserve">. Pārbūves gadījumos šāda prakse netiek novērota, turklāt, izvirzot augstākas prasības, patvaļīga būvniecība tiks turpināta. </w:t>
            </w:r>
          </w:p>
          <w:p w:rsidR="00EA44B0" w:rsidRPr="004B00CC" w:rsidRDefault="00EA44B0" w:rsidP="00296BDA">
            <w:pPr>
              <w:jc w:val="both"/>
            </w:pPr>
            <w:r w:rsidRPr="004B00CC">
              <w:t>Turklāt energoapgādes komersantu objektu elektroenerģijas inženiertīklu ierīkošanu, atjaunošanu vai pārbūvi to aizsargjoslā vai sarkano līniju robežās (6.</w:t>
            </w:r>
            <w:r w:rsidRPr="004B00CC">
              <w:rPr>
                <w:vertAlign w:val="superscript"/>
              </w:rPr>
              <w:t>1</w:t>
            </w:r>
            <w:r w:rsidRPr="004B00CC">
              <w:t>4.3. apakšpunkts) pat bez tīkla garuma ierobežojuma var veikt ar paziņojumu par būvniecību.</w:t>
            </w:r>
          </w:p>
          <w:p w:rsidR="00EA44B0" w:rsidRPr="004B00CC" w:rsidRDefault="00EA44B0" w:rsidP="00296BDA">
            <w:pPr>
              <w:pStyle w:val="naisc"/>
              <w:spacing w:before="0" w:after="0"/>
              <w:ind w:left="57" w:right="57"/>
              <w:contextualSpacing/>
              <w:jc w:val="both"/>
            </w:pPr>
            <w:r w:rsidRPr="004B00CC">
              <w:t>Šādas prasības nav samērīgas.</w:t>
            </w:r>
          </w:p>
          <w:p w:rsidR="00EA44B0" w:rsidRPr="004B00CC" w:rsidRDefault="00EA44B0" w:rsidP="00296BDA">
            <w:pPr>
              <w:pStyle w:val="naisc"/>
              <w:spacing w:before="0" w:after="0"/>
              <w:ind w:left="57" w:right="57"/>
              <w:contextualSpacing/>
              <w:jc w:val="both"/>
            </w:pPr>
          </w:p>
          <w:p w:rsidR="00EA44B0" w:rsidRPr="004B00CC" w:rsidRDefault="00EA44B0" w:rsidP="00296BDA">
            <w:pPr>
              <w:pStyle w:val="naisc"/>
              <w:spacing w:before="0" w:after="0"/>
              <w:ind w:left="57" w:right="57"/>
              <w:contextualSpacing/>
              <w:jc w:val="both"/>
            </w:pPr>
            <w:r w:rsidRPr="00E40DC5">
              <w:rPr>
                <w:b/>
                <w:bCs/>
                <w:u w:val="single"/>
              </w:rPr>
              <w:t>AS “Sadales tīkls”</w:t>
            </w:r>
            <w:r w:rsidRPr="004B00CC">
              <w:rPr>
                <w:b/>
                <w:bCs/>
              </w:rPr>
              <w:t>:</w:t>
            </w:r>
            <w:r w:rsidRPr="004B00CC">
              <w:t xml:space="preserve">1.Par inženiertīklu pievadu ierīkošanu. 1.1. Elektroenerģijas </w:t>
            </w:r>
            <w:proofErr w:type="spellStart"/>
            <w:r w:rsidRPr="004B00CC">
              <w:t>pieslēguma</w:t>
            </w:r>
            <w:proofErr w:type="spellEnd"/>
            <w:r w:rsidRPr="004B00CC">
              <w:t xml:space="preserve"> ierīkošana ir pamatnosacījums tālākai jebkādu vispārējo būvdarbu veikšanai, tāpēc ir būtiski elektroenerģijas sistēmas </w:t>
            </w:r>
            <w:proofErr w:type="spellStart"/>
            <w:r w:rsidRPr="004B00CC">
              <w:t>pieslēguma</w:t>
            </w:r>
            <w:proofErr w:type="spellEnd"/>
            <w:r w:rsidRPr="004B00CC">
              <w:t xml:space="preserve"> ierīkošanas procesu īstenot iespējami īsā laikā, ar maksimāli vienkāršu īstenošanas procesu, bez liekām administratīvām darbībām. Elektroenerģijas </w:t>
            </w:r>
            <w:proofErr w:type="spellStart"/>
            <w:r w:rsidRPr="004B00CC">
              <w:t>pieslēguma</w:t>
            </w:r>
            <w:proofErr w:type="spellEnd"/>
            <w:r w:rsidRPr="004B00CC">
              <w:t xml:space="preserve"> ierīkošana, īpaši vērtējot ierīkošanas termiņu, ir viens no Pasaules Bankas veidotā salīdzinošā </w:t>
            </w:r>
            <w:r w:rsidRPr="004B00CC">
              <w:lastRenderedPageBreak/>
              <w:t xml:space="preserve">reitinga </w:t>
            </w:r>
            <w:proofErr w:type="spellStart"/>
            <w:r w:rsidRPr="004B00CC">
              <w:t>Doing</w:t>
            </w:r>
            <w:proofErr w:type="spellEnd"/>
            <w:r w:rsidRPr="004B00CC">
              <w:t xml:space="preserve"> </w:t>
            </w:r>
            <w:proofErr w:type="spellStart"/>
            <w:r w:rsidRPr="004B00CC">
              <w:t>Business</w:t>
            </w:r>
            <w:proofErr w:type="spellEnd"/>
            <w:r w:rsidRPr="004B00CC">
              <w:t xml:space="preserve"> rādītājiem, kas ietekmē arī valsts novērtējumu kopumā. Noteikumu projekta 1.12. punktā, ar kuru papildina noteikumus ar jaunu 6.</w:t>
            </w:r>
            <w:r w:rsidRPr="004B00CC">
              <w:rPr>
                <w:vertAlign w:val="superscript"/>
              </w:rPr>
              <w:t xml:space="preserve">1 </w:t>
            </w:r>
            <w:r w:rsidRPr="004B00CC">
              <w:t>punktu, 6.</w:t>
            </w:r>
            <w:r w:rsidRPr="004B00CC">
              <w:rPr>
                <w:vertAlign w:val="superscript"/>
              </w:rPr>
              <w:t xml:space="preserve">1 </w:t>
            </w:r>
            <w:r w:rsidRPr="004B00CC">
              <w:t xml:space="preserve">3.punktā ir paredzēts, ka paziņošanas kārtībā ir veicama viendzīvokļa dzīvojamās ēkas inženiertīkla pievada jauna būvniecība, ierīkošana vai pārbūve, atbilstoši šo noteikumu 18.punktam. Tomēr Ministru kabineta 2017.gada 9.maija noteikumu Nr.253 "Atsevišķu inženierbūvju būvnoteikumi" (turpmāk – AIBN) 18.punkts sašaurina tvērumu un ļauj iepriekšminēto kārtību piemērot tikai </w:t>
            </w:r>
            <w:proofErr w:type="spellStart"/>
            <w:r w:rsidRPr="004B00CC">
              <w:t>pievadiem</w:t>
            </w:r>
            <w:proofErr w:type="spellEnd"/>
            <w:r w:rsidRPr="004B00CC">
              <w:t xml:space="preserve">, kas izbūvējami viendzīvokļa ēkai pieguļošā zemesgabala robežās un ja līdz viendzīvokļa dzīvojamajai ēkai pieguļošā zemes gabala robežai ir izbūvēts ārējā inženiertīkla atzars. Elektroapgādes jomai ir sava specifika, salīdzinājumā ar ūdens, siltuma un gāzes apgādes sistēmām, jo speciāli inženiertīkla atzari līdz zemesgabala robežai netiek veidoti, ja īpašumā nav sistēmas lietotāja. Visbiežāk gar īpašuma robežu (sarkanajās līnijās) vai īpašuma tuvumā ir izvietotas elektrolīnijas, no kurām personas pieprasījuma gadījumā tiek izbūvēts inženiertīkla </w:t>
            </w:r>
            <w:proofErr w:type="spellStart"/>
            <w:r w:rsidRPr="004B00CC">
              <w:t>pievads</w:t>
            </w:r>
            <w:proofErr w:type="spellEnd"/>
            <w:r w:rsidRPr="004B00CC">
              <w:t xml:space="preserve">, ko veido gan sistēmas operatora piederībā esošā elektrotīkla daļa (sistēmas </w:t>
            </w:r>
            <w:proofErr w:type="spellStart"/>
            <w:r w:rsidRPr="004B00CC">
              <w:t>pieslēgums</w:t>
            </w:r>
            <w:proofErr w:type="spellEnd"/>
            <w:r w:rsidRPr="004B00CC">
              <w:t xml:space="preserve"> </w:t>
            </w:r>
            <w:r w:rsidRPr="004B00CC">
              <w:lastRenderedPageBreak/>
              <w:t xml:space="preserve">Elektroenerģijas tirgus likuma regulējuma izpratnē) – kabelis no līnijas līdz elektroenerģijas uzskaites </w:t>
            </w:r>
            <w:proofErr w:type="spellStart"/>
            <w:r w:rsidRPr="004B00CC">
              <w:t>sadalnei</w:t>
            </w:r>
            <w:proofErr w:type="spellEnd"/>
            <w:r w:rsidRPr="004B00CC">
              <w:t xml:space="preserve"> un pati elektroenerģijas uzskaites </w:t>
            </w:r>
            <w:proofErr w:type="spellStart"/>
            <w:r w:rsidRPr="004B00CC">
              <w:t>sadalne</w:t>
            </w:r>
            <w:proofErr w:type="spellEnd"/>
            <w:r w:rsidRPr="004B00CC">
              <w:t xml:space="preserve">, gan sistēmas lietotāja elektrotīkla daļa – kabelis no uzskaites </w:t>
            </w:r>
            <w:proofErr w:type="spellStart"/>
            <w:r w:rsidRPr="004B00CC">
              <w:t>sadalnes</w:t>
            </w:r>
            <w:proofErr w:type="spellEnd"/>
            <w:r w:rsidRPr="004B00CC">
              <w:t xml:space="preserve"> līdz lietotāja ievada </w:t>
            </w:r>
            <w:proofErr w:type="spellStart"/>
            <w:r w:rsidRPr="004B00CC">
              <w:t>sadalnei</w:t>
            </w:r>
            <w:proofErr w:type="spellEnd"/>
            <w:r w:rsidRPr="004B00CC">
              <w:t xml:space="preserve"> ēkā vai citā objektā lietotāja zemesgabala robežās. Elektroenerģijas inženiertīkla pievada konstruktīvais risinājums var būt dažāds, atkarībā no attiecīgajiem apstākļiem - gan </w:t>
            </w:r>
            <w:proofErr w:type="spellStart"/>
            <w:r w:rsidRPr="004B00CC">
              <w:t>kabeļlīnijas</w:t>
            </w:r>
            <w:proofErr w:type="spellEnd"/>
            <w:r w:rsidRPr="004B00CC">
              <w:t xml:space="preserve"> izpildījumā, gan gaisvadu līnijas izpildījumā. Sistēmas lietotāja elektrotīkla daļas tehniskais izpildījums un novietojums no sistēmas operatora viedokļa kopumā nav būtisks, līdz ar to elektroenerģijas sadales sistēmas operatora kā pakalpojuma sniedzēja saskaņojums lietotāja elektrotīkla daļas novietojuma plānam nebūtu nepieciešams. Līdz šim elektroapgādes jomas būvnoteikumi pieļāva paziņošanas kārtībā veikt pievadu ierīkošanu arī elektrolīnijas aizsargjoslas un sarkano līniju robežās. Būtiski arī turpmāk ir saglabāt līdzšinējo kārtību, lai paziņošanas kārtībā būtu nodrošināma elektroenerģijas </w:t>
            </w:r>
            <w:proofErr w:type="spellStart"/>
            <w:r w:rsidRPr="004B00CC">
              <w:t>pieslēgumu</w:t>
            </w:r>
            <w:proofErr w:type="spellEnd"/>
            <w:r w:rsidRPr="004B00CC">
              <w:t xml:space="preserve"> ierīkošana no zemes gabalam blakus esošas sistēmas operatora zemsprieguma elektrolīnijas. Turklāt elektroapgādes jomā nav izšķiroši, kāda veida ēkai tiek </w:t>
            </w:r>
            <w:r w:rsidRPr="004B00CC">
              <w:lastRenderedPageBreak/>
              <w:t xml:space="preserve">ierīkots </w:t>
            </w:r>
            <w:proofErr w:type="spellStart"/>
            <w:r w:rsidRPr="004B00CC">
              <w:t>pieslēgums</w:t>
            </w:r>
            <w:proofErr w:type="spellEnd"/>
            <w:r w:rsidRPr="004B00CC">
              <w:t xml:space="preserve"> jeb inženiertīkla </w:t>
            </w:r>
            <w:proofErr w:type="spellStart"/>
            <w:r w:rsidRPr="004B00CC">
              <w:t>pievads</w:t>
            </w:r>
            <w:proofErr w:type="spellEnd"/>
            <w:r w:rsidRPr="004B00CC">
              <w:t xml:space="preserve"> – viendzīvokļa dzīvojamai ēkai vai cita veida ēkai/būvei, jo konstruktīvais izpildījums ir vienāds. AS "Sadales tīkls" arī uzsver, ka paziņošanas kārtību nav mērķis piemērot pilsētas vēsturiskajā centrā vai līdzīga veida teritorijās, tāpēc neiebilstu, ja šī punkta redakcijā tikti noteikti kādi saprātīgi ierobežojoši kritēriji, piemēram, sasaiste ar Noteikumu projekta 1.30.punktā ietverto AIBN 33.</w:t>
            </w:r>
            <w:r w:rsidRPr="004B00CC">
              <w:rPr>
                <w:vertAlign w:val="superscript"/>
              </w:rPr>
              <w:t>1</w:t>
            </w:r>
            <w:r w:rsidRPr="004B00CC">
              <w:t xml:space="preserve"> punkta redakciju, bet ir ļoti daudz teritoriju, kur šādu kārtību ir iespējams īstenot.</w:t>
            </w:r>
          </w:p>
          <w:p w:rsidR="00EA44B0" w:rsidRPr="004B00CC" w:rsidRDefault="00EA44B0" w:rsidP="00296BDA">
            <w:pPr>
              <w:pStyle w:val="naisc"/>
              <w:spacing w:before="0" w:after="0"/>
              <w:ind w:left="57" w:right="57"/>
              <w:contextualSpacing/>
              <w:jc w:val="both"/>
            </w:pPr>
          </w:p>
        </w:tc>
        <w:tc>
          <w:tcPr>
            <w:tcW w:w="3275" w:type="dxa"/>
            <w:tcBorders>
              <w:top w:val="single" w:sz="6" w:space="0" w:color="000000"/>
              <w:left w:val="single" w:sz="6" w:space="0" w:color="000000"/>
              <w:bottom w:val="single" w:sz="4" w:space="0" w:color="auto"/>
              <w:right w:val="single" w:sz="6" w:space="0" w:color="000000"/>
            </w:tcBorders>
          </w:tcPr>
          <w:p w:rsidR="00EA44B0" w:rsidRPr="004B00CC" w:rsidRDefault="00EA44B0" w:rsidP="00296BDA">
            <w:pPr>
              <w:pStyle w:val="naisc"/>
              <w:spacing w:before="0" w:after="0"/>
              <w:ind w:left="57" w:right="57"/>
              <w:rPr>
                <w:b/>
                <w:bCs/>
              </w:rPr>
            </w:pPr>
            <w:r w:rsidRPr="004B00CC">
              <w:rPr>
                <w:b/>
                <w:bCs/>
              </w:rPr>
              <w:lastRenderedPageBreak/>
              <w:t>Ņemts vērā</w:t>
            </w:r>
          </w:p>
          <w:p w:rsidR="00EA44B0" w:rsidRPr="004B00CC" w:rsidRDefault="00EA44B0" w:rsidP="00296BDA">
            <w:pPr>
              <w:pStyle w:val="naisc"/>
              <w:spacing w:before="0" w:after="0"/>
              <w:ind w:left="57" w:right="57"/>
            </w:pPr>
          </w:p>
          <w:p w:rsidR="00EA44B0" w:rsidRPr="004B00CC" w:rsidRDefault="00EA44B0" w:rsidP="00296BDA">
            <w:pPr>
              <w:pStyle w:val="naisc"/>
              <w:spacing w:before="0" w:after="0"/>
              <w:ind w:left="57" w:right="57"/>
            </w:pPr>
          </w:p>
          <w:p w:rsidR="00EA44B0" w:rsidRPr="004B00CC" w:rsidRDefault="00EA44B0" w:rsidP="00296BDA">
            <w:pPr>
              <w:pStyle w:val="naisc"/>
              <w:spacing w:before="0" w:after="0"/>
              <w:ind w:left="57" w:right="57"/>
            </w:pPr>
          </w:p>
          <w:p w:rsidR="00EA44B0" w:rsidRPr="004B00CC" w:rsidRDefault="00EA44B0" w:rsidP="00296BDA">
            <w:pPr>
              <w:pStyle w:val="naisc"/>
              <w:spacing w:before="0" w:after="0"/>
              <w:ind w:left="57" w:right="57"/>
            </w:pPr>
          </w:p>
          <w:p w:rsidR="00EA44B0" w:rsidRPr="004B00CC" w:rsidRDefault="00EA44B0" w:rsidP="00296BDA">
            <w:pPr>
              <w:pStyle w:val="naisc"/>
              <w:spacing w:before="0" w:after="0"/>
              <w:ind w:left="57" w:right="57"/>
            </w:pPr>
          </w:p>
          <w:p w:rsidR="00EA44B0" w:rsidRPr="004B00CC" w:rsidRDefault="00EA44B0" w:rsidP="00296BDA">
            <w:pPr>
              <w:pStyle w:val="naisc"/>
              <w:spacing w:before="0" w:after="0"/>
              <w:ind w:left="57" w:right="57"/>
            </w:pPr>
          </w:p>
          <w:p w:rsidR="00EA44B0" w:rsidRPr="004B00CC" w:rsidRDefault="00EA44B0" w:rsidP="00296BDA">
            <w:pPr>
              <w:pStyle w:val="naisc"/>
              <w:spacing w:before="0" w:after="0"/>
              <w:ind w:left="57" w:right="57"/>
            </w:pPr>
          </w:p>
          <w:p w:rsidR="00EA44B0" w:rsidRPr="004B00CC" w:rsidRDefault="00EA44B0" w:rsidP="00296BDA">
            <w:pPr>
              <w:pStyle w:val="naisc"/>
              <w:spacing w:before="0" w:after="0"/>
              <w:ind w:left="57" w:right="57"/>
            </w:pPr>
          </w:p>
          <w:p w:rsidR="00EA44B0" w:rsidRPr="004B00CC" w:rsidRDefault="00EA44B0" w:rsidP="00296BDA">
            <w:pPr>
              <w:pStyle w:val="naisc"/>
              <w:spacing w:before="0" w:after="0"/>
              <w:ind w:left="57" w:right="57"/>
            </w:pPr>
          </w:p>
          <w:p w:rsidR="00EA44B0" w:rsidRPr="004B00CC" w:rsidRDefault="00EA44B0" w:rsidP="00296BDA">
            <w:pPr>
              <w:pStyle w:val="naisc"/>
              <w:spacing w:before="0" w:after="0"/>
              <w:ind w:left="57" w:right="57"/>
            </w:pPr>
          </w:p>
          <w:p w:rsidR="00EA44B0" w:rsidRPr="004B00CC" w:rsidRDefault="00EA44B0" w:rsidP="00296BDA">
            <w:pPr>
              <w:pStyle w:val="naisc"/>
              <w:spacing w:before="0" w:after="0"/>
              <w:ind w:left="57" w:right="57"/>
            </w:pPr>
          </w:p>
          <w:p w:rsidR="00EA44B0" w:rsidRPr="004B00CC" w:rsidRDefault="00EA44B0" w:rsidP="00296BDA">
            <w:pPr>
              <w:pStyle w:val="naisc"/>
              <w:spacing w:before="0" w:after="0"/>
              <w:ind w:left="57" w:right="57"/>
            </w:pPr>
          </w:p>
          <w:p w:rsidR="00EA44B0" w:rsidRPr="004B00CC" w:rsidRDefault="00EA44B0" w:rsidP="00296BDA">
            <w:pPr>
              <w:pStyle w:val="naisc"/>
              <w:spacing w:before="0" w:after="0"/>
              <w:ind w:left="57" w:right="57"/>
            </w:pPr>
          </w:p>
          <w:p w:rsidR="00EA44B0" w:rsidRPr="004B00CC" w:rsidRDefault="00EA44B0" w:rsidP="00296BDA">
            <w:pPr>
              <w:pStyle w:val="naisc"/>
              <w:spacing w:before="0" w:after="0"/>
              <w:ind w:left="57" w:right="57"/>
            </w:pPr>
          </w:p>
          <w:p w:rsidR="00EA44B0" w:rsidRPr="004B00CC" w:rsidRDefault="00EA44B0" w:rsidP="00296BDA">
            <w:pPr>
              <w:pStyle w:val="naisc"/>
              <w:spacing w:before="0" w:after="0"/>
              <w:ind w:left="57" w:right="57"/>
            </w:pPr>
          </w:p>
          <w:p w:rsidR="00EA44B0" w:rsidRPr="004B00CC" w:rsidRDefault="00EA44B0" w:rsidP="00296BDA">
            <w:pPr>
              <w:pStyle w:val="naisc"/>
              <w:spacing w:before="0" w:after="0"/>
              <w:ind w:left="57" w:right="57"/>
            </w:pPr>
          </w:p>
          <w:p w:rsidR="00EA44B0" w:rsidRPr="004B00CC" w:rsidRDefault="00EA44B0" w:rsidP="00296BDA">
            <w:pPr>
              <w:pStyle w:val="naisc"/>
              <w:spacing w:before="0" w:after="0"/>
              <w:ind w:left="57" w:right="57"/>
            </w:pPr>
          </w:p>
          <w:p w:rsidR="00EA44B0" w:rsidRPr="004B00CC" w:rsidRDefault="00EA44B0" w:rsidP="00296BDA">
            <w:pPr>
              <w:pStyle w:val="naisc"/>
              <w:spacing w:before="0" w:after="0"/>
              <w:ind w:left="57" w:right="57"/>
            </w:pPr>
          </w:p>
          <w:p w:rsidR="00EA44B0" w:rsidRPr="004B00CC" w:rsidRDefault="00EA44B0" w:rsidP="00296BDA">
            <w:pPr>
              <w:contextualSpacing/>
              <w:jc w:val="center"/>
              <w:rPr>
                <w:b/>
                <w:bCs/>
              </w:rPr>
            </w:pPr>
            <w:r w:rsidRPr="004B00CC">
              <w:rPr>
                <w:b/>
                <w:bCs/>
              </w:rPr>
              <w:t>Panākta vienošanās starpinstitūciju sanāksmē</w:t>
            </w:r>
          </w:p>
          <w:p w:rsidR="00EA44B0" w:rsidRPr="004B00CC" w:rsidRDefault="00EA44B0" w:rsidP="00296BDA">
            <w:pPr>
              <w:pStyle w:val="naisc"/>
              <w:spacing w:before="0" w:after="0"/>
              <w:ind w:left="57" w:right="57"/>
              <w:jc w:val="both"/>
            </w:pPr>
            <w:r w:rsidRPr="004B00CC">
              <w:t xml:space="preserve">Vispārīgo būvnoteikumu 2.17.apakšpunkts nosaka, ka inženiertīklu </w:t>
            </w:r>
            <w:proofErr w:type="spellStart"/>
            <w:r w:rsidRPr="004B00CC">
              <w:t>pievads</w:t>
            </w:r>
            <w:proofErr w:type="spellEnd"/>
            <w:r w:rsidRPr="004B00CC">
              <w:t xml:space="preserve"> – ārējā energoapgāde, elektronisko sakaru, ūdens un citu resursu apgādes sistēma, kas sastāv no pazemes vai (un) virszemes cauruļvadu, kabeļu, vadu un tā tehnisko ietaišu kopuma no sadales tīkla līdz būves ievada </w:t>
            </w:r>
            <w:proofErr w:type="spellStart"/>
            <w:r w:rsidRPr="004B00CC">
              <w:lastRenderedPageBreak/>
              <w:t>noslēgierīcei</w:t>
            </w:r>
            <w:proofErr w:type="spellEnd"/>
            <w:r w:rsidRPr="004B00CC">
              <w:t xml:space="preserve"> vai ievada </w:t>
            </w:r>
            <w:proofErr w:type="spellStart"/>
            <w:r w:rsidRPr="004B00CC">
              <w:t>sadalnei</w:t>
            </w:r>
            <w:proofErr w:type="spellEnd"/>
            <w:r w:rsidRPr="004B00CC">
              <w:t xml:space="preserve">. Persona var izbūvēt pievadu, ja ir jau esoša elektroenerģijas </w:t>
            </w:r>
            <w:proofErr w:type="spellStart"/>
            <w:r w:rsidRPr="004B00CC">
              <w:t>sadalne</w:t>
            </w:r>
            <w:proofErr w:type="spellEnd"/>
            <w:r w:rsidRPr="004B00CC">
              <w:t xml:space="preserve">. Energoapgādes komersants </w:t>
            </w:r>
            <w:proofErr w:type="spellStart"/>
            <w:r w:rsidRPr="004B00CC">
              <w:t>brīvstāvošas</w:t>
            </w:r>
            <w:proofErr w:type="spellEnd"/>
            <w:r w:rsidRPr="004B00CC">
              <w:t xml:space="preserve"> elektroenerģijas </w:t>
            </w:r>
            <w:proofErr w:type="spellStart"/>
            <w:r w:rsidRPr="004B00CC">
              <w:t>sadalnes</w:t>
            </w:r>
            <w:proofErr w:type="spellEnd"/>
            <w:r w:rsidRPr="004B00CC">
              <w:t xml:space="preserve"> jaunu būvniecību un pārbūvi atbilstoši 6.</w:t>
            </w:r>
            <w:r w:rsidRPr="004B00CC">
              <w:rPr>
                <w:vertAlign w:val="superscript"/>
              </w:rPr>
              <w:t>1 </w:t>
            </w:r>
            <w:r w:rsidRPr="004B00CC">
              <w:t xml:space="preserve">4.1. punktam var veikt ar paziņošanas procedūru. Ja </w:t>
            </w:r>
            <w:proofErr w:type="spellStart"/>
            <w:r w:rsidRPr="004B00CC">
              <w:t>sadalnes</w:t>
            </w:r>
            <w:proofErr w:type="spellEnd"/>
            <w:r w:rsidRPr="004B00CC">
              <w:t xml:space="preserve"> būvniecību veiks persona, tai nav tiesības to veikt ar paziņošanas procedūru. </w:t>
            </w:r>
          </w:p>
        </w:tc>
        <w:tc>
          <w:tcPr>
            <w:tcW w:w="3638" w:type="dxa"/>
            <w:tcBorders>
              <w:top w:val="single" w:sz="4" w:space="0" w:color="auto"/>
              <w:left w:val="single" w:sz="4" w:space="0" w:color="auto"/>
              <w:bottom w:val="single" w:sz="4" w:space="0" w:color="auto"/>
            </w:tcBorders>
          </w:tcPr>
          <w:p w:rsidR="00EA44B0" w:rsidRPr="004B00CC" w:rsidRDefault="00EA44B0" w:rsidP="00296BDA">
            <w:pPr>
              <w:tabs>
                <w:tab w:val="left" w:pos="709"/>
              </w:tabs>
              <w:jc w:val="both"/>
            </w:pPr>
            <w:r w:rsidRPr="004B00CC">
              <w:lastRenderedPageBreak/>
              <w:t>1.13. papildināt noteikumus ar 6.</w:t>
            </w:r>
            <w:r w:rsidRPr="004B00CC">
              <w:rPr>
                <w:vertAlign w:val="superscript"/>
              </w:rPr>
              <w:t>1</w:t>
            </w:r>
            <w:r w:rsidRPr="004B00CC">
              <w:t>, 6.</w:t>
            </w:r>
            <w:r w:rsidRPr="004B00CC">
              <w:rPr>
                <w:vertAlign w:val="superscript"/>
              </w:rPr>
              <w:t>2</w:t>
            </w:r>
            <w:r w:rsidRPr="004B00CC">
              <w:t>, 6.</w:t>
            </w:r>
            <w:r w:rsidRPr="004B00CC">
              <w:rPr>
                <w:vertAlign w:val="superscript"/>
              </w:rPr>
              <w:t>3</w:t>
            </w:r>
            <w:r w:rsidRPr="004B00CC">
              <w:t>, 6.</w:t>
            </w:r>
            <w:r w:rsidRPr="004B00CC">
              <w:rPr>
                <w:vertAlign w:val="superscript"/>
              </w:rPr>
              <w:t>4</w:t>
            </w:r>
            <w:r w:rsidRPr="004B00CC">
              <w:t xml:space="preserve"> un 6.</w:t>
            </w:r>
            <w:r w:rsidRPr="004B00CC">
              <w:rPr>
                <w:vertAlign w:val="superscript"/>
              </w:rPr>
              <w:t>5</w:t>
            </w:r>
            <w:r w:rsidRPr="004B00CC">
              <w:t> punktu šādā redakcijā:</w:t>
            </w:r>
          </w:p>
          <w:p w:rsidR="00EA44B0" w:rsidRPr="004B00CC" w:rsidRDefault="00EA44B0" w:rsidP="00296BDA">
            <w:pPr>
              <w:pStyle w:val="paragraph"/>
              <w:spacing w:before="0" w:beforeAutospacing="0" w:after="0" w:afterAutospacing="0"/>
              <w:jc w:val="both"/>
              <w:textAlignment w:val="baseline"/>
              <w:rPr>
                <w:lang w:eastAsia="en-US"/>
              </w:rPr>
            </w:pPr>
            <w:r w:rsidRPr="004B00CC">
              <w:rPr>
                <w:rStyle w:val="normaltextrun"/>
                <w:lang w:eastAsia="en-US"/>
              </w:rPr>
              <w:t xml:space="preserve"> “6.</w:t>
            </w:r>
            <w:r w:rsidRPr="004B00CC">
              <w:rPr>
                <w:rStyle w:val="normaltextrun"/>
                <w:vertAlign w:val="superscript"/>
                <w:lang w:eastAsia="en-US"/>
              </w:rPr>
              <w:t>1 </w:t>
            </w:r>
            <w:r w:rsidRPr="004B00CC">
              <w:rPr>
                <w:rStyle w:val="normaltextrun"/>
                <w:lang w:eastAsia="en-US"/>
              </w:rPr>
              <w:t>Paziņojumu par būvniecību piemēro šādos gadījumos:</w:t>
            </w:r>
          </w:p>
          <w:p w:rsidR="00EA44B0" w:rsidRPr="004B00CC" w:rsidRDefault="00EA44B0" w:rsidP="00296BDA">
            <w:pPr>
              <w:ind w:left="57" w:right="57"/>
              <w:contextualSpacing/>
              <w:jc w:val="both"/>
            </w:pPr>
            <w:r w:rsidRPr="004B00CC">
              <w:t>6.</w:t>
            </w:r>
            <w:r w:rsidRPr="004B00CC">
              <w:rPr>
                <w:vertAlign w:val="superscript"/>
              </w:rPr>
              <w:t>1</w:t>
            </w:r>
            <w:r w:rsidRPr="004B00CC">
              <w:t>3. inženiertīkla pievada jaunai būvniecībai, ierīkošanai vai pārbūvei atbilstoši šo noteikumu 18. punktam;</w:t>
            </w:r>
          </w:p>
        </w:tc>
      </w:tr>
      <w:tr w:rsidR="00EA44B0" w:rsidRPr="004B00CC" w:rsidTr="00296BDA">
        <w:trPr>
          <w:trHeight w:val="318"/>
        </w:trPr>
        <w:tc>
          <w:tcPr>
            <w:tcW w:w="709"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contextualSpacing/>
              <w:jc w:val="both"/>
            </w:pPr>
            <w:r w:rsidRPr="004B00CC">
              <w:lastRenderedPageBreak/>
              <w:t>9.</w:t>
            </w:r>
          </w:p>
        </w:tc>
        <w:tc>
          <w:tcPr>
            <w:tcW w:w="3680"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jc w:val="both"/>
              <w:rPr>
                <w:rStyle w:val="normaltextrun"/>
              </w:rPr>
            </w:pPr>
            <w:r w:rsidRPr="004B00CC">
              <w:t>1.12. papildināt noteikumus ar 6.</w:t>
            </w:r>
            <w:r w:rsidRPr="004B00CC">
              <w:rPr>
                <w:vertAlign w:val="superscript"/>
              </w:rPr>
              <w:t>1</w:t>
            </w:r>
            <w:r w:rsidRPr="004B00CC">
              <w:t>, 6.</w:t>
            </w:r>
            <w:r w:rsidRPr="004B00CC">
              <w:rPr>
                <w:vertAlign w:val="superscript"/>
              </w:rPr>
              <w:t>2</w:t>
            </w:r>
            <w:r w:rsidRPr="004B00CC">
              <w:t>, 6.</w:t>
            </w:r>
            <w:r w:rsidRPr="004B00CC">
              <w:rPr>
                <w:vertAlign w:val="superscript"/>
              </w:rPr>
              <w:t>3</w:t>
            </w:r>
            <w:r w:rsidRPr="004B00CC">
              <w:t xml:space="preserve"> un 6.</w:t>
            </w:r>
            <w:r w:rsidRPr="004B00CC">
              <w:rPr>
                <w:vertAlign w:val="superscript"/>
              </w:rPr>
              <w:t>4</w:t>
            </w:r>
            <w:r w:rsidRPr="004B00CC">
              <w:t> punktu šādā redakcijā:</w:t>
            </w:r>
          </w:p>
          <w:p w:rsidR="00EA44B0" w:rsidRPr="004B00CC" w:rsidRDefault="00EA44B0" w:rsidP="00296BDA">
            <w:pPr>
              <w:pStyle w:val="paragraph"/>
              <w:spacing w:before="0" w:beforeAutospacing="0" w:after="0" w:afterAutospacing="0"/>
              <w:jc w:val="both"/>
              <w:textAlignment w:val="baseline"/>
              <w:rPr>
                <w:lang w:eastAsia="en-US"/>
              </w:rPr>
            </w:pPr>
            <w:r w:rsidRPr="004B00CC">
              <w:rPr>
                <w:rStyle w:val="normaltextrun"/>
                <w:lang w:eastAsia="en-US"/>
              </w:rPr>
              <w:t>“6.</w:t>
            </w:r>
            <w:r w:rsidRPr="004B00CC">
              <w:rPr>
                <w:rStyle w:val="normaltextrun"/>
                <w:vertAlign w:val="superscript"/>
                <w:lang w:eastAsia="en-US"/>
              </w:rPr>
              <w:t>1 </w:t>
            </w:r>
            <w:r w:rsidRPr="004B00CC">
              <w:rPr>
                <w:rStyle w:val="normaltextrun"/>
                <w:lang w:eastAsia="en-US"/>
              </w:rPr>
              <w:t>Paziņojumu par būvniecību piemēro šādos gadījumos:</w:t>
            </w:r>
          </w:p>
          <w:p w:rsidR="00EA44B0" w:rsidRPr="004B00CC" w:rsidRDefault="00EA44B0" w:rsidP="00296BDA">
            <w:pPr>
              <w:pStyle w:val="naisc"/>
              <w:spacing w:before="0" w:after="0"/>
              <w:ind w:left="57" w:right="57"/>
              <w:contextualSpacing/>
              <w:jc w:val="both"/>
              <w:rPr>
                <w:rStyle w:val="normaltextrun"/>
                <w:lang w:eastAsia="en-US"/>
              </w:rPr>
            </w:pPr>
            <w:r w:rsidRPr="004B00CC">
              <w:rPr>
                <w:rStyle w:val="normaltextrun"/>
                <w:lang w:eastAsia="en-US"/>
              </w:rPr>
              <w:t>6.</w:t>
            </w:r>
            <w:r w:rsidRPr="004B00CC">
              <w:rPr>
                <w:rStyle w:val="normaltextrun"/>
                <w:vertAlign w:val="superscript"/>
                <w:lang w:eastAsia="en-US"/>
              </w:rPr>
              <w:t>1 </w:t>
            </w:r>
            <w:r w:rsidRPr="004B00CC">
              <w:rPr>
                <w:rStyle w:val="normaltextrun"/>
                <w:lang w:eastAsia="en-US"/>
              </w:rPr>
              <w:t>4.1. </w:t>
            </w:r>
            <w:proofErr w:type="spellStart"/>
            <w:r w:rsidRPr="004B00CC">
              <w:rPr>
                <w:rStyle w:val="normaltextrun"/>
                <w:lang w:eastAsia="en-US"/>
              </w:rPr>
              <w:t>brīvstāvošas</w:t>
            </w:r>
            <w:proofErr w:type="spellEnd"/>
            <w:r w:rsidRPr="004B00CC">
              <w:rPr>
                <w:rStyle w:val="normaltextrun"/>
                <w:lang w:eastAsia="en-US"/>
              </w:rPr>
              <w:t xml:space="preserve"> elektroenerģijas </w:t>
            </w:r>
            <w:proofErr w:type="spellStart"/>
            <w:r w:rsidRPr="004B00CC">
              <w:rPr>
                <w:rStyle w:val="normaltextrun"/>
                <w:lang w:eastAsia="en-US"/>
              </w:rPr>
              <w:t>sadalnes</w:t>
            </w:r>
            <w:proofErr w:type="spellEnd"/>
            <w:r w:rsidRPr="004B00CC">
              <w:rPr>
                <w:rStyle w:val="normaltextrun"/>
                <w:lang w:eastAsia="en-US"/>
              </w:rPr>
              <w:t xml:space="preserve"> jaunai būvniecībai un pārbūvei, izņemot šo noteikumu 33.</w:t>
            </w:r>
            <w:r w:rsidRPr="004B00CC">
              <w:rPr>
                <w:rStyle w:val="normaltextrun"/>
                <w:vertAlign w:val="superscript"/>
                <w:lang w:eastAsia="en-US"/>
              </w:rPr>
              <w:t>1 </w:t>
            </w:r>
            <w:r w:rsidRPr="004B00CC">
              <w:rPr>
                <w:rStyle w:val="normaltextrun"/>
                <w:lang w:eastAsia="en-US"/>
              </w:rPr>
              <w:t>punktā minētajos gadījumos;”</w:t>
            </w:r>
          </w:p>
          <w:p w:rsidR="00EA44B0" w:rsidRPr="004B00CC" w:rsidRDefault="00EA44B0" w:rsidP="00296BDA">
            <w:pPr>
              <w:pStyle w:val="naisc"/>
              <w:spacing w:before="0" w:after="0"/>
              <w:ind w:left="57" w:right="57"/>
              <w:contextualSpacing/>
              <w:jc w:val="both"/>
              <w:rPr>
                <w:rStyle w:val="normaltextrun"/>
                <w:lang w:eastAsia="en-US"/>
              </w:rPr>
            </w:pPr>
          </w:p>
          <w:p w:rsidR="00EA44B0" w:rsidRPr="004B00CC" w:rsidRDefault="00EA44B0" w:rsidP="00296BDA">
            <w:pPr>
              <w:jc w:val="both"/>
            </w:pPr>
          </w:p>
        </w:tc>
        <w:tc>
          <w:tcPr>
            <w:tcW w:w="4386" w:type="dxa"/>
            <w:tcBorders>
              <w:top w:val="single" w:sz="6" w:space="0" w:color="000000"/>
              <w:left w:val="single" w:sz="6" w:space="0" w:color="000000"/>
              <w:bottom w:val="single" w:sz="6" w:space="0" w:color="000000"/>
              <w:right w:val="single" w:sz="6" w:space="0" w:color="000000"/>
            </w:tcBorders>
          </w:tcPr>
          <w:p w:rsidR="00EA44B0" w:rsidRPr="00E40DC5" w:rsidRDefault="00EA44B0" w:rsidP="00296BDA">
            <w:pPr>
              <w:pStyle w:val="naisc"/>
              <w:spacing w:before="0" w:after="0"/>
              <w:ind w:left="57" w:right="57"/>
              <w:contextualSpacing/>
              <w:jc w:val="both"/>
              <w:rPr>
                <w:b/>
                <w:bCs/>
                <w:u w:val="single"/>
              </w:rPr>
            </w:pPr>
            <w:r w:rsidRPr="00E40DC5">
              <w:rPr>
                <w:b/>
                <w:bCs/>
                <w:u w:val="single"/>
              </w:rPr>
              <w:t>Latvijas Pašvaldību savienība:</w:t>
            </w:r>
          </w:p>
          <w:p w:rsidR="00EA44B0" w:rsidRPr="004B00CC" w:rsidRDefault="00EA44B0" w:rsidP="00296BDA">
            <w:pPr>
              <w:jc w:val="both"/>
            </w:pPr>
            <w:r w:rsidRPr="004B00CC">
              <w:t>2.Lūdzam papildināt Noteikumu projektu un 6.prim  4.1. punktā noteikt izņēmumu attiecībā uz pilsētbūvniecības pieminekli un to aizsardzības zonu, ka arī pašvaldību saistošajos noteikumos noteiktās aizsardzības teritorijām. Pašvaldība saistošajos noteikumos var noteikt pienākumu iesniegt un saskaņot trašu ierādi inženiertīkla izvietošanai;</w:t>
            </w:r>
          </w:p>
          <w:p w:rsidR="00EA44B0" w:rsidRPr="004B00CC" w:rsidRDefault="00EA44B0" w:rsidP="00296BDA">
            <w:pPr>
              <w:jc w:val="both"/>
            </w:pPr>
          </w:p>
          <w:p w:rsidR="00EA44B0" w:rsidRPr="004B00CC" w:rsidRDefault="00EA44B0" w:rsidP="00296BDA">
            <w:pPr>
              <w:jc w:val="both"/>
              <w:rPr>
                <w:b/>
                <w:bCs/>
              </w:rPr>
            </w:pPr>
          </w:p>
          <w:p w:rsidR="00EA44B0" w:rsidRPr="004B00CC" w:rsidRDefault="00EA44B0" w:rsidP="00296BDA">
            <w:pPr>
              <w:jc w:val="both"/>
              <w:rPr>
                <w:b/>
                <w:bCs/>
              </w:rPr>
            </w:pPr>
          </w:p>
          <w:p w:rsidR="00EA44B0" w:rsidRPr="004B00CC" w:rsidRDefault="00EA44B0" w:rsidP="00296BDA">
            <w:pPr>
              <w:jc w:val="both"/>
              <w:rPr>
                <w:b/>
                <w:bCs/>
              </w:rPr>
            </w:pPr>
          </w:p>
          <w:p w:rsidR="00EA44B0" w:rsidRPr="004B00CC" w:rsidRDefault="00EA44B0" w:rsidP="00296BDA">
            <w:pPr>
              <w:jc w:val="both"/>
              <w:rPr>
                <w:b/>
                <w:bCs/>
              </w:rPr>
            </w:pPr>
          </w:p>
          <w:p w:rsidR="00EA44B0" w:rsidRPr="004B00CC" w:rsidRDefault="00EA44B0" w:rsidP="00296BDA">
            <w:pPr>
              <w:jc w:val="both"/>
              <w:rPr>
                <w:b/>
                <w:bCs/>
              </w:rPr>
            </w:pPr>
          </w:p>
          <w:p w:rsidR="00EA44B0" w:rsidRPr="004B00CC" w:rsidRDefault="00EA44B0" w:rsidP="00296BDA">
            <w:pPr>
              <w:jc w:val="both"/>
              <w:rPr>
                <w:b/>
                <w:bCs/>
              </w:rPr>
            </w:pPr>
          </w:p>
          <w:p w:rsidR="00EA44B0" w:rsidRPr="004B00CC" w:rsidRDefault="00EA44B0" w:rsidP="00296BDA">
            <w:pPr>
              <w:jc w:val="both"/>
              <w:rPr>
                <w:b/>
                <w:bCs/>
              </w:rPr>
            </w:pPr>
          </w:p>
          <w:p w:rsidR="00EA44B0" w:rsidRPr="004B00CC" w:rsidRDefault="00EA44B0" w:rsidP="00296BDA">
            <w:pPr>
              <w:jc w:val="both"/>
              <w:rPr>
                <w:b/>
                <w:bCs/>
              </w:rPr>
            </w:pPr>
          </w:p>
          <w:p w:rsidR="00EA44B0" w:rsidRPr="004B00CC" w:rsidRDefault="00EA44B0" w:rsidP="00296BDA">
            <w:pPr>
              <w:jc w:val="both"/>
              <w:rPr>
                <w:b/>
                <w:bCs/>
              </w:rPr>
            </w:pPr>
          </w:p>
          <w:p w:rsidR="00EA44B0" w:rsidRPr="004B00CC" w:rsidRDefault="00EA44B0" w:rsidP="00296BDA">
            <w:pPr>
              <w:jc w:val="both"/>
              <w:rPr>
                <w:b/>
                <w:bCs/>
              </w:rPr>
            </w:pPr>
          </w:p>
          <w:p w:rsidR="00EA44B0" w:rsidRPr="004B00CC" w:rsidRDefault="00EA44B0" w:rsidP="00296BDA">
            <w:pPr>
              <w:jc w:val="both"/>
              <w:rPr>
                <w:b/>
                <w:bCs/>
              </w:rPr>
            </w:pPr>
          </w:p>
          <w:p w:rsidR="00EA44B0" w:rsidRPr="004B00CC" w:rsidRDefault="00EA44B0" w:rsidP="00296BDA">
            <w:pPr>
              <w:jc w:val="both"/>
              <w:rPr>
                <w:b/>
                <w:bCs/>
              </w:rPr>
            </w:pPr>
          </w:p>
          <w:p w:rsidR="00EA44B0" w:rsidRPr="004B00CC" w:rsidRDefault="00EA44B0" w:rsidP="00296BDA">
            <w:pPr>
              <w:jc w:val="both"/>
              <w:rPr>
                <w:b/>
                <w:bCs/>
              </w:rPr>
            </w:pPr>
          </w:p>
          <w:p w:rsidR="00EA44B0" w:rsidRPr="00E40DC5" w:rsidRDefault="00EA44B0" w:rsidP="00296BDA">
            <w:pPr>
              <w:jc w:val="both"/>
              <w:rPr>
                <w:b/>
                <w:bCs/>
                <w:u w:val="single"/>
              </w:rPr>
            </w:pPr>
            <w:r w:rsidRPr="00E40DC5">
              <w:rPr>
                <w:b/>
                <w:bCs/>
                <w:u w:val="single"/>
              </w:rPr>
              <w:t>Latvijas Lielo pilsētu asociācija:</w:t>
            </w:r>
          </w:p>
          <w:p w:rsidR="00EA44B0" w:rsidRPr="004B00CC" w:rsidRDefault="00EA44B0" w:rsidP="00296BDA">
            <w:pPr>
              <w:jc w:val="both"/>
            </w:pPr>
            <w:r w:rsidRPr="004B00CC">
              <w:t>Lūdzam papildināt un 6.</w:t>
            </w:r>
            <w:r w:rsidRPr="004B00CC">
              <w:rPr>
                <w:vertAlign w:val="superscript"/>
              </w:rPr>
              <w:t>1 </w:t>
            </w:r>
            <w:r w:rsidRPr="004B00CC">
              <w:t>4.1. punktā noteikt izņēmumu attiecībā uz pilsētbūvniecības pieminekli un to aizsardzības zonu, ka arī pašvaldību saistošajos noteikumos noteiktās aizsardzības teritorijām.</w:t>
            </w:r>
          </w:p>
          <w:p w:rsidR="00EA44B0" w:rsidRPr="004B00CC" w:rsidRDefault="00EA44B0" w:rsidP="00296BDA">
            <w:pPr>
              <w:pStyle w:val="naisc"/>
              <w:spacing w:before="0" w:after="0"/>
              <w:ind w:left="57" w:right="57"/>
              <w:contextualSpacing/>
              <w:jc w:val="both"/>
            </w:pPr>
          </w:p>
        </w:tc>
        <w:tc>
          <w:tcPr>
            <w:tcW w:w="3275"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contextualSpacing/>
              <w:jc w:val="center"/>
              <w:rPr>
                <w:b/>
                <w:bCs/>
              </w:rPr>
            </w:pPr>
            <w:r w:rsidRPr="004B00CC">
              <w:rPr>
                <w:b/>
                <w:bCs/>
              </w:rPr>
              <w:lastRenderedPageBreak/>
              <w:t>Panākta vienošanās starpinstitūciju sanāksmē</w:t>
            </w:r>
          </w:p>
          <w:p w:rsidR="00EA44B0" w:rsidRPr="004B00CC" w:rsidRDefault="00EA44B0" w:rsidP="00296BDA">
            <w:pPr>
              <w:pStyle w:val="naisc"/>
              <w:spacing w:before="0" w:after="0"/>
              <w:ind w:left="57" w:right="57"/>
              <w:jc w:val="both"/>
            </w:pPr>
            <w:r w:rsidRPr="004B00CC">
              <w:t>Noteikumu projekta 30.punktā (33.</w:t>
            </w:r>
            <w:r w:rsidRPr="004B00CC">
              <w:rPr>
                <w:vertAlign w:val="superscript"/>
              </w:rPr>
              <w:t>1</w:t>
            </w:r>
            <w:r w:rsidRPr="004B00CC">
              <w:t xml:space="preserve">punkts) jau ir noteikts: </w:t>
            </w:r>
          </w:p>
          <w:p w:rsidR="00EA44B0" w:rsidRPr="004B00CC" w:rsidRDefault="00EA44B0" w:rsidP="00296BDA">
            <w:pPr>
              <w:jc w:val="both"/>
              <w:rPr>
                <w:i/>
                <w:iCs/>
              </w:rPr>
            </w:pPr>
            <w:r w:rsidRPr="004B00CC">
              <w:rPr>
                <w:rStyle w:val="normaltextrun"/>
                <w:bCs/>
                <w:i/>
                <w:iCs/>
              </w:rPr>
              <w:t>“</w:t>
            </w:r>
            <w:r w:rsidRPr="004B00CC">
              <w:rPr>
                <w:i/>
                <w:iCs/>
              </w:rPr>
              <w:t>33.</w:t>
            </w:r>
            <w:r w:rsidRPr="004B00CC">
              <w:rPr>
                <w:i/>
                <w:iCs/>
                <w:vertAlign w:val="superscript"/>
              </w:rPr>
              <w:t>1</w:t>
            </w:r>
            <w:r w:rsidRPr="004B00CC">
              <w:rPr>
                <w:i/>
                <w:iCs/>
              </w:rPr>
              <w:t xml:space="preserve"> Ja </w:t>
            </w:r>
            <w:r w:rsidRPr="004B00CC">
              <w:rPr>
                <w:rStyle w:val="normaltextrun"/>
                <w:i/>
                <w:iCs/>
              </w:rPr>
              <w:t xml:space="preserve">elektroenerģijas </w:t>
            </w:r>
            <w:proofErr w:type="spellStart"/>
            <w:r w:rsidRPr="004B00CC">
              <w:rPr>
                <w:rStyle w:val="normaltextrun"/>
                <w:i/>
                <w:iCs/>
              </w:rPr>
              <w:t>sadalnes</w:t>
            </w:r>
            <w:proofErr w:type="spellEnd"/>
            <w:r w:rsidRPr="004B00CC">
              <w:rPr>
                <w:rStyle w:val="normaltextrun"/>
                <w:i/>
                <w:iCs/>
              </w:rPr>
              <w:t xml:space="preserve"> </w:t>
            </w:r>
            <w:r w:rsidRPr="004B00CC">
              <w:rPr>
                <w:i/>
                <w:iCs/>
              </w:rPr>
              <w:t xml:space="preserve">jauna būvniecība un pārbūve paredzēta UNESCO pasaules kultūras un dabas mantojuma vietās, pilsētbūvniecības pieminekļa, kultūras pieminekļa  vai apbūves aizsardzības teritorijā un to aizsardzības zonā, kā arī paredzēts kalt aili ēkas sienā </w:t>
            </w:r>
            <w:proofErr w:type="spellStart"/>
            <w:r w:rsidRPr="004B00CC">
              <w:rPr>
                <w:i/>
                <w:iCs/>
              </w:rPr>
              <w:t>sadalnes</w:t>
            </w:r>
            <w:proofErr w:type="spellEnd"/>
            <w:r w:rsidRPr="004B00CC">
              <w:rPr>
                <w:i/>
                <w:iCs/>
              </w:rPr>
              <w:t xml:space="preserve"> ievietošanai institūcijā, kura pilda būvvaldes </w:t>
            </w:r>
            <w:r w:rsidRPr="004B00CC">
              <w:rPr>
                <w:i/>
                <w:iCs/>
              </w:rPr>
              <w:lastRenderedPageBreak/>
              <w:t xml:space="preserve">funkcijas, iesniedz paskaidrojuma raksta I daļu, kurai pievieno šo noteikumu 30. punktā minētos dokumentus, kā arī šādus dokumentus. </w:t>
            </w:r>
          </w:p>
          <w:p w:rsidR="00EA44B0" w:rsidRPr="004B00CC" w:rsidRDefault="00EA44B0" w:rsidP="00296BDA">
            <w:pPr>
              <w:jc w:val="both"/>
            </w:pPr>
            <w:r w:rsidRPr="004B00CC">
              <w:t>Paskaidrojumu rakstu skaņo būvvaldē.</w:t>
            </w:r>
          </w:p>
          <w:p w:rsidR="00EA44B0" w:rsidRPr="004B00CC" w:rsidRDefault="00EA44B0" w:rsidP="00296BDA">
            <w:pPr>
              <w:pStyle w:val="naisc"/>
              <w:spacing w:before="0" w:after="0"/>
              <w:ind w:left="57" w:right="57"/>
              <w:jc w:val="left"/>
            </w:pPr>
          </w:p>
          <w:p w:rsidR="00EA44B0" w:rsidRPr="004B00CC" w:rsidRDefault="00EA44B0" w:rsidP="00296BDA">
            <w:pPr>
              <w:contextualSpacing/>
              <w:jc w:val="center"/>
              <w:rPr>
                <w:b/>
                <w:bCs/>
              </w:rPr>
            </w:pPr>
            <w:r w:rsidRPr="004B00CC">
              <w:rPr>
                <w:b/>
                <w:bCs/>
              </w:rPr>
              <w:t>Panākta vienošanās starpinstitūciju sanāksmē</w:t>
            </w:r>
          </w:p>
          <w:p w:rsidR="00EA44B0" w:rsidRPr="004B00CC" w:rsidRDefault="00EA44B0" w:rsidP="00296BDA">
            <w:pPr>
              <w:pStyle w:val="naisc"/>
              <w:spacing w:before="0" w:after="0"/>
              <w:ind w:left="57" w:right="57"/>
              <w:jc w:val="left"/>
            </w:pPr>
          </w:p>
        </w:tc>
        <w:tc>
          <w:tcPr>
            <w:tcW w:w="3638" w:type="dxa"/>
            <w:tcBorders>
              <w:top w:val="single" w:sz="4" w:space="0" w:color="auto"/>
              <w:left w:val="single" w:sz="4" w:space="0" w:color="auto"/>
              <w:bottom w:val="single" w:sz="4" w:space="0" w:color="auto"/>
            </w:tcBorders>
          </w:tcPr>
          <w:p w:rsidR="00EA44B0" w:rsidRPr="004B00CC" w:rsidRDefault="00EA44B0" w:rsidP="00296BDA">
            <w:pPr>
              <w:tabs>
                <w:tab w:val="left" w:pos="709"/>
              </w:tabs>
              <w:jc w:val="both"/>
            </w:pPr>
            <w:r w:rsidRPr="004B00CC">
              <w:lastRenderedPageBreak/>
              <w:t>1.13. papildināt noteikumus ar 6.</w:t>
            </w:r>
            <w:r w:rsidRPr="004B00CC">
              <w:rPr>
                <w:vertAlign w:val="superscript"/>
              </w:rPr>
              <w:t>1</w:t>
            </w:r>
            <w:r w:rsidRPr="004B00CC">
              <w:t>, 6.</w:t>
            </w:r>
            <w:r w:rsidRPr="004B00CC">
              <w:rPr>
                <w:vertAlign w:val="superscript"/>
              </w:rPr>
              <w:t>2</w:t>
            </w:r>
            <w:r w:rsidRPr="004B00CC">
              <w:t>, 6.</w:t>
            </w:r>
            <w:r w:rsidRPr="004B00CC">
              <w:rPr>
                <w:vertAlign w:val="superscript"/>
              </w:rPr>
              <w:t>3</w:t>
            </w:r>
            <w:r w:rsidRPr="004B00CC">
              <w:t>, 6.</w:t>
            </w:r>
            <w:r w:rsidRPr="004B00CC">
              <w:rPr>
                <w:vertAlign w:val="superscript"/>
              </w:rPr>
              <w:t>4</w:t>
            </w:r>
            <w:r w:rsidRPr="004B00CC">
              <w:t xml:space="preserve"> un 6.</w:t>
            </w:r>
            <w:r w:rsidRPr="004B00CC">
              <w:rPr>
                <w:vertAlign w:val="superscript"/>
              </w:rPr>
              <w:t>5</w:t>
            </w:r>
            <w:r w:rsidRPr="004B00CC">
              <w:t> punktu šādā redakcijā:</w:t>
            </w:r>
          </w:p>
          <w:p w:rsidR="00EA44B0" w:rsidRPr="004B00CC" w:rsidRDefault="00EA44B0" w:rsidP="00296BDA">
            <w:pPr>
              <w:pStyle w:val="paragraph"/>
              <w:spacing w:before="0" w:beforeAutospacing="0" w:after="0" w:afterAutospacing="0"/>
              <w:jc w:val="both"/>
              <w:textAlignment w:val="baseline"/>
              <w:rPr>
                <w:lang w:eastAsia="en-US"/>
              </w:rPr>
            </w:pPr>
            <w:r w:rsidRPr="004B00CC">
              <w:rPr>
                <w:rStyle w:val="normaltextrun"/>
                <w:lang w:eastAsia="en-US"/>
              </w:rPr>
              <w:t>“6.</w:t>
            </w:r>
            <w:r w:rsidRPr="004B00CC">
              <w:rPr>
                <w:rStyle w:val="normaltextrun"/>
                <w:vertAlign w:val="superscript"/>
                <w:lang w:eastAsia="en-US"/>
              </w:rPr>
              <w:t>1 </w:t>
            </w:r>
            <w:r w:rsidRPr="004B00CC">
              <w:rPr>
                <w:rStyle w:val="normaltextrun"/>
                <w:lang w:eastAsia="en-US"/>
              </w:rPr>
              <w:t>Paziņojumu par būvniecību piemēro šādos gadījumos:</w:t>
            </w:r>
          </w:p>
          <w:p w:rsidR="00EA44B0" w:rsidRPr="004B00CC" w:rsidRDefault="00EA44B0" w:rsidP="00296BDA">
            <w:pPr>
              <w:pStyle w:val="naisc"/>
              <w:spacing w:before="0" w:after="0"/>
              <w:ind w:left="57" w:right="57"/>
              <w:contextualSpacing/>
              <w:jc w:val="both"/>
              <w:rPr>
                <w:rStyle w:val="normaltextrun"/>
                <w:lang w:eastAsia="en-US"/>
              </w:rPr>
            </w:pPr>
            <w:r w:rsidRPr="004B00CC">
              <w:rPr>
                <w:rStyle w:val="normaltextrun"/>
                <w:lang w:eastAsia="en-US"/>
              </w:rPr>
              <w:t>6.</w:t>
            </w:r>
            <w:r w:rsidRPr="004B00CC">
              <w:rPr>
                <w:rStyle w:val="normaltextrun"/>
                <w:vertAlign w:val="superscript"/>
                <w:lang w:eastAsia="en-US"/>
              </w:rPr>
              <w:t>1 </w:t>
            </w:r>
            <w:r w:rsidRPr="004B00CC">
              <w:rPr>
                <w:rStyle w:val="normaltextrun"/>
                <w:lang w:eastAsia="en-US"/>
              </w:rPr>
              <w:t>4.1. </w:t>
            </w:r>
            <w:proofErr w:type="spellStart"/>
            <w:r w:rsidRPr="004B00CC">
              <w:rPr>
                <w:rStyle w:val="normaltextrun"/>
                <w:lang w:eastAsia="en-US"/>
              </w:rPr>
              <w:t>brīvstāvošas</w:t>
            </w:r>
            <w:proofErr w:type="spellEnd"/>
            <w:r w:rsidRPr="004B00CC">
              <w:rPr>
                <w:rStyle w:val="normaltextrun"/>
                <w:lang w:eastAsia="en-US"/>
              </w:rPr>
              <w:t xml:space="preserve"> elektroenerģijas </w:t>
            </w:r>
            <w:proofErr w:type="spellStart"/>
            <w:r w:rsidRPr="004B00CC">
              <w:rPr>
                <w:rStyle w:val="normaltextrun"/>
                <w:lang w:eastAsia="en-US"/>
              </w:rPr>
              <w:t>sadalnes</w:t>
            </w:r>
            <w:proofErr w:type="spellEnd"/>
            <w:r w:rsidRPr="004B00CC">
              <w:rPr>
                <w:rStyle w:val="normaltextrun"/>
                <w:lang w:eastAsia="en-US"/>
              </w:rPr>
              <w:t xml:space="preserve"> jaunai būvniecībai un pārbūvei, izņemot šo noteikumu 33.</w:t>
            </w:r>
            <w:r w:rsidRPr="004B00CC">
              <w:rPr>
                <w:rStyle w:val="normaltextrun"/>
                <w:vertAlign w:val="superscript"/>
                <w:lang w:eastAsia="en-US"/>
              </w:rPr>
              <w:t>1 </w:t>
            </w:r>
            <w:r w:rsidRPr="004B00CC">
              <w:rPr>
                <w:rStyle w:val="normaltextrun"/>
                <w:lang w:eastAsia="en-US"/>
              </w:rPr>
              <w:t>punktā minētajos gadījumos;”</w:t>
            </w:r>
          </w:p>
          <w:p w:rsidR="00EA44B0" w:rsidRPr="004B00CC" w:rsidRDefault="00EA44B0" w:rsidP="00296BDA">
            <w:pPr>
              <w:ind w:left="57" w:right="57"/>
              <w:contextualSpacing/>
              <w:jc w:val="both"/>
            </w:pPr>
          </w:p>
        </w:tc>
      </w:tr>
      <w:tr w:rsidR="00EA44B0" w:rsidRPr="004B00CC" w:rsidTr="00296BDA">
        <w:trPr>
          <w:trHeight w:val="318"/>
        </w:trPr>
        <w:tc>
          <w:tcPr>
            <w:tcW w:w="709"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contextualSpacing/>
              <w:jc w:val="both"/>
            </w:pPr>
            <w:r w:rsidRPr="004B00CC">
              <w:t>10.</w:t>
            </w:r>
          </w:p>
        </w:tc>
        <w:tc>
          <w:tcPr>
            <w:tcW w:w="3680"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jc w:val="both"/>
            </w:pPr>
            <w:r w:rsidRPr="004B00CC">
              <w:t>1.12. papildināt noteikumus ar 6.</w:t>
            </w:r>
            <w:r w:rsidRPr="004B00CC">
              <w:rPr>
                <w:vertAlign w:val="superscript"/>
              </w:rPr>
              <w:t>1</w:t>
            </w:r>
            <w:r w:rsidRPr="004B00CC">
              <w:t>, 6.</w:t>
            </w:r>
            <w:r w:rsidRPr="004B00CC">
              <w:rPr>
                <w:vertAlign w:val="superscript"/>
              </w:rPr>
              <w:t>2</w:t>
            </w:r>
            <w:r w:rsidRPr="004B00CC">
              <w:t>, 6.</w:t>
            </w:r>
            <w:r w:rsidRPr="004B00CC">
              <w:rPr>
                <w:vertAlign w:val="superscript"/>
              </w:rPr>
              <w:t>3</w:t>
            </w:r>
            <w:r w:rsidRPr="004B00CC">
              <w:t xml:space="preserve"> un 6.</w:t>
            </w:r>
            <w:r w:rsidRPr="004B00CC">
              <w:rPr>
                <w:vertAlign w:val="superscript"/>
              </w:rPr>
              <w:t>4</w:t>
            </w:r>
            <w:r w:rsidRPr="004B00CC">
              <w:t> punktu šādā redakcijā:</w:t>
            </w:r>
          </w:p>
          <w:p w:rsidR="00EA44B0" w:rsidRPr="004B00CC" w:rsidRDefault="00EA44B0" w:rsidP="00296BDA">
            <w:pPr>
              <w:pStyle w:val="paragraph"/>
              <w:spacing w:before="0" w:beforeAutospacing="0" w:after="0" w:afterAutospacing="0"/>
              <w:jc w:val="both"/>
              <w:textAlignment w:val="baseline"/>
              <w:rPr>
                <w:lang w:eastAsia="en-US"/>
              </w:rPr>
            </w:pPr>
            <w:r w:rsidRPr="004B00CC">
              <w:rPr>
                <w:rStyle w:val="normaltextrun"/>
                <w:lang w:eastAsia="en-US"/>
              </w:rPr>
              <w:t>6.</w:t>
            </w:r>
            <w:r w:rsidRPr="004B00CC">
              <w:rPr>
                <w:rStyle w:val="normaltextrun"/>
                <w:vertAlign w:val="superscript"/>
                <w:lang w:eastAsia="en-US"/>
              </w:rPr>
              <w:t>1 </w:t>
            </w:r>
            <w:r w:rsidRPr="004B00CC">
              <w:rPr>
                <w:rStyle w:val="normaltextrun"/>
                <w:lang w:eastAsia="en-US"/>
              </w:rPr>
              <w:t>Paziņojumu par būvniecību piemēro šādos gadījumos:</w:t>
            </w:r>
          </w:p>
          <w:p w:rsidR="00EA44B0" w:rsidRPr="004B00CC" w:rsidRDefault="00EA44B0" w:rsidP="00296BDA">
            <w:pPr>
              <w:pStyle w:val="paragraph"/>
              <w:spacing w:before="0" w:beforeAutospacing="0" w:after="0" w:afterAutospacing="0"/>
              <w:jc w:val="both"/>
              <w:textAlignment w:val="baseline"/>
              <w:rPr>
                <w:rStyle w:val="normaltextrun"/>
              </w:rPr>
            </w:pPr>
            <w:r w:rsidRPr="004B00CC">
              <w:rPr>
                <w:rStyle w:val="normaltextrun"/>
                <w:lang w:eastAsia="en-US"/>
              </w:rPr>
              <w:t>6.</w:t>
            </w:r>
            <w:r w:rsidRPr="004B00CC">
              <w:rPr>
                <w:rStyle w:val="normaltextrun"/>
                <w:vertAlign w:val="superscript"/>
                <w:lang w:eastAsia="en-US"/>
              </w:rPr>
              <w:t>1 </w:t>
            </w:r>
            <w:r w:rsidRPr="004B00CC">
              <w:rPr>
                <w:rStyle w:val="normaltextrun"/>
                <w:lang w:eastAsia="en-US"/>
              </w:rPr>
              <w:t>4. </w:t>
            </w:r>
            <w:r w:rsidRPr="004B00CC">
              <w:rPr>
                <w:lang w:eastAsia="en-US"/>
              </w:rPr>
              <w:t>energoapgādes</w:t>
            </w:r>
            <w:r w:rsidRPr="004B00CC">
              <w:rPr>
                <w:rStyle w:val="normaltextrun"/>
                <w:lang w:eastAsia="en-US"/>
              </w:rPr>
              <w:t xml:space="preserve"> komersanta veicamiem būvdarbiem,</w:t>
            </w:r>
            <w:r w:rsidRPr="004B00CC">
              <w:rPr>
                <w:lang w:eastAsia="en-US"/>
              </w:rPr>
              <w:t xml:space="preserve"> </w:t>
            </w:r>
            <w:r w:rsidRPr="004B00CC">
              <w:rPr>
                <w:rStyle w:val="normaltextrun"/>
                <w:lang w:eastAsia="en-US"/>
              </w:rPr>
              <w:t>izņemot šo noteikumu 6.punktā noteiktajos gadījumos:</w:t>
            </w:r>
          </w:p>
          <w:p w:rsidR="00EA44B0" w:rsidRPr="004B00CC" w:rsidRDefault="00EA44B0" w:rsidP="00296BDA">
            <w:pPr>
              <w:pStyle w:val="paragraph"/>
              <w:spacing w:before="0" w:beforeAutospacing="0" w:after="0" w:afterAutospacing="0"/>
              <w:jc w:val="both"/>
              <w:textAlignment w:val="baseline"/>
              <w:rPr>
                <w:rStyle w:val="normaltextrun"/>
                <w:lang w:eastAsia="en-US"/>
              </w:rPr>
            </w:pPr>
            <w:r w:rsidRPr="004B00CC">
              <w:rPr>
                <w:rStyle w:val="normaltextrun"/>
                <w:lang w:eastAsia="en-US"/>
              </w:rPr>
              <w:t>6.</w:t>
            </w:r>
            <w:r w:rsidRPr="004B00CC">
              <w:rPr>
                <w:rStyle w:val="normaltextrun"/>
                <w:vertAlign w:val="superscript"/>
                <w:lang w:eastAsia="en-US"/>
              </w:rPr>
              <w:t>1 </w:t>
            </w:r>
            <w:r w:rsidRPr="004B00CC">
              <w:rPr>
                <w:rStyle w:val="normaltextrun"/>
                <w:lang w:eastAsia="en-US"/>
              </w:rPr>
              <w:t>4.1. </w:t>
            </w:r>
            <w:proofErr w:type="spellStart"/>
            <w:r w:rsidRPr="004B00CC">
              <w:rPr>
                <w:rStyle w:val="normaltextrun"/>
                <w:lang w:eastAsia="en-US"/>
              </w:rPr>
              <w:t>brīvstāvošas</w:t>
            </w:r>
            <w:proofErr w:type="spellEnd"/>
            <w:r w:rsidRPr="004B00CC">
              <w:rPr>
                <w:rStyle w:val="normaltextrun"/>
                <w:lang w:eastAsia="en-US"/>
              </w:rPr>
              <w:t xml:space="preserve"> elektroenerģijas </w:t>
            </w:r>
            <w:proofErr w:type="spellStart"/>
            <w:r w:rsidRPr="004B00CC">
              <w:rPr>
                <w:rStyle w:val="normaltextrun"/>
                <w:lang w:eastAsia="en-US"/>
              </w:rPr>
              <w:t>sadalnes</w:t>
            </w:r>
            <w:proofErr w:type="spellEnd"/>
            <w:r w:rsidRPr="004B00CC">
              <w:rPr>
                <w:rStyle w:val="normaltextrun"/>
                <w:lang w:eastAsia="en-US"/>
              </w:rPr>
              <w:t xml:space="preserve"> jaunai būvniecībai un pārbūvei, izņemot šo noteikumu 33.</w:t>
            </w:r>
            <w:r w:rsidRPr="004B00CC">
              <w:rPr>
                <w:rStyle w:val="normaltextrun"/>
                <w:vertAlign w:val="superscript"/>
                <w:lang w:eastAsia="en-US"/>
              </w:rPr>
              <w:t>1 </w:t>
            </w:r>
            <w:r w:rsidRPr="004B00CC">
              <w:rPr>
                <w:rStyle w:val="normaltextrun"/>
                <w:lang w:eastAsia="en-US"/>
              </w:rPr>
              <w:t>punktā minētajos gadījumos;</w:t>
            </w:r>
          </w:p>
          <w:p w:rsidR="00EA44B0" w:rsidRPr="004B00CC" w:rsidRDefault="00EA44B0" w:rsidP="00296BDA">
            <w:pPr>
              <w:pStyle w:val="paragraph"/>
              <w:spacing w:before="0" w:beforeAutospacing="0" w:after="0" w:afterAutospacing="0"/>
              <w:jc w:val="both"/>
              <w:textAlignment w:val="baseline"/>
              <w:rPr>
                <w:rStyle w:val="normaltextrun"/>
                <w:lang w:eastAsia="en-US"/>
              </w:rPr>
            </w:pPr>
            <w:r w:rsidRPr="004B00CC">
              <w:rPr>
                <w:rStyle w:val="normaltextrun"/>
                <w:lang w:eastAsia="en-US"/>
              </w:rPr>
              <w:t>6.</w:t>
            </w:r>
            <w:r w:rsidRPr="004B00CC">
              <w:rPr>
                <w:rStyle w:val="normaltextrun"/>
                <w:vertAlign w:val="superscript"/>
                <w:lang w:eastAsia="en-US"/>
              </w:rPr>
              <w:t>1 </w:t>
            </w:r>
            <w:r w:rsidRPr="004B00CC">
              <w:rPr>
                <w:rStyle w:val="normaltextrun"/>
                <w:lang w:eastAsia="en-US"/>
              </w:rPr>
              <w:t xml:space="preserve">4.2. pārbūves un nojaukšanas būvdarbiem pastāvīgi norobežotās </w:t>
            </w:r>
            <w:r w:rsidRPr="004B00CC">
              <w:rPr>
                <w:rStyle w:val="normaltextrun"/>
                <w:lang w:eastAsia="en-US"/>
              </w:rPr>
              <w:lastRenderedPageBreak/>
              <w:t>un nepiederošām personām slēgtās energoapgādes komersantu objektu teritorijās;</w:t>
            </w:r>
          </w:p>
          <w:p w:rsidR="00EA44B0" w:rsidRPr="004B00CC" w:rsidRDefault="00EA44B0" w:rsidP="00296BDA">
            <w:pPr>
              <w:pStyle w:val="paragraph"/>
              <w:spacing w:before="0" w:beforeAutospacing="0" w:after="0" w:afterAutospacing="0"/>
              <w:jc w:val="both"/>
              <w:textAlignment w:val="baseline"/>
              <w:rPr>
                <w:rStyle w:val="normaltextrun"/>
                <w:lang w:eastAsia="en-US"/>
              </w:rPr>
            </w:pPr>
            <w:r w:rsidRPr="004B00CC">
              <w:rPr>
                <w:rStyle w:val="normaltextrun"/>
                <w:lang w:eastAsia="en-US"/>
              </w:rPr>
              <w:t>6.</w:t>
            </w:r>
            <w:r w:rsidRPr="004B00CC">
              <w:rPr>
                <w:rStyle w:val="normaltextrun"/>
                <w:vertAlign w:val="superscript"/>
                <w:lang w:eastAsia="en-US"/>
              </w:rPr>
              <w:t>1 </w:t>
            </w:r>
            <w:r w:rsidRPr="004B00CC">
              <w:rPr>
                <w:rStyle w:val="normaltextrun"/>
                <w:lang w:eastAsia="en-US"/>
              </w:rPr>
              <w:t>4.3. energoapgādes komersantu objektu elektroenerģijas inženiertīklu ierīkošana, atjaunošana vai pārbūve to aizsargjoslā vai sarkano līniju robežās;</w:t>
            </w:r>
          </w:p>
          <w:p w:rsidR="00EA44B0" w:rsidRPr="004B00CC" w:rsidRDefault="00EA44B0" w:rsidP="00296BDA">
            <w:pPr>
              <w:pStyle w:val="paragraph"/>
              <w:spacing w:before="0" w:beforeAutospacing="0" w:after="0" w:afterAutospacing="0"/>
              <w:jc w:val="both"/>
              <w:textAlignment w:val="baseline"/>
              <w:rPr>
                <w:rStyle w:val="normaltextrun"/>
                <w:lang w:eastAsia="en-US"/>
              </w:rPr>
            </w:pPr>
            <w:r w:rsidRPr="004B00CC">
              <w:rPr>
                <w:rStyle w:val="normaltextrun"/>
                <w:lang w:eastAsia="en-US"/>
              </w:rPr>
              <w:t>6.</w:t>
            </w:r>
            <w:r w:rsidRPr="004B00CC">
              <w:rPr>
                <w:rStyle w:val="normaltextrun"/>
                <w:vertAlign w:val="superscript"/>
                <w:lang w:eastAsia="en-US"/>
              </w:rPr>
              <w:t>1 </w:t>
            </w:r>
            <w:r w:rsidRPr="004B00CC">
              <w:rPr>
                <w:rStyle w:val="normaltextrun"/>
                <w:lang w:eastAsia="en-US"/>
              </w:rPr>
              <w:t>4.4. elektroenerģijas inženiertīklu pievadu ierīkošana vai pārbūve energoapgādes objektu vajadzībām;</w:t>
            </w:r>
          </w:p>
          <w:p w:rsidR="00EA44B0" w:rsidRPr="004B00CC" w:rsidRDefault="00EA44B0" w:rsidP="00296BDA">
            <w:pPr>
              <w:pStyle w:val="naisc"/>
              <w:spacing w:before="0" w:after="0"/>
              <w:ind w:left="57" w:right="57"/>
              <w:contextualSpacing/>
              <w:jc w:val="both"/>
              <w:rPr>
                <w:rStyle w:val="normaltextrun"/>
                <w:lang w:eastAsia="en-US"/>
              </w:rPr>
            </w:pPr>
            <w:r w:rsidRPr="004B00CC">
              <w:rPr>
                <w:rStyle w:val="normaltextrun"/>
                <w:lang w:eastAsia="en-US"/>
              </w:rPr>
              <w:t>6.</w:t>
            </w:r>
            <w:r w:rsidRPr="004B00CC">
              <w:rPr>
                <w:rStyle w:val="normaltextrun"/>
                <w:vertAlign w:val="superscript"/>
                <w:lang w:eastAsia="en-US"/>
              </w:rPr>
              <w:t>1 </w:t>
            </w:r>
            <w:r w:rsidRPr="004B00CC">
              <w:rPr>
                <w:rStyle w:val="normaltextrun"/>
                <w:lang w:eastAsia="en-US"/>
              </w:rPr>
              <w:t xml:space="preserve">4.5. otrās grupas elektroenerģijas </w:t>
            </w:r>
            <w:proofErr w:type="spellStart"/>
            <w:r w:rsidRPr="004B00CC">
              <w:rPr>
                <w:rStyle w:val="normaltextrun"/>
                <w:lang w:eastAsia="en-US"/>
              </w:rPr>
              <w:t>līnijveida</w:t>
            </w:r>
            <w:proofErr w:type="spellEnd"/>
            <w:r w:rsidRPr="004B00CC">
              <w:rPr>
                <w:rStyle w:val="normaltextrun"/>
                <w:lang w:eastAsia="en-US"/>
              </w:rPr>
              <w:t xml:space="preserve"> energoapgādes objekta (vai elektrolīnijas) nojaukšanai.</w:t>
            </w:r>
          </w:p>
          <w:p w:rsidR="00EA44B0" w:rsidRPr="004B00CC" w:rsidRDefault="00EA44B0" w:rsidP="00296BDA">
            <w:pPr>
              <w:pStyle w:val="naisc"/>
              <w:spacing w:before="0" w:after="0"/>
              <w:ind w:left="57" w:right="57"/>
              <w:contextualSpacing/>
              <w:jc w:val="both"/>
            </w:pPr>
          </w:p>
        </w:tc>
        <w:tc>
          <w:tcPr>
            <w:tcW w:w="4386" w:type="dxa"/>
            <w:tcBorders>
              <w:top w:val="single" w:sz="6" w:space="0" w:color="000000"/>
              <w:left w:val="single" w:sz="6" w:space="0" w:color="000000"/>
              <w:bottom w:val="single" w:sz="6" w:space="0" w:color="000000"/>
              <w:right w:val="single" w:sz="6" w:space="0" w:color="000000"/>
            </w:tcBorders>
          </w:tcPr>
          <w:p w:rsidR="00EA44B0" w:rsidRPr="00E40DC5" w:rsidRDefault="00EA44B0" w:rsidP="00296BDA">
            <w:pPr>
              <w:jc w:val="both"/>
              <w:rPr>
                <w:b/>
                <w:bCs/>
                <w:u w:val="single"/>
              </w:rPr>
            </w:pPr>
            <w:r w:rsidRPr="00E40DC5">
              <w:rPr>
                <w:b/>
                <w:bCs/>
                <w:u w:val="single"/>
              </w:rPr>
              <w:lastRenderedPageBreak/>
              <w:t>Latvijas Lielo pilsētu asociācija:</w:t>
            </w:r>
          </w:p>
          <w:p w:rsidR="00EA44B0" w:rsidRPr="004B00CC" w:rsidRDefault="00EA44B0" w:rsidP="00296BDA">
            <w:pPr>
              <w:jc w:val="both"/>
            </w:pPr>
            <w:r w:rsidRPr="004B00CC">
              <w:t>Lūdz papildināt ar jaunu punktu, nosakot, ka 6.</w:t>
            </w:r>
            <w:r w:rsidRPr="004B00CC">
              <w:rPr>
                <w:vertAlign w:val="superscript"/>
              </w:rPr>
              <w:t>1 </w:t>
            </w:r>
            <w:r w:rsidRPr="004B00CC">
              <w:t>4. apakšpunkta gadījumā pašvaldība saistošajos noteikumos var noteikt pienākumu iesniegt un saskaņot trašu ierādi inženiertīkla izvietošanai.</w:t>
            </w:r>
          </w:p>
          <w:p w:rsidR="00EA44B0" w:rsidRPr="004B00CC" w:rsidRDefault="00EA44B0" w:rsidP="00296BDA">
            <w:pPr>
              <w:pStyle w:val="naisc"/>
              <w:spacing w:before="0" w:after="0"/>
              <w:ind w:left="57" w:right="57"/>
              <w:contextualSpacing/>
              <w:jc w:val="both"/>
            </w:pPr>
            <w:r w:rsidRPr="004B00CC">
              <w:t xml:space="preserve">Īsti nav skaidrs mehānisms, kā būvvaldei rīkoties, ja būvniecības risinājums neatbildīs būvvaldē izsniegtajai trašu </w:t>
            </w:r>
            <w:proofErr w:type="spellStart"/>
            <w:r w:rsidRPr="004B00CC">
              <w:t>ierādei</w:t>
            </w:r>
            <w:proofErr w:type="spellEnd"/>
            <w:r w:rsidRPr="004B00CC">
              <w:t xml:space="preserve"> </w:t>
            </w:r>
            <w:proofErr w:type="spellStart"/>
            <w:r w:rsidRPr="004B00CC">
              <w:t>inženierkomunkāciju</w:t>
            </w:r>
            <w:proofErr w:type="spellEnd"/>
            <w:r w:rsidRPr="004B00CC">
              <w:t xml:space="preserve"> izvietošanai un par būvdarbiem būs BIS iesniegts paziņojums. Nav skaidrs, vai tad būvvalde varēs atcelt paziņojumu, jo risinājumi neatbilst būvvaldes izsniegtajai trašu </w:t>
            </w:r>
            <w:proofErr w:type="spellStart"/>
            <w:r w:rsidRPr="004B00CC">
              <w:t>ierādei</w:t>
            </w:r>
            <w:proofErr w:type="spellEnd"/>
            <w:r w:rsidRPr="004B00CC">
              <w:t xml:space="preserve"> </w:t>
            </w:r>
            <w:proofErr w:type="spellStart"/>
            <w:r w:rsidRPr="004B00CC">
              <w:t>inženierkomunkāciju</w:t>
            </w:r>
            <w:proofErr w:type="spellEnd"/>
            <w:r w:rsidRPr="004B00CC">
              <w:t xml:space="preserve"> izvietošanai, </w:t>
            </w:r>
            <w:r w:rsidRPr="004B00CC">
              <w:lastRenderedPageBreak/>
              <w:t>jo, izvērtējot iesniegtās būvniecības ieceres, būvvalde vismaz var atteikt akceptēt būvniecības ieceri vai norādīt uz novēršamiem trūkumiem.</w:t>
            </w:r>
          </w:p>
          <w:p w:rsidR="00EA44B0" w:rsidRPr="004B00CC" w:rsidRDefault="00EA44B0" w:rsidP="00296BDA">
            <w:pPr>
              <w:pStyle w:val="naisc"/>
              <w:spacing w:before="0" w:after="0"/>
              <w:ind w:left="57" w:right="57"/>
              <w:contextualSpacing/>
              <w:jc w:val="both"/>
            </w:pPr>
          </w:p>
          <w:p w:rsidR="00EA44B0" w:rsidRPr="004B00CC" w:rsidRDefault="00EA44B0" w:rsidP="00296BDA">
            <w:pPr>
              <w:pStyle w:val="naisc"/>
              <w:spacing w:before="0" w:after="0"/>
              <w:ind w:left="57" w:right="57"/>
              <w:contextualSpacing/>
              <w:jc w:val="both"/>
              <w:rPr>
                <w:b/>
              </w:rPr>
            </w:pPr>
          </w:p>
        </w:tc>
        <w:tc>
          <w:tcPr>
            <w:tcW w:w="3275"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contextualSpacing/>
              <w:jc w:val="center"/>
              <w:rPr>
                <w:b/>
                <w:bCs/>
              </w:rPr>
            </w:pPr>
            <w:r w:rsidRPr="004B00CC">
              <w:rPr>
                <w:b/>
                <w:bCs/>
              </w:rPr>
              <w:lastRenderedPageBreak/>
              <w:t>Panākta vienošanās starpinstitūciju sanāksmē</w:t>
            </w:r>
          </w:p>
          <w:p w:rsidR="00EA44B0" w:rsidRPr="004B00CC" w:rsidRDefault="00EA44B0" w:rsidP="00296BDA">
            <w:pPr>
              <w:pStyle w:val="naisc"/>
              <w:spacing w:before="0" w:after="0"/>
              <w:ind w:left="57" w:right="57"/>
              <w:jc w:val="both"/>
              <w:rPr>
                <w:bCs/>
              </w:rPr>
            </w:pPr>
            <w:r w:rsidRPr="004B00CC">
              <w:rPr>
                <w:bCs/>
              </w:rPr>
              <w:t>Ielu īpašnieks ir pašvaldība un tikai tā kā tehnisko noteikumu izdevējs var noteikt inženiertīklu trases. Būvvaldei nav šādas kompetences no būvniecības regulējuma.</w:t>
            </w:r>
          </w:p>
        </w:tc>
        <w:tc>
          <w:tcPr>
            <w:tcW w:w="3638" w:type="dxa"/>
            <w:tcBorders>
              <w:top w:val="single" w:sz="4" w:space="0" w:color="auto"/>
              <w:left w:val="single" w:sz="4" w:space="0" w:color="auto"/>
              <w:bottom w:val="single" w:sz="4" w:space="0" w:color="auto"/>
            </w:tcBorders>
          </w:tcPr>
          <w:p w:rsidR="00EA44B0" w:rsidRPr="004B00CC" w:rsidRDefault="00EA44B0" w:rsidP="00296BDA">
            <w:pPr>
              <w:tabs>
                <w:tab w:val="left" w:pos="709"/>
              </w:tabs>
              <w:jc w:val="both"/>
            </w:pPr>
            <w:r w:rsidRPr="004B00CC">
              <w:t>1.13. papildināt noteikumus ar 6.</w:t>
            </w:r>
            <w:r w:rsidRPr="004B00CC">
              <w:rPr>
                <w:vertAlign w:val="superscript"/>
              </w:rPr>
              <w:t>1</w:t>
            </w:r>
            <w:r w:rsidRPr="004B00CC">
              <w:t>, 6.</w:t>
            </w:r>
            <w:r w:rsidRPr="004B00CC">
              <w:rPr>
                <w:vertAlign w:val="superscript"/>
              </w:rPr>
              <w:t>2</w:t>
            </w:r>
            <w:r w:rsidRPr="004B00CC">
              <w:t>, 6.</w:t>
            </w:r>
            <w:r w:rsidRPr="004B00CC">
              <w:rPr>
                <w:vertAlign w:val="superscript"/>
              </w:rPr>
              <w:t>3</w:t>
            </w:r>
            <w:r w:rsidRPr="004B00CC">
              <w:t>, 6.</w:t>
            </w:r>
            <w:r w:rsidRPr="004B00CC">
              <w:rPr>
                <w:vertAlign w:val="superscript"/>
              </w:rPr>
              <w:t>4</w:t>
            </w:r>
            <w:r w:rsidRPr="004B00CC">
              <w:t xml:space="preserve"> un 6.</w:t>
            </w:r>
            <w:r w:rsidRPr="004B00CC">
              <w:rPr>
                <w:vertAlign w:val="superscript"/>
              </w:rPr>
              <w:t>5</w:t>
            </w:r>
            <w:r w:rsidRPr="004B00CC">
              <w:t> punktu šādā redakcijā:</w:t>
            </w:r>
          </w:p>
          <w:p w:rsidR="00EA44B0" w:rsidRPr="004B00CC" w:rsidRDefault="00EA44B0" w:rsidP="00296BDA">
            <w:pPr>
              <w:pStyle w:val="paragraph"/>
              <w:spacing w:before="0" w:beforeAutospacing="0" w:after="0" w:afterAutospacing="0"/>
              <w:jc w:val="both"/>
              <w:textAlignment w:val="baseline"/>
              <w:rPr>
                <w:lang w:eastAsia="en-US"/>
              </w:rPr>
            </w:pPr>
            <w:r w:rsidRPr="004B00CC">
              <w:rPr>
                <w:rStyle w:val="normaltextrun"/>
                <w:lang w:eastAsia="en-US"/>
              </w:rPr>
              <w:t>6.</w:t>
            </w:r>
            <w:r w:rsidRPr="004B00CC">
              <w:rPr>
                <w:rStyle w:val="normaltextrun"/>
                <w:vertAlign w:val="superscript"/>
                <w:lang w:eastAsia="en-US"/>
              </w:rPr>
              <w:t>1 </w:t>
            </w:r>
            <w:r w:rsidRPr="004B00CC">
              <w:rPr>
                <w:rStyle w:val="normaltextrun"/>
                <w:lang w:eastAsia="en-US"/>
              </w:rPr>
              <w:t>Paziņojumu par būvniecību piemēro šādos gadījumos:</w:t>
            </w:r>
          </w:p>
          <w:p w:rsidR="00EA44B0" w:rsidRPr="004B00CC" w:rsidRDefault="00EA44B0" w:rsidP="00296BDA">
            <w:pPr>
              <w:pStyle w:val="paragraph"/>
              <w:spacing w:before="0" w:beforeAutospacing="0" w:after="0" w:afterAutospacing="0"/>
              <w:jc w:val="both"/>
              <w:textAlignment w:val="baseline"/>
              <w:rPr>
                <w:rStyle w:val="normaltextrun"/>
              </w:rPr>
            </w:pPr>
            <w:r w:rsidRPr="004B00CC">
              <w:rPr>
                <w:rStyle w:val="normaltextrun"/>
                <w:lang w:eastAsia="en-US"/>
              </w:rPr>
              <w:t>6.</w:t>
            </w:r>
            <w:r w:rsidRPr="004B00CC">
              <w:rPr>
                <w:rStyle w:val="normaltextrun"/>
                <w:vertAlign w:val="superscript"/>
                <w:lang w:eastAsia="en-US"/>
              </w:rPr>
              <w:t>1 </w:t>
            </w:r>
            <w:r w:rsidRPr="004B00CC">
              <w:rPr>
                <w:rStyle w:val="normaltextrun"/>
                <w:lang w:eastAsia="en-US"/>
              </w:rPr>
              <w:t>4. </w:t>
            </w:r>
            <w:r w:rsidRPr="004B00CC">
              <w:rPr>
                <w:lang w:eastAsia="en-US"/>
              </w:rPr>
              <w:t>energoapgādes</w:t>
            </w:r>
            <w:r w:rsidRPr="004B00CC">
              <w:rPr>
                <w:rStyle w:val="normaltextrun"/>
                <w:lang w:eastAsia="en-US"/>
              </w:rPr>
              <w:t xml:space="preserve"> komersanta veicamiem būvdarbiem,</w:t>
            </w:r>
            <w:r w:rsidRPr="004B00CC">
              <w:rPr>
                <w:lang w:eastAsia="en-US"/>
              </w:rPr>
              <w:t xml:space="preserve"> </w:t>
            </w:r>
            <w:r w:rsidRPr="004B00CC">
              <w:rPr>
                <w:rStyle w:val="normaltextrun"/>
                <w:lang w:eastAsia="en-US"/>
              </w:rPr>
              <w:t>izņemot šo noteikumu 6.punktā noteiktajos gadījumos:</w:t>
            </w:r>
          </w:p>
          <w:p w:rsidR="00EA44B0" w:rsidRPr="004B00CC" w:rsidRDefault="00EA44B0" w:rsidP="00296BDA">
            <w:pPr>
              <w:pStyle w:val="paragraph"/>
              <w:spacing w:before="0" w:beforeAutospacing="0" w:after="0" w:afterAutospacing="0"/>
              <w:jc w:val="both"/>
              <w:textAlignment w:val="baseline"/>
              <w:rPr>
                <w:rStyle w:val="normaltextrun"/>
                <w:lang w:eastAsia="en-US"/>
              </w:rPr>
            </w:pPr>
            <w:r w:rsidRPr="004B00CC">
              <w:rPr>
                <w:rStyle w:val="normaltextrun"/>
                <w:lang w:eastAsia="en-US"/>
              </w:rPr>
              <w:t>6.</w:t>
            </w:r>
            <w:r w:rsidRPr="004B00CC">
              <w:rPr>
                <w:rStyle w:val="normaltextrun"/>
                <w:vertAlign w:val="superscript"/>
                <w:lang w:eastAsia="en-US"/>
              </w:rPr>
              <w:t>1 </w:t>
            </w:r>
            <w:r w:rsidRPr="004B00CC">
              <w:rPr>
                <w:rStyle w:val="normaltextrun"/>
                <w:lang w:eastAsia="en-US"/>
              </w:rPr>
              <w:t>4.1. </w:t>
            </w:r>
            <w:proofErr w:type="spellStart"/>
            <w:r w:rsidRPr="004B00CC">
              <w:rPr>
                <w:rStyle w:val="normaltextrun"/>
                <w:lang w:eastAsia="en-US"/>
              </w:rPr>
              <w:t>brīvstāvošas</w:t>
            </w:r>
            <w:proofErr w:type="spellEnd"/>
            <w:r w:rsidRPr="004B00CC">
              <w:rPr>
                <w:rStyle w:val="normaltextrun"/>
                <w:lang w:eastAsia="en-US"/>
              </w:rPr>
              <w:t xml:space="preserve"> elektroenerģijas </w:t>
            </w:r>
            <w:proofErr w:type="spellStart"/>
            <w:r w:rsidRPr="004B00CC">
              <w:rPr>
                <w:rStyle w:val="normaltextrun"/>
                <w:lang w:eastAsia="en-US"/>
              </w:rPr>
              <w:t>sadalnes</w:t>
            </w:r>
            <w:proofErr w:type="spellEnd"/>
            <w:r w:rsidRPr="004B00CC">
              <w:rPr>
                <w:rStyle w:val="normaltextrun"/>
                <w:lang w:eastAsia="en-US"/>
              </w:rPr>
              <w:t xml:space="preserve"> jaunai būvniecībai un pārbūvei, izņemot šo noteikumu 33.</w:t>
            </w:r>
            <w:r w:rsidRPr="004B00CC">
              <w:rPr>
                <w:rStyle w:val="normaltextrun"/>
                <w:vertAlign w:val="superscript"/>
                <w:lang w:eastAsia="en-US"/>
              </w:rPr>
              <w:t>1 </w:t>
            </w:r>
            <w:r w:rsidRPr="004B00CC">
              <w:rPr>
                <w:rStyle w:val="normaltextrun"/>
                <w:lang w:eastAsia="en-US"/>
              </w:rPr>
              <w:t>punktā minētajos gadījumos;</w:t>
            </w:r>
          </w:p>
          <w:p w:rsidR="00EA44B0" w:rsidRPr="004B00CC" w:rsidRDefault="00EA44B0" w:rsidP="00296BDA">
            <w:pPr>
              <w:pStyle w:val="paragraph"/>
              <w:spacing w:before="0" w:beforeAutospacing="0" w:after="0" w:afterAutospacing="0"/>
              <w:jc w:val="both"/>
              <w:textAlignment w:val="baseline"/>
              <w:rPr>
                <w:rStyle w:val="normaltextrun"/>
                <w:lang w:eastAsia="en-US"/>
              </w:rPr>
            </w:pPr>
            <w:r w:rsidRPr="004B00CC">
              <w:rPr>
                <w:rStyle w:val="normaltextrun"/>
                <w:lang w:eastAsia="en-US"/>
              </w:rPr>
              <w:lastRenderedPageBreak/>
              <w:t>6.</w:t>
            </w:r>
            <w:r w:rsidRPr="004B00CC">
              <w:rPr>
                <w:rStyle w:val="normaltextrun"/>
                <w:vertAlign w:val="superscript"/>
                <w:lang w:eastAsia="en-US"/>
              </w:rPr>
              <w:t>1 </w:t>
            </w:r>
            <w:r w:rsidRPr="004B00CC">
              <w:rPr>
                <w:rStyle w:val="normaltextrun"/>
                <w:lang w:eastAsia="en-US"/>
              </w:rPr>
              <w:t>4.2. pārbūves un nojaukšanas būvdarbiem pastāvīgi norobežotās un nepiederošām personām slēgtās energoapgādes komersantu objektu teritorijās;</w:t>
            </w:r>
          </w:p>
          <w:p w:rsidR="00EA44B0" w:rsidRPr="004B00CC" w:rsidRDefault="00EA44B0" w:rsidP="00296BDA">
            <w:pPr>
              <w:pStyle w:val="paragraph"/>
              <w:spacing w:before="0" w:beforeAutospacing="0" w:after="0" w:afterAutospacing="0"/>
              <w:jc w:val="both"/>
              <w:textAlignment w:val="baseline"/>
              <w:rPr>
                <w:rStyle w:val="normaltextrun"/>
                <w:lang w:eastAsia="en-US"/>
              </w:rPr>
            </w:pPr>
            <w:r w:rsidRPr="004B00CC">
              <w:rPr>
                <w:rStyle w:val="normaltextrun"/>
                <w:lang w:eastAsia="en-US"/>
              </w:rPr>
              <w:t>6.</w:t>
            </w:r>
            <w:r w:rsidRPr="004B00CC">
              <w:rPr>
                <w:rStyle w:val="normaltextrun"/>
                <w:vertAlign w:val="superscript"/>
                <w:lang w:eastAsia="en-US"/>
              </w:rPr>
              <w:t>1 </w:t>
            </w:r>
            <w:r w:rsidRPr="004B00CC">
              <w:rPr>
                <w:rStyle w:val="normaltextrun"/>
                <w:lang w:eastAsia="en-US"/>
              </w:rPr>
              <w:t>4.3. energoapgādes komersantu objektu elektroenerģijas inženiertīklu ierīkošana, atjaunošana vai pārbūve to aizsargjoslā vai sarkano līniju robežās;</w:t>
            </w:r>
          </w:p>
          <w:p w:rsidR="00EA44B0" w:rsidRPr="004B00CC" w:rsidRDefault="00EA44B0" w:rsidP="00296BDA">
            <w:pPr>
              <w:pStyle w:val="paragraph"/>
              <w:spacing w:before="0" w:beforeAutospacing="0" w:after="0" w:afterAutospacing="0"/>
              <w:jc w:val="both"/>
              <w:textAlignment w:val="baseline"/>
              <w:rPr>
                <w:rStyle w:val="normaltextrun"/>
                <w:lang w:eastAsia="en-US"/>
              </w:rPr>
            </w:pPr>
            <w:r w:rsidRPr="004B00CC">
              <w:rPr>
                <w:rStyle w:val="normaltextrun"/>
                <w:lang w:eastAsia="en-US"/>
              </w:rPr>
              <w:t>6.</w:t>
            </w:r>
            <w:r w:rsidRPr="004B00CC">
              <w:rPr>
                <w:rStyle w:val="normaltextrun"/>
                <w:vertAlign w:val="superscript"/>
                <w:lang w:eastAsia="en-US"/>
              </w:rPr>
              <w:t>1 </w:t>
            </w:r>
            <w:r w:rsidRPr="004B00CC">
              <w:rPr>
                <w:rStyle w:val="normaltextrun"/>
                <w:lang w:eastAsia="en-US"/>
              </w:rPr>
              <w:t>4.4. elektroenerģijas inženiertīklu pievadu ierīkošana vai pārbūve energoapgādes objektu vajadzībām;</w:t>
            </w:r>
          </w:p>
          <w:p w:rsidR="00EA44B0" w:rsidRPr="004B00CC" w:rsidRDefault="00EA44B0" w:rsidP="00296BDA">
            <w:pPr>
              <w:pStyle w:val="naisc"/>
              <w:spacing w:before="0" w:after="0"/>
              <w:ind w:left="57" w:right="57"/>
              <w:contextualSpacing/>
              <w:jc w:val="both"/>
              <w:rPr>
                <w:rStyle w:val="normaltextrun"/>
                <w:lang w:eastAsia="en-US"/>
              </w:rPr>
            </w:pPr>
            <w:r w:rsidRPr="004B00CC">
              <w:rPr>
                <w:rStyle w:val="normaltextrun"/>
                <w:lang w:eastAsia="en-US"/>
              </w:rPr>
              <w:t>6.</w:t>
            </w:r>
            <w:r w:rsidRPr="004B00CC">
              <w:rPr>
                <w:rStyle w:val="normaltextrun"/>
                <w:vertAlign w:val="superscript"/>
                <w:lang w:eastAsia="en-US"/>
              </w:rPr>
              <w:t>1 </w:t>
            </w:r>
            <w:r w:rsidRPr="004B00CC">
              <w:rPr>
                <w:rStyle w:val="normaltextrun"/>
                <w:lang w:eastAsia="en-US"/>
              </w:rPr>
              <w:t xml:space="preserve">4.5. otrās grupas elektroenerģijas </w:t>
            </w:r>
            <w:proofErr w:type="spellStart"/>
            <w:r w:rsidRPr="004B00CC">
              <w:rPr>
                <w:rStyle w:val="normaltextrun"/>
                <w:lang w:eastAsia="en-US"/>
              </w:rPr>
              <w:t>līnijveida</w:t>
            </w:r>
            <w:proofErr w:type="spellEnd"/>
            <w:r w:rsidRPr="004B00CC">
              <w:rPr>
                <w:rStyle w:val="normaltextrun"/>
                <w:lang w:eastAsia="en-US"/>
              </w:rPr>
              <w:t xml:space="preserve"> energoapgādes objekta (vai elektrolīnijas) nojaukšanai.</w:t>
            </w:r>
          </w:p>
          <w:p w:rsidR="00EA44B0" w:rsidRPr="004B00CC" w:rsidRDefault="00EA44B0" w:rsidP="00296BDA">
            <w:pPr>
              <w:ind w:left="57" w:right="57"/>
              <w:contextualSpacing/>
              <w:jc w:val="both"/>
            </w:pPr>
          </w:p>
        </w:tc>
      </w:tr>
      <w:tr w:rsidR="00EA44B0" w:rsidRPr="004B00CC" w:rsidTr="00296BDA">
        <w:trPr>
          <w:trHeight w:val="318"/>
        </w:trPr>
        <w:tc>
          <w:tcPr>
            <w:tcW w:w="709"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contextualSpacing/>
              <w:jc w:val="both"/>
            </w:pPr>
            <w:r w:rsidRPr="004B00CC">
              <w:lastRenderedPageBreak/>
              <w:t>11.</w:t>
            </w:r>
          </w:p>
        </w:tc>
        <w:tc>
          <w:tcPr>
            <w:tcW w:w="3680"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tabs>
                <w:tab w:val="left" w:pos="709"/>
              </w:tabs>
              <w:jc w:val="both"/>
            </w:pPr>
            <w:r w:rsidRPr="004B00CC">
              <w:t>1.12. papildināt noteikumus ar 6.</w:t>
            </w:r>
            <w:r w:rsidRPr="004B00CC">
              <w:rPr>
                <w:vertAlign w:val="superscript"/>
              </w:rPr>
              <w:t>1</w:t>
            </w:r>
            <w:r w:rsidRPr="004B00CC">
              <w:t>, 6.</w:t>
            </w:r>
            <w:r w:rsidRPr="004B00CC">
              <w:rPr>
                <w:vertAlign w:val="superscript"/>
              </w:rPr>
              <w:t>2</w:t>
            </w:r>
            <w:r w:rsidRPr="004B00CC">
              <w:t>, 6.</w:t>
            </w:r>
            <w:r w:rsidRPr="004B00CC">
              <w:rPr>
                <w:vertAlign w:val="superscript"/>
              </w:rPr>
              <w:t>3</w:t>
            </w:r>
            <w:r w:rsidRPr="004B00CC">
              <w:t xml:space="preserve"> un 6.</w:t>
            </w:r>
            <w:r w:rsidRPr="004B00CC">
              <w:rPr>
                <w:vertAlign w:val="superscript"/>
              </w:rPr>
              <w:t>4</w:t>
            </w:r>
            <w:r w:rsidRPr="004B00CC">
              <w:t> punktu šādā redakcijā:</w:t>
            </w:r>
          </w:p>
          <w:p w:rsidR="00EA44B0" w:rsidRPr="004B00CC" w:rsidRDefault="00EA44B0" w:rsidP="00296BDA">
            <w:pPr>
              <w:pStyle w:val="paragraph"/>
              <w:spacing w:before="0" w:beforeAutospacing="0" w:after="0" w:afterAutospacing="0"/>
              <w:jc w:val="both"/>
              <w:textAlignment w:val="baseline"/>
            </w:pPr>
            <w:r w:rsidRPr="004B00CC">
              <w:rPr>
                <w:rStyle w:val="normaltextrun"/>
              </w:rPr>
              <w:t>6.</w:t>
            </w:r>
            <w:r w:rsidRPr="004B00CC">
              <w:rPr>
                <w:rStyle w:val="normaltextrun"/>
                <w:vertAlign w:val="superscript"/>
              </w:rPr>
              <w:t>2</w:t>
            </w:r>
            <w:r w:rsidRPr="004B00CC">
              <w:rPr>
                <w:rStyle w:val="normaltextrun"/>
              </w:rPr>
              <w:t> 4. reklāmas un informācijas stendu būvniecībai;</w:t>
            </w:r>
          </w:p>
          <w:p w:rsidR="00EA44B0" w:rsidRPr="004B00CC" w:rsidRDefault="00EA44B0" w:rsidP="00296BDA">
            <w:pPr>
              <w:pStyle w:val="naisc"/>
              <w:spacing w:before="0" w:after="0"/>
              <w:ind w:left="57" w:right="57"/>
              <w:contextualSpacing/>
              <w:jc w:val="both"/>
            </w:pPr>
          </w:p>
        </w:tc>
        <w:tc>
          <w:tcPr>
            <w:tcW w:w="4386" w:type="dxa"/>
            <w:tcBorders>
              <w:top w:val="single" w:sz="6" w:space="0" w:color="000000"/>
              <w:left w:val="single" w:sz="6" w:space="0" w:color="000000"/>
              <w:bottom w:val="single" w:sz="6" w:space="0" w:color="000000"/>
              <w:right w:val="single" w:sz="6" w:space="0" w:color="000000"/>
            </w:tcBorders>
          </w:tcPr>
          <w:p w:rsidR="00EA44B0" w:rsidRPr="00E40DC5" w:rsidRDefault="00EA44B0" w:rsidP="00296BDA">
            <w:pPr>
              <w:tabs>
                <w:tab w:val="left" w:pos="720"/>
                <w:tab w:val="center" w:pos="4320"/>
                <w:tab w:val="right" w:pos="8640"/>
              </w:tabs>
              <w:jc w:val="both"/>
              <w:rPr>
                <w:b/>
                <w:bCs/>
                <w:u w:val="single"/>
              </w:rPr>
            </w:pPr>
            <w:r w:rsidRPr="00E40DC5">
              <w:rPr>
                <w:b/>
                <w:bCs/>
                <w:u w:val="single"/>
              </w:rPr>
              <w:t>Satiksmes ministrija</w:t>
            </w:r>
          </w:p>
          <w:p w:rsidR="00EA44B0" w:rsidRPr="004B00CC" w:rsidRDefault="00EA44B0" w:rsidP="00296BDA">
            <w:pPr>
              <w:tabs>
                <w:tab w:val="left" w:pos="720"/>
                <w:tab w:val="center" w:pos="4320"/>
                <w:tab w:val="right" w:pos="8640"/>
              </w:tabs>
              <w:jc w:val="both"/>
            </w:pPr>
            <w:r w:rsidRPr="004B00CC">
              <w:t>Noteikumu projekta 1.9.apakšpunkts paredz papildināt noteikumus ar 6.3.4.</w:t>
            </w:r>
            <w:r w:rsidRPr="004B00CC">
              <w:rPr>
                <w:vertAlign w:val="superscript"/>
              </w:rPr>
              <w:t>1</w:t>
            </w:r>
            <w:r w:rsidRPr="004B00CC">
              <w:t xml:space="preserve"> apakšpunktu kas nosaka, ka būvniecības ieceres dokumentācija nav nepieciešama reklāmas un informācijas stendu novietošanai ar augstumu līdz 6 m, kā arī to nojaukšanai. Savukārt noteikumu projekta 1.12.apakšpunkts paredz papildināt noteikumus ar 6.</w:t>
            </w:r>
            <w:r w:rsidRPr="004B00CC">
              <w:rPr>
                <w:vertAlign w:val="superscript"/>
              </w:rPr>
              <w:t>2</w:t>
            </w:r>
            <w:r w:rsidRPr="004B00CC">
              <w:t xml:space="preserve">4.apakšpunktu, nosakot, </w:t>
            </w:r>
            <w:r w:rsidRPr="004B00CC">
              <w:lastRenderedPageBreak/>
              <w:t>ka reklāmas un informācijas stendu būvniecībai piemēro paskaidrojuma rakstu.</w:t>
            </w:r>
          </w:p>
          <w:p w:rsidR="00EA44B0" w:rsidRPr="004B00CC" w:rsidRDefault="00EA44B0" w:rsidP="00296BDA">
            <w:pPr>
              <w:tabs>
                <w:tab w:val="left" w:pos="720"/>
                <w:tab w:val="center" w:pos="4320"/>
                <w:tab w:val="right" w:pos="8640"/>
              </w:tabs>
              <w:jc w:val="both"/>
            </w:pPr>
            <w:r w:rsidRPr="004B00CC">
              <w:t>Tā kā paskaidrojuma raksts ir viens no būvniecības ieceres dokumentiem, tad noteikumu projekta 6.3.4.</w:t>
            </w:r>
            <w:r w:rsidRPr="004B00CC">
              <w:rPr>
                <w:vertAlign w:val="superscript"/>
              </w:rPr>
              <w:t>1</w:t>
            </w:r>
            <w:r w:rsidRPr="004B00CC">
              <w:t>apakšpunkts ir pretrunā noteikumu projekta 6.</w:t>
            </w:r>
            <w:r w:rsidRPr="004B00CC">
              <w:rPr>
                <w:vertAlign w:val="superscript"/>
              </w:rPr>
              <w:t>2</w:t>
            </w:r>
            <w:r w:rsidRPr="004B00CC">
              <w:t xml:space="preserve">4.apakšpunktam. </w:t>
            </w:r>
          </w:p>
          <w:p w:rsidR="00EA44B0" w:rsidRPr="004B00CC" w:rsidRDefault="00EA44B0" w:rsidP="00296BDA">
            <w:pPr>
              <w:tabs>
                <w:tab w:val="left" w:pos="720"/>
                <w:tab w:val="center" w:pos="4320"/>
                <w:tab w:val="right" w:pos="8640"/>
              </w:tabs>
              <w:jc w:val="both"/>
            </w:pPr>
            <w:r w:rsidRPr="004B00CC">
              <w:t>Ievērojot minēto, lūdzam noteikumu projekta 6.</w:t>
            </w:r>
            <w:r w:rsidRPr="004B00CC">
              <w:rPr>
                <w:vertAlign w:val="superscript"/>
              </w:rPr>
              <w:t>2</w:t>
            </w:r>
            <w:r w:rsidRPr="004B00CC">
              <w:t>4.apakšpunktu izteikt šādā redakcijā:</w:t>
            </w:r>
          </w:p>
          <w:p w:rsidR="00EA44B0" w:rsidRPr="004B00CC" w:rsidRDefault="00EA44B0" w:rsidP="00296BDA">
            <w:pPr>
              <w:tabs>
                <w:tab w:val="left" w:pos="720"/>
                <w:tab w:val="center" w:pos="4320"/>
                <w:tab w:val="right" w:pos="8640"/>
              </w:tabs>
              <w:jc w:val="both"/>
            </w:pPr>
            <w:r w:rsidRPr="004B00CC">
              <w:t>“6.</w:t>
            </w:r>
            <w:r w:rsidRPr="004B00CC">
              <w:rPr>
                <w:vertAlign w:val="superscript"/>
              </w:rPr>
              <w:t>2</w:t>
            </w:r>
            <w:r w:rsidRPr="004B00CC">
              <w:t>4. reklāmas un informācijas stendu būvniecībai virs 6 m;”.</w:t>
            </w:r>
          </w:p>
          <w:p w:rsidR="00EA44B0" w:rsidRPr="004B00CC" w:rsidRDefault="00EA44B0" w:rsidP="00296BDA">
            <w:pPr>
              <w:tabs>
                <w:tab w:val="left" w:pos="720"/>
                <w:tab w:val="center" w:pos="4320"/>
                <w:tab w:val="right" w:pos="8640"/>
              </w:tabs>
              <w:jc w:val="both"/>
            </w:pPr>
          </w:p>
        </w:tc>
        <w:tc>
          <w:tcPr>
            <w:tcW w:w="3275"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contextualSpacing/>
              <w:rPr>
                <w:b/>
                <w:bCs/>
              </w:rPr>
            </w:pPr>
            <w:r w:rsidRPr="004B00CC">
              <w:rPr>
                <w:b/>
                <w:bCs/>
              </w:rPr>
              <w:lastRenderedPageBreak/>
              <w:t>Ņemts vērā</w:t>
            </w:r>
          </w:p>
        </w:tc>
        <w:tc>
          <w:tcPr>
            <w:tcW w:w="3638" w:type="dxa"/>
            <w:tcBorders>
              <w:top w:val="single" w:sz="4" w:space="0" w:color="auto"/>
              <w:left w:val="single" w:sz="4" w:space="0" w:color="auto"/>
              <w:bottom w:val="single" w:sz="4" w:space="0" w:color="auto"/>
            </w:tcBorders>
          </w:tcPr>
          <w:p w:rsidR="00EA44B0" w:rsidRPr="004B00CC" w:rsidRDefault="00EA44B0" w:rsidP="00296BDA">
            <w:pPr>
              <w:tabs>
                <w:tab w:val="left" w:pos="709"/>
              </w:tabs>
              <w:jc w:val="both"/>
            </w:pPr>
            <w:r w:rsidRPr="004B00CC">
              <w:t>1.13. papildināt noteikumus ar 6.</w:t>
            </w:r>
            <w:r w:rsidRPr="004B00CC">
              <w:rPr>
                <w:vertAlign w:val="superscript"/>
              </w:rPr>
              <w:t>1</w:t>
            </w:r>
            <w:r w:rsidRPr="004B00CC">
              <w:t>, 6.</w:t>
            </w:r>
            <w:r w:rsidRPr="004B00CC">
              <w:rPr>
                <w:vertAlign w:val="superscript"/>
              </w:rPr>
              <w:t>2</w:t>
            </w:r>
            <w:r w:rsidRPr="004B00CC">
              <w:t>, 6.</w:t>
            </w:r>
            <w:r w:rsidRPr="004B00CC">
              <w:rPr>
                <w:vertAlign w:val="superscript"/>
              </w:rPr>
              <w:t>3</w:t>
            </w:r>
            <w:r w:rsidRPr="004B00CC">
              <w:t>, 6.</w:t>
            </w:r>
            <w:r w:rsidRPr="004B00CC">
              <w:rPr>
                <w:vertAlign w:val="superscript"/>
              </w:rPr>
              <w:t>4</w:t>
            </w:r>
            <w:r w:rsidRPr="004B00CC">
              <w:t xml:space="preserve"> un 6.</w:t>
            </w:r>
            <w:r w:rsidRPr="004B00CC">
              <w:rPr>
                <w:vertAlign w:val="superscript"/>
              </w:rPr>
              <w:t>5</w:t>
            </w:r>
            <w:r w:rsidRPr="004B00CC">
              <w:t> punktu šādā redakcijā:</w:t>
            </w:r>
          </w:p>
          <w:p w:rsidR="00EA44B0" w:rsidRPr="004B00CC" w:rsidRDefault="00EA44B0" w:rsidP="00296BDA">
            <w:pPr>
              <w:pStyle w:val="paragraph"/>
              <w:spacing w:before="0" w:beforeAutospacing="0" w:after="0" w:afterAutospacing="0"/>
              <w:jc w:val="both"/>
              <w:textAlignment w:val="baseline"/>
            </w:pPr>
            <w:r w:rsidRPr="004B00CC">
              <w:rPr>
                <w:rStyle w:val="normaltextrun"/>
              </w:rPr>
              <w:t>6.</w:t>
            </w:r>
            <w:r w:rsidRPr="004B00CC">
              <w:rPr>
                <w:rStyle w:val="normaltextrun"/>
                <w:vertAlign w:val="superscript"/>
              </w:rPr>
              <w:t>2</w:t>
            </w:r>
            <w:r w:rsidRPr="004B00CC">
              <w:rPr>
                <w:rStyle w:val="normaltextrun"/>
              </w:rPr>
              <w:t xml:space="preserve"> 4. reklāmas un informācijas stendu būvniecībai </w:t>
            </w:r>
            <w:bookmarkStart w:id="12" w:name="_Hlk59469609"/>
            <w:r w:rsidRPr="004B00CC">
              <w:rPr>
                <w:rStyle w:val="normaltextrun"/>
              </w:rPr>
              <w:t>ar augstumu virs 6 m;</w:t>
            </w:r>
          </w:p>
          <w:bookmarkEnd w:id="12"/>
          <w:p w:rsidR="00EA44B0" w:rsidRPr="004B00CC" w:rsidRDefault="00EA44B0" w:rsidP="00296BDA">
            <w:pPr>
              <w:ind w:left="57" w:right="57"/>
              <w:contextualSpacing/>
              <w:jc w:val="both"/>
            </w:pPr>
          </w:p>
        </w:tc>
      </w:tr>
      <w:tr w:rsidR="00EA44B0" w:rsidRPr="004B00CC" w:rsidTr="00296BDA">
        <w:trPr>
          <w:trHeight w:val="318"/>
        </w:trPr>
        <w:tc>
          <w:tcPr>
            <w:tcW w:w="709"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contextualSpacing/>
              <w:jc w:val="both"/>
            </w:pPr>
            <w:r w:rsidRPr="004B00CC">
              <w:t>12.</w:t>
            </w:r>
          </w:p>
        </w:tc>
        <w:tc>
          <w:tcPr>
            <w:tcW w:w="3680"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jc w:val="both"/>
              <w:rPr>
                <w:i/>
                <w:iCs/>
              </w:rPr>
            </w:pPr>
          </w:p>
          <w:p w:rsidR="00EA44B0" w:rsidRPr="004B00CC" w:rsidRDefault="00EA44B0" w:rsidP="00296BDA">
            <w:pPr>
              <w:jc w:val="both"/>
              <w:rPr>
                <w:i/>
                <w:iCs/>
              </w:rPr>
            </w:pPr>
          </w:p>
          <w:p w:rsidR="00EA44B0" w:rsidRPr="004B00CC" w:rsidRDefault="00EA44B0" w:rsidP="00296BDA">
            <w:pPr>
              <w:jc w:val="both"/>
              <w:rPr>
                <w:i/>
                <w:iCs/>
              </w:rPr>
            </w:pPr>
          </w:p>
          <w:p w:rsidR="00EA44B0" w:rsidRPr="004B00CC" w:rsidRDefault="00EA44B0" w:rsidP="00296BDA">
            <w:pPr>
              <w:jc w:val="both"/>
              <w:rPr>
                <w:i/>
                <w:iCs/>
              </w:rPr>
            </w:pPr>
          </w:p>
          <w:p w:rsidR="00EA44B0" w:rsidRPr="004B00CC" w:rsidRDefault="00EA44B0" w:rsidP="00296BDA">
            <w:pPr>
              <w:jc w:val="both"/>
              <w:rPr>
                <w:i/>
                <w:iCs/>
              </w:rPr>
            </w:pPr>
          </w:p>
          <w:p w:rsidR="00EA44B0" w:rsidRPr="004B00CC" w:rsidRDefault="00EA44B0" w:rsidP="00296BDA">
            <w:pPr>
              <w:jc w:val="both"/>
              <w:rPr>
                <w:i/>
                <w:iCs/>
              </w:rPr>
            </w:pPr>
            <w:r w:rsidRPr="004B00CC">
              <w:rPr>
                <w:i/>
                <w:iCs/>
              </w:rPr>
              <w:t>MK noteikumi 573:</w:t>
            </w:r>
          </w:p>
          <w:p w:rsidR="00EA44B0" w:rsidRPr="004B00CC" w:rsidRDefault="00EA44B0" w:rsidP="00296BDA">
            <w:pPr>
              <w:jc w:val="both"/>
              <w:rPr>
                <w:i/>
                <w:iCs/>
              </w:rPr>
            </w:pPr>
            <w:r w:rsidRPr="004B00CC">
              <w:rPr>
                <w:i/>
                <w:iCs/>
              </w:rPr>
              <w:t>89. Energoapgādes objektus, kuru būvniecībai nav nepieciešama būvatļauja, ekspluatācijā pieņem un aktu izdod energoapgādes komersanta norīkota komisija. Kārtību šo noteikumu 3. un 4.punktā minēto būvdarbu pieņemšanai ekspluatācijā nosaka energoapgādes komersants.</w:t>
            </w:r>
          </w:p>
          <w:p w:rsidR="00EA44B0" w:rsidRPr="004B00CC" w:rsidRDefault="00EA44B0" w:rsidP="00296BDA">
            <w:pPr>
              <w:tabs>
                <w:tab w:val="left" w:pos="709"/>
              </w:tabs>
              <w:jc w:val="both"/>
            </w:pPr>
          </w:p>
        </w:tc>
        <w:tc>
          <w:tcPr>
            <w:tcW w:w="4386"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tabs>
                <w:tab w:val="left" w:pos="720"/>
                <w:tab w:val="center" w:pos="4320"/>
                <w:tab w:val="right" w:pos="8640"/>
              </w:tabs>
              <w:jc w:val="both"/>
            </w:pPr>
            <w:r w:rsidRPr="00E40DC5">
              <w:rPr>
                <w:b/>
                <w:bCs/>
                <w:u w:val="single"/>
              </w:rPr>
              <w:t>AS “Latvenergo”:</w:t>
            </w:r>
            <w:r w:rsidRPr="004B00CC">
              <w:rPr>
                <w:b/>
                <w:bCs/>
              </w:rPr>
              <w:t xml:space="preserve"> </w:t>
            </w:r>
            <w:r w:rsidRPr="004B00CC">
              <w:t>Grozījumu projektam stājoties spēkā, spēku zaudēs Ministru kabineta 2014.gada 30.septembra noteikumi Nr.573 "</w:t>
            </w:r>
            <w:r w:rsidRPr="004B00CC">
              <w:rPr>
                <w:i/>
                <w:iCs/>
              </w:rPr>
              <w:t>Elektroenerģijas ražošanas, pārvades un sadales būvju būvnoteikumi</w:t>
            </w:r>
            <w:r w:rsidRPr="004B00CC">
              <w:t>" (turpmāk – Noteikumi Nr.573), kuru 89.punktā ietverts regulējums būvdarbu nodošanai ekspluatācijā gadījumos, kad būvdarbiem nav būvniecības ieceres. Ievērojot to, ka šis regulējums, Noteikumiem Nr.573 zaudējot spēku, nebūs ietverts nevienā normatīvajā aktā, aicinām šo regulējumu iekļaut Grozījumu projektā.</w:t>
            </w:r>
          </w:p>
          <w:p w:rsidR="00EA44B0" w:rsidRPr="004B00CC" w:rsidRDefault="00EA44B0" w:rsidP="00296BDA">
            <w:pPr>
              <w:tabs>
                <w:tab w:val="left" w:pos="720"/>
                <w:tab w:val="center" w:pos="4320"/>
                <w:tab w:val="right" w:pos="8640"/>
              </w:tabs>
              <w:jc w:val="both"/>
              <w:rPr>
                <w:b/>
                <w:bCs/>
              </w:rPr>
            </w:pPr>
          </w:p>
        </w:tc>
        <w:tc>
          <w:tcPr>
            <w:tcW w:w="3275"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contextualSpacing/>
              <w:rPr>
                <w:b/>
                <w:bCs/>
              </w:rPr>
            </w:pPr>
            <w:r w:rsidRPr="004B00CC">
              <w:rPr>
                <w:b/>
                <w:bCs/>
              </w:rPr>
              <w:t>Panākta vienošanās starpinstitūciju sanāksmē</w:t>
            </w:r>
          </w:p>
          <w:p w:rsidR="00EA44B0" w:rsidRPr="004B00CC" w:rsidRDefault="00EA44B0" w:rsidP="00296BDA">
            <w:pPr>
              <w:pStyle w:val="naisc"/>
              <w:spacing w:before="0" w:after="0"/>
              <w:ind w:left="57" w:right="57"/>
              <w:contextualSpacing/>
              <w:jc w:val="both"/>
            </w:pPr>
            <w:r w:rsidRPr="004B00CC">
              <w:t>Kā komersants organizē savu objektu pieņemšanu ekspluatācijā nav jānosaka šajā normatīvajā aktā, bet komersants var noteikt līgumā par būvdarbu veikšanu vai iekšējā normatīvajā aktā.</w:t>
            </w:r>
          </w:p>
        </w:tc>
        <w:tc>
          <w:tcPr>
            <w:tcW w:w="3638" w:type="dxa"/>
            <w:tcBorders>
              <w:top w:val="single" w:sz="4" w:space="0" w:color="auto"/>
              <w:left w:val="single" w:sz="4" w:space="0" w:color="auto"/>
              <w:bottom w:val="single" w:sz="4" w:space="0" w:color="auto"/>
            </w:tcBorders>
          </w:tcPr>
          <w:p w:rsidR="00EA44B0" w:rsidRPr="004B00CC" w:rsidRDefault="00EA44B0" w:rsidP="00296BDA">
            <w:pPr>
              <w:tabs>
                <w:tab w:val="left" w:pos="709"/>
              </w:tabs>
              <w:jc w:val="both"/>
            </w:pPr>
          </w:p>
        </w:tc>
      </w:tr>
      <w:tr w:rsidR="00EA44B0" w:rsidRPr="004B00CC" w:rsidTr="00296BDA">
        <w:trPr>
          <w:trHeight w:val="1415"/>
        </w:trPr>
        <w:tc>
          <w:tcPr>
            <w:tcW w:w="709"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contextualSpacing/>
              <w:jc w:val="both"/>
            </w:pPr>
            <w:r w:rsidRPr="004B00CC">
              <w:lastRenderedPageBreak/>
              <w:t>13.</w:t>
            </w:r>
          </w:p>
        </w:tc>
        <w:tc>
          <w:tcPr>
            <w:tcW w:w="3680"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jc w:val="both"/>
            </w:pPr>
            <w:r w:rsidRPr="004B00CC">
              <w:t>1.19. izteikt 17. un 18. punktu šādā redakcijā:</w:t>
            </w:r>
          </w:p>
          <w:p w:rsidR="00EA44B0" w:rsidRPr="004B00CC" w:rsidRDefault="00EA44B0" w:rsidP="00296BDA">
            <w:pPr>
              <w:jc w:val="both"/>
            </w:pPr>
            <w:r w:rsidRPr="004B00CC">
              <w:t>“17. Šo noteikumu 6.</w:t>
            </w:r>
            <w:r w:rsidRPr="004B00CC">
              <w:rPr>
                <w:vertAlign w:val="superscript"/>
              </w:rPr>
              <w:t>1</w:t>
            </w:r>
            <w:r w:rsidRPr="004B00CC">
              <w:t xml:space="preserve"> 1. apakšpunktā minētajā gadījumā pirms būvdarbu uzsākšanas būvniecības informācijas sistēmā iesniedz paziņojumu par būvniecību, kuram pievieno atbilstoša </w:t>
            </w:r>
            <w:proofErr w:type="spellStart"/>
            <w:r w:rsidRPr="004B00CC">
              <w:t>būvspeciālista</w:t>
            </w:r>
            <w:proofErr w:type="spellEnd"/>
            <w:r w:rsidRPr="004B00CC">
              <w:t xml:space="preserve"> apstiprinātu iekšējo inženiertīklu novietojuma plānu, kurā norādīts iekšējā inženiertīkla novietojums būvē vai telpu grupā, uz būves stāva plāna vai telpu grupas plāna un </w:t>
            </w:r>
            <w:proofErr w:type="spellStart"/>
            <w:r w:rsidRPr="004B00CC">
              <w:t>izvērtējumu</w:t>
            </w:r>
            <w:proofErr w:type="spellEnd"/>
            <w:r w:rsidRPr="004B00CC">
              <w:t xml:space="preserve"> par daudzdzīvokļu dzīvojamās ēkas koplietošanas iekšējo inženiertīklu atjaunošanas vai pārbūves ietekmi uz pakalpojuma pieejamību, un būves nesošajām konstrukcijām.  Novietojuma plāns ir saskaņojams ar būves vai telpu grupas īpašnieku vai, ja tāda nav, – ar tiesisko valdītāju un pakalpojuma sniedzēju. Institūcija, kura pilda būvvaldes funkcijas, ir tiesīga veikt būvdarbu tiesiskuma kontroli.</w:t>
            </w:r>
          </w:p>
          <w:p w:rsidR="00EA44B0" w:rsidRPr="004B00CC" w:rsidRDefault="00EA44B0" w:rsidP="00296BDA">
            <w:pPr>
              <w:pStyle w:val="naisc"/>
              <w:spacing w:before="0" w:after="0"/>
              <w:ind w:left="57" w:right="57"/>
              <w:contextualSpacing/>
              <w:jc w:val="both"/>
            </w:pPr>
          </w:p>
        </w:tc>
        <w:tc>
          <w:tcPr>
            <w:tcW w:w="4386" w:type="dxa"/>
            <w:tcBorders>
              <w:top w:val="single" w:sz="6" w:space="0" w:color="000000"/>
              <w:left w:val="single" w:sz="6" w:space="0" w:color="000000"/>
              <w:bottom w:val="single" w:sz="6" w:space="0" w:color="000000"/>
              <w:right w:val="single" w:sz="6" w:space="0" w:color="000000"/>
            </w:tcBorders>
          </w:tcPr>
          <w:p w:rsidR="00EA44B0" w:rsidRPr="00E40DC5" w:rsidRDefault="00EA44B0" w:rsidP="00296BDA">
            <w:pPr>
              <w:jc w:val="both"/>
              <w:rPr>
                <w:b/>
                <w:bCs/>
                <w:u w:val="single"/>
              </w:rPr>
            </w:pPr>
            <w:r w:rsidRPr="00E40DC5">
              <w:rPr>
                <w:b/>
                <w:bCs/>
                <w:u w:val="single"/>
              </w:rPr>
              <w:t>Latvijas Lielo pilsētu asociācija:</w:t>
            </w:r>
          </w:p>
          <w:p w:rsidR="00EA44B0" w:rsidRPr="004B00CC" w:rsidRDefault="00EA44B0" w:rsidP="00296BDA">
            <w:pPr>
              <w:pStyle w:val="CommentText"/>
              <w:spacing w:after="0"/>
              <w:jc w:val="both"/>
              <w:rPr>
                <w:rFonts w:ascii="Times New Roman" w:hAnsi="Times New Roman"/>
                <w:sz w:val="24"/>
                <w:szCs w:val="24"/>
              </w:rPr>
            </w:pPr>
            <w:r w:rsidRPr="004B00CC">
              <w:rPr>
                <w:rFonts w:ascii="Times New Roman" w:hAnsi="Times New Roman"/>
                <w:sz w:val="24"/>
                <w:szCs w:val="24"/>
              </w:rPr>
              <w:t>Grozījumos, līdzīgi kā MK noteikumu Nr. 501 “Elektronisko sakaru tīklu ierīkošanas, būvniecības un uzraudzības kārtība” 16. punktā, jāparedz punkts, kurā definētas darbības, kas pazemina būves konstrukciju drošību, nestspēju vai noturību.</w:t>
            </w:r>
          </w:p>
          <w:p w:rsidR="00EA44B0" w:rsidRPr="004B00CC" w:rsidRDefault="00EA44B0" w:rsidP="00296BDA">
            <w:pPr>
              <w:pStyle w:val="CommentText"/>
              <w:spacing w:after="0"/>
              <w:jc w:val="both"/>
              <w:rPr>
                <w:rFonts w:ascii="Times New Roman" w:hAnsi="Times New Roman"/>
                <w:bCs/>
                <w:sz w:val="24"/>
                <w:szCs w:val="24"/>
              </w:rPr>
            </w:pPr>
            <w:r w:rsidRPr="004B00CC">
              <w:rPr>
                <w:rFonts w:ascii="Times New Roman" w:hAnsi="Times New Roman"/>
                <w:bCs/>
                <w:sz w:val="24"/>
                <w:szCs w:val="24"/>
              </w:rPr>
              <w:t>Ņemot vērā iepriekš minēto, jāpapildina konkrētais punkts vai jāparedz jauns punkts, kurā līdzīgi kā 8.</w:t>
            </w:r>
            <w:r w:rsidRPr="004B00CC">
              <w:rPr>
                <w:rFonts w:ascii="Times New Roman" w:hAnsi="Times New Roman"/>
                <w:bCs/>
                <w:sz w:val="24"/>
                <w:szCs w:val="24"/>
                <w:vertAlign w:val="superscript"/>
              </w:rPr>
              <w:t>1</w:t>
            </w:r>
            <w:r w:rsidRPr="004B00CC">
              <w:rPr>
                <w:rFonts w:ascii="Times New Roman" w:hAnsi="Times New Roman"/>
                <w:bCs/>
                <w:sz w:val="24"/>
                <w:szCs w:val="24"/>
              </w:rPr>
              <w:t xml:space="preserve"> punktā norādīts, ka gadījumos, kad tiek veiktas </w:t>
            </w:r>
            <w:r w:rsidRPr="004B00CC">
              <w:rPr>
                <w:rFonts w:ascii="Times New Roman" w:hAnsi="Times New Roman"/>
                <w:sz w:val="24"/>
                <w:szCs w:val="24"/>
              </w:rPr>
              <w:t>darbības, kas pazemina būves konstrukciju drošību, nestspēju vai noturību</w:t>
            </w:r>
            <w:r w:rsidRPr="004B00CC">
              <w:rPr>
                <w:rFonts w:ascii="Times New Roman" w:hAnsi="Times New Roman"/>
                <w:bCs/>
                <w:sz w:val="24"/>
                <w:szCs w:val="24"/>
              </w:rPr>
              <w:t xml:space="preserve">, konstruktīvā mezgla risinājumu izstrādā </w:t>
            </w:r>
            <w:proofErr w:type="spellStart"/>
            <w:r w:rsidRPr="004B00CC">
              <w:rPr>
                <w:rFonts w:ascii="Times New Roman" w:hAnsi="Times New Roman"/>
                <w:bCs/>
                <w:sz w:val="24"/>
                <w:szCs w:val="24"/>
              </w:rPr>
              <w:t>būvspeciālists</w:t>
            </w:r>
            <w:proofErr w:type="spellEnd"/>
            <w:r w:rsidRPr="004B00CC">
              <w:rPr>
                <w:rFonts w:ascii="Times New Roman" w:hAnsi="Times New Roman"/>
                <w:bCs/>
                <w:sz w:val="24"/>
                <w:szCs w:val="24"/>
              </w:rPr>
              <w:t xml:space="preserve"> ēku konstrukciju projektēšanā.</w:t>
            </w:r>
          </w:p>
          <w:p w:rsidR="00EA44B0" w:rsidRPr="004B00CC" w:rsidRDefault="00EA44B0" w:rsidP="00296BDA">
            <w:pPr>
              <w:pStyle w:val="naisc"/>
              <w:spacing w:before="0" w:after="0"/>
              <w:ind w:left="57" w:right="57"/>
              <w:contextualSpacing/>
              <w:jc w:val="both"/>
              <w:rPr>
                <w:b/>
              </w:rPr>
            </w:pPr>
          </w:p>
        </w:tc>
        <w:tc>
          <w:tcPr>
            <w:tcW w:w="3275"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rPr>
                <w:b/>
              </w:rPr>
            </w:pPr>
            <w:r w:rsidRPr="004B00CC">
              <w:rPr>
                <w:b/>
              </w:rPr>
              <w:t>Ņemts vērā</w:t>
            </w:r>
          </w:p>
          <w:p w:rsidR="00EA44B0" w:rsidRPr="004B00CC" w:rsidRDefault="00EA44B0" w:rsidP="00296BDA">
            <w:pPr>
              <w:pStyle w:val="naisc"/>
              <w:spacing w:before="0" w:after="0"/>
              <w:ind w:left="57" w:right="57"/>
              <w:rPr>
                <w:b/>
              </w:rPr>
            </w:pPr>
          </w:p>
          <w:p w:rsidR="00EA44B0" w:rsidRPr="004B00CC" w:rsidRDefault="00EA44B0" w:rsidP="00296BDA">
            <w:pPr>
              <w:pStyle w:val="naisc"/>
              <w:spacing w:before="0" w:after="0"/>
              <w:ind w:left="57" w:right="57"/>
              <w:rPr>
                <w:b/>
              </w:rPr>
            </w:pPr>
          </w:p>
          <w:p w:rsidR="00EA44B0" w:rsidRPr="004B00CC" w:rsidRDefault="00EA44B0" w:rsidP="00296BDA">
            <w:pPr>
              <w:pStyle w:val="naisc"/>
              <w:spacing w:before="0" w:after="0"/>
              <w:ind w:left="57" w:right="57"/>
              <w:rPr>
                <w:b/>
              </w:rPr>
            </w:pPr>
          </w:p>
        </w:tc>
        <w:tc>
          <w:tcPr>
            <w:tcW w:w="3638" w:type="dxa"/>
            <w:tcBorders>
              <w:top w:val="single" w:sz="4" w:space="0" w:color="auto"/>
              <w:left w:val="single" w:sz="4" w:space="0" w:color="auto"/>
              <w:bottom w:val="single" w:sz="4" w:space="0" w:color="auto"/>
            </w:tcBorders>
          </w:tcPr>
          <w:p w:rsidR="00EA44B0" w:rsidRPr="007B41BE" w:rsidRDefault="00EA44B0" w:rsidP="00296BDA">
            <w:pPr>
              <w:jc w:val="both"/>
            </w:pPr>
            <w:r w:rsidRPr="007B41BE">
              <w:t>1.21. izteikt 17. un 18. punktu šādā redakcijā:</w:t>
            </w:r>
          </w:p>
          <w:p w:rsidR="00EA44B0" w:rsidRPr="007B41BE" w:rsidRDefault="00EA44B0" w:rsidP="00296BDA">
            <w:pPr>
              <w:pStyle w:val="CommentText"/>
              <w:jc w:val="both"/>
              <w:rPr>
                <w:rFonts w:ascii="Times New Roman" w:hAnsi="Times New Roman"/>
                <w:iCs/>
                <w:sz w:val="24"/>
                <w:szCs w:val="24"/>
              </w:rPr>
            </w:pPr>
            <w:r w:rsidRPr="007B41BE">
              <w:rPr>
                <w:rFonts w:ascii="Times New Roman" w:hAnsi="Times New Roman"/>
                <w:sz w:val="24"/>
                <w:szCs w:val="24"/>
              </w:rPr>
              <w:t>“17. </w:t>
            </w:r>
            <w:r w:rsidRPr="007B41BE">
              <w:rPr>
                <w:rFonts w:ascii="Times New Roman" w:hAnsi="Times New Roman"/>
                <w:iCs/>
                <w:sz w:val="24"/>
                <w:szCs w:val="24"/>
              </w:rPr>
              <w:t>Šo noteikumu 6.</w:t>
            </w:r>
            <w:r w:rsidRPr="007B41BE">
              <w:rPr>
                <w:rFonts w:ascii="Times New Roman" w:hAnsi="Times New Roman"/>
                <w:iCs/>
                <w:sz w:val="24"/>
                <w:szCs w:val="24"/>
                <w:vertAlign w:val="superscript"/>
              </w:rPr>
              <w:t>1</w:t>
            </w:r>
            <w:r w:rsidRPr="007B41BE">
              <w:rPr>
                <w:rFonts w:ascii="Times New Roman" w:hAnsi="Times New Roman"/>
                <w:iCs/>
                <w:sz w:val="24"/>
                <w:szCs w:val="24"/>
              </w:rPr>
              <w:t xml:space="preserve"> 1. apakšpunktā minētajā gadījumā pirms būvdarbu uzsākšanas būvniecības informācijas sistēmā iesniedz paziņojumu par būvniecību. Daudzdzīvokļu dzīvojamās ēkas koplietošanas iekšējā inženiertīkla ierīkošanas vai pārbūves gadījumā pievieno atbilstoša </w:t>
            </w:r>
            <w:proofErr w:type="spellStart"/>
            <w:r w:rsidRPr="007B41BE">
              <w:rPr>
                <w:rFonts w:ascii="Times New Roman" w:hAnsi="Times New Roman"/>
                <w:iCs/>
                <w:sz w:val="24"/>
                <w:szCs w:val="24"/>
              </w:rPr>
              <w:t>būvspeciālista</w:t>
            </w:r>
            <w:proofErr w:type="spellEnd"/>
            <w:r w:rsidRPr="007B41BE">
              <w:rPr>
                <w:rFonts w:ascii="Times New Roman" w:hAnsi="Times New Roman"/>
                <w:iCs/>
                <w:sz w:val="24"/>
                <w:szCs w:val="24"/>
              </w:rPr>
              <w:t xml:space="preserve"> apstiprinātu iekšējo inženiertīklu novietojuma plānu, kurā norādīts iekšējā inženiertīkla novietojums būvē vai telpu grupā, uz būves stāva plāna vai telpu grupas plāna un </w:t>
            </w:r>
            <w:proofErr w:type="spellStart"/>
            <w:r w:rsidRPr="007B41BE">
              <w:rPr>
                <w:rFonts w:ascii="Times New Roman" w:hAnsi="Times New Roman"/>
                <w:iCs/>
                <w:sz w:val="24"/>
                <w:szCs w:val="24"/>
              </w:rPr>
              <w:t>izvērtējumu</w:t>
            </w:r>
            <w:proofErr w:type="spellEnd"/>
            <w:r w:rsidRPr="007B41BE">
              <w:rPr>
                <w:rFonts w:ascii="Times New Roman" w:hAnsi="Times New Roman"/>
                <w:iCs/>
                <w:sz w:val="24"/>
                <w:szCs w:val="24"/>
              </w:rPr>
              <w:t xml:space="preserve"> par daudzdzīvokļu dzīvojamās ēkas koplietošanas iekšējo inženiertīklu ierīkošanas vai pārbūves ietekmi uz pakalpojuma pieejamību, un būves nesošajām konstrukcijām. Novietojuma plāns ir saskaņojams ar būves vai telpu grupas īpašnieku vai, ja tāda nav, – ar tiesisko valdītāju un pakalpojuma sniedzēju, ja to ir norādījis pakalpojumu sniedzējs. G</w:t>
            </w:r>
            <w:r w:rsidRPr="007B41BE">
              <w:rPr>
                <w:rFonts w:ascii="Times New Roman" w:hAnsi="Times New Roman"/>
                <w:bCs/>
                <w:iCs/>
                <w:sz w:val="24"/>
                <w:szCs w:val="24"/>
              </w:rPr>
              <w:t xml:space="preserve">adījumos, kad tiek veiktas </w:t>
            </w:r>
            <w:r w:rsidRPr="007B41BE">
              <w:rPr>
                <w:rFonts w:ascii="Times New Roman" w:hAnsi="Times New Roman"/>
                <w:iCs/>
                <w:sz w:val="24"/>
                <w:szCs w:val="24"/>
              </w:rPr>
              <w:t>darbības, kas pazemina būves konstrukciju drošību, nestspēju vai noturību</w:t>
            </w:r>
            <w:r w:rsidRPr="007B41BE">
              <w:rPr>
                <w:rFonts w:ascii="Times New Roman" w:hAnsi="Times New Roman"/>
                <w:bCs/>
                <w:iCs/>
                <w:sz w:val="24"/>
                <w:szCs w:val="24"/>
              </w:rPr>
              <w:t xml:space="preserve">, </w:t>
            </w:r>
            <w:r w:rsidRPr="007B41BE">
              <w:rPr>
                <w:rFonts w:ascii="Times New Roman" w:hAnsi="Times New Roman"/>
                <w:bCs/>
                <w:iCs/>
                <w:sz w:val="24"/>
                <w:szCs w:val="24"/>
              </w:rPr>
              <w:lastRenderedPageBreak/>
              <w:t xml:space="preserve">konstruktīvā mezgla risinājumu izstrādā </w:t>
            </w:r>
            <w:proofErr w:type="spellStart"/>
            <w:r w:rsidRPr="007B41BE">
              <w:rPr>
                <w:rFonts w:ascii="Times New Roman" w:hAnsi="Times New Roman"/>
                <w:bCs/>
                <w:iCs/>
                <w:sz w:val="24"/>
                <w:szCs w:val="24"/>
              </w:rPr>
              <w:t>būvspeciālists</w:t>
            </w:r>
            <w:proofErr w:type="spellEnd"/>
            <w:r w:rsidRPr="007B41BE">
              <w:rPr>
                <w:rFonts w:ascii="Times New Roman" w:hAnsi="Times New Roman"/>
                <w:bCs/>
                <w:iCs/>
                <w:sz w:val="24"/>
                <w:szCs w:val="24"/>
              </w:rPr>
              <w:t xml:space="preserve"> ēku konstrukciju projektēšanā. </w:t>
            </w:r>
            <w:r w:rsidRPr="007B41BE">
              <w:rPr>
                <w:rFonts w:ascii="Times New Roman" w:hAnsi="Times New Roman"/>
                <w:iCs/>
                <w:sz w:val="24"/>
                <w:szCs w:val="24"/>
              </w:rPr>
              <w:t>Institūcija, kura pilda būvvaldes funkcijas, ir tiesīga veikt būvdarbu tiesiskuma kontroli.</w:t>
            </w:r>
          </w:p>
          <w:p w:rsidR="00EA44B0" w:rsidRPr="007B41BE" w:rsidRDefault="00EA44B0" w:rsidP="00296BDA">
            <w:pPr>
              <w:pStyle w:val="CommentText"/>
              <w:jc w:val="both"/>
              <w:rPr>
                <w:rFonts w:ascii="Times New Roman" w:hAnsi="Times New Roman"/>
                <w:sz w:val="24"/>
                <w:szCs w:val="24"/>
              </w:rPr>
            </w:pPr>
          </w:p>
          <w:p w:rsidR="00EA44B0" w:rsidRPr="007B41BE" w:rsidRDefault="00EA44B0" w:rsidP="00296BDA">
            <w:pPr>
              <w:pStyle w:val="naisc"/>
              <w:spacing w:before="0" w:after="0"/>
              <w:ind w:left="57" w:right="57"/>
              <w:contextualSpacing/>
              <w:jc w:val="both"/>
            </w:pPr>
          </w:p>
        </w:tc>
      </w:tr>
      <w:tr w:rsidR="00EA44B0" w:rsidRPr="004B00CC" w:rsidTr="00296BDA">
        <w:trPr>
          <w:trHeight w:val="1415"/>
        </w:trPr>
        <w:tc>
          <w:tcPr>
            <w:tcW w:w="709"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contextualSpacing/>
              <w:jc w:val="both"/>
            </w:pPr>
            <w:r w:rsidRPr="004B00CC">
              <w:lastRenderedPageBreak/>
              <w:t>14.</w:t>
            </w:r>
          </w:p>
        </w:tc>
        <w:tc>
          <w:tcPr>
            <w:tcW w:w="3680"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jc w:val="both"/>
            </w:pPr>
            <w:r w:rsidRPr="004B00CC">
              <w:t>1.19. izteikt 17. un 18. punktu šādā redakcijā:</w:t>
            </w:r>
          </w:p>
          <w:p w:rsidR="00EA44B0" w:rsidRPr="004B00CC" w:rsidRDefault="00EA44B0" w:rsidP="00296BDA">
            <w:pPr>
              <w:jc w:val="both"/>
            </w:pPr>
            <w:r w:rsidRPr="004B00CC">
              <w:t>18. Šo noteikumu 6.</w:t>
            </w:r>
            <w:r w:rsidRPr="004B00CC">
              <w:rPr>
                <w:vertAlign w:val="superscript"/>
              </w:rPr>
              <w:t>1</w:t>
            </w:r>
            <w:r w:rsidRPr="004B00CC">
              <w:t xml:space="preserve"> 3. apakšpunktā minētajā gadījumā, ja inženiertīkla pievada jauna būvniecība, ierīkošanu vai pārbūve plānota viendzīvokļa dzīvojamajai ēkai pieguļošā zemes gabala robežās un līdz viendzīvokļa dzīvojamajai ēkai pieguļošā zemes gabala robežai ir izbūvēts ārējā inženiertīkla atzars, pirms būvdarbu uzsākšanas būvniecības informācijas sistēmā iesniedz paziņojumu par būvniecību, kuram pievieno atbilstoša </w:t>
            </w:r>
            <w:proofErr w:type="spellStart"/>
            <w:r w:rsidRPr="004B00CC">
              <w:t>būvspeciālista</w:t>
            </w:r>
            <w:proofErr w:type="spellEnd"/>
            <w:r w:rsidRPr="004B00CC">
              <w:t xml:space="preserve"> apstiprinātu inženiertīkla pievada novietojuma plānu, kurā norādīts inženiertīkla pievada novietojums zemes gabalā un tā ārējie izmēri, vizuāli uztveramā formā (M 1:250; M 1:500; M 1:1000) uz topogrāfiskā </w:t>
            </w:r>
            <w:r w:rsidRPr="004B00CC">
              <w:lastRenderedPageBreak/>
              <w:t xml:space="preserve">plāna vai būvju situācijas plāna (šo noteikumu 2.2. apakšnodaļā minētajos gadījumos). Novietojuma plāns ir saskaņojams ar zemes gabala īpašnieku vai, ja tāda nav, – ar tiesisko valdītāju, un pakalpojuma sniedzēju, kurš inženiertīklu pievadu izmanto vai izmantos pakalpojuma sniegšanai. Ja pakalpojuma sniedzējs, kurš inženiertīklu pievadu izmanto vai izmantos pakalpojuma sniegšanai, nodarbina atbilstošu </w:t>
            </w:r>
            <w:proofErr w:type="spellStart"/>
            <w:r w:rsidRPr="004B00CC">
              <w:t>būvspeciālistu</w:t>
            </w:r>
            <w:proofErr w:type="spellEnd"/>
            <w:r w:rsidRPr="004B00CC">
              <w:t>, tad viņš pats var izstrādāt šajā punktā noteikto inženiertīkla pievada novietojuma plānu. Institūcija, kura pilda būvvaldes funkcijas, ir tiesīga veikt būvdarbu tiesiskuma kontroli.”;</w:t>
            </w:r>
          </w:p>
          <w:p w:rsidR="00EA44B0" w:rsidRPr="004B00CC" w:rsidRDefault="00EA44B0" w:rsidP="00296BDA">
            <w:pPr>
              <w:jc w:val="both"/>
            </w:pPr>
          </w:p>
        </w:tc>
        <w:tc>
          <w:tcPr>
            <w:tcW w:w="4386"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jc w:val="both"/>
              <w:rPr>
                <w:i/>
                <w:iCs/>
              </w:rPr>
            </w:pPr>
            <w:r w:rsidRPr="00E40DC5">
              <w:rPr>
                <w:b/>
                <w:bCs/>
                <w:u w:val="single"/>
              </w:rPr>
              <w:lastRenderedPageBreak/>
              <w:t>AS “Sadales tīkls”:</w:t>
            </w:r>
            <w:r w:rsidRPr="004B00CC">
              <w:rPr>
                <w:b/>
                <w:bCs/>
              </w:rPr>
              <w:t xml:space="preserve"> </w:t>
            </w:r>
            <w:r w:rsidRPr="004B00CC">
              <w:t xml:space="preserve">Lai nodrošinātu iespēju arī turpmāk paziņošanas kārtībā ierīkot elektroapgādes inženiertīkla pievadu no zemesgabalam blakus esošas elektrolīnijas, veicot būvdarbus esošas elektrolīnijas aizsargjoslas vai sarkano līniju robežās un neskarot citu nekustamo īpašumu īpašnieku zemi, lūdzam izteikt Noteikumu projekta 1.19.punktā ietverto AIBN 18.punktu šādā redakcijā: </w:t>
            </w:r>
            <w:r w:rsidRPr="004B00CC">
              <w:rPr>
                <w:i/>
                <w:iCs/>
              </w:rPr>
              <w:t>"18. Šo noteikumu 6.</w:t>
            </w:r>
            <w:r w:rsidRPr="004B00CC">
              <w:rPr>
                <w:i/>
                <w:iCs/>
                <w:vertAlign w:val="superscript"/>
              </w:rPr>
              <w:t>1</w:t>
            </w:r>
            <w:r w:rsidRPr="004B00CC">
              <w:rPr>
                <w:i/>
                <w:iCs/>
              </w:rPr>
              <w:t xml:space="preserve"> 3. apakšpunktā minētajā gadījumā, ja inženiertīkla pievada jauna būvniecība, ierīkošana vai pārbūve plānota ēkai pieguļošā zemes gabala un tam blakus esoša ārējā inženiertīkla ekspluatācijas</w:t>
            </w:r>
          </w:p>
          <w:p w:rsidR="00EA44B0" w:rsidRPr="004B00CC" w:rsidRDefault="00EA44B0" w:rsidP="00296BDA">
            <w:pPr>
              <w:keepLines/>
              <w:autoSpaceDE w:val="0"/>
              <w:autoSpaceDN w:val="0"/>
              <w:adjustRightInd w:val="0"/>
              <w:jc w:val="both"/>
              <w:rPr>
                <w:b/>
                <w:bCs/>
              </w:rPr>
            </w:pPr>
            <w:r w:rsidRPr="004B00CC">
              <w:rPr>
                <w:i/>
                <w:iCs/>
              </w:rPr>
              <w:t>aizsargjoslas vai sarkano līniju robežās, izņemot šo noteikumu 33.</w:t>
            </w:r>
            <w:r w:rsidRPr="004B00CC">
              <w:rPr>
                <w:i/>
                <w:iCs/>
                <w:vertAlign w:val="superscript"/>
              </w:rPr>
              <w:t>1</w:t>
            </w:r>
            <w:r w:rsidRPr="004B00CC">
              <w:rPr>
                <w:i/>
                <w:iCs/>
              </w:rPr>
              <w:t xml:space="preserve"> noteiktos gadījumus, pirms būvdarbu uzsākšanas</w:t>
            </w:r>
          </w:p>
          <w:p w:rsidR="00EA44B0" w:rsidRPr="004B00CC" w:rsidRDefault="00EA44B0" w:rsidP="00296BDA">
            <w:pPr>
              <w:keepLines/>
              <w:autoSpaceDE w:val="0"/>
              <w:autoSpaceDN w:val="0"/>
              <w:adjustRightInd w:val="0"/>
              <w:jc w:val="both"/>
            </w:pPr>
            <w:r w:rsidRPr="004B00CC">
              <w:rPr>
                <w:i/>
                <w:iCs/>
              </w:rPr>
              <w:lastRenderedPageBreak/>
              <w:t xml:space="preserve">būvniecības informācijas sistēmā iesniedz paziņojumu par būvniecību, kuram pievieno atbilstoša </w:t>
            </w:r>
            <w:proofErr w:type="spellStart"/>
            <w:r w:rsidRPr="004B00CC">
              <w:rPr>
                <w:i/>
                <w:iCs/>
              </w:rPr>
              <w:t>būvspeciālista</w:t>
            </w:r>
            <w:proofErr w:type="spellEnd"/>
            <w:r w:rsidRPr="004B00CC">
              <w:rPr>
                <w:i/>
                <w:iCs/>
              </w:rPr>
              <w:t xml:space="preserve"> apstiprinātu inženiertīkla pievada novietojuma plānu, kurā norādīts</w:t>
            </w:r>
          </w:p>
          <w:p w:rsidR="00EA44B0" w:rsidRPr="004B00CC" w:rsidRDefault="00EA44B0" w:rsidP="00296BDA">
            <w:pPr>
              <w:jc w:val="both"/>
              <w:rPr>
                <w:i/>
                <w:iCs/>
              </w:rPr>
            </w:pPr>
            <w:r w:rsidRPr="004B00CC">
              <w:rPr>
                <w:i/>
                <w:iCs/>
              </w:rPr>
              <w:t>inženiertīkla pievada novietojums un tā ārējie izmēri, vizuāli uztveramā formā (M 1:250; M 1:500; M 1:1000) uz topogrāfiskā plāna vai būvju situācijas plāna (šo noteikumu 2.2. apakšnodaļā minētajos gadījumos). Novietojuma plāns ir saskaņojams ar zemes gabala īpašnieku vai, ja tāda nav, – ar tiesisko valdītāju, un pakalpojuma sniedzēju (izņemot elektroapgādes inženiertīkla pievada ierīkošanas gadījumā), kurš inženiertīklu pievadu izmanto vai izmantos pakalpojuma sniegšanai. Ja pakalpojuma sniedzējs, kurš inženiertīklu pievadu izmanto vai izmantos</w:t>
            </w:r>
          </w:p>
          <w:p w:rsidR="00EA44B0" w:rsidRPr="004B00CC" w:rsidRDefault="00EA44B0" w:rsidP="00296BDA">
            <w:pPr>
              <w:keepLines/>
              <w:autoSpaceDE w:val="0"/>
              <w:autoSpaceDN w:val="0"/>
              <w:adjustRightInd w:val="0"/>
              <w:jc w:val="both"/>
              <w:rPr>
                <w:i/>
                <w:iCs/>
              </w:rPr>
            </w:pPr>
            <w:r w:rsidRPr="004B00CC">
              <w:rPr>
                <w:i/>
                <w:iCs/>
              </w:rPr>
              <w:t xml:space="preserve">pakalpojuma sniegšanai, nodarbina atbilstošu </w:t>
            </w:r>
            <w:proofErr w:type="spellStart"/>
            <w:r w:rsidRPr="004B00CC">
              <w:rPr>
                <w:i/>
                <w:iCs/>
              </w:rPr>
              <w:t>būvspeciālistu</w:t>
            </w:r>
            <w:proofErr w:type="spellEnd"/>
            <w:r w:rsidRPr="004B00CC">
              <w:rPr>
                <w:i/>
                <w:iCs/>
              </w:rPr>
              <w:t>, tad viņš pats var izstrādāt šajā punktā noteikto inženiertīkla pievada novietojuma plānu. Institūcija, kura pilda būvvaldes funkcijas, ir tiesīga veikt būvdarbu tiesiskuma kontroli.”</w:t>
            </w:r>
          </w:p>
          <w:p w:rsidR="00EA44B0" w:rsidRPr="004B00CC" w:rsidRDefault="00EA44B0" w:rsidP="00296BDA">
            <w:pPr>
              <w:jc w:val="both"/>
              <w:rPr>
                <w:b/>
                <w:bCs/>
              </w:rPr>
            </w:pPr>
          </w:p>
        </w:tc>
        <w:tc>
          <w:tcPr>
            <w:tcW w:w="3275"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contextualSpacing/>
              <w:jc w:val="center"/>
              <w:rPr>
                <w:b/>
                <w:bCs/>
              </w:rPr>
            </w:pPr>
            <w:r w:rsidRPr="004B00CC">
              <w:rPr>
                <w:b/>
                <w:bCs/>
              </w:rPr>
              <w:lastRenderedPageBreak/>
              <w:t>Panākta vienošanās starpinstitūciju sanāksmē</w:t>
            </w:r>
          </w:p>
          <w:p w:rsidR="00EA44B0" w:rsidRPr="004B00CC" w:rsidRDefault="00EA44B0" w:rsidP="00296BDA">
            <w:pPr>
              <w:pStyle w:val="naisc"/>
              <w:spacing w:before="0" w:after="0"/>
              <w:ind w:left="57" w:right="57"/>
              <w:rPr>
                <w:b/>
              </w:rPr>
            </w:pPr>
          </w:p>
        </w:tc>
        <w:tc>
          <w:tcPr>
            <w:tcW w:w="3638" w:type="dxa"/>
            <w:tcBorders>
              <w:top w:val="single" w:sz="4" w:space="0" w:color="auto"/>
              <w:left w:val="single" w:sz="4" w:space="0" w:color="auto"/>
              <w:bottom w:val="single" w:sz="4" w:space="0" w:color="auto"/>
            </w:tcBorders>
          </w:tcPr>
          <w:p w:rsidR="00EA44B0" w:rsidRPr="007B41BE" w:rsidRDefault="00EA44B0" w:rsidP="00296BDA">
            <w:pPr>
              <w:jc w:val="both"/>
            </w:pPr>
            <w:r w:rsidRPr="004B00CC">
              <w:t xml:space="preserve">1.21. izteikt 17. un 18. punktu šādā </w:t>
            </w:r>
            <w:r w:rsidRPr="007B41BE">
              <w:t>redakcijā:</w:t>
            </w:r>
          </w:p>
          <w:p w:rsidR="00EA44B0" w:rsidRPr="004B00CC" w:rsidRDefault="00EA44B0" w:rsidP="00296BDA">
            <w:pPr>
              <w:jc w:val="both"/>
            </w:pPr>
            <w:r w:rsidRPr="007B41BE">
              <w:t>18. </w:t>
            </w:r>
            <w:r w:rsidRPr="007B41BE">
              <w:rPr>
                <w:iCs/>
              </w:rPr>
              <w:t>Šo noteikumu 6.</w:t>
            </w:r>
            <w:r w:rsidRPr="007B41BE">
              <w:rPr>
                <w:iCs/>
                <w:vertAlign w:val="superscript"/>
              </w:rPr>
              <w:t>1</w:t>
            </w:r>
            <w:r w:rsidRPr="007B41BE">
              <w:rPr>
                <w:iCs/>
              </w:rPr>
              <w:t> 3. apakšpunktā minētajā gadījumā, ja inženiertīkla pievada jauna būvniecība, ierīkošanu vai pārbūve plānota būves pieguļošā zemes gabala robežās un līdz būves pieguļošā zemes gabala robežai ir izbūvēts ārējā inženiertīkla atzars, pirms būvdarbu uzsākšanas būvniecības informācijas sistēmā iesniedz paziņojumu par būvniecību, kuram pievieno atbilstoša</w:t>
            </w:r>
            <w:r w:rsidRPr="001C4D89">
              <w:rPr>
                <w:iCs/>
                <w:sz w:val="28"/>
                <w:szCs w:val="28"/>
              </w:rPr>
              <w:t xml:space="preserve"> </w:t>
            </w:r>
            <w:proofErr w:type="spellStart"/>
            <w:r w:rsidRPr="007B41BE">
              <w:rPr>
                <w:iCs/>
              </w:rPr>
              <w:t>būvspeciālista</w:t>
            </w:r>
            <w:proofErr w:type="spellEnd"/>
            <w:r w:rsidRPr="007B41BE">
              <w:rPr>
                <w:iCs/>
              </w:rPr>
              <w:t xml:space="preserve"> apstiprinātu inženiertīkla pievada novietojuma plānu, kurā norādīts inženiertīkla pievada novietojums zemes gabalā un tā ārējie izmēri, vizuāli uztveramā formā (M 1:250; M 1:500; M 1:1000) uz topogrāfiskā plāna vai būvju </w:t>
            </w:r>
            <w:r w:rsidRPr="007B41BE">
              <w:rPr>
                <w:iCs/>
              </w:rPr>
              <w:lastRenderedPageBreak/>
              <w:t xml:space="preserve">situācijas plāna (šo noteikumu 2.2. apakšnodaļā minētajos gadījumos). Novietojuma plāns ir saskaņojams ar zemes gabala īpašnieku vai, ja tāda nav, – ar tiesisko valdītāju, un, pakalpojuma sniedzēju, ja to ir norādījis pakalpojumu sniedzējs, kurš inženiertīklu pievadu izmanto vai izmantos pakalpojuma sniegšanai. Ja pakalpojuma sniedzējs, kurš inženiertīklu pievadu izmanto vai izmantos pakalpojuma sniegšanai, nodarbina atbilstošu </w:t>
            </w:r>
            <w:proofErr w:type="spellStart"/>
            <w:r w:rsidRPr="007B41BE">
              <w:rPr>
                <w:iCs/>
              </w:rPr>
              <w:t>būvspeciālistu</w:t>
            </w:r>
            <w:proofErr w:type="spellEnd"/>
            <w:r w:rsidRPr="007B41BE">
              <w:rPr>
                <w:iCs/>
              </w:rPr>
              <w:t>, tad viņš pats var izstrādāt šajā punktā noteikto inženiertīkla pievada novietojuma plānu. Institūcija, kura pilda būvvaldes funkcijas, ir tiesīga veikt būvdarbu tiesiskuma kontroli.”;</w:t>
            </w:r>
            <w:r w:rsidRPr="004B00CC">
              <w:t xml:space="preserve"> </w:t>
            </w:r>
          </w:p>
        </w:tc>
      </w:tr>
      <w:tr w:rsidR="00EA44B0" w:rsidRPr="004B00CC" w:rsidTr="00296BDA">
        <w:trPr>
          <w:trHeight w:val="318"/>
        </w:trPr>
        <w:tc>
          <w:tcPr>
            <w:tcW w:w="709"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contextualSpacing/>
              <w:jc w:val="both"/>
            </w:pPr>
            <w:r w:rsidRPr="004B00CC">
              <w:lastRenderedPageBreak/>
              <w:t>15.</w:t>
            </w:r>
          </w:p>
        </w:tc>
        <w:tc>
          <w:tcPr>
            <w:tcW w:w="3680" w:type="dxa"/>
            <w:tcBorders>
              <w:top w:val="single" w:sz="6" w:space="0" w:color="000000"/>
              <w:left w:val="single" w:sz="6" w:space="0" w:color="000000"/>
              <w:bottom w:val="single" w:sz="4" w:space="0" w:color="auto"/>
              <w:right w:val="single" w:sz="6" w:space="0" w:color="000000"/>
            </w:tcBorders>
          </w:tcPr>
          <w:p w:rsidR="00EA44B0" w:rsidRPr="004B00CC" w:rsidRDefault="00EA44B0" w:rsidP="00296BDA">
            <w:pPr>
              <w:jc w:val="both"/>
            </w:pPr>
            <w:r w:rsidRPr="004B00CC">
              <w:t>1.20. papildināt noteikumu 2.1. apakšnodaļu ar 18.</w:t>
            </w:r>
            <w:r w:rsidRPr="004B00CC">
              <w:rPr>
                <w:vertAlign w:val="superscript"/>
              </w:rPr>
              <w:t>1</w:t>
            </w:r>
            <w:r w:rsidRPr="004B00CC">
              <w:t xml:space="preserve"> un 18.</w:t>
            </w:r>
            <w:r w:rsidRPr="004B00CC">
              <w:rPr>
                <w:vertAlign w:val="superscript"/>
              </w:rPr>
              <w:t>2</w:t>
            </w:r>
            <w:r w:rsidRPr="004B00CC">
              <w:t> punktu šādā redakcijā:</w:t>
            </w:r>
          </w:p>
          <w:p w:rsidR="00EA44B0" w:rsidRPr="004B00CC" w:rsidRDefault="00EA44B0" w:rsidP="00296BDA">
            <w:pPr>
              <w:jc w:val="both"/>
            </w:pPr>
            <w:r w:rsidRPr="004B00CC">
              <w:t>“18.</w:t>
            </w:r>
            <w:r w:rsidRPr="004B00CC">
              <w:rPr>
                <w:vertAlign w:val="superscript"/>
              </w:rPr>
              <w:t>1</w:t>
            </w:r>
            <w:r w:rsidRPr="004B00CC">
              <w:t> Šo noteikumu 6.</w:t>
            </w:r>
            <w:r w:rsidRPr="004B00CC">
              <w:rPr>
                <w:vertAlign w:val="superscript"/>
              </w:rPr>
              <w:t>1</w:t>
            </w:r>
            <w:r w:rsidRPr="004B00CC">
              <w:t xml:space="preserve"> 2. apakšpunktā minētajā </w:t>
            </w:r>
            <w:r w:rsidRPr="004B00CC">
              <w:lastRenderedPageBreak/>
              <w:t xml:space="preserve">gadījumā pirms būvdarbu uzsākšanas būvniecības informācijas sistēmā iesniedz paziņojumu par būvniecību, kuram pievieno </w:t>
            </w:r>
            <w:proofErr w:type="spellStart"/>
            <w:r w:rsidRPr="004B00CC">
              <w:t>būvspeciālista</w:t>
            </w:r>
            <w:proofErr w:type="spellEnd"/>
            <w:r w:rsidRPr="004B00CC">
              <w:t xml:space="preserve"> apstiprinātu </w:t>
            </w:r>
            <w:proofErr w:type="spellStart"/>
            <w:r w:rsidRPr="004B00CC">
              <w:t>inženiertbūvju</w:t>
            </w:r>
            <w:proofErr w:type="spellEnd"/>
            <w:r w:rsidRPr="004B00CC">
              <w:t xml:space="preserve"> novietojuma plānu zemes gabalā ar tās ārējiem izmēriem vizuāli uztveramā formā (M 1:250; M 1:500; M 1:1000) uz topogrāfiskā plāna vai būvju situācijas plāna, kurā norādīta nojaucamā inženierbūve un skaidrojošo aprakstu par plānotiem darbiem un darbu metodēm.</w:t>
            </w:r>
          </w:p>
          <w:p w:rsidR="00EA44B0" w:rsidRPr="004B00CC" w:rsidRDefault="00EA44B0" w:rsidP="00296BDA">
            <w:pPr>
              <w:pStyle w:val="naisc"/>
              <w:spacing w:before="0" w:after="0"/>
              <w:ind w:left="57" w:right="57"/>
              <w:contextualSpacing/>
              <w:jc w:val="both"/>
            </w:pPr>
          </w:p>
          <w:p w:rsidR="00EA44B0" w:rsidRPr="004B00CC" w:rsidRDefault="00EA44B0" w:rsidP="00296BDA">
            <w:pPr>
              <w:pStyle w:val="naisc"/>
              <w:spacing w:before="0" w:after="0"/>
              <w:ind w:left="57" w:right="57"/>
              <w:contextualSpacing/>
              <w:jc w:val="both"/>
            </w:pPr>
          </w:p>
        </w:tc>
        <w:tc>
          <w:tcPr>
            <w:tcW w:w="4386" w:type="dxa"/>
            <w:tcBorders>
              <w:top w:val="single" w:sz="6" w:space="0" w:color="000000"/>
              <w:left w:val="single" w:sz="6" w:space="0" w:color="000000"/>
              <w:bottom w:val="single" w:sz="4" w:space="0" w:color="auto"/>
              <w:right w:val="single" w:sz="6" w:space="0" w:color="000000"/>
            </w:tcBorders>
          </w:tcPr>
          <w:p w:rsidR="00EA44B0" w:rsidRPr="00E40DC5" w:rsidRDefault="00EA44B0" w:rsidP="00296BDA">
            <w:pPr>
              <w:autoSpaceDE w:val="0"/>
              <w:autoSpaceDN w:val="0"/>
              <w:adjustRightInd w:val="0"/>
              <w:jc w:val="both"/>
              <w:rPr>
                <w:u w:val="single"/>
              </w:rPr>
            </w:pPr>
            <w:r w:rsidRPr="00E40DC5">
              <w:rPr>
                <w:b/>
                <w:bCs/>
                <w:u w:val="single"/>
              </w:rPr>
              <w:lastRenderedPageBreak/>
              <w:t>AS “Sadales tīkls”</w:t>
            </w:r>
            <w:r w:rsidRPr="00E40DC5">
              <w:rPr>
                <w:u w:val="single"/>
              </w:rPr>
              <w:t xml:space="preserve"> </w:t>
            </w:r>
          </w:p>
          <w:p w:rsidR="00EA44B0" w:rsidRPr="004B00CC" w:rsidRDefault="00EA44B0" w:rsidP="00296BDA">
            <w:pPr>
              <w:autoSpaceDE w:val="0"/>
              <w:autoSpaceDN w:val="0"/>
              <w:adjustRightInd w:val="0"/>
              <w:jc w:val="both"/>
            </w:pPr>
            <w:r w:rsidRPr="004B00CC">
              <w:t xml:space="preserve">2.Par elektrolīniju ar spriegumu līdz 20 </w:t>
            </w:r>
            <w:proofErr w:type="spellStart"/>
            <w:r w:rsidRPr="004B00CC">
              <w:t>kV</w:t>
            </w:r>
            <w:proofErr w:type="spellEnd"/>
            <w:r w:rsidRPr="004B00CC">
              <w:t xml:space="preserve"> nojaukšanu. AS "Sadales tīkls" licencē elektroenerģijas sadales pakalpojuma sniegšanai noteikts pienākums nodrošināt </w:t>
            </w:r>
            <w:r w:rsidRPr="004B00CC">
              <w:lastRenderedPageBreak/>
              <w:t>koordinētu un efektīvu energoapgādi un tās attīstību. Lai efektīvi izlietotu operatora līdzekļus, ik gadu tiek demontēts ievērojams apjoms gaisvadu elektrolīniju, kuras vairs netiek izmantotas elektroapgādes nodrošināšanai, jo tām pieslēgtajos objektos ilgstoši nav lietotāju. Kopš 2016.gada vidējais nojaukto (demontēto) elektrolīniju apjoms ir aptuveni 200 km gadā, un to pamatā veic sistēmas operators ar saviem iekšējiem resursiem. Saskaņā ar Noteikumu projekta 1.12. apakšpunktā ietverto 6.</w:t>
            </w:r>
            <w:r w:rsidRPr="004B00CC">
              <w:rPr>
                <w:vertAlign w:val="superscript"/>
              </w:rPr>
              <w:t>1</w:t>
            </w:r>
            <w:r w:rsidRPr="004B00CC">
              <w:t>2. punktu ir paredzēts, ka pirmās grupas inženierbūves nojaukšana veicama paziņošanas kārtībā. Tomēr atbilstoši Noteikumu projekta 1.20. apakšpunktam AIBN tiek papildināti ar 18.</w:t>
            </w:r>
            <w:r w:rsidRPr="004B00CC">
              <w:rPr>
                <w:vertAlign w:val="superscript"/>
              </w:rPr>
              <w:t>1</w:t>
            </w:r>
            <w:r w:rsidRPr="004B00CC">
              <w:t xml:space="preserve"> punktu, kas nosaka prasību paziņojumam par būvniecību pievienot </w:t>
            </w:r>
            <w:proofErr w:type="spellStart"/>
            <w:r w:rsidRPr="004B00CC">
              <w:t>būvspeciālista</w:t>
            </w:r>
            <w:proofErr w:type="spellEnd"/>
            <w:r w:rsidRPr="004B00CC">
              <w:t xml:space="preserve"> apstiprinātu inženierbūvju novietojuma plānu zemes gabalā ar tās ārējiem izmēriem vizuāli uztveramā formā (M 1:250; M 1:500; M 1:1000) uz topogrāfiskā plāna vai būvju situācijas plāna, kurus var sagatavot tikai ģeodēziskajos darbos sertificēta persona. Vēršam uzmanību, ka ar šādu regulējumu būtiski tiktu apgrūtināta Enerģētikas likumā un Elektroenerģijas tirgus likumā elektroenerģijas sistēmas operatoram noteikto funkciju izpilde, jo elektrotīkla nojaukšanas dokumentācijas </w:t>
            </w:r>
            <w:r w:rsidRPr="004B00CC">
              <w:lastRenderedPageBreak/>
              <w:t xml:space="preserve">sagatavošanai būtu jāveic attiecīgo projektēšanas pamatņu sagatavošana, kā arī jāpiesaista </w:t>
            </w:r>
            <w:proofErr w:type="spellStart"/>
            <w:r w:rsidRPr="004B00CC">
              <w:t>būvspeciālists</w:t>
            </w:r>
            <w:proofErr w:type="spellEnd"/>
            <w:r w:rsidRPr="004B00CC">
              <w:t xml:space="preserve">, kas apstiprinātu attiecīgos novietojuma plānus. AS "Sadales tīkls" ieskatā šāds sagatavojamās dokumentācijas apjoms par nojaucamām elektrolīnijām vairāku simtu kilometru garumā, skarot ievērojamu skaitu zemes gabalu, ir nesamērīgs, līdz ar to ir nepieciešams alternatīvs risinājums nojaucamo elektrolīniju attēlošanai. AS "Sadales tīkls" elektrotīkls ir uzmērīts un tā izvietojumu vizuāli uztveramā formā, izmantojot savu elektrotīkla ģeogrāfiskās informācijas sistēmu, AS "Sadales tīkls" var atspoguļot uz dažāda veida kartēm, lai sniegtu būvvaldei pietiekamu vizuālu priekšstatu, par nojaucamā elektrotīkla apjomu, izvietojumu, atrašanās vietu. Gaisvadu elektrolīnijas nojaukšanas procesa izmantošana citu inženierbūvju uzmērīšanai visos demontējamās elektrolīnijas skartajos zemesgabalos ir nepamatota. AS "Sadales tīkls" neiebilst pret demontējamā posma sākuma un beigu punktu uzmērīšanu saskaņā ar AIBN 149.punktu. </w:t>
            </w:r>
          </w:p>
          <w:p w:rsidR="00EA44B0" w:rsidRPr="004B00CC" w:rsidRDefault="00EA44B0" w:rsidP="00296BDA">
            <w:pPr>
              <w:autoSpaceDE w:val="0"/>
              <w:autoSpaceDN w:val="0"/>
              <w:adjustRightInd w:val="0"/>
              <w:jc w:val="both"/>
            </w:pPr>
            <w:r w:rsidRPr="004B00CC">
              <w:t xml:space="preserve">Lai nesamērīgi nesarežģītu gaisvadu elektrolīniju ar spriegumu līdz 20 </w:t>
            </w:r>
            <w:proofErr w:type="spellStart"/>
            <w:r w:rsidRPr="004B00CC">
              <w:t>kV</w:t>
            </w:r>
            <w:proofErr w:type="spellEnd"/>
            <w:r w:rsidRPr="004B00CC">
              <w:t xml:space="preserve"> demontāžu un Enerģētikas likumā un Elektroenerģijas tirgus likumā </w:t>
            </w:r>
            <w:r w:rsidRPr="004B00CC">
              <w:lastRenderedPageBreak/>
              <w:t>elektroenerģijas sadales sistēmas operatoram noteikto funkciju izpildi, lūdzam izteikt Noteikumu projekta 1.20. apakšpunktā ietverto 18.</w:t>
            </w:r>
            <w:r w:rsidRPr="004B00CC">
              <w:rPr>
                <w:vertAlign w:val="superscript"/>
              </w:rPr>
              <w:t>1</w:t>
            </w:r>
            <w:r w:rsidRPr="004B00CC">
              <w:t xml:space="preserve"> punktu šādā redakcijā:</w:t>
            </w:r>
          </w:p>
          <w:p w:rsidR="00EA44B0" w:rsidRPr="004B00CC" w:rsidRDefault="00EA44B0" w:rsidP="00296BDA">
            <w:pPr>
              <w:pStyle w:val="naisc"/>
              <w:spacing w:before="0" w:after="0"/>
              <w:ind w:left="57" w:right="57"/>
              <w:contextualSpacing/>
              <w:jc w:val="both"/>
              <w:rPr>
                <w:i/>
                <w:iCs/>
              </w:rPr>
            </w:pPr>
            <w:r w:rsidRPr="004B00CC">
              <w:rPr>
                <w:i/>
                <w:iCs/>
              </w:rPr>
              <w:t>"18.</w:t>
            </w:r>
            <w:r w:rsidRPr="004B00CC">
              <w:rPr>
                <w:i/>
                <w:iCs/>
                <w:vertAlign w:val="superscript"/>
              </w:rPr>
              <w:t>1</w:t>
            </w:r>
            <w:r w:rsidRPr="004B00CC">
              <w:rPr>
                <w:i/>
                <w:iCs/>
              </w:rPr>
              <w:t xml:space="preserve"> Šo noteikumu 6.</w:t>
            </w:r>
            <w:r w:rsidRPr="004B00CC">
              <w:rPr>
                <w:i/>
                <w:iCs/>
                <w:vertAlign w:val="superscript"/>
              </w:rPr>
              <w:t>1</w:t>
            </w:r>
            <w:r w:rsidRPr="004B00CC">
              <w:rPr>
                <w:i/>
                <w:iCs/>
              </w:rPr>
              <w:t xml:space="preserve"> 2. apakšpunktā minētajā gadījumā pirms būvdarbu uzsākšanas būvniecības informācijas sistēmā iesniedz paziņojumu par būvniecību. Paziņojumam (izņemot gaisvadu elektrolīniju nojaukšanas gadījumā) pievieno </w:t>
            </w:r>
            <w:proofErr w:type="spellStart"/>
            <w:r w:rsidRPr="004B00CC">
              <w:rPr>
                <w:i/>
                <w:iCs/>
              </w:rPr>
              <w:t>būvspeciālista</w:t>
            </w:r>
            <w:proofErr w:type="spellEnd"/>
            <w:r w:rsidRPr="004B00CC">
              <w:rPr>
                <w:i/>
                <w:iCs/>
              </w:rPr>
              <w:t xml:space="preserve"> apstiprinātu inženierbūvju novietojuma plānu zemes gabalā ar tās ārējiem izmēriem vizuāli uztveramā formā (M 1:250; M 1:500; M 1:1000) uz topogrāfiskā plāna vai būvju situācijas plāna, kurā norādīta nojaucamā inženierbūve un skaidrojošo aprakstu par plānotiem darbiem un darbu metodēm. Gaisvadu elektrolīniju nojaukšanas gadījumā paziņojumam pievieno ģeotelpiskā kartē vizuāli uztveramā formā attēlotu informāciju par nojaucamās elektrolīnijas izvietojumu  un šo noteikumu 149.punktā noteikto </w:t>
            </w:r>
            <w:proofErr w:type="spellStart"/>
            <w:r w:rsidRPr="004B00CC">
              <w:rPr>
                <w:i/>
                <w:iCs/>
              </w:rPr>
              <w:t>izpildmērījumu</w:t>
            </w:r>
            <w:proofErr w:type="spellEnd"/>
            <w:r w:rsidRPr="004B00CC">
              <w:rPr>
                <w:i/>
                <w:iCs/>
              </w:rPr>
              <w:t>.".</w:t>
            </w:r>
          </w:p>
          <w:p w:rsidR="00EA44B0" w:rsidRPr="004B00CC" w:rsidRDefault="00EA44B0" w:rsidP="00296BDA">
            <w:pPr>
              <w:pStyle w:val="naisc"/>
              <w:spacing w:before="0" w:after="0"/>
              <w:ind w:left="57" w:right="57"/>
              <w:contextualSpacing/>
              <w:jc w:val="both"/>
              <w:rPr>
                <w:b/>
              </w:rPr>
            </w:pPr>
          </w:p>
        </w:tc>
        <w:tc>
          <w:tcPr>
            <w:tcW w:w="3275" w:type="dxa"/>
            <w:tcBorders>
              <w:top w:val="single" w:sz="6" w:space="0" w:color="000000"/>
              <w:left w:val="single" w:sz="6" w:space="0" w:color="000000"/>
              <w:bottom w:val="single" w:sz="4" w:space="0" w:color="auto"/>
              <w:right w:val="single" w:sz="6" w:space="0" w:color="000000"/>
            </w:tcBorders>
          </w:tcPr>
          <w:p w:rsidR="00EA44B0" w:rsidRPr="004B00CC" w:rsidRDefault="00EA44B0" w:rsidP="00296BDA">
            <w:pPr>
              <w:contextualSpacing/>
              <w:jc w:val="center"/>
              <w:rPr>
                <w:b/>
                <w:bCs/>
              </w:rPr>
            </w:pPr>
            <w:r w:rsidRPr="004B00CC">
              <w:rPr>
                <w:b/>
                <w:bCs/>
              </w:rPr>
              <w:lastRenderedPageBreak/>
              <w:t>Panākta vienošanās starpinstitūciju sanāksmē</w:t>
            </w:r>
          </w:p>
          <w:p w:rsidR="00EA44B0" w:rsidRPr="004B00CC" w:rsidRDefault="00EA44B0" w:rsidP="00296BDA">
            <w:pPr>
              <w:pStyle w:val="naisc"/>
              <w:spacing w:before="0" w:after="0"/>
              <w:ind w:left="57" w:right="57"/>
              <w:jc w:val="both"/>
              <w:rPr>
                <w:b/>
              </w:rPr>
            </w:pPr>
            <w:r w:rsidRPr="004B00CC">
              <w:rPr>
                <w:lang w:eastAsia="en-US"/>
              </w:rPr>
              <w:t xml:space="preserve">2014.gada 30.septembra noteikumu Nr.573 “Elektroenerģijas ražošanas, </w:t>
            </w:r>
            <w:r w:rsidRPr="004B00CC">
              <w:rPr>
                <w:lang w:eastAsia="en-US"/>
              </w:rPr>
              <w:lastRenderedPageBreak/>
              <w:t xml:space="preserve">pārvades un sadales būvju būvnoteikumi” 16.punkts nosaka, ka būvniecības ieceres dokumentāciju izstrādā </w:t>
            </w:r>
            <w:proofErr w:type="spellStart"/>
            <w:r w:rsidRPr="004B00CC">
              <w:rPr>
                <w:lang w:eastAsia="en-US"/>
              </w:rPr>
              <w:t>būvspeciālists</w:t>
            </w:r>
            <w:proofErr w:type="spellEnd"/>
            <w:r w:rsidRPr="004B00CC">
              <w:rPr>
                <w:lang w:eastAsia="en-US"/>
              </w:rPr>
              <w:t xml:space="preserve">. Gadījumi, kad ieceres dokumentus var izstrādāt cita persona ir jāparedz būvnoteikumos. MK noteikumi 573 šādu kārtību neparedz. </w:t>
            </w:r>
          </w:p>
        </w:tc>
        <w:tc>
          <w:tcPr>
            <w:tcW w:w="3638" w:type="dxa"/>
            <w:tcBorders>
              <w:top w:val="single" w:sz="4" w:space="0" w:color="auto"/>
              <w:left w:val="single" w:sz="4" w:space="0" w:color="auto"/>
              <w:bottom w:val="single" w:sz="4" w:space="0" w:color="auto"/>
            </w:tcBorders>
          </w:tcPr>
          <w:p w:rsidR="00EA44B0" w:rsidRPr="004B00CC" w:rsidRDefault="00EA44B0" w:rsidP="00296BDA">
            <w:pPr>
              <w:jc w:val="both"/>
            </w:pPr>
            <w:r w:rsidRPr="004B00CC">
              <w:lastRenderedPageBreak/>
              <w:t>1.21. papildināt noteikumu 2.1. apakšnodaļu ar 18.</w:t>
            </w:r>
            <w:r w:rsidRPr="004B00CC">
              <w:rPr>
                <w:vertAlign w:val="superscript"/>
              </w:rPr>
              <w:t>1</w:t>
            </w:r>
            <w:r w:rsidRPr="004B00CC">
              <w:t xml:space="preserve"> un 18.</w:t>
            </w:r>
            <w:r w:rsidRPr="004B00CC">
              <w:rPr>
                <w:vertAlign w:val="superscript"/>
              </w:rPr>
              <w:t>2</w:t>
            </w:r>
            <w:r w:rsidRPr="004B00CC">
              <w:t> punktu šādā redakcijā:</w:t>
            </w:r>
          </w:p>
          <w:p w:rsidR="00EA44B0" w:rsidRPr="004B00CC" w:rsidRDefault="00EA44B0" w:rsidP="00296BDA">
            <w:pPr>
              <w:jc w:val="both"/>
            </w:pPr>
            <w:r w:rsidRPr="004B00CC">
              <w:t>“18.</w:t>
            </w:r>
            <w:r w:rsidRPr="004B00CC">
              <w:rPr>
                <w:vertAlign w:val="superscript"/>
              </w:rPr>
              <w:t>1</w:t>
            </w:r>
            <w:r w:rsidRPr="004B00CC">
              <w:t> Šo noteikumu 6.</w:t>
            </w:r>
            <w:r w:rsidRPr="004B00CC">
              <w:rPr>
                <w:vertAlign w:val="superscript"/>
              </w:rPr>
              <w:t>1</w:t>
            </w:r>
            <w:r w:rsidRPr="004B00CC">
              <w:t xml:space="preserve"> 2. apakšpunktā minētajā </w:t>
            </w:r>
            <w:r w:rsidRPr="004B00CC">
              <w:lastRenderedPageBreak/>
              <w:t xml:space="preserve">gadījumā pirms būvdarbu uzsākšanas būvniecības informācijas sistēmā iesniedz paziņojumu par būvniecību, kuram pievieno </w:t>
            </w:r>
            <w:proofErr w:type="spellStart"/>
            <w:r w:rsidRPr="004B00CC">
              <w:t>būvspeciālista</w:t>
            </w:r>
            <w:proofErr w:type="spellEnd"/>
            <w:r w:rsidRPr="004B00CC">
              <w:t xml:space="preserve"> apstiprinātu </w:t>
            </w:r>
            <w:proofErr w:type="spellStart"/>
            <w:r w:rsidRPr="004B00CC">
              <w:t>inženiertbūvju</w:t>
            </w:r>
            <w:proofErr w:type="spellEnd"/>
            <w:r w:rsidRPr="004B00CC">
              <w:t xml:space="preserve"> novietojuma plānu zemes gabalā ar tās ārējiem izmēriem vizuāli uztveramā formā (M 1:250; M 1:500; M 1:1000) uz topogrāfiskā plāna, būvju situācijas plāna vai inženiertīklu izvietojuma shēmas,, kurā norādīta nojaucamā inženierbūve un skaidrojošo aprakstu par plānotiem darbiem un darbu metodēm.</w:t>
            </w:r>
          </w:p>
          <w:p w:rsidR="00EA44B0" w:rsidRPr="004B00CC" w:rsidRDefault="00EA44B0" w:rsidP="00296BDA">
            <w:pPr>
              <w:ind w:left="57" w:right="57"/>
              <w:contextualSpacing/>
              <w:jc w:val="both"/>
            </w:pPr>
          </w:p>
        </w:tc>
      </w:tr>
      <w:tr w:rsidR="00EA44B0" w:rsidRPr="004B00CC" w:rsidTr="00296BDA">
        <w:trPr>
          <w:trHeight w:val="318"/>
        </w:trPr>
        <w:tc>
          <w:tcPr>
            <w:tcW w:w="709"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contextualSpacing/>
              <w:jc w:val="both"/>
            </w:pPr>
            <w:r w:rsidRPr="004B00CC">
              <w:lastRenderedPageBreak/>
              <w:t>16.</w:t>
            </w:r>
          </w:p>
        </w:tc>
        <w:tc>
          <w:tcPr>
            <w:tcW w:w="3680"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jc w:val="both"/>
            </w:pPr>
            <w:r w:rsidRPr="004B00CC">
              <w:t>1.36. papildināt noteikumus ar 41.</w:t>
            </w:r>
            <w:r w:rsidRPr="004B00CC">
              <w:rPr>
                <w:vertAlign w:val="superscript"/>
              </w:rPr>
              <w:t>1</w:t>
            </w:r>
            <w:r w:rsidRPr="004B00CC">
              <w:t> punktu šādā redakcijā:</w:t>
            </w:r>
          </w:p>
          <w:p w:rsidR="00EA44B0" w:rsidRPr="004B00CC" w:rsidRDefault="00EA44B0" w:rsidP="00296BDA">
            <w:pPr>
              <w:jc w:val="both"/>
            </w:pPr>
            <w:r w:rsidRPr="004B00CC">
              <w:t>“41.</w:t>
            </w:r>
            <w:r w:rsidRPr="004B00CC">
              <w:rPr>
                <w:vertAlign w:val="superscript"/>
              </w:rPr>
              <w:t>1</w:t>
            </w:r>
            <w:r w:rsidRPr="004B00CC">
              <w:t xml:space="preserve"> Būvniecības ierosinātājs ir tiesīgs uzsākt būvdarbus atbilstoši </w:t>
            </w:r>
            <w:r w:rsidRPr="004B00CC">
              <w:lastRenderedPageBreak/>
              <w:t xml:space="preserve">būvniecības informācijas sistēmā paziņojumam par būvniecību. Paziņojumam pievienoto tehnisko risinājumu </w:t>
            </w:r>
            <w:r w:rsidRPr="004B00CC">
              <w:rPr>
                <w:shd w:val="clear" w:color="auto" w:fill="FFFFFF"/>
              </w:rPr>
              <w:t xml:space="preserve">izstrādā un būvniecības informācijas sistēmā apstiprina </w:t>
            </w:r>
            <w:proofErr w:type="spellStart"/>
            <w:r w:rsidRPr="004B00CC">
              <w:rPr>
                <w:shd w:val="clear" w:color="auto" w:fill="FFFFFF"/>
              </w:rPr>
              <w:t>būvspeciālists</w:t>
            </w:r>
            <w:proofErr w:type="spellEnd"/>
            <w:r w:rsidRPr="004B00CC">
              <w:rPr>
                <w:shd w:val="clear" w:color="auto" w:fill="FFFFFF"/>
              </w:rPr>
              <w:t xml:space="preserve"> attiecīgajā </w:t>
            </w:r>
            <w:proofErr w:type="spellStart"/>
            <w:r w:rsidRPr="004B00CC">
              <w:rPr>
                <w:shd w:val="clear" w:color="auto" w:fill="FFFFFF"/>
              </w:rPr>
              <w:t>būvprojektēšanas</w:t>
            </w:r>
            <w:proofErr w:type="spellEnd"/>
            <w:r w:rsidRPr="004B00CC">
              <w:rPr>
                <w:shd w:val="clear" w:color="auto" w:fill="FFFFFF"/>
              </w:rPr>
              <w:t xml:space="preserve"> jomas darbības sfērā.</w:t>
            </w:r>
            <w:r w:rsidRPr="004B00CC">
              <w:t xml:space="preserve"> Institūcija, kura pilda būvvaldes funkcijas, ir tiesīga veikt būvdarbu tiesiskuma kontroli par būvniecības informācijas sistēmā saņemto paziņojumu par būvniecību.”;</w:t>
            </w:r>
          </w:p>
          <w:p w:rsidR="00EA44B0" w:rsidRPr="004B00CC" w:rsidRDefault="00EA44B0" w:rsidP="00296BDA">
            <w:pPr>
              <w:pStyle w:val="naisc"/>
              <w:spacing w:before="0" w:after="0"/>
              <w:ind w:left="57" w:right="57"/>
              <w:contextualSpacing/>
              <w:jc w:val="both"/>
            </w:pPr>
          </w:p>
        </w:tc>
        <w:tc>
          <w:tcPr>
            <w:tcW w:w="4386" w:type="dxa"/>
            <w:tcBorders>
              <w:top w:val="single" w:sz="6" w:space="0" w:color="000000"/>
              <w:left w:val="single" w:sz="6" w:space="0" w:color="000000"/>
              <w:bottom w:val="single" w:sz="6" w:space="0" w:color="000000"/>
              <w:right w:val="single" w:sz="6" w:space="0" w:color="000000"/>
            </w:tcBorders>
          </w:tcPr>
          <w:p w:rsidR="00EA44B0" w:rsidRPr="00E40DC5" w:rsidRDefault="00EA44B0" w:rsidP="00296BDA">
            <w:pPr>
              <w:pStyle w:val="naisc"/>
              <w:spacing w:before="0" w:after="0"/>
              <w:ind w:left="57" w:right="57"/>
              <w:contextualSpacing/>
              <w:jc w:val="both"/>
              <w:rPr>
                <w:b/>
                <w:bCs/>
                <w:u w:val="single"/>
              </w:rPr>
            </w:pPr>
            <w:r w:rsidRPr="00E40DC5">
              <w:rPr>
                <w:b/>
                <w:bCs/>
                <w:u w:val="single"/>
              </w:rPr>
              <w:lastRenderedPageBreak/>
              <w:t>Latvijas Pašvaldību savienība:</w:t>
            </w:r>
          </w:p>
          <w:p w:rsidR="00EA44B0" w:rsidRPr="004B00CC" w:rsidRDefault="00EA44B0" w:rsidP="00296BDA">
            <w:pPr>
              <w:jc w:val="both"/>
            </w:pPr>
            <w:r w:rsidRPr="004B00CC">
              <w:t xml:space="preserve">3.Būvvaldei būvniecības ieceres gadījumos parasti ir jārisina strīdi arī ar trešajām personām. Noteikumu projektā jānosaka, ka  </w:t>
            </w:r>
            <w:r w:rsidRPr="004B00CC">
              <w:lastRenderedPageBreak/>
              <w:t>Būvvalžu kompetencē neietilpst civiltiesisku strīdu risināšana saistībā ar to, ja paziņojumam par būvniecību nav pievienoti trešo personu saskaņojumi.</w:t>
            </w:r>
          </w:p>
          <w:p w:rsidR="00EA44B0" w:rsidRPr="004B00CC" w:rsidRDefault="00EA44B0" w:rsidP="00296BDA">
            <w:pPr>
              <w:pStyle w:val="naisc"/>
              <w:spacing w:before="0" w:after="0"/>
              <w:ind w:left="57" w:right="57"/>
              <w:contextualSpacing/>
              <w:jc w:val="both"/>
              <w:rPr>
                <w:b/>
              </w:rPr>
            </w:pPr>
          </w:p>
          <w:p w:rsidR="00EA44B0" w:rsidRPr="004B00CC" w:rsidRDefault="00EA44B0" w:rsidP="00296BDA">
            <w:pPr>
              <w:pStyle w:val="naisc"/>
              <w:spacing w:before="0" w:after="0"/>
              <w:ind w:left="57" w:right="57"/>
              <w:contextualSpacing/>
              <w:jc w:val="both"/>
              <w:rPr>
                <w:b/>
              </w:rPr>
            </w:pPr>
          </w:p>
          <w:p w:rsidR="00EA44B0" w:rsidRPr="004B00CC" w:rsidRDefault="00EA44B0" w:rsidP="00296BDA">
            <w:pPr>
              <w:pStyle w:val="naisc"/>
              <w:spacing w:before="0" w:after="0"/>
              <w:ind w:left="57" w:right="57"/>
              <w:contextualSpacing/>
              <w:jc w:val="both"/>
              <w:rPr>
                <w:b/>
              </w:rPr>
            </w:pPr>
          </w:p>
        </w:tc>
        <w:tc>
          <w:tcPr>
            <w:tcW w:w="3275"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contextualSpacing/>
              <w:jc w:val="center"/>
              <w:rPr>
                <w:b/>
                <w:bCs/>
              </w:rPr>
            </w:pPr>
            <w:r w:rsidRPr="004B00CC">
              <w:rPr>
                <w:b/>
                <w:bCs/>
              </w:rPr>
              <w:lastRenderedPageBreak/>
              <w:t>Panākta vienošanās starpinstitūciju sanāksmē</w:t>
            </w:r>
          </w:p>
          <w:p w:rsidR="00EA44B0" w:rsidRPr="004B00CC" w:rsidRDefault="00EA44B0" w:rsidP="00296BDA">
            <w:pPr>
              <w:pStyle w:val="naisc"/>
              <w:spacing w:before="0" w:after="0"/>
              <w:ind w:left="57" w:right="57"/>
              <w:contextualSpacing/>
              <w:jc w:val="both"/>
            </w:pPr>
            <w:r w:rsidRPr="004B00CC">
              <w:t xml:space="preserve">Personām ierosinot būvniecību, tai skaitā ar </w:t>
            </w:r>
            <w:r w:rsidRPr="004B00CC">
              <w:lastRenderedPageBreak/>
              <w:t>paziņošanas procedūru, ir jāievēro trešo personu intereses un, ja nepieciešams, jāsaņem trešo personu saskaņojums. Šāds skaidrojums ir dots anotācijā.</w:t>
            </w:r>
          </w:p>
          <w:p w:rsidR="00EA44B0" w:rsidRPr="004B00CC" w:rsidRDefault="00EA44B0" w:rsidP="00296BDA">
            <w:pPr>
              <w:pStyle w:val="naisc"/>
              <w:spacing w:before="0" w:after="0"/>
              <w:ind w:left="57" w:right="57"/>
              <w:jc w:val="both"/>
              <w:rPr>
                <w:b/>
              </w:rPr>
            </w:pPr>
          </w:p>
        </w:tc>
        <w:tc>
          <w:tcPr>
            <w:tcW w:w="3638" w:type="dxa"/>
            <w:tcBorders>
              <w:top w:val="single" w:sz="4" w:space="0" w:color="auto"/>
              <w:left w:val="single" w:sz="4" w:space="0" w:color="auto"/>
              <w:bottom w:val="single" w:sz="4" w:space="0" w:color="auto"/>
            </w:tcBorders>
          </w:tcPr>
          <w:p w:rsidR="00EA44B0" w:rsidRPr="004B00CC" w:rsidRDefault="00EA44B0" w:rsidP="00296BDA">
            <w:pPr>
              <w:jc w:val="both"/>
            </w:pPr>
            <w:r w:rsidRPr="004B00CC">
              <w:lastRenderedPageBreak/>
              <w:t>1.38. papildināt noteikumus ar 41.</w:t>
            </w:r>
            <w:r w:rsidRPr="004B00CC">
              <w:rPr>
                <w:vertAlign w:val="superscript"/>
              </w:rPr>
              <w:t>1</w:t>
            </w:r>
            <w:r w:rsidRPr="004B00CC">
              <w:t> punktu šādā redakcijā:</w:t>
            </w:r>
          </w:p>
          <w:p w:rsidR="00EA44B0" w:rsidRPr="004B00CC" w:rsidRDefault="00EA44B0" w:rsidP="00296BDA">
            <w:pPr>
              <w:jc w:val="both"/>
            </w:pPr>
            <w:r w:rsidRPr="004B00CC">
              <w:t>“41.</w:t>
            </w:r>
            <w:r w:rsidRPr="004B00CC">
              <w:rPr>
                <w:vertAlign w:val="superscript"/>
              </w:rPr>
              <w:t>1</w:t>
            </w:r>
            <w:r w:rsidRPr="004B00CC">
              <w:t xml:space="preserve"> Būvniecības ierosinātājs ir tiesīgs uzsākt būvdarbus atbilstoši </w:t>
            </w:r>
            <w:r w:rsidRPr="004B00CC">
              <w:lastRenderedPageBreak/>
              <w:t xml:space="preserve">būvniecības informācijas sistēmā iesniegtajam paziņojumam par būvniecību. Paziņojumam pievienoto tehnisko risinājumu </w:t>
            </w:r>
            <w:r w:rsidRPr="004B00CC">
              <w:rPr>
                <w:shd w:val="clear" w:color="auto" w:fill="FFFFFF"/>
              </w:rPr>
              <w:t xml:space="preserve">izstrādā un būvniecības informācijas sistēmā apstiprina </w:t>
            </w:r>
            <w:proofErr w:type="spellStart"/>
            <w:r w:rsidRPr="004B00CC">
              <w:rPr>
                <w:shd w:val="clear" w:color="auto" w:fill="FFFFFF"/>
              </w:rPr>
              <w:t>būvspeciālists</w:t>
            </w:r>
            <w:proofErr w:type="spellEnd"/>
            <w:r w:rsidRPr="004B00CC">
              <w:rPr>
                <w:shd w:val="clear" w:color="auto" w:fill="FFFFFF"/>
              </w:rPr>
              <w:t xml:space="preserve"> attiecīgajā projektēšanas jomas darbības sfērā.</w:t>
            </w:r>
            <w:r w:rsidRPr="004B00CC">
              <w:t xml:space="preserve"> Institūcija, kura pilda būvvaldes funkcijas, ir tiesīga veikt būvdarbu tiesiskuma kontroli par būvniecības informācijas sistēmā saņemto paziņojumu par būvniecību.”;</w:t>
            </w:r>
          </w:p>
          <w:p w:rsidR="00EA44B0" w:rsidRPr="004B00CC" w:rsidRDefault="00EA44B0" w:rsidP="00296BDA">
            <w:pPr>
              <w:ind w:left="57" w:right="57"/>
              <w:contextualSpacing/>
              <w:jc w:val="both"/>
            </w:pPr>
          </w:p>
        </w:tc>
      </w:tr>
      <w:tr w:rsidR="00E6266C" w:rsidRPr="004B00CC" w:rsidTr="00296BDA">
        <w:trPr>
          <w:trHeight w:val="318"/>
        </w:trPr>
        <w:tc>
          <w:tcPr>
            <w:tcW w:w="709" w:type="dxa"/>
            <w:tcBorders>
              <w:top w:val="single" w:sz="6" w:space="0" w:color="000000"/>
              <w:left w:val="single" w:sz="6" w:space="0" w:color="000000"/>
              <w:bottom w:val="single" w:sz="6" w:space="0" w:color="000000"/>
              <w:right w:val="single" w:sz="6" w:space="0" w:color="000000"/>
            </w:tcBorders>
          </w:tcPr>
          <w:p w:rsidR="00E6266C" w:rsidRPr="004B00CC" w:rsidRDefault="002A78E7" w:rsidP="00E6266C">
            <w:pPr>
              <w:pStyle w:val="naisc"/>
              <w:spacing w:before="0" w:after="0"/>
              <w:ind w:left="57" w:right="57"/>
              <w:contextualSpacing/>
              <w:jc w:val="both"/>
            </w:pPr>
            <w:r>
              <w:lastRenderedPageBreak/>
              <w:t>17.</w:t>
            </w:r>
          </w:p>
        </w:tc>
        <w:tc>
          <w:tcPr>
            <w:tcW w:w="3680" w:type="dxa"/>
            <w:tcBorders>
              <w:top w:val="single" w:sz="6" w:space="0" w:color="000000"/>
              <w:left w:val="single" w:sz="6" w:space="0" w:color="000000"/>
              <w:bottom w:val="single" w:sz="6" w:space="0" w:color="000000"/>
              <w:right w:val="single" w:sz="6" w:space="0" w:color="000000"/>
            </w:tcBorders>
          </w:tcPr>
          <w:p w:rsidR="00E6266C" w:rsidRPr="00D67095" w:rsidRDefault="00E6266C" w:rsidP="00E6266C">
            <w:pPr>
              <w:pStyle w:val="naisc"/>
              <w:spacing w:before="0" w:after="0"/>
              <w:ind w:left="57" w:right="57"/>
              <w:contextualSpacing/>
              <w:jc w:val="both"/>
              <w:rPr>
                <w:i/>
                <w:iCs/>
              </w:rPr>
            </w:pPr>
          </w:p>
          <w:p w:rsidR="00E6266C" w:rsidRPr="00D67095" w:rsidRDefault="00E6266C" w:rsidP="00E6266C">
            <w:pPr>
              <w:pStyle w:val="naisc"/>
              <w:spacing w:before="0" w:after="0"/>
              <w:ind w:left="57" w:right="57"/>
              <w:contextualSpacing/>
              <w:jc w:val="both"/>
              <w:rPr>
                <w:i/>
                <w:iCs/>
              </w:rPr>
            </w:pPr>
          </w:p>
          <w:p w:rsidR="00E6266C" w:rsidRPr="00D67095" w:rsidRDefault="00E6266C" w:rsidP="00E6266C">
            <w:pPr>
              <w:pStyle w:val="naisc"/>
              <w:spacing w:before="0" w:after="0"/>
              <w:ind w:left="57" w:right="57"/>
              <w:contextualSpacing/>
              <w:jc w:val="both"/>
              <w:rPr>
                <w:i/>
                <w:iCs/>
              </w:rPr>
            </w:pPr>
          </w:p>
          <w:p w:rsidR="00E6266C" w:rsidRPr="00D67095" w:rsidRDefault="00E6266C" w:rsidP="00E6266C">
            <w:pPr>
              <w:pStyle w:val="naisc"/>
              <w:spacing w:before="0" w:after="0"/>
              <w:ind w:left="57" w:right="57"/>
              <w:contextualSpacing/>
              <w:jc w:val="both"/>
              <w:rPr>
                <w:i/>
                <w:iCs/>
              </w:rPr>
            </w:pPr>
          </w:p>
          <w:p w:rsidR="00E6266C" w:rsidRPr="00D67095" w:rsidRDefault="00E6266C" w:rsidP="00E6266C">
            <w:pPr>
              <w:pStyle w:val="naisc"/>
              <w:spacing w:before="0" w:after="0"/>
              <w:ind w:left="57" w:right="57"/>
              <w:contextualSpacing/>
              <w:jc w:val="both"/>
              <w:rPr>
                <w:i/>
                <w:iCs/>
              </w:rPr>
            </w:pPr>
            <w:r w:rsidRPr="00D67095">
              <w:rPr>
                <w:i/>
                <w:iCs/>
              </w:rPr>
              <w:t>MK noteikumi Nr.253</w:t>
            </w:r>
          </w:p>
          <w:p w:rsidR="00E6266C" w:rsidRPr="00D67095" w:rsidRDefault="00E6266C" w:rsidP="00E6266C">
            <w:pPr>
              <w:jc w:val="both"/>
              <w:rPr>
                <w:i/>
                <w:iCs/>
              </w:rPr>
            </w:pPr>
            <w:r w:rsidRPr="00D67095">
              <w:rPr>
                <w:i/>
                <w:iCs/>
              </w:rPr>
              <w:t xml:space="preserve">74. Ja kādas tehnisko vai īpašo noteikumu prasības nevar izpildīt, būvprojekta tehniskos risinājumus saskaņo ar institūcijām, kuras noteikušas attiecīgās prasības. Atkāpes no tehniskajiem vai īpašajiem noteikumiem saskaņo laikus projektēšanas gaitā. Ja būvprojekts izstrādāts papīra dokumentu formā, atzīmi par saskaņojumu var izdarīt uz būvprojekta ģenerālplāna. Par </w:t>
            </w:r>
            <w:r w:rsidRPr="00D67095">
              <w:rPr>
                <w:i/>
                <w:iCs/>
              </w:rPr>
              <w:lastRenderedPageBreak/>
              <w:t>atkāpju no inženiertīklu pieslēgšanas vai to šķērsošanas tehnisko noteikumu prasībām saskaņošanu attiecīgās institūcijas var prasīt samaksu atbilstoši iestādes apstiprinātam cenrādim.</w:t>
            </w:r>
          </w:p>
          <w:p w:rsidR="00E6266C" w:rsidRPr="00D67095" w:rsidRDefault="00E6266C" w:rsidP="00E6266C">
            <w:pPr>
              <w:pStyle w:val="naisc"/>
              <w:spacing w:before="0" w:after="0"/>
              <w:ind w:left="57" w:right="57"/>
              <w:contextualSpacing/>
              <w:jc w:val="both"/>
              <w:rPr>
                <w:i/>
                <w:iCs/>
              </w:rPr>
            </w:pPr>
          </w:p>
        </w:tc>
        <w:tc>
          <w:tcPr>
            <w:tcW w:w="4386" w:type="dxa"/>
            <w:tcBorders>
              <w:top w:val="single" w:sz="6" w:space="0" w:color="000000"/>
              <w:left w:val="single" w:sz="6" w:space="0" w:color="000000"/>
              <w:bottom w:val="single" w:sz="6" w:space="0" w:color="000000"/>
              <w:right w:val="single" w:sz="6" w:space="0" w:color="000000"/>
            </w:tcBorders>
          </w:tcPr>
          <w:p w:rsidR="00E6266C" w:rsidRPr="00D67095" w:rsidRDefault="00E6266C" w:rsidP="00E6266C">
            <w:pPr>
              <w:pStyle w:val="naisc"/>
              <w:spacing w:before="0" w:after="0"/>
              <w:ind w:left="57" w:right="57"/>
              <w:contextualSpacing/>
              <w:jc w:val="both"/>
              <w:rPr>
                <w:b/>
                <w:bCs/>
                <w:u w:val="single"/>
              </w:rPr>
            </w:pPr>
            <w:r w:rsidRPr="00D67095">
              <w:rPr>
                <w:b/>
                <w:bCs/>
                <w:u w:val="single"/>
              </w:rPr>
              <w:lastRenderedPageBreak/>
              <w:t>Finanšu ministrija</w:t>
            </w:r>
          </w:p>
          <w:p w:rsidR="00E6266C" w:rsidRPr="00D67095" w:rsidRDefault="00E6266C" w:rsidP="00E6266C">
            <w:pPr>
              <w:pStyle w:val="naisc"/>
              <w:spacing w:before="0" w:after="0"/>
              <w:ind w:left="57" w:right="57"/>
              <w:contextualSpacing/>
              <w:jc w:val="both"/>
              <w:rPr>
                <w:b/>
                <w:bCs/>
                <w:u w:val="single"/>
              </w:rPr>
            </w:pPr>
            <w:r w:rsidRPr="00D67095">
              <w:rPr>
                <w:b/>
                <w:bCs/>
                <w:u w:val="single"/>
              </w:rPr>
              <w:t>AS “Augstsprieguma tīkls” (16.02.2021.):</w:t>
            </w:r>
          </w:p>
          <w:p w:rsidR="00E6266C" w:rsidRPr="00D67095" w:rsidRDefault="00E6266C" w:rsidP="00E6266C">
            <w:pPr>
              <w:jc w:val="both"/>
            </w:pPr>
            <w:r w:rsidRPr="00D67095">
              <w:t xml:space="preserve">3.Saskaņā ar MK Noteikumu Nr. 253 74. punktu par atkāpju no inženiertīklu pieslēgšanas vai to šķērsošanas tehnisko noteikumu prasībām saskaņošanu attiecīgās institūcijas var prasīt samaksu atbilstoši iestādes apstiprinātam cenrādim.  Spēkā esošie normatīvie akti nenoteic metodiku, kā tiktu noteikts samaksas apmērs par minēto. Tāpat nav skaidrs, kurā brīdī institūcijai rodas tiesības prasīt samaksu par atkāpēm no konkrēto dokumentu saskaņošanas. Samaksas veikšana arī var pagarināt tehnisko noteikumu saskaņošanu, dodot iespēju infrastruktūras objektu </w:t>
            </w:r>
            <w:r w:rsidRPr="00D67095">
              <w:lastRenderedPageBreak/>
              <w:t>īpašniekiem pieprasīt nesamērīgi augstu maksu par tehnisko noteikumu saskaņošanu. Lai izvērtētu minētā noteikuma attiecināšanu uz energoapgādes komersantu pieprasīto vai izsniegto tehnisko noteikumu prasību saskaņošanu, AST aicina Anotācijā noteikt, pēc kādiem kritērijiem būtu nosakāma maksa par atkāpju no inženiertīklu pieslēgšanas vai to šķērsošanas tehnisko noteikumu prasībām saskaņošanu.</w:t>
            </w:r>
          </w:p>
          <w:p w:rsidR="00E6266C" w:rsidRPr="00D67095" w:rsidRDefault="00E6266C" w:rsidP="00E6266C">
            <w:pPr>
              <w:pStyle w:val="naisc"/>
              <w:spacing w:before="0" w:after="0"/>
              <w:ind w:left="57" w:right="57"/>
              <w:contextualSpacing/>
              <w:jc w:val="both"/>
            </w:pPr>
          </w:p>
        </w:tc>
        <w:tc>
          <w:tcPr>
            <w:tcW w:w="3275" w:type="dxa"/>
            <w:tcBorders>
              <w:top w:val="single" w:sz="6" w:space="0" w:color="000000"/>
              <w:left w:val="single" w:sz="6" w:space="0" w:color="000000"/>
              <w:bottom w:val="single" w:sz="6" w:space="0" w:color="000000"/>
              <w:right w:val="single" w:sz="6" w:space="0" w:color="000000"/>
            </w:tcBorders>
          </w:tcPr>
          <w:p w:rsidR="00E6266C" w:rsidRPr="00D67095" w:rsidRDefault="00E6266C" w:rsidP="00E6266C">
            <w:pPr>
              <w:contextualSpacing/>
              <w:jc w:val="center"/>
              <w:rPr>
                <w:b/>
                <w:bCs/>
              </w:rPr>
            </w:pPr>
            <w:r w:rsidRPr="00D67095">
              <w:rPr>
                <w:b/>
                <w:bCs/>
              </w:rPr>
              <w:lastRenderedPageBreak/>
              <w:t xml:space="preserve">Ņemts vērā </w:t>
            </w:r>
          </w:p>
          <w:p w:rsidR="00E6266C" w:rsidRPr="00D67095" w:rsidRDefault="00E6266C" w:rsidP="00E6266C">
            <w:pPr>
              <w:contextualSpacing/>
              <w:jc w:val="both"/>
            </w:pPr>
          </w:p>
        </w:tc>
        <w:tc>
          <w:tcPr>
            <w:tcW w:w="3638" w:type="dxa"/>
            <w:tcBorders>
              <w:top w:val="single" w:sz="4" w:space="0" w:color="auto"/>
              <w:left w:val="single" w:sz="4" w:space="0" w:color="auto"/>
              <w:bottom w:val="single" w:sz="4" w:space="0" w:color="auto"/>
            </w:tcBorders>
          </w:tcPr>
          <w:p w:rsidR="00E6266C" w:rsidRPr="00D67095" w:rsidRDefault="00E6266C" w:rsidP="00E6266C">
            <w:pPr>
              <w:jc w:val="both"/>
            </w:pPr>
            <w:bookmarkStart w:id="13" w:name="_Hlk64883634"/>
            <w:r w:rsidRPr="00D67095">
              <w:t xml:space="preserve">1.52. svītrot 74.punkta </w:t>
            </w:r>
            <w:r w:rsidR="004A2CB1">
              <w:t>ceturto</w:t>
            </w:r>
            <w:r w:rsidRPr="00D67095">
              <w:t xml:space="preserve"> teikumu.</w:t>
            </w:r>
            <w:bookmarkStart w:id="14" w:name="_GoBack"/>
            <w:bookmarkEnd w:id="13"/>
            <w:bookmarkEnd w:id="14"/>
          </w:p>
        </w:tc>
      </w:tr>
      <w:tr w:rsidR="00EA44B0" w:rsidRPr="004B00CC" w:rsidTr="00296BDA">
        <w:trPr>
          <w:trHeight w:val="318"/>
        </w:trPr>
        <w:tc>
          <w:tcPr>
            <w:tcW w:w="709"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contextualSpacing/>
              <w:jc w:val="both"/>
            </w:pPr>
            <w:r w:rsidRPr="004B00CC">
              <w:t>1</w:t>
            </w:r>
            <w:r w:rsidR="002A78E7">
              <w:t>8</w:t>
            </w:r>
            <w:r w:rsidRPr="004B00CC">
              <w:t>.</w:t>
            </w:r>
          </w:p>
        </w:tc>
        <w:tc>
          <w:tcPr>
            <w:tcW w:w="3680"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paragraph"/>
              <w:spacing w:before="0" w:beforeAutospacing="0" w:after="0" w:afterAutospacing="0"/>
              <w:jc w:val="both"/>
              <w:textAlignment w:val="baseline"/>
              <w:rPr>
                <w:rStyle w:val="normaltextrun"/>
                <w:bCs/>
              </w:rPr>
            </w:pPr>
            <w:r w:rsidRPr="004B00CC">
              <w:rPr>
                <w:rStyle w:val="normaltextrun"/>
                <w:bCs/>
              </w:rPr>
              <w:t>1.58. svītrot 88. un 89. punktu;</w:t>
            </w:r>
          </w:p>
          <w:p w:rsidR="00EA44B0" w:rsidRPr="004B00CC" w:rsidRDefault="00EA44B0" w:rsidP="00296BDA">
            <w:pPr>
              <w:pStyle w:val="naisc"/>
              <w:spacing w:before="0" w:after="0"/>
              <w:ind w:left="57" w:right="57"/>
              <w:contextualSpacing/>
              <w:jc w:val="both"/>
            </w:pPr>
          </w:p>
          <w:p w:rsidR="00EA44B0" w:rsidRPr="004B00CC" w:rsidRDefault="00EA44B0" w:rsidP="00296BDA">
            <w:pPr>
              <w:pStyle w:val="naisc"/>
              <w:spacing w:before="0" w:after="0"/>
              <w:ind w:left="57" w:right="57"/>
              <w:contextualSpacing/>
              <w:jc w:val="both"/>
            </w:pPr>
          </w:p>
          <w:p w:rsidR="00EA44B0" w:rsidRPr="004B00CC" w:rsidRDefault="00EA44B0" w:rsidP="00296BDA">
            <w:pPr>
              <w:jc w:val="both"/>
            </w:pPr>
          </w:p>
        </w:tc>
        <w:tc>
          <w:tcPr>
            <w:tcW w:w="4386" w:type="dxa"/>
            <w:tcBorders>
              <w:top w:val="single" w:sz="6" w:space="0" w:color="000000"/>
              <w:left w:val="single" w:sz="6" w:space="0" w:color="000000"/>
              <w:bottom w:val="single" w:sz="6" w:space="0" w:color="000000"/>
              <w:right w:val="single" w:sz="6" w:space="0" w:color="000000"/>
            </w:tcBorders>
          </w:tcPr>
          <w:p w:rsidR="00EA44B0" w:rsidRPr="00BB5F82" w:rsidRDefault="00EA44B0" w:rsidP="00296BDA">
            <w:pPr>
              <w:pStyle w:val="naisc"/>
              <w:spacing w:before="0" w:after="0"/>
              <w:ind w:left="57" w:right="57"/>
              <w:contextualSpacing/>
              <w:jc w:val="both"/>
              <w:rPr>
                <w:b/>
                <w:u w:val="single"/>
              </w:rPr>
            </w:pPr>
            <w:r w:rsidRPr="00BB5F82">
              <w:rPr>
                <w:b/>
                <w:u w:val="single"/>
              </w:rPr>
              <w:t>Vides aizsardzības un reģionālās attīstības ministrija</w:t>
            </w:r>
          </w:p>
          <w:p w:rsidR="00EA44B0" w:rsidRPr="004B00CC" w:rsidRDefault="00EA44B0" w:rsidP="00296BDA">
            <w:pPr>
              <w:jc w:val="both"/>
            </w:pPr>
            <w:r w:rsidRPr="004B00CC">
              <w:rPr>
                <w:shd w:val="clear" w:color="auto" w:fill="FFFFFF"/>
              </w:rPr>
              <w:t>2. Nepiekrītam, ka ar noteikumu projekta 1.58 apakšpunktu tiek svītrots 88.punkts. Vienlaikus lūdzam svītrot noteikumu projekta anotācijā I sadaļas 2.punkta (7) sadaļā norādīto: “</w:t>
            </w:r>
            <w:r w:rsidRPr="004B00CC">
              <w:rPr>
                <w:i/>
                <w:iCs/>
              </w:rPr>
              <w:t xml:space="preserve">Šobrīd AIBN 88. un 89.punktā ietvertais spēkā esošais regulējums attiecībā uz noteiktu objektu būvatļaujas pagarināšanas iespējamību pēc savas būtības nesasniedz iecerēto vides aizsardzības mērķi, bet ir uzskatāms par nepamatotu šķērsli. Piemēram, ja ieplānotā būve ir uzbūvēta, bet nav paspēts to nodot ekspluatācijā, var rasties situācija, ka tā būtu jānojauc. Būves nojaukšana nevar atjaunot apkārtējo vidi tādā stāvoklī, kāda tā bija faktiski līdz būvdarbu uzsākšanai. </w:t>
            </w:r>
            <w:r w:rsidRPr="004B00CC">
              <w:rPr>
                <w:i/>
                <w:iCs/>
              </w:rPr>
              <w:lastRenderedPageBreak/>
              <w:t>Pie tam, tas būtu arī papildus atkritumu apjoms</w:t>
            </w:r>
            <w:r w:rsidRPr="004B00CC">
              <w:t>.”</w:t>
            </w:r>
          </w:p>
          <w:p w:rsidR="00EA44B0" w:rsidRPr="004B00CC" w:rsidRDefault="00EA44B0" w:rsidP="00296BDA">
            <w:pPr>
              <w:jc w:val="both"/>
            </w:pPr>
            <w:r w:rsidRPr="004B00CC">
              <w:t xml:space="preserve">    Ministrija vērš uzmanību, ka noteikumu 88.punktā ietvertais regulējums tika noteikts ar mērķi, lai izvērtētu esošo vides stāvokli, kā tas mainījies pēc ietekmes uz vidi novērtējuma veikšanas. Ietekmes uz vidi novērtējuma procedūra iekļauj sabiedrības informēšanu, un tas nodrošina sabiedrības tiesības būt informētai par apkārtējās vides stāvokli. Noteikumu 88.punktā konkrēti tiek pateikts, ka tajos gadījumos, kad inženierbūve, kurai veikts ietekmes uz vidi novērtējums, nav laikā nodota ekspluatācijā un ir mainījušies tiesiskie apstākļi, ir jāveic sākotnējais ietekmes uz vidi </w:t>
            </w:r>
            <w:proofErr w:type="spellStart"/>
            <w:r w:rsidRPr="004B00CC">
              <w:t>izvērtējums</w:t>
            </w:r>
            <w:proofErr w:type="spellEnd"/>
            <w:r w:rsidRPr="004B00CC">
              <w:t>. Anotācijā tiek minēts, ka grozījumu mērķis ir vienkāršot inženierbūvju atjaunošanas un pārbūvju saskaņošanu, veicinot ātrāku un efektīvāku būvniecības procesu, mazinot administratīvo slogu un izmaksas. Aicinām anotācijā pamatot nepieciešamību 88.punkta svītrošanai, norādot konkrēti, cik reizes šajā punktā norādītais apstāklis būvniecības jomā ir izmantots, kā arī cik reizes būvvaldes ir pieņēmušas lēmumu par būvju nojaukšanu saistībā ar neatbilstību teritorijas plānojumam.</w:t>
            </w:r>
          </w:p>
          <w:p w:rsidR="00EA44B0" w:rsidRPr="004B00CC" w:rsidRDefault="00EA44B0" w:rsidP="00296BDA">
            <w:pPr>
              <w:jc w:val="both"/>
            </w:pPr>
          </w:p>
          <w:p w:rsidR="00EA44B0" w:rsidRPr="00BB5F82" w:rsidRDefault="00EA44B0" w:rsidP="00296BDA">
            <w:pPr>
              <w:pStyle w:val="naisc"/>
              <w:spacing w:before="0" w:after="0"/>
              <w:ind w:left="57" w:right="57"/>
              <w:contextualSpacing/>
              <w:jc w:val="both"/>
              <w:rPr>
                <w:b/>
                <w:u w:val="single"/>
              </w:rPr>
            </w:pPr>
            <w:r w:rsidRPr="00BB5F82">
              <w:rPr>
                <w:b/>
                <w:u w:val="single"/>
              </w:rPr>
              <w:lastRenderedPageBreak/>
              <w:t>Vides aizsardzības un reģionālās attīstības ministrija (11.02.2021.):</w:t>
            </w:r>
          </w:p>
          <w:p w:rsidR="00EA44B0" w:rsidRPr="004B00CC" w:rsidRDefault="00EA44B0" w:rsidP="00296BDA">
            <w:pPr>
              <w:jc w:val="both"/>
              <w:rPr>
                <w:b/>
              </w:rPr>
            </w:pPr>
            <w:r w:rsidRPr="004B00CC">
              <w:rPr>
                <w:shd w:val="clear" w:color="auto" w:fill="FFFFFF"/>
              </w:rPr>
              <w:t>Attiecībā uz Ministru kabineta noteikumu projektu “Grozījumi Ministru kabineta 2017. gada 9. maija noteikumos Nr. 253 “Atsevišķu inženierbūvju būvnoteikumi””  (VSS-969) anotāciju un izziņu ministrijas norāda, ka saskaņo noteikumu projektu, ja tiek ņemts vērā precizējums anotācijā. Ministrijas norāda, ka jau 2021.gada 26.janvāra starpinstitūciju sanāksmes laikā minēja, ka saskaņo noteikumu projektu, ja tiek korekti aizpildīta Anotācijas 1.sadaļas 2.punktā izteiktais 8.punkts. Lūdzam atkārtoti precizēt anotāciju, izsakot to sekojošā redakcijā:</w:t>
            </w:r>
            <w:r w:rsidRPr="004B00CC">
              <w:t xml:space="preserve"> "[8] Noteikumu projektā tiek precizēti punkti, kā tiek pagarināta būvatļauja, ja tiek pārsniegts būvatļaujā norādītais maksimālais būvdarbu veikšanas ilgums, kas atbilstoši Vispārīgiem būvnoteikumiem ir 5 vai 8 gadi. Spēkā esošais regulējums paredzēja, ja inženierbūve, kurai veikts ietekmes uz vidi novērtējums atbilstoši likumam "Par ietekmes uz vidi novērtējumu", nav nodota ekspluatācijā noteiktajā termiņā, būvniecības ierosinātājam likumā "Par ietekmes uz vidi novērtējumu" noteiktajā kārtībā jāveic sākotnējais ietekmes uz vidi </w:t>
            </w:r>
            <w:proofErr w:type="spellStart"/>
            <w:r w:rsidRPr="004B00CC">
              <w:t>izvērtējums</w:t>
            </w:r>
            <w:proofErr w:type="spellEnd"/>
            <w:r w:rsidRPr="004B00CC">
              <w:t xml:space="preserve">, ja ir mainījušies faktiskie un </w:t>
            </w:r>
            <w:r w:rsidRPr="004B00CC">
              <w:lastRenderedPageBreak/>
              <w:t xml:space="preserve">tiesiskie apstākļi, uz kuru pamata tika sākta būvniecība. Kā arī noteica, ja ir mainījušies faktiskie vai tiesiskie apstākļi, institūcija, kura pilda būvvaldes funkcijas, var pieņemt lēmumu par pašvaldības teritorijas plānojumam neatbilstošas inženierbūves nojaukšanu. Turpmāk būvniecības jomā tiks piemērota vienota būvatļaujas pagarināšanas kārtība, līdz ar to, tiek paredzēts AIBN 88. un 89. punktu svītrot, bet 87. punktu atbilstoši precizēt. Būvatļaujas pagarināšanas kārtība paredzēs….” </w:t>
            </w:r>
            <w:r w:rsidRPr="004B00CC">
              <w:rPr>
                <w:shd w:val="clear" w:color="auto" w:fill="FFFFFF"/>
              </w:rPr>
              <w:t>Ekonomikas ministrijai lūdzam papildināt pēdējo teikumu, kā notiksies būvatļaujas pagarināšana, ka to pagarinās būvvalde pēc iesnieguma saņemšanas utt., un kā tiks risināts svītrotais teikums no spēkā esošā regulējuma par inženierbūves nojaukšanu. Lūdzam iekļaut šo skaidrojumu, lai Anotācijas lasītājam ir pilnvērtīga informācija par to, kā turpmāk tiks pagarināta būvatļauja.</w:t>
            </w:r>
          </w:p>
          <w:p w:rsidR="00EA44B0" w:rsidRPr="004B00CC" w:rsidRDefault="00EA44B0" w:rsidP="00296BDA">
            <w:pPr>
              <w:jc w:val="both"/>
              <w:rPr>
                <w:b/>
                <w:bCs/>
              </w:rPr>
            </w:pPr>
          </w:p>
        </w:tc>
        <w:tc>
          <w:tcPr>
            <w:tcW w:w="3275"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contextualSpacing/>
              <w:jc w:val="center"/>
              <w:rPr>
                <w:b/>
                <w:bCs/>
              </w:rPr>
            </w:pPr>
            <w:r w:rsidRPr="004B00CC">
              <w:rPr>
                <w:b/>
                <w:bCs/>
              </w:rPr>
              <w:lastRenderedPageBreak/>
              <w:t>Panākta vienošanās starpinstitūciju sanāksmē</w:t>
            </w:r>
          </w:p>
          <w:p w:rsidR="00EA44B0" w:rsidRPr="004B00CC" w:rsidRDefault="00EA44B0" w:rsidP="00296BDA">
            <w:pPr>
              <w:contextualSpacing/>
              <w:jc w:val="both"/>
            </w:pPr>
            <w:r w:rsidRPr="004B00CC">
              <w:t xml:space="preserve">Noteikumu projektā tiek precizēti punkti, kā tiek pagarināta būvatļauja, ja tiek pārsniegts būvatļaujā norādītais maksimālais būvdarbu veikšanas ilgums, kas atbilstoši Ministru kabineta 2014.gada 19.augusta noteikumiem Nr.500 “Vispārīgie būvnoteikumi” ir 5 vai 8 gadi. Šobrīd AIBN 88. un 89.punktā ietvertais spēkā esošais regulējums attiecībā uz noteiktu objektu būvatļaujas pagarināšanas iespējamību pēc Vides aizsardzības un reģionālās attīstības ministrijas </w:t>
            </w:r>
            <w:r w:rsidRPr="004B00CC">
              <w:lastRenderedPageBreak/>
              <w:t>sniegtās informācijas nav līdz šim piemērota. Līdz ar to, tiek paredzēts AIBN 88. un 89. punktu svītrot, bet 87. punktu atbilstoši precizēt. Turpmāk visos gadījumos tiks piemērota vienota būvatļaujas pagarināšanas kārtība.</w:t>
            </w:r>
          </w:p>
          <w:p w:rsidR="00EA44B0" w:rsidRPr="004B00CC" w:rsidRDefault="00EA44B0" w:rsidP="00296BDA">
            <w:pPr>
              <w:contextualSpacing/>
              <w:jc w:val="center"/>
              <w:rPr>
                <w:b/>
                <w:bCs/>
              </w:rPr>
            </w:pPr>
          </w:p>
          <w:p w:rsidR="00EA44B0" w:rsidRPr="004B00CC" w:rsidRDefault="00EA44B0" w:rsidP="00296BDA">
            <w:pPr>
              <w:contextualSpacing/>
              <w:jc w:val="center"/>
              <w:rPr>
                <w:b/>
                <w:bCs/>
              </w:rPr>
            </w:pPr>
          </w:p>
          <w:p w:rsidR="00EA44B0" w:rsidRPr="004B00CC" w:rsidRDefault="00EA44B0" w:rsidP="00296BDA">
            <w:pPr>
              <w:contextualSpacing/>
              <w:jc w:val="center"/>
              <w:rPr>
                <w:b/>
                <w:bCs/>
              </w:rPr>
            </w:pPr>
          </w:p>
          <w:p w:rsidR="00EA44B0" w:rsidRPr="004B00CC" w:rsidRDefault="00EA44B0" w:rsidP="00296BDA">
            <w:pPr>
              <w:contextualSpacing/>
              <w:jc w:val="center"/>
              <w:rPr>
                <w:b/>
                <w:bCs/>
              </w:rPr>
            </w:pPr>
          </w:p>
          <w:p w:rsidR="00EA44B0" w:rsidRPr="004B00CC" w:rsidRDefault="00EA44B0" w:rsidP="00296BDA">
            <w:pPr>
              <w:contextualSpacing/>
              <w:jc w:val="center"/>
              <w:rPr>
                <w:b/>
                <w:bCs/>
              </w:rPr>
            </w:pPr>
          </w:p>
          <w:p w:rsidR="00EA44B0" w:rsidRPr="004B00CC" w:rsidRDefault="00EA44B0" w:rsidP="00296BDA">
            <w:pPr>
              <w:contextualSpacing/>
              <w:jc w:val="center"/>
              <w:rPr>
                <w:b/>
                <w:bCs/>
              </w:rPr>
            </w:pPr>
          </w:p>
          <w:p w:rsidR="00EA44B0" w:rsidRPr="004B00CC" w:rsidRDefault="00EA44B0" w:rsidP="00296BDA">
            <w:pPr>
              <w:contextualSpacing/>
              <w:jc w:val="center"/>
              <w:rPr>
                <w:b/>
                <w:bCs/>
              </w:rPr>
            </w:pPr>
          </w:p>
          <w:p w:rsidR="00EA44B0" w:rsidRPr="004B00CC" w:rsidRDefault="00EA44B0" w:rsidP="00296BDA">
            <w:pPr>
              <w:contextualSpacing/>
              <w:jc w:val="center"/>
              <w:rPr>
                <w:b/>
                <w:bCs/>
              </w:rPr>
            </w:pPr>
          </w:p>
          <w:p w:rsidR="00EA44B0" w:rsidRPr="004B00CC" w:rsidRDefault="00EA44B0" w:rsidP="00296BDA">
            <w:pPr>
              <w:contextualSpacing/>
              <w:jc w:val="center"/>
              <w:rPr>
                <w:b/>
                <w:bCs/>
              </w:rPr>
            </w:pPr>
          </w:p>
          <w:p w:rsidR="00EA44B0" w:rsidRPr="004B00CC" w:rsidRDefault="00EA44B0" w:rsidP="00296BDA">
            <w:pPr>
              <w:contextualSpacing/>
              <w:jc w:val="center"/>
              <w:rPr>
                <w:b/>
                <w:bCs/>
              </w:rPr>
            </w:pPr>
          </w:p>
          <w:p w:rsidR="00EA44B0" w:rsidRPr="004B00CC" w:rsidRDefault="00EA44B0" w:rsidP="00296BDA">
            <w:pPr>
              <w:contextualSpacing/>
              <w:jc w:val="center"/>
              <w:rPr>
                <w:b/>
                <w:bCs/>
              </w:rPr>
            </w:pPr>
          </w:p>
          <w:p w:rsidR="00EA44B0" w:rsidRPr="004B00CC" w:rsidRDefault="00EA44B0" w:rsidP="00296BDA">
            <w:pPr>
              <w:contextualSpacing/>
              <w:jc w:val="center"/>
              <w:rPr>
                <w:b/>
                <w:bCs/>
              </w:rPr>
            </w:pPr>
          </w:p>
          <w:p w:rsidR="00EA44B0" w:rsidRPr="004B00CC" w:rsidRDefault="00EA44B0" w:rsidP="00296BDA">
            <w:pPr>
              <w:contextualSpacing/>
              <w:jc w:val="center"/>
              <w:rPr>
                <w:b/>
                <w:bCs/>
              </w:rPr>
            </w:pPr>
          </w:p>
          <w:p w:rsidR="00EA44B0" w:rsidRPr="004B00CC" w:rsidRDefault="00EA44B0" w:rsidP="00296BDA">
            <w:pPr>
              <w:contextualSpacing/>
              <w:jc w:val="center"/>
              <w:rPr>
                <w:b/>
                <w:bCs/>
              </w:rPr>
            </w:pPr>
          </w:p>
          <w:p w:rsidR="00EA44B0" w:rsidRPr="004B00CC" w:rsidRDefault="00EA44B0" w:rsidP="00296BDA">
            <w:pPr>
              <w:contextualSpacing/>
              <w:jc w:val="center"/>
              <w:rPr>
                <w:b/>
                <w:bCs/>
              </w:rPr>
            </w:pPr>
          </w:p>
          <w:p w:rsidR="00EA44B0" w:rsidRPr="004B00CC" w:rsidRDefault="00EA44B0" w:rsidP="00296BDA">
            <w:pPr>
              <w:contextualSpacing/>
              <w:jc w:val="center"/>
              <w:rPr>
                <w:b/>
                <w:bCs/>
              </w:rPr>
            </w:pPr>
          </w:p>
          <w:p w:rsidR="00EA44B0" w:rsidRPr="004B00CC" w:rsidRDefault="00EA44B0" w:rsidP="00296BDA">
            <w:pPr>
              <w:contextualSpacing/>
              <w:jc w:val="center"/>
              <w:rPr>
                <w:b/>
                <w:bCs/>
              </w:rPr>
            </w:pPr>
          </w:p>
          <w:p w:rsidR="00EA44B0" w:rsidRPr="004B00CC" w:rsidRDefault="00EA44B0" w:rsidP="00296BDA">
            <w:pPr>
              <w:contextualSpacing/>
              <w:jc w:val="center"/>
              <w:rPr>
                <w:b/>
                <w:bCs/>
              </w:rPr>
            </w:pPr>
          </w:p>
          <w:p w:rsidR="00EA44B0" w:rsidRPr="004B00CC" w:rsidRDefault="00EA44B0" w:rsidP="00296BDA">
            <w:pPr>
              <w:contextualSpacing/>
              <w:jc w:val="center"/>
              <w:rPr>
                <w:b/>
                <w:bCs/>
              </w:rPr>
            </w:pPr>
          </w:p>
          <w:p w:rsidR="00EA44B0" w:rsidRDefault="00EA44B0" w:rsidP="00296BDA">
            <w:pPr>
              <w:contextualSpacing/>
              <w:jc w:val="center"/>
              <w:rPr>
                <w:b/>
                <w:bCs/>
              </w:rPr>
            </w:pPr>
          </w:p>
          <w:p w:rsidR="002A78E7" w:rsidRDefault="002A78E7" w:rsidP="00296BDA">
            <w:pPr>
              <w:contextualSpacing/>
              <w:jc w:val="center"/>
              <w:rPr>
                <w:b/>
                <w:bCs/>
              </w:rPr>
            </w:pPr>
          </w:p>
          <w:p w:rsidR="002A78E7" w:rsidRPr="004B00CC" w:rsidRDefault="002A78E7" w:rsidP="00296BDA">
            <w:pPr>
              <w:contextualSpacing/>
              <w:jc w:val="center"/>
              <w:rPr>
                <w:b/>
                <w:bCs/>
              </w:rPr>
            </w:pPr>
          </w:p>
          <w:p w:rsidR="00EA44B0" w:rsidRPr="004B00CC" w:rsidRDefault="00EA44B0" w:rsidP="00296BDA">
            <w:pPr>
              <w:contextualSpacing/>
              <w:jc w:val="center"/>
              <w:rPr>
                <w:b/>
                <w:bCs/>
              </w:rPr>
            </w:pPr>
          </w:p>
          <w:p w:rsidR="00EA44B0" w:rsidRPr="004B00CC" w:rsidRDefault="00EA44B0" w:rsidP="00296BDA">
            <w:pPr>
              <w:contextualSpacing/>
              <w:jc w:val="center"/>
              <w:rPr>
                <w:b/>
                <w:bCs/>
              </w:rPr>
            </w:pPr>
            <w:r w:rsidRPr="004B00CC">
              <w:rPr>
                <w:b/>
                <w:bCs/>
              </w:rPr>
              <w:lastRenderedPageBreak/>
              <w:t>Ņemts vērā</w:t>
            </w:r>
          </w:p>
          <w:p w:rsidR="00EA44B0" w:rsidRPr="004B00CC" w:rsidRDefault="00EA44B0" w:rsidP="00296BDA">
            <w:pPr>
              <w:contextualSpacing/>
              <w:jc w:val="center"/>
            </w:pPr>
            <w:r w:rsidRPr="004B00CC">
              <w:t>Precizēta anotācija</w:t>
            </w:r>
          </w:p>
          <w:p w:rsidR="00EA44B0" w:rsidRPr="004B00CC" w:rsidRDefault="00EA44B0" w:rsidP="00296BDA">
            <w:pPr>
              <w:contextualSpacing/>
              <w:jc w:val="center"/>
              <w:rPr>
                <w:b/>
                <w:bCs/>
              </w:rPr>
            </w:pPr>
          </w:p>
        </w:tc>
        <w:tc>
          <w:tcPr>
            <w:tcW w:w="3638" w:type="dxa"/>
            <w:tcBorders>
              <w:top w:val="single" w:sz="4" w:space="0" w:color="auto"/>
              <w:left w:val="single" w:sz="4" w:space="0" w:color="auto"/>
              <w:bottom w:val="single" w:sz="4" w:space="0" w:color="auto"/>
            </w:tcBorders>
          </w:tcPr>
          <w:p w:rsidR="00EA44B0" w:rsidRPr="004B00CC" w:rsidRDefault="00EA44B0" w:rsidP="00296BDA">
            <w:pPr>
              <w:pStyle w:val="paragraph"/>
              <w:spacing w:before="0" w:beforeAutospacing="0" w:after="0" w:afterAutospacing="0"/>
              <w:jc w:val="both"/>
              <w:textAlignment w:val="baseline"/>
              <w:rPr>
                <w:rStyle w:val="normaltextrun"/>
                <w:bCs/>
              </w:rPr>
            </w:pPr>
            <w:r w:rsidRPr="004B00CC">
              <w:rPr>
                <w:rStyle w:val="normaltextrun"/>
                <w:bCs/>
              </w:rPr>
              <w:lastRenderedPageBreak/>
              <w:t>1.6</w:t>
            </w:r>
            <w:r w:rsidR="002A78E7">
              <w:rPr>
                <w:rStyle w:val="normaltextrun"/>
                <w:bCs/>
              </w:rPr>
              <w:t>1</w:t>
            </w:r>
            <w:r w:rsidRPr="004B00CC">
              <w:rPr>
                <w:rStyle w:val="normaltextrun"/>
                <w:bCs/>
              </w:rPr>
              <w:t>. svītrot 88. un 89. punktu;</w:t>
            </w:r>
          </w:p>
          <w:p w:rsidR="00EA44B0" w:rsidRPr="004B00CC" w:rsidRDefault="00EA44B0" w:rsidP="00296BDA">
            <w:pPr>
              <w:jc w:val="both"/>
            </w:pPr>
          </w:p>
        </w:tc>
      </w:tr>
      <w:tr w:rsidR="00EA44B0" w:rsidRPr="004B00CC" w:rsidTr="00296BDA">
        <w:trPr>
          <w:trHeight w:val="318"/>
        </w:trPr>
        <w:tc>
          <w:tcPr>
            <w:tcW w:w="709"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contextualSpacing/>
              <w:jc w:val="both"/>
            </w:pPr>
            <w:r w:rsidRPr="004B00CC">
              <w:lastRenderedPageBreak/>
              <w:t>1</w:t>
            </w:r>
            <w:r w:rsidR="002A78E7">
              <w:t>9</w:t>
            </w:r>
            <w:r w:rsidRPr="004B00CC">
              <w:t>.</w:t>
            </w:r>
          </w:p>
        </w:tc>
        <w:tc>
          <w:tcPr>
            <w:tcW w:w="3680"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jc w:val="both"/>
            </w:pPr>
            <w:r w:rsidRPr="004B00CC">
              <w:t>1.62. izteikt 94. punktu šādā redakcijā:</w:t>
            </w:r>
          </w:p>
          <w:p w:rsidR="00EA44B0" w:rsidRPr="004B00CC" w:rsidRDefault="00EA44B0" w:rsidP="00296BDA">
            <w:pPr>
              <w:jc w:val="both"/>
            </w:pPr>
            <w:r w:rsidRPr="004B00CC">
              <w:t>“94. Būvētājs bez patstāvīgas prakses tiesībām arhitektūras vai būvniecības jomā, uzņemoties būvdarbu veicēja un atbildīgā būvdarbu vadītāja pienākumus, var veikt:</w:t>
            </w:r>
          </w:p>
          <w:p w:rsidR="00EA44B0" w:rsidRPr="004B00CC" w:rsidRDefault="00EA44B0" w:rsidP="00296BDA">
            <w:pPr>
              <w:jc w:val="both"/>
            </w:pPr>
            <w:r w:rsidRPr="004B00CC">
              <w:lastRenderedPageBreak/>
              <w:t xml:space="preserve">94.1. pirmās grupas inženierbūvju (izņemot karogu mastu ar augstumu virs 12 m un elektrotīkla ar nominālo spriegumu līdz 20 </w:t>
            </w:r>
            <w:proofErr w:type="spellStart"/>
            <w:r w:rsidRPr="004B00CC">
              <w:t>kV</w:t>
            </w:r>
            <w:proofErr w:type="spellEnd"/>
            <w:r w:rsidRPr="004B00CC">
              <w:t xml:space="preserve">, tai skaitā elektroapgādes </w:t>
            </w:r>
            <w:proofErr w:type="spellStart"/>
            <w:r w:rsidRPr="004B00CC">
              <w:t>sadalnes</w:t>
            </w:r>
            <w:proofErr w:type="spellEnd"/>
            <w:r w:rsidRPr="004B00CC">
              <w:t>, komutācijas un aizsardzības iekārtas) būvdarbus;</w:t>
            </w:r>
          </w:p>
          <w:p w:rsidR="00EA44B0" w:rsidRPr="004B00CC" w:rsidRDefault="00EA44B0" w:rsidP="00296BDA">
            <w:pPr>
              <w:jc w:val="both"/>
            </w:pPr>
            <w:r w:rsidRPr="004B00CC">
              <w:t>94.2. mazās notekūdeņu attīrīšanas inženierbūves (jauda līdz 5 m</w:t>
            </w:r>
            <w:r w:rsidRPr="004B00CC">
              <w:rPr>
                <w:vertAlign w:val="superscript"/>
              </w:rPr>
              <w:t>3</w:t>
            </w:r>
            <w:r w:rsidRPr="004B00CC">
              <w:t xml:space="preserve">/d), sausās tualetes vai izvedamu notekūdeņu </w:t>
            </w:r>
            <w:proofErr w:type="spellStart"/>
            <w:r w:rsidRPr="004B00CC">
              <w:t>krājtvertnes</w:t>
            </w:r>
            <w:proofErr w:type="spellEnd"/>
            <w:r w:rsidRPr="004B00CC">
              <w:t xml:space="preserve"> būvdarbus;</w:t>
            </w:r>
          </w:p>
          <w:p w:rsidR="00EA44B0" w:rsidRPr="004B00CC" w:rsidRDefault="00EA44B0" w:rsidP="00296BDA">
            <w:pPr>
              <w:jc w:val="both"/>
            </w:pPr>
            <w:r w:rsidRPr="004B00CC">
              <w:t>94.3. iekšējo inženiertīklu, kas atrodas viņa valdījumā, būvdarbus;</w:t>
            </w:r>
          </w:p>
          <w:p w:rsidR="00EA44B0" w:rsidRPr="004B00CC" w:rsidRDefault="00EA44B0" w:rsidP="00296BDA">
            <w:pPr>
              <w:jc w:val="both"/>
            </w:pPr>
            <w:r w:rsidRPr="004B00CC">
              <w:t>94.4. šo noteikumu 6.3.3., 6.3.4., 6.3.4.</w:t>
            </w:r>
            <w:r w:rsidRPr="004B00CC">
              <w:rPr>
                <w:vertAlign w:val="superscript"/>
              </w:rPr>
              <w:t>1</w:t>
            </w:r>
            <w:r w:rsidRPr="004B00CC">
              <w:t xml:space="preserve"> , 6.3.4.</w:t>
            </w:r>
            <w:r w:rsidRPr="004B00CC">
              <w:rPr>
                <w:vertAlign w:val="superscript"/>
              </w:rPr>
              <w:t>2</w:t>
            </w:r>
            <w:r w:rsidRPr="004B00CC">
              <w:t>, 6.3.5. un 6.3.6.  apakšpunktā noteiktos būvdarbus;</w:t>
            </w:r>
          </w:p>
          <w:p w:rsidR="00EA44B0" w:rsidRPr="004B00CC" w:rsidRDefault="00EA44B0" w:rsidP="00296BDA">
            <w:pPr>
              <w:jc w:val="both"/>
            </w:pPr>
            <w:r w:rsidRPr="004B00CC">
              <w:t>94.5. šo noteikumu 6.3.7. apakšpunktā noteiktos pirmās grupas inženierbūves būvdarbus;</w:t>
            </w:r>
          </w:p>
          <w:p w:rsidR="00EA44B0" w:rsidRPr="004B00CC" w:rsidRDefault="00EA44B0" w:rsidP="00296BDA">
            <w:pPr>
              <w:jc w:val="both"/>
            </w:pPr>
            <w:r w:rsidRPr="004B00CC">
              <w:t>94.6. šo noteikumu 6.1. un 6.3.2. apakšpunktā noteiktos būvdarbus un darbus objektos, kuru būvdarbus būvētājs ir tiesīgs veikt atbilstoši šo noteikumu 94.1., 94.2., 94.3., 94.4. un 94.5. apakšpunktam.”;</w:t>
            </w:r>
          </w:p>
          <w:p w:rsidR="00EA44B0" w:rsidRPr="004B00CC" w:rsidRDefault="00EA44B0" w:rsidP="00296BDA">
            <w:pPr>
              <w:jc w:val="both"/>
            </w:pPr>
          </w:p>
        </w:tc>
        <w:tc>
          <w:tcPr>
            <w:tcW w:w="4386"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keepLines/>
              <w:autoSpaceDE w:val="0"/>
              <w:autoSpaceDN w:val="0"/>
              <w:adjustRightInd w:val="0"/>
              <w:spacing w:after="240"/>
              <w:jc w:val="both"/>
            </w:pPr>
            <w:r w:rsidRPr="00BB5F82">
              <w:rPr>
                <w:b/>
                <w:bCs/>
                <w:u w:val="single"/>
              </w:rPr>
              <w:lastRenderedPageBreak/>
              <w:t>AS “Latvenergo”:</w:t>
            </w:r>
            <w:r w:rsidRPr="004B00CC">
              <w:rPr>
                <w:b/>
                <w:bCs/>
              </w:rPr>
              <w:t xml:space="preserve"> </w:t>
            </w:r>
            <w:r w:rsidRPr="004B00CC">
              <w:t xml:space="preserve">Rosinām Grozījumu projekta 94.4. punktu papildināt, izsakot to šādā redakcijā " </w:t>
            </w:r>
            <w:r w:rsidRPr="004B00CC">
              <w:rPr>
                <w:i/>
                <w:iCs/>
              </w:rPr>
              <w:t>94.4. šo noteikumu 6.1</w:t>
            </w:r>
            <w:r w:rsidRPr="004B00CC">
              <w:rPr>
                <w:i/>
                <w:iCs/>
                <w:vertAlign w:val="superscript"/>
              </w:rPr>
              <w:t>1</w:t>
            </w:r>
            <w:r w:rsidRPr="004B00CC">
              <w:rPr>
                <w:i/>
                <w:iCs/>
              </w:rPr>
              <w:t xml:space="preserve"> , 6.3.3., 6.3.4., 6.3.4.</w:t>
            </w:r>
            <w:r w:rsidRPr="004B00CC">
              <w:rPr>
                <w:i/>
                <w:iCs/>
                <w:vertAlign w:val="superscript"/>
              </w:rPr>
              <w:t xml:space="preserve">1 </w:t>
            </w:r>
            <w:r w:rsidRPr="004B00CC">
              <w:rPr>
                <w:i/>
                <w:iCs/>
              </w:rPr>
              <w:t>, 6.3.4.</w:t>
            </w:r>
            <w:r w:rsidRPr="004B00CC">
              <w:rPr>
                <w:i/>
                <w:iCs/>
                <w:vertAlign w:val="superscript"/>
              </w:rPr>
              <w:t>2</w:t>
            </w:r>
            <w:r w:rsidRPr="004B00CC">
              <w:rPr>
                <w:i/>
                <w:iCs/>
              </w:rPr>
              <w:t>, 6.3.5. un 6.3.6.  apakšpunktā noteiktos būvdarbus</w:t>
            </w:r>
            <w:r w:rsidRPr="004B00CC">
              <w:t xml:space="preserve">", paredzot, ka atsevišķu elementu atjaunošanas būvdarbiem pastāvīgi norobežotās un nepiederošām personām </w:t>
            </w:r>
          </w:p>
          <w:p w:rsidR="00EA44B0" w:rsidRPr="004B00CC" w:rsidRDefault="00EA44B0" w:rsidP="00D62A15">
            <w:pPr>
              <w:keepLines/>
              <w:autoSpaceDE w:val="0"/>
              <w:autoSpaceDN w:val="0"/>
              <w:adjustRightInd w:val="0"/>
              <w:spacing w:after="240"/>
              <w:jc w:val="both"/>
              <w:rPr>
                <w:b/>
                <w:bCs/>
              </w:rPr>
            </w:pPr>
            <w:r w:rsidRPr="004B00CC">
              <w:lastRenderedPageBreak/>
              <w:t>slēgtās energoapgādes komersantu objektu teritorijās būvdarbus var veikt bez būvdarbu vadītāja.</w:t>
            </w:r>
          </w:p>
        </w:tc>
        <w:tc>
          <w:tcPr>
            <w:tcW w:w="3275"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contextualSpacing/>
              <w:jc w:val="center"/>
              <w:rPr>
                <w:b/>
                <w:bCs/>
              </w:rPr>
            </w:pPr>
            <w:r w:rsidRPr="004B00CC">
              <w:rPr>
                <w:b/>
                <w:bCs/>
              </w:rPr>
              <w:lastRenderedPageBreak/>
              <w:t>Panākta vienošanās starpinstitūciju sanāksmē</w:t>
            </w:r>
          </w:p>
          <w:p w:rsidR="00EA44B0" w:rsidRPr="004B00CC" w:rsidRDefault="00EA44B0" w:rsidP="00296BDA">
            <w:pPr>
              <w:contextualSpacing/>
              <w:jc w:val="both"/>
              <w:rPr>
                <w:b/>
                <w:bCs/>
              </w:rPr>
            </w:pPr>
            <w:r w:rsidRPr="004B00CC">
              <w:t xml:space="preserve">Atbilstoši Vispārīgajos būvnoteikumos (2.8.apakšpunkts) dotajam skaidrojumam. </w:t>
            </w:r>
            <w:r w:rsidRPr="004B00CC">
              <w:rPr>
                <w:i/>
                <w:iCs/>
              </w:rPr>
              <w:t xml:space="preserve">būvētājs – fiziska persona – zemes vai būves īpašnieks Būvniecības </w:t>
            </w:r>
            <w:r w:rsidRPr="004B00CC">
              <w:rPr>
                <w:i/>
                <w:iCs/>
              </w:rPr>
              <w:lastRenderedPageBreak/>
              <w:t>likuma izpratnē, kas speciālajos būvnoteikumos noteiktajos gadījumos savām vajadzībām pats organizē būvdarbus, piedalās tajos un uzņemas būvdarbu vadītāja pienākumus.</w:t>
            </w:r>
            <w:r w:rsidRPr="004B00CC">
              <w:t xml:space="preserve"> Komersants nav fiziska persona </w:t>
            </w:r>
          </w:p>
        </w:tc>
        <w:tc>
          <w:tcPr>
            <w:tcW w:w="3638" w:type="dxa"/>
            <w:tcBorders>
              <w:top w:val="single" w:sz="4" w:space="0" w:color="auto"/>
              <w:left w:val="single" w:sz="4" w:space="0" w:color="auto"/>
              <w:bottom w:val="single" w:sz="4" w:space="0" w:color="auto"/>
            </w:tcBorders>
          </w:tcPr>
          <w:p w:rsidR="00EA44B0" w:rsidRPr="004B00CC" w:rsidRDefault="00EA44B0" w:rsidP="00296BDA">
            <w:pPr>
              <w:jc w:val="both"/>
            </w:pPr>
            <w:r w:rsidRPr="004B00CC">
              <w:lastRenderedPageBreak/>
              <w:t>1.6</w:t>
            </w:r>
            <w:r w:rsidR="002A78E7">
              <w:t>5</w:t>
            </w:r>
            <w:r w:rsidRPr="004B00CC">
              <w:t>. izteikt 94. punktu šādā redakcijā:</w:t>
            </w:r>
          </w:p>
          <w:p w:rsidR="00EA44B0" w:rsidRPr="004B00CC" w:rsidRDefault="00EA44B0" w:rsidP="00296BDA">
            <w:pPr>
              <w:jc w:val="both"/>
            </w:pPr>
            <w:r w:rsidRPr="004B00CC">
              <w:t>“94. Būvētājs bez patstāvīgas prakses tiesībām arhitektūras vai būvniecības jomā, uzņemoties būvdarbu veicēja un atbildīgā būvdarbu vadītāja pienākumus, var veikt:</w:t>
            </w:r>
          </w:p>
          <w:p w:rsidR="00EA44B0" w:rsidRPr="004B00CC" w:rsidRDefault="00EA44B0" w:rsidP="00296BDA">
            <w:pPr>
              <w:jc w:val="both"/>
            </w:pPr>
            <w:r w:rsidRPr="004B00CC">
              <w:lastRenderedPageBreak/>
              <w:t xml:space="preserve">94.1. pirmās grupas inženierbūvju (izņemot karogu mastu ar augstumu virs 12 m un elektrotīkla ar nominālo spriegumu līdz 20 </w:t>
            </w:r>
            <w:proofErr w:type="spellStart"/>
            <w:r w:rsidRPr="004B00CC">
              <w:t>kV</w:t>
            </w:r>
            <w:proofErr w:type="spellEnd"/>
            <w:r w:rsidRPr="004B00CC">
              <w:t xml:space="preserve">, tai skaitā elektroapgādes </w:t>
            </w:r>
            <w:proofErr w:type="spellStart"/>
            <w:r w:rsidRPr="004B00CC">
              <w:t>sadalnes</w:t>
            </w:r>
            <w:proofErr w:type="spellEnd"/>
            <w:r w:rsidRPr="004B00CC">
              <w:t>, komutācijas un aizsardzības iekārtas) būvdarbus;</w:t>
            </w:r>
          </w:p>
          <w:p w:rsidR="00EA44B0" w:rsidRPr="004B00CC" w:rsidRDefault="00EA44B0" w:rsidP="00296BDA">
            <w:pPr>
              <w:jc w:val="both"/>
            </w:pPr>
            <w:r w:rsidRPr="004B00CC">
              <w:t>94.2. mazās notekūdeņu attīrīšanas inženierbūves (jauda līdz 5 m</w:t>
            </w:r>
            <w:r w:rsidRPr="004B00CC">
              <w:rPr>
                <w:vertAlign w:val="superscript"/>
              </w:rPr>
              <w:t>3</w:t>
            </w:r>
            <w:r w:rsidRPr="004B00CC">
              <w:t xml:space="preserve">/d), sausās tualetes vai izvedamu notekūdeņu </w:t>
            </w:r>
            <w:proofErr w:type="spellStart"/>
            <w:r w:rsidRPr="004B00CC">
              <w:t>krājtvertnes</w:t>
            </w:r>
            <w:proofErr w:type="spellEnd"/>
            <w:r w:rsidRPr="004B00CC">
              <w:t xml:space="preserve"> būvdarbus;</w:t>
            </w:r>
          </w:p>
          <w:p w:rsidR="00EA44B0" w:rsidRPr="004B00CC" w:rsidRDefault="00EA44B0" w:rsidP="00296BDA">
            <w:pPr>
              <w:jc w:val="both"/>
            </w:pPr>
            <w:r w:rsidRPr="004B00CC">
              <w:t>94.3. iekšējo inženiertīklu, kas atrodas viņa valdījumā, būvdarbus;</w:t>
            </w:r>
          </w:p>
          <w:p w:rsidR="00EA44B0" w:rsidRPr="004B00CC" w:rsidRDefault="00EA44B0" w:rsidP="00296BDA">
            <w:pPr>
              <w:jc w:val="both"/>
            </w:pPr>
            <w:r w:rsidRPr="004B00CC">
              <w:t>94.4. šo noteikumu 6.3.3., 6.3.4., 6.3.4.</w:t>
            </w:r>
            <w:r w:rsidRPr="004B00CC">
              <w:rPr>
                <w:vertAlign w:val="superscript"/>
              </w:rPr>
              <w:t>1</w:t>
            </w:r>
            <w:r w:rsidRPr="004B00CC">
              <w:t xml:space="preserve"> , 6.3.4.</w:t>
            </w:r>
            <w:r w:rsidRPr="004B00CC">
              <w:rPr>
                <w:vertAlign w:val="superscript"/>
              </w:rPr>
              <w:t>2</w:t>
            </w:r>
            <w:r w:rsidRPr="004B00CC">
              <w:t>, 6.3.5. un 6.3.6.  apakšpunktā noteiktos būvdarbus;</w:t>
            </w:r>
          </w:p>
          <w:p w:rsidR="00EA44B0" w:rsidRPr="004B00CC" w:rsidRDefault="00EA44B0" w:rsidP="00296BDA">
            <w:pPr>
              <w:jc w:val="both"/>
            </w:pPr>
            <w:r w:rsidRPr="004B00CC">
              <w:t>94.5. šo noteikumu 6.3.7. apakšpunktā noteiktos pirmās grupas inženierbūves būvdarbus;</w:t>
            </w:r>
          </w:p>
          <w:p w:rsidR="00EA44B0" w:rsidRPr="004B00CC" w:rsidRDefault="00EA44B0" w:rsidP="00296BDA">
            <w:pPr>
              <w:jc w:val="both"/>
            </w:pPr>
            <w:r w:rsidRPr="004B00CC">
              <w:t>94.6. šo noteikumu 6.1. un 6.3.2. apakšpunktā noteiktos būvdarbus un darbus objektos, kuru būvdarbus būvētājs ir tiesīgs veikt atbilstoši šo noteikumu 94.1., 94.2., 94.3., 94.4. un 94.5. apakšpunktam.”;</w:t>
            </w:r>
          </w:p>
          <w:p w:rsidR="00EA44B0" w:rsidRPr="004B00CC" w:rsidRDefault="00EA44B0" w:rsidP="00296BDA">
            <w:pPr>
              <w:ind w:left="57" w:right="57"/>
              <w:contextualSpacing/>
              <w:jc w:val="both"/>
            </w:pPr>
          </w:p>
        </w:tc>
      </w:tr>
      <w:tr w:rsidR="00EA44B0" w:rsidRPr="004B00CC" w:rsidTr="00296BDA">
        <w:trPr>
          <w:trHeight w:val="318"/>
        </w:trPr>
        <w:tc>
          <w:tcPr>
            <w:tcW w:w="709" w:type="dxa"/>
            <w:tcBorders>
              <w:top w:val="single" w:sz="6" w:space="0" w:color="000000"/>
              <w:left w:val="single" w:sz="6" w:space="0" w:color="000000"/>
              <w:bottom w:val="single" w:sz="6" w:space="0" w:color="000000"/>
              <w:right w:val="single" w:sz="6" w:space="0" w:color="000000"/>
            </w:tcBorders>
          </w:tcPr>
          <w:p w:rsidR="00EA44B0" w:rsidRPr="004B00CC" w:rsidRDefault="002A78E7" w:rsidP="00296BDA">
            <w:pPr>
              <w:pStyle w:val="naisc"/>
              <w:spacing w:before="0" w:after="0"/>
              <w:ind w:left="57" w:right="57"/>
              <w:contextualSpacing/>
              <w:jc w:val="both"/>
            </w:pPr>
            <w:r>
              <w:lastRenderedPageBreak/>
              <w:t>20</w:t>
            </w:r>
            <w:r w:rsidR="00EA44B0" w:rsidRPr="004B00CC">
              <w:t>.</w:t>
            </w:r>
          </w:p>
        </w:tc>
        <w:tc>
          <w:tcPr>
            <w:tcW w:w="3680"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jc w:val="both"/>
            </w:pPr>
            <w:r w:rsidRPr="004B00CC">
              <w:t>1.78. papildināt noteikumus ar 123.</w:t>
            </w:r>
            <w:r w:rsidRPr="004B00CC">
              <w:rPr>
                <w:vertAlign w:val="superscript"/>
              </w:rPr>
              <w:t>1</w:t>
            </w:r>
            <w:r w:rsidRPr="004B00CC">
              <w:t> punktu šādā redakcijā:</w:t>
            </w:r>
          </w:p>
          <w:p w:rsidR="00EA44B0" w:rsidRPr="004B00CC" w:rsidRDefault="00EA44B0" w:rsidP="00296BDA">
            <w:pPr>
              <w:jc w:val="both"/>
            </w:pPr>
            <w:r w:rsidRPr="004B00CC">
              <w:t>“123.</w:t>
            </w:r>
            <w:r w:rsidRPr="004B00CC">
              <w:rPr>
                <w:vertAlign w:val="superscript"/>
              </w:rPr>
              <w:t>1</w:t>
            </w:r>
            <w:r w:rsidRPr="004B00CC">
              <w:t xml:space="preserve"> Trešās grupas būvju būvuzraudzību, pamatojoties uz līgumu, var veikt būvkomersants, kas reģistrēts būvkomersantu reģistrā un kuram ir tiesības sniegt pakalpojumus būvuzraudzības jomā, vai elektroenerģijas būvju būvniecības gadījumā - viens vai vairāki </w:t>
            </w:r>
            <w:proofErr w:type="spellStart"/>
            <w:r w:rsidRPr="004B00CC">
              <w:t>būvspeciālisti</w:t>
            </w:r>
            <w:proofErr w:type="spellEnd"/>
            <w:r w:rsidRPr="004B00CC">
              <w:t xml:space="preserve">, kuriem ir atbilstoši būvprakses sertifikāti un kurus nodarbina būvniecības ierosinātājs, norīkojot par energoapgādes objekta būvuzraugiem. Citu elektroenerģijas objektu būvdarbu kvalitātes kontroli nodrošina būvniecības ierosinātāja noteiktajā kārtībā un apjomā. Elektroenerģijas energoapgādes komersants var norīkot kvalificētu speciālistu ekspluatācijā esošu vai </w:t>
            </w:r>
            <w:proofErr w:type="spellStart"/>
            <w:r w:rsidRPr="004B00CC">
              <w:t>spriegumaktīvu</w:t>
            </w:r>
            <w:proofErr w:type="spellEnd"/>
            <w:r w:rsidRPr="004B00CC">
              <w:t xml:space="preserve"> elektroietaišu pārbūves vai atjaunošanas darbu izpildes uzraudzībai (tehnisko uzraugu).”;</w:t>
            </w:r>
          </w:p>
          <w:p w:rsidR="00EA44B0" w:rsidRPr="004B00CC" w:rsidRDefault="00EA44B0" w:rsidP="00296BDA">
            <w:pPr>
              <w:jc w:val="both"/>
            </w:pPr>
          </w:p>
        </w:tc>
        <w:tc>
          <w:tcPr>
            <w:tcW w:w="4386"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keepLines/>
              <w:autoSpaceDE w:val="0"/>
              <w:autoSpaceDN w:val="0"/>
              <w:adjustRightInd w:val="0"/>
              <w:spacing w:after="240"/>
              <w:jc w:val="both"/>
              <w:rPr>
                <w:i/>
                <w:iCs/>
              </w:rPr>
            </w:pPr>
            <w:r w:rsidRPr="00BB5F82">
              <w:rPr>
                <w:b/>
                <w:bCs/>
                <w:u w:val="single"/>
              </w:rPr>
              <w:t>AS “Latvenergo”:</w:t>
            </w:r>
            <w:r w:rsidRPr="004B00CC">
              <w:rPr>
                <w:b/>
                <w:bCs/>
              </w:rPr>
              <w:t xml:space="preserve"> </w:t>
            </w:r>
            <w:r w:rsidRPr="004B00CC">
              <w:t>Liela daļa AS "Latvenergo" būvju ir trešās grupas būves un daudzus būvju uzturēšanas būvdarbus īstenojam pašu spēkiem un esam gan būvdarbu veicēji, gan būvniecības ierosinātāji. Vispārīgo būvnoteikumu 120.punkts nosaka, ka būvuzraudzību veic, ja paredzēti trešās grupas būvdarbi. Vispārīgo būvnoteikumu 118.punkts nosaka, ka "</w:t>
            </w:r>
            <w:r w:rsidRPr="004B00CC">
              <w:rPr>
                <w:i/>
                <w:iCs/>
              </w:rPr>
              <w:t xml:space="preserve">Būvuzraudzību šo noteikumu 120. punktā noteiktajos gadījumos ir tiesīgs veikt tikai no būvdarbu veicēja un būvprojekta izstrādātāja neatkarīgs būvkomersants vai </w:t>
            </w:r>
            <w:proofErr w:type="spellStart"/>
            <w:r w:rsidRPr="004B00CC">
              <w:rPr>
                <w:i/>
                <w:iCs/>
              </w:rPr>
              <w:t>būvspeciālists</w:t>
            </w:r>
            <w:proofErr w:type="spellEnd"/>
            <w:r w:rsidRPr="004B00CC">
              <w:rPr>
                <w:i/>
                <w:iCs/>
              </w:rPr>
              <w:t xml:space="preserve"> (būvuzraugs). </w:t>
            </w:r>
            <w:r w:rsidR="00D62A15" w:rsidRPr="004B00CC">
              <w:rPr>
                <w:i/>
                <w:iCs/>
              </w:rPr>
              <w:t>Par būvuzraugu nevar būt persona, kurai ir darba attiecības ar būvkomersantu, kas veic piegādes uzraugāmajam objektam</w:t>
            </w:r>
            <w:r w:rsidR="00D62A15" w:rsidRPr="004B00CC">
              <w:t>." Saskaņā ar normatīvo aktu prasībām būvuzraudzības mērķis ir nodrošināt būvniecības ierosinātāja tiesības un intereses būvdarbu veikšanas procesā. No Vispārīgiem būvnoteikumiem izriet, ja būves īpašnieks (AS "Latvenergo") ar savu personālu veic savās trešās grupas būvēs būvdarbus, tad tam ir jālīgst neatkarīgs būvuzraugs, tādējādi, veicot iepirkumu un slēdzot līgumus par būvuzraudzības</w:t>
            </w:r>
          </w:p>
          <w:p w:rsidR="00EA44B0" w:rsidRDefault="00EA44B0" w:rsidP="00296BDA">
            <w:pPr>
              <w:keepLines/>
              <w:autoSpaceDE w:val="0"/>
              <w:autoSpaceDN w:val="0"/>
              <w:adjustRightInd w:val="0"/>
              <w:spacing w:after="240"/>
              <w:jc w:val="both"/>
            </w:pPr>
            <w:r w:rsidRPr="004B00CC">
              <w:lastRenderedPageBreak/>
              <w:t>pakalpojumiem, rodas interešu konflikta situācija, jo būvuzraudzības pakalpojumus apmaksā būvniecības ierosinātājs, kas ir vienlaicīgi arī būvdarbu veicējs. Ievērojot augstāk minēto, būtu nepieciešams rast juridisku risinājumu situācijās, kad būvniecības ierosinātājs (juridiska persona) trešās grupas būvju būvdarbus īsteno pats.</w:t>
            </w:r>
          </w:p>
          <w:p w:rsidR="00D62A15" w:rsidRPr="00837BFB" w:rsidRDefault="00D62A15" w:rsidP="00D62A15">
            <w:pPr>
              <w:pStyle w:val="naisc"/>
              <w:spacing w:before="0" w:after="0"/>
              <w:ind w:left="57" w:right="57"/>
              <w:contextualSpacing/>
              <w:jc w:val="both"/>
              <w:rPr>
                <w:b/>
                <w:bCs/>
                <w:u w:val="single"/>
              </w:rPr>
            </w:pPr>
            <w:r w:rsidRPr="00837BFB">
              <w:rPr>
                <w:b/>
                <w:bCs/>
                <w:u w:val="single"/>
              </w:rPr>
              <w:t>Finanšu ministrija</w:t>
            </w:r>
          </w:p>
          <w:p w:rsidR="00D62A15" w:rsidRPr="00837BFB" w:rsidRDefault="00D62A15" w:rsidP="00D62A15">
            <w:pPr>
              <w:pStyle w:val="naisc"/>
              <w:spacing w:before="0" w:after="0"/>
              <w:ind w:left="57" w:right="57"/>
              <w:contextualSpacing/>
              <w:jc w:val="both"/>
              <w:rPr>
                <w:b/>
                <w:bCs/>
                <w:u w:val="single"/>
              </w:rPr>
            </w:pPr>
            <w:r w:rsidRPr="00837BFB">
              <w:rPr>
                <w:b/>
                <w:bCs/>
                <w:u w:val="single"/>
              </w:rPr>
              <w:t>AS “Augstsprieguma tīkls” (16.02.2021.):</w:t>
            </w:r>
          </w:p>
          <w:p w:rsidR="00D62A15" w:rsidRPr="004B00CC" w:rsidRDefault="00D62A15" w:rsidP="00D62A15">
            <w:pPr>
              <w:jc w:val="both"/>
            </w:pPr>
            <w:r w:rsidRPr="004B00CC">
              <w:t>4.Saskaņā ar MK noteikumu  Nr. 253 123.</w:t>
            </w:r>
            <w:r w:rsidRPr="004B00CC">
              <w:rPr>
                <w:vertAlign w:val="superscript"/>
              </w:rPr>
              <w:t>1</w:t>
            </w:r>
            <w:r w:rsidRPr="004B00CC">
              <w:t xml:space="preserve"> punktu </w:t>
            </w:r>
            <w:r w:rsidRPr="004B00CC">
              <w:rPr>
                <w:i/>
              </w:rPr>
              <w:t xml:space="preserve">trešās grupas inženierbūvju būvuzraudzību var veikt būvkomersants, kurš reģistrēts būvkomersantu reģistrā un kuram ir tiesības sniegt pakalpojumus būvuzraudzības jomā. Pirmās un otrās grupas inženierbūvju būvuzraudzību var veikt viens vai vairāki </w:t>
            </w:r>
            <w:proofErr w:type="spellStart"/>
            <w:r w:rsidRPr="004B00CC">
              <w:rPr>
                <w:i/>
              </w:rPr>
              <w:t>būvspeciālisti</w:t>
            </w:r>
            <w:proofErr w:type="spellEnd"/>
            <w:r w:rsidRPr="004B00CC">
              <w:rPr>
                <w:i/>
              </w:rPr>
              <w:t>, kuriem ir atbilstoši būvprakses sertifikāti un kurus nodarbina būvniecības ierosinātājs. Darba devējs izdod rīkojumu par būvuzrauga nozīmēšanu konkrētajā objektā.</w:t>
            </w:r>
            <w:r w:rsidRPr="004B00CC">
              <w:t xml:space="preserve"> Lielā daļā AST īstenotajos energoapgādes objektos būvuzraudzību veic personas, ko  AST nodarbina uz darba līguma pamata un saskaņā ar MK noteikumu Nr. 573 51. punktu: Trešās grupas būvju būvuzraudzību, pamatojoties uz līgumu, var veikt būvkomersants, kas reģistrēts būvkomersantu reģistrā un kuram </w:t>
            </w:r>
            <w:r w:rsidRPr="004B00CC">
              <w:lastRenderedPageBreak/>
              <w:t xml:space="preserve">ir tiesības sniegt pakalpojumus būvuzraudzības jomā, vai viens vai vairāki </w:t>
            </w:r>
            <w:proofErr w:type="spellStart"/>
            <w:r w:rsidRPr="004B00CC">
              <w:t>būvspeciālisti</w:t>
            </w:r>
            <w:proofErr w:type="spellEnd"/>
            <w:r w:rsidRPr="004B00CC">
              <w:t xml:space="preserve">, kuriem ir atbilstoši būvprakses sertifikāti un kurus nodarbina būvniecības ierosinātājs, norīkojot par energoapgādes objekta būvuzraugiem. Liedzot veikt būvuzraudzību </w:t>
            </w:r>
            <w:proofErr w:type="spellStart"/>
            <w:r w:rsidRPr="004B00CC">
              <w:t>būvspeciālistam</w:t>
            </w:r>
            <w:proofErr w:type="spellEnd"/>
            <w:r w:rsidRPr="004B00CC">
              <w:t xml:space="preserve">, ko nodarbina būvniecības ierosinātājs, AST būs jāsaņem būvuzraudzības ārpakalpojums vai jāreģistrējas kā būvkomersantam. Tomēr AST nav tiesiska pamata reģistrēties kā būvkomersantam, lai veiktu būvuzraudzību savos objektos, jo tas neveic būvdarbus. Ievērojot minēto, AST aicina saglabāt iespēju, ka trešās grupas būvēm – energoapgādes objektiem – būvuzraudzību ir tiesības veikt </w:t>
            </w:r>
            <w:proofErr w:type="spellStart"/>
            <w:r w:rsidRPr="004B00CC">
              <w:t>būvspeciālistiem</w:t>
            </w:r>
            <w:proofErr w:type="spellEnd"/>
            <w:r w:rsidRPr="004B00CC">
              <w:t xml:space="preserve">, kurus nodarbina būvniecības ierosinātājs. </w:t>
            </w:r>
          </w:p>
          <w:p w:rsidR="00D62A15" w:rsidRPr="004B00CC" w:rsidRDefault="00D62A15" w:rsidP="00296BDA">
            <w:pPr>
              <w:keepLines/>
              <w:autoSpaceDE w:val="0"/>
              <w:autoSpaceDN w:val="0"/>
              <w:adjustRightInd w:val="0"/>
              <w:spacing w:after="240"/>
              <w:jc w:val="both"/>
              <w:rPr>
                <w:b/>
                <w:bCs/>
              </w:rPr>
            </w:pPr>
          </w:p>
        </w:tc>
        <w:tc>
          <w:tcPr>
            <w:tcW w:w="3275"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contextualSpacing/>
              <w:jc w:val="center"/>
              <w:rPr>
                <w:b/>
                <w:bCs/>
              </w:rPr>
            </w:pPr>
            <w:r w:rsidRPr="004B00CC">
              <w:rPr>
                <w:b/>
                <w:bCs/>
              </w:rPr>
              <w:lastRenderedPageBreak/>
              <w:t>Apspriežams starpinstitūciju sanāksmē</w:t>
            </w:r>
          </w:p>
          <w:p w:rsidR="00EA44B0" w:rsidRDefault="00EA44B0" w:rsidP="00296BDA">
            <w:pPr>
              <w:contextualSpacing/>
              <w:jc w:val="both"/>
            </w:pPr>
            <w:r w:rsidRPr="004B00CC">
              <w:t xml:space="preserve">Vispārīgo būvnoteikumu 122.punktā ir noteikti gadījumi, kad būvuzraudzību var veikt tikai būvkomersants, savukārt citos gadījumos saskaņā ar Vispārīgo būvnoteikumu 123.punktu var noteikt, ka būvuzraudzību var veikt </w:t>
            </w:r>
            <w:proofErr w:type="spellStart"/>
            <w:r w:rsidRPr="004B00CC">
              <w:t>būvspeciālists</w:t>
            </w:r>
            <w:proofErr w:type="spellEnd"/>
            <w:r w:rsidRPr="004B00CC">
              <w:t xml:space="preserve"> uz darba devēja rīkojuma pamata.</w:t>
            </w:r>
          </w:p>
          <w:p w:rsidR="00D62A15" w:rsidRDefault="00D62A15" w:rsidP="00296BDA">
            <w:pPr>
              <w:contextualSpacing/>
              <w:jc w:val="both"/>
            </w:pPr>
          </w:p>
          <w:p w:rsidR="00D62A15" w:rsidRDefault="00D62A15" w:rsidP="00296BDA">
            <w:pPr>
              <w:contextualSpacing/>
              <w:jc w:val="both"/>
            </w:pPr>
          </w:p>
          <w:p w:rsidR="00D62A15" w:rsidRDefault="00D62A15" w:rsidP="00296BDA">
            <w:pPr>
              <w:contextualSpacing/>
              <w:jc w:val="both"/>
            </w:pPr>
          </w:p>
          <w:p w:rsidR="00D62A15" w:rsidRDefault="00D62A15" w:rsidP="00296BDA">
            <w:pPr>
              <w:contextualSpacing/>
              <w:jc w:val="both"/>
            </w:pPr>
          </w:p>
          <w:p w:rsidR="00D62A15" w:rsidRDefault="00D62A15" w:rsidP="00296BDA">
            <w:pPr>
              <w:contextualSpacing/>
              <w:jc w:val="both"/>
            </w:pPr>
          </w:p>
          <w:p w:rsidR="00D62A15" w:rsidRDefault="00D62A15" w:rsidP="00296BDA">
            <w:pPr>
              <w:contextualSpacing/>
              <w:jc w:val="both"/>
            </w:pPr>
          </w:p>
          <w:p w:rsidR="00D62A15" w:rsidRDefault="00D62A15" w:rsidP="00296BDA">
            <w:pPr>
              <w:contextualSpacing/>
              <w:jc w:val="both"/>
            </w:pPr>
          </w:p>
          <w:p w:rsidR="00D62A15" w:rsidRDefault="00D62A15" w:rsidP="00296BDA">
            <w:pPr>
              <w:contextualSpacing/>
              <w:jc w:val="both"/>
            </w:pPr>
          </w:p>
          <w:p w:rsidR="00D62A15" w:rsidRDefault="00D62A15" w:rsidP="00296BDA">
            <w:pPr>
              <w:contextualSpacing/>
              <w:jc w:val="both"/>
            </w:pPr>
          </w:p>
          <w:p w:rsidR="00D62A15" w:rsidRDefault="00D62A15" w:rsidP="00296BDA">
            <w:pPr>
              <w:contextualSpacing/>
              <w:jc w:val="both"/>
            </w:pPr>
          </w:p>
          <w:p w:rsidR="00D62A15" w:rsidRDefault="00D62A15" w:rsidP="00296BDA">
            <w:pPr>
              <w:contextualSpacing/>
              <w:jc w:val="both"/>
            </w:pPr>
          </w:p>
          <w:p w:rsidR="00D62A15" w:rsidRDefault="00D62A15" w:rsidP="00296BDA">
            <w:pPr>
              <w:contextualSpacing/>
              <w:jc w:val="both"/>
            </w:pPr>
          </w:p>
          <w:p w:rsidR="00D62A15" w:rsidRDefault="00D62A15" w:rsidP="00296BDA">
            <w:pPr>
              <w:contextualSpacing/>
              <w:jc w:val="both"/>
            </w:pPr>
          </w:p>
          <w:p w:rsidR="00D62A15" w:rsidRDefault="00D62A15" w:rsidP="00296BDA">
            <w:pPr>
              <w:contextualSpacing/>
              <w:jc w:val="both"/>
            </w:pPr>
          </w:p>
          <w:p w:rsidR="00D62A15" w:rsidRDefault="00D62A15" w:rsidP="00296BDA">
            <w:pPr>
              <w:contextualSpacing/>
              <w:jc w:val="both"/>
            </w:pPr>
          </w:p>
          <w:p w:rsidR="00D62A15" w:rsidRDefault="00D62A15" w:rsidP="00296BDA">
            <w:pPr>
              <w:contextualSpacing/>
              <w:jc w:val="both"/>
            </w:pPr>
          </w:p>
          <w:p w:rsidR="00D62A15" w:rsidRDefault="00D62A15" w:rsidP="00296BDA">
            <w:pPr>
              <w:contextualSpacing/>
              <w:jc w:val="both"/>
            </w:pPr>
          </w:p>
          <w:p w:rsidR="00D62A15" w:rsidRDefault="00D62A15" w:rsidP="00296BDA">
            <w:pPr>
              <w:contextualSpacing/>
              <w:jc w:val="both"/>
            </w:pPr>
          </w:p>
          <w:p w:rsidR="00D62A15" w:rsidRDefault="00D62A15" w:rsidP="00296BDA">
            <w:pPr>
              <w:contextualSpacing/>
              <w:jc w:val="both"/>
            </w:pPr>
          </w:p>
          <w:p w:rsidR="00D62A15" w:rsidRDefault="00D62A15" w:rsidP="00296BDA">
            <w:pPr>
              <w:contextualSpacing/>
              <w:jc w:val="both"/>
            </w:pPr>
          </w:p>
          <w:p w:rsidR="00D62A15" w:rsidRDefault="00D62A15" w:rsidP="00296BDA">
            <w:pPr>
              <w:contextualSpacing/>
              <w:jc w:val="both"/>
            </w:pPr>
          </w:p>
          <w:p w:rsidR="00D62A15" w:rsidRDefault="00D62A15" w:rsidP="00296BDA">
            <w:pPr>
              <w:contextualSpacing/>
              <w:jc w:val="both"/>
            </w:pPr>
          </w:p>
          <w:p w:rsidR="00D62A15" w:rsidRDefault="00D62A15" w:rsidP="00296BDA">
            <w:pPr>
              <w:contextualSpacing/>
              <w:jc w:val="both"/>
            </w:pPr>
          </w:p>
          <w:p w:rsidR="00D62A15" w:rsidRDefault="00D62A15" w:rsidP="00296BDA">
            <w:pPr>
              <w:contextualSpacing/>
              <w:jc w:val="both"/>
            </w:pPr>
          </w:p>
          <w:p w:rsidR="00D62A15" w:rsidRDefault="00D62A15" w:rsidP="00296BDA">
            <w:pPr>
              <w:contextualSpacing/>
              <w:jc w:val="both"/>
            </w:pPr>
          </w:p>
          <w:p w:rsidR="00D62A15" w:rsidRDefault="00D62A15" w:rsidP="00296BDA">
            <w:pPr>
              <w:contextualSpacing/>
              <w:jc w:val="both"/>
            </w:pPr>
          </w:p>
          <w:p w:rsidR="00D62A15" w:rsidRDefault="00D62A15" w:rsidP="00296BDA">
            <w:pPr>
              <w:contextualSpacing/>
              <w:jc w:val="both"/>
            </w:pPr>
          </w:p>
          <w:p w:rsidR="00D62A15" w:rsidRDefault="00D62A15" w:rsidP="00296BDA">
            <w:pPr>
              <w:contextualSpacing/>
              <w:jc w:val="both"/>
            </w:pPr>
          </w:p>
          <w:p w:rsidR="00D62A15" w:rsidRPr="00D62A15" w:rsidRDefault="00D62A15" w:rsidP="00D62A15">
            <w:pPr>
              <w:contextualSpacing/>
              <w:jc w:val="center"/>
              <w:rPr>
                <w:b/>
                <w:bCs/>
              </w:rPr>
            </w:pPr>
            <w:r w:rsidRPr="00D62A15">
              <w:rPr>
                <w:b/>
                <w:bCs/>
              </w:rPr>
              <w:t>Panākta vienošanās</w:t>
            </w:r>
          </w:p>
          <w:p w:rsidR="00D62A15" w:rsidRDefault="00D62A15" w:rsidP="00296BDA">
            <w:pPr>
              <w:contextualSpacing/>
              <w:jc w:val="both"/>
            </w:pPr>
            <w:r w:rsidRPr="004B00CC">
              <w:t xml:space="preserve">Būvuzraudzības kārtība un gadījumi, kad būvuzraudzība ir obligāta ir noteikta Ministru kabineta 2014.gada 19.augusta noteikumos Nr.500 “Vispārīgie būvnoteikumi”. Vispārīgo būvnoteikumu 123.punkts nosaka, ka </w:t>
            </w:r>
            <w:r w:rsidRPr="004B00CC">
              <w:rPr>
                <w:i/>
                <w:iCs/>
              </w:rPr>
              <w:t xml:space="preserve">speciālajos noteikumos noteiktajos gadījumos pirmās un otrās grupas inženierbūvju būvuzraudzību var veikt </w:t>
            </w:r>
            <w:proofErr w:type="spellStart"/>
            <w:r w:rsidRPr="004B00CC">
              <w:rPr>
                <w:i/>
                <w:iCs/>
              </w:rPr>
              <w:t>būvspeciālists</w:t>
            </w:r>
            <w:proofErr w:type="spellEnd"/>
            <w:r w:rsidRPr="004B00CC">
              <w:rPr>
                <w:i/>
                <w:iCs/>
              </w:rPr>
              <w:t xml:space="preserve"> uz darba devēja rīkojuma pamata. </w:t>
            </w:r>
            <w:r w:rsidRPr="004B00CC">
              <w:t xml:space="preserve">Tā kā būvuzraudzības regulējums atbilstoši Būvniecības likumā dotajam deleģējumam ir noteikts Vispārīgajos būvnoteikumos, tad atsevišķi speciālajos būvnoteikumos nevar noteikt atšķirīgu </w:t>
            </w:r>
            <w:r w:rsidRPr="004B00CC">
              <w:lastRenderedPageBreak/>
              <w:t>būvuzraudzības regulējumu. Ja komersants pats savam objektam neveic projektēšanu vai būvdarbus, komersants var nepiesaistīt būvuzraudzības veicēju ārpakalpojumā, bet var veikt pats. Jau šobrīd ir būvniecības ierosinātāji (juridiskā persona), kas ir reģistrējušies kā būvkomersanti Būvniecības informācijas sistēmā un savos objektos veic būvuzraudzību (piemēram, VAS “Valsts Nekustamie īpašumi”).</w:t>
            </w:r>
          </w:p>
          <w:p w:rsidR="00D62A15" w:rsidRPr="004B00CC" w:rsidRDefault="00D62A15" w:rsidP="00296BDA">
            <w:pPr>
              <w:contextualSpacing/>
              <w:jc w:val="both"/>
              <w:rPr>
                <w:b/>
                <w:bCs/>
              </w:rPr>
            </w:pPr>
          </w:p>
        </w:tc>
        <w:tc>
          <w:tcPr>
            <w:tcW w:w="3638" w:type="dxa"/>
            <w:tcBorders>
              <w:top w:val="single" w:sz="4" w:space="0" w:color="auto"/>
              <w:left w:val="single" w:sz="4" w:space="0" w:color="auto"/>
              <w:bottom w:val="single" w:sz="4" w:space="0" w:color="auto"/>
            </w:tcBorders>
          </w:tcPr>
          <w:p w:rsidR="00EA44B0" w:rsidRPr="004B00CC" w:rsidRDefault="00EA44B0" w:rsidP="00296BDA">
            <w:pPr>
              <w:jc w:val="both"/>
            </w:pPr>
            <w:r w:rsidRPr="004B00CC">
              <w:lastRenderedPageBreak/>
              <w:t>1.8</w:t>
            </w:r>
            <w:r w:rsidR="002A78E7">
              <w:t>1</w:t>
            </w:r>
            <w:r w:rsidRPr="004B00CC">
              <w:t>. papildināt noteikumus ar 123.</w:t>
            </w:r>
            <w:r w:rsidRPr="004B00CC">
              <w:rPr>
                <w:vertAlign w:val="superscript"/>
              </w:rPr>
              <w:t>1</w:t>
            </w:r>
            <w:r w:rsidRPr="004B00CC">
              <w:t> punktu šādā redakcijā:</w:t>
            </w:r>
          </w:p>
          <w:p w:rsidR="00EA44B0" w:rsidRPr="004B00CC" w:rsidRDefault="00EA44B0" w:rsidP="00296BDA">
            <w:pPr>
              <w:jc w:val="both"/>
            </w:pPr>
            <w:r w:rsidRPr="004B00CC">
              <w:t>“123.</w:t>
            </w:r>
            <w:r w:rsidRPr="004B00CC">
              <w:rPr>
                <w:vertAlign w:val="superscript"/>
              </w:rPr>
              <w:t>1</w:t>
            </w:r>
            <w:r w:rsidRPr="004B00CC">
              <w:t xml:space="preserve"> Trešās grupas inženierbūvju būvuzraudzību var veikt būvkomersants, kurš reģistrēts būvkomersantu reģistrā un kuram ir tiesības sniegt pakalpojumus būvuzraudzības jomā. Pirmās un otrās grupas inženierbūvju būvuzraudzību var veikt viens vai vairāki </w:t>
            </w:r>
            <w:proofErr w:type="spellStart"/>
            <w:r w:rsidRPr="004B00CC">
              <w:t>būvspeciālisti</w:t>
            </w:r>
            <w:proofErr w:type="spellEnd"/>
            <w:r w:rsidRPr="004B00CC">
              <w:t xml:space="preserve">, kuriem ir atbilstoši būvprakses sertifikāti un kurus nodarbina būvniecības ierosinātājs. Darba devējs izdod rīkojumu par būvuzrauga nozīmēšanu konkrētajā objektā. </w:t>
            </w:r>
          </w:p>
          <w:p w:rsidR="00EA44B0" w:rsidRPr="004B00CC" w:rsidRDefault="00EA44B0" w:rsidP="00296BDA">
            <w:pPr>
              <w:ind w:left="57" w:right="57"/>
              <w:contextualSpacing/>
              <w:jc w:val="both"/>
            </w:pPr>
          </w:p>
          <w:p w:rsidR="00EA44B0" w:rsidRPr="004B00CC" w:rsidRDefault="00EA44B0" w:rsidP="00296BDA">
            <w:pPr>
              <w:jc w:val="both"/>
            </w:pPr>
          </w:p>
        </w:tc>
      </w:tr>
      <w:tr w:rsidR="00EA44B0" w:rsidRPr="004B00CC" w:rsidTr="00296BDA">
        <w:trPr>
          <w:trHeight w:val="318"/>
        </w:trPr>
        <w:tc>
          <w:tcPr>
            <w:tcW w:w="709"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contextualSpacing/>
              <w:jc w:val="both"/>
            </w:pPr>
            <w:r w:rsidRPr="004B00CC">
              <w:lastRenderedPageBreak/>
              <w:t>2</w:t>
            </w:r>
            <w:r w:rsidR="002A78E7">
              <w:t>1</w:t>
            </w:r>
            <w:r w:rsidRPr="004B00CC">
              <w:t>.</w:t>
            </w:r>
          </w:p>
        </w:tc>
        <w:tc>
          <w:tcPr>
            <w:tcW w:w="3680"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jc w:val="both"/>
            </w:pPr>
          </w:p>
          <w:p w:rsidR="00EA44B0" w:rsidRPr="004B00CC" w:rsidRDefault="00EA44B0" w:rsidP="00296BDA">
            <w:pPr>
              <w:jc w:val="both"/>
            </w:pPr>
          </w:p>
          <w:p w:rsidR="00EA44B0" w:rsidRPr="004B00CC" w:rsidRDefault="00EA44B0" w:rsidP="00296BDA">
            <w:pPr>
              <w:jc w:val="both"/>
              <w:rPr>
                <w:i/>
                <w:iCs/>
              </w:rPr>
            </w:pPr>
            <w:r w:rsidRPr="004B00CC">
              <w:rPr>
                <w:i/>
                <w:iCs/>
              </w:rPr>
              <w:t xml:space="preserve">151. Inženiertīklu īpašnieks vai, ja tāda nav, – tiesiskais valdītājs 10 darbdienu laikā pēc būvniecības ierosinātāja pieprasījuma saņemšanas par atzinuma sniegšanu atbilstoši kompetencei sniedz atzinumu par inženiertīklu pievada gatavību ekspluatācijai vai </w:t>
            </w:r>
            <w:r w:rsidRPr="004B00CC">
              <w:rPr>
                <w:i/>
                <w:iCs/>
              </w:rPr>
              <w:lastRenderedPageBreak/>
              <w:t>atzinumu par iekšējo inženiertīklu gatavību ekspluatācijai.</w:t>
            </w:r>
          </w:p>
          <w:p w:rsidR="00EA44B0" w:rsidRPr="004B00CC" w:rsidRDefault="00EA44B0" w:rsidP="00296BDA">
            <w:pPr>
              <w:jc w:val="both"/>
            </w:pPr>
          </w:p>
        </w:tc>
        <w:tc>
          <w:tcPr>
            <w:tcW w:w="4386" w:type="dxa"/>
            <w:tcBorders>
              <w:top w:val="single" w:sz="6" w:space="0" w:color="000000"/>
              <w:left w:val="single" w:sz="6" w:space="0" w:color="000000"/>
              <w:bottom w:val="single" w:sz="6" w:space="0" w:color="000000"/>
              <w:right w:val="single" w:sz="6" w:space="0" w:color="000000"/>
            </w:tcBorders>
          </w:tcPr>
          <w:p w:rsidR="00EA44B0" w:rsidRPr="00BB5F82" w:rsidRDefault="00EA44B0" w:rsidP="00296BDA">
            <w:pPr>
              <w:jc w:val="both"/>
              <w:rPr>
                <w:b/>
                <w:bCs/>
                <w:u w:val="single"/>
              </w:rPr>
            </w:pPr>
            <w:r w:rsidRPr="00BB5F82">
              <w:rPr>
                <w:b/>
                <w:bCs/>
                <w:u w:val="single"/>
              </w:rPr>
              <w:lastRenderedPageBreak/>
              <w:t>Latvijas Lielo pilsētu asociācija:</w:t>
            </w:r>
          </w:p>
          <w:p w:rsidR="00EA44B0" w:rsidRPr="004B00CC" w:rsidRDefault="00EA44B0" w:rsidP="00296BDA">
            <w:pPr>
              <w:pStyle w:val="tv213"/>
              <w:spacing w:before="0" w:beforeAutospacing="0" w:after="0" w:afterAutospacing="0"/>
              <w:jc w:val="both"/>
            </w:pPr>
            <w:r w:rsidRPr="004B00CC">
              <w:t xml:space="preserve">Aicinām punktu izteikt sekojošā redakcijā  - </w:t>
            </w:r>
          </w:p>
          <w:p w:rsidR="00EA44B0" w:rsidRPr="004B00CC" w:rsidRDefault="00EA44B0" w:rsidP="00296BDA">
            <w:pPr>
              <w:pStyle w:val="tv213"/>
              <w:spacing w:before="0" w:beforeAutospacing="0" w:after="0" w:afterAutospacing="0"/>
              <w:jc w:val="both"/>
              <w:rPr>
                <w:i/>
              </w:rPr>
            </w:pPr>
            <w:r w:rsidRPr="004B00CC">
              <w:rPr>
                <w:i/>
              </w:rPr>
              <w:t>“Pēc šo noteikumu 6.2. punktā minēto būvdarbu pabeigšanas būvniecības ierosinātājs iesniedz institūcijā, kura pilda būvvaldes funkcijas, paskaidrojuma raksta II daļu, kurai pievieno šo noteikumu 151. punktā un 151.</w:t>
            </w:r>
            <w:r w:rsidRPr="004B00CC">
              <w:rPr>
                <w:i/>
                <w:vertAlign w:val="superscript"/>
              </w:rPr>
              <w:t>1</w:t>
            </w:r>
            <w:r w:rsidRPr="004B00CC">
              <w:rPr>
                <w:i/>
              </w:rPr>
              <w:t xml:space="preserve"> minētos atzinumus, un šādus dokumentus:”</w:t>
            </w:r>
          </w:p>
          <w:p w:rsidR="00EA44B0" w:rsidRPr="004B00CC" w:rsidRDefault="00EA44B0" w:rsidP="00296BDA">
            <w:pPr>
              <w:pStyle w:val="tv213"/>
              <w:spacing w:before="0" w:beforeAutospacing="0" w:after="0" w:afterAutospacing="0"/>
              <w:jc w:val="both"/>
            </w:pPr>
          </w:p>
          <w:p w:rsidR="00EA44B0" w:rsidRPr="004B00CC" w:rsidRDefault="00EA44B0" w:rsidP="00296BDA">
            <w:pPr>
              <w:pStyle w:val="tv213"/>
              <w:spacing w:before="0" w:beforeAutospacing="0" w:after="0" w:afterAutospacing="0"/>
              <w:jc w:val="both"/>
            </w:pPr>
            <w:r w:rsidRPr="004B00CC">
              <w:lastRenderedPageBreak/>
              <w:t>Attiecīgi noteikumi papildināmi ar jaunu punktu 151.</w:t>
            </w:r>
            <w:r w:rsidRPr="004B00CC">
              <w:rPr>
                <w:vertAlign w:val="superscript"/>
              </w:rPr>
              <w:t>1</w:t>
            </w:r>
            <w:r w:rsidRPr="004B00CC">
              <w:t>:</w:t>
            </w:r>
          </w:p>
          <w:p w:rsidR="00EA44B0" w:rsidRPr="004B00CC" w:rsidRDefault="00EA44B0" w:rsidP="00296BDA">
            <w:pPr>
              <w:pStyle w:val="tv213"/>
              <w:spacing w:before="0" w:beforeAutospacing="0" w:after="0" w:afterAutospacing="0"/>
              <w:jc w:val="both"/>
              <w:rPr>
                <w:i/>
              </w:rPr>
            </w:pPr>
            <w:r w:rsidRPr="004B00CC">
              <w:rPr>
                <w:i/>
              </w:rPr>
              <w:t>“Pēc būvdarbu pabeigšanas būvniecības ierosinātājs pieprasa institūcijām, kuras ir izdevušas tehniskos vai īpašos noteikumus, sniegt atzinumu par būves atbilstību tehniskajiem vai īpašajiem noteikumiem. Institūcijas 10 darbdienu laikā pēc pieprasījuma saņemšanas atbilstoši kompetencei sniedz atzinumu.;”</w:t>
            </w:r>
          </w:p>
          <w:p w:rsidR="00EA44B0" w:rsidRPr="004B00CC" w:rsidRDefault="00EA44B0" w:rsidP="00296BDA">
            <w:pPr>
              <w:pStyle w:val="tv213"/>
              <w:spacing w:before="0" w:beforeAutospacing="0" w:after="0" w:afterAutospacing="0"/>
              <w:jc w:val="both"/>
            </w:pPr>
          </w:p>
          <w:p w:rsidR="00EA44B0" w:rsidRPr="004B00CC" w:rsidRDefault="00EA44B0" w:rsidP="00296BDA">
            <w:pPr>
              <w:keepLines/>
              <w:autoSpaceDE w:val="0"/>
              <w:autoSpaceDN w:val="0"/>
              <w:adjustRightInd w:val="0"/>
              <w:spacing w:after="240"/>
              <w:jc w:val="both"/>
              <w:rPr>
                <w:b/>
                <w:bCs/>
              </w:rPr>
            </w:pPr>
            <w:r w:rsidRPr="004B00CC">
              <w:t>Nodošanas ekspluatācijā prasībām visos speciālajos būvnoteikumos jābūt vienādām, attiecīgi, ja kāda institūcija ir izdevusi tehniskos vai īpašos noteikumus, tad pirms objekta nodošanas būvniecības ierosinātājam ir jāsaņem atzinumos no tehnisko vai īpašo noteikumu izdevēja, jo neviena cita institūcija nekontrolē noteikumos izvirzīto prasību ievērošanu (izpildi).</w:t>
            </w:r>
          </w:p>
        </w:tc>
        <w:tc>
          <w:tcPr>
            <w:tcW w:w="3275"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contextualSpacing/>
              <w:jc w:val="center"/>
              <w:rPr>
                <w:b/>
                <w:bCs/>
              </w:rPr>
            </w:pPr>
            <w:r w:rsidRPr="004B00CC">
              <w:rPr>
                <w:b/>
                <w:bCs/>
              </w:rPr>
              <w:lastRenderedPageBreak/>
              <w:t>Ņemts vērā</w:t>
            </w:r>
          </w:p>
        </w:tc>
        <w:tc>
          <w:tcPr>
            <w:tcW w:w="3638" w:type="dxa"/>
            <w:tcBorders>
              <w:top w:val="single" w:sz="4" w:space="0" w:color="auto"/>
              <w:left w:val="single" w:sz="4" w:space="0" w:color="auto"/>
              <w:bottom w:val="single" w:sz="4" w:space="0" w:color="auto"/>
            </w:tcBorders>
          </w:tcPr>
          <w:p w:rsidR="00EA44B0" w:rsidRPr="004B00CC" w:rsidRDefault="00EA44B0" w:rsidP="00296BDA">
            <w:pPr>
              <w:jc w:val="both"/>
              <w:rPr>
                <w:bCs/>
              </w:rPr>
            </w:pPr>
            <w:r w:rsidRPr="004B00CC">
              <w:rPr>
                <w:bCs/>
              </w:rPr>
              <w:t>1.8</w:t>
            </w:r>
            <w:r w:rsidR="002A78E7">
              <w:rPr>
                <w:bCs/>
              </w:rPr>
              <w:t>7</w:t>
            </w:r>
            <w:r w:rsidRPr="004B00CC">
              <w:rPr>
                <w:bCs/>
              </w:rPr>
              <w:t xml:space="preserve">. izteikt 150., 151., </w:t>
            </w:r>
            <w:r w:rsidRPr="004B00CC">
              <w:t>152. un 153. punktu</w:t>
            </w:r>
            <w:r w:rsidRPr="004B00CC">
              <w:rPr>
                <w:bCs/>
              </w:rPr>
              <w:t xml:space="preserve"> šādā redakcijā:</w:t>
            </w:r>
          </w:p>
          <w:p w:rsidR="00EA44B0" w:rsidRPr="004B00CC" w:rsidRDefault="00EA44B0" w:rsidP="00296BDA">
            <w:pPr>
              <w:pStyle w:val="tv213"/>
              <w:spacing w:before="0" w:beforeAutospacing="0" w:after="0" w:afterAutospacing="0"/>
              <w:jc w:val="both"/>
              <w:rPr>
                <w:iCs/>
              </w:rPr>
            </w:pPr>
            <w:r w:rsidRPr="004B00CC">
              <w:rPr>
                <w:iCs/>
              </w:rPr>
              <w:t xml:space="preserve">151. Pēc būvdarbu pabeigšanas būvniecības ierosinātājs pieprasa institūcijām, kuras ir izdevušas tehniskos vai īpašos noteikumus, sniegt atzinumu par būves atbilstību tehniskajiem vai īpašajiem noteikumiem. Institūcijas 10 darbdienu laikā pēc pieprasījuma saņemšanas atbilstoši </w:t>
            </w:r>
            <w:r w:rsidRPr="004B00CC">
              <w:rPr>
                <w:iCs/>
              </w:rPr>
              <w:lastRenderedPageBreak/>
              <w:t>kompetencei sniedz atzinumu par inženierbūves gatavību ekspluatācijai.</w:t>
            </w:r>
          </w:p>
          <w:p w:rsidR="00EA44B0" w:rsidRPr="004B00CC" w:rsidRDefault="00EA44B0" w:rsidP="00296BDA">
            <w:pPr>
              <w:jc w:val="both"/>
            </w:pPr>
          </w:p>
        </w:tc>
      </w:tr>
      <w:tr w:rsidR="00EA44B0" w:rsidRPr="004B00CC" w:rsidTr="00296BDA">
        <w:trPr>
          <w:trHeight w:val="318"/>
        </w:trPr>
        <w:tc>
          <w:tcPr>
            <w:tcW w:w="709"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contextualSpacing/>
              <w:jc w:val="both"/>
            </w:pPr>
            <w:r w:rsidRPr="004B00CC">
              <w:lastRenderedPageBreak/>
              <w:t>2</w:t>
            </w:r>
            <w:r w:rsidR="002A78E7">
              <w:t>2</w:t>
            </w:r>
            <w:r w:rsidRPr="004B00CC">
              <w:t>.</w:t>
            </w:r>
          </w:p>
        </w:tc>
        <w:tc>
          <w:tcPr>
            <w:tcW w:w="3680"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jc w:val="both"/>
            </w:pPr>
            <w:r w:rsidRPr="004B00CC">
              <w:t>1.87. izteikt 154., 155., 156. un 157. punktu šādā redakcijā:</w:t>
            </w:r>
          </w:p>
          <w:p w:rsidR="00EA44B0" w:rsidRPr="004B00CC" w:rsidRDefault="00EA44B0" w:rsidP="00296BDA">
            <w:pPr>
              <w:jc w:val="both"/>
            </w:pPr>
            <w:r w:rsidRPr="004B00CC">
              <w:t xml:space="preserve">“154. Institūcija, kura pilda būvvaldes funkcijas, pēc šo noteikumu 152. punktā minēto dokumentu saņemšanas piecu darbdienu laikā pirmās grupas inženierbūvēm un 10 darbdienu laikā otrās un trešās grupas inženierbūvēm pārbauda patvaļīgās </w:t>
            </w:r>
            <w:r w:rsidRPr="004B00CC">
              <w:lastRenderedPageBreak/>
              <w:t xml:space="preserve">būvniecības esību, un izdara būvniecības informācijas sistēmā atzīmi par būvdarbu pabeigšanu, bet nojaukšanas gadījumā izdod izziņu par inženierbūves </w:t>
            </w:r>
            <w:proofErr w:type="spellStart"/>
            <w:r w:rsidRPr="004B00CC">
              <w:t>neesību</w:t>
            </w:r>
            <w:proofErr w:type="spellEnd"/>
            <w:r w:rsidRPr="004B00CC">
              <w:t xml:space="preserve"> </w:t>
            </w:r>
            <w:r w:rsidRPr="004B00CC">
              <w:rPr>
                <w:rFonts w:eastAsia="Calibri"/>
              </w:rPr>
              <w:t>būvniecības informācijas sistēmā strukturēto datu veidā</w:t>
            </w:r>
            <w:r w:rsidRPr="004B00CC">
              <w:t>, kurā ietver būvniecības ierosinātāja norādīto informāciju, kā arī atlikto būvdarbu apjomus un to izpildes termiņus.</w:t>
            </w:r>
          </w:p>
          <w:p w:rsidR="00EA44B0" w:rsidRPr="004B00CC" w:rsidRDefault="00EA44B0" w:rsidP="00296BDA">
            <w:pPr>
              <w:pStyle w:val="naisc"/>
              <w:spacing w:before="0" w:after="0"/>
              <w:ind w:left="57" w:right="57"/>
              <w:contextualSpacing/>
              <w:jc w:val="both"/>
            </w:pPr>
          </w:p>
        </w:tc>
        <w:tc>
          <w:tcPr>
            <w:tcW w:w="4386" w:type="dxa"/>
            <w:tcBorders>
              <w:top w:val="single" w:sz="6" w:space="0" w:color="000000"/>
              <w:left w:val="single" w:sz="6" w:space="0" w:color="000000"/>
              <w:bottom w:val="single" w:sz="6" w:space="0" w:color="000000"/>
              <w:right w:val="single" w:sz="6" w:space="0" w:color="000000"/>
            </w:tcBorders>
          </w:tcPr>
          <w:p w:rsidR="00EA44B0" w:rsidRPr="00BB5F82" w:rsidRDefault="00EA44B0" w:rsidP="00296BDA">
            <w:pPr>
              <w:pStyle w:val="naisc"/>
              <w:spacing w:before="0" w:after="0"/>
              <w:ind w:left="57" w:right="57"/>
              <w:contextualSpacing/>
              <w:jc w:val="both"/>
              <w:rPr>
                <w:b/>
                <w:u w:val="single"/>
              </w:rPr>
            </w:pPr>
            <w:r w:rsidRPr="00BB5F82">
              <w:rPr>
                <w:b/>
                <w:u w:val="single"/>
              </w:rPr>
              <w:lastRenderedPageBreak/>
              <w:t>Latvijas Lielo pilsētu asociācija:</w:t>
            </w:r>
          </w:p>
          <w:p w:rsidR="00EA44B0" w:rsidRPr="004B00CC" w:rsidRDefault="00EA44B0" w:rsidP="00296BDA">
            <w:pPr>
              <w:pStyle w:val="naisc"/>
              <w:spacing w:before="0" w:after="0"/>
              <w:ind w:left="57" w:right="57"/>
              <w:contextualSpacing/>
              <w:jc w:val="both"/>
              <w:rPr>
                <w:b/>
              </w:rPr>
            </w:pPr>
            <w:r w:rsidRPr="004B00CC">
              <w:t>Visas lietas jāizskata vienādos termiņos no dokumentu iesniegšanas, proti, desmit darba dienu laikā neatkarīgi no būves grupas. Tādējādi veidojot loģisku secību izskatāmajiem objektiem, nepieļaujot gadījumus, kad saplānotā secībā jāiekļauj jauns objekts.</w:t>
            </w:r>
          </w:p>
        </w:tc>
        <w:tc>
          <w:tcPr>
            <w:tcW w:w="3275"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contextualSpacing/>
              <w:jc w:val="center"/>
              <w:rPr>
                <w:b/>
                <w:bCs/>
              </w:rPr>
            </w:pPr>
            <w:r w:rsidRPr="004B00CC">
              <w:rPr>
                <w:b/>
                <w:bCs/>
              </w:rPr>
              <w:t>Ņemts vērā</w:t>
            </w:r>
          </w:p>
          <w:p w:rsidR="00EA44B0" w:rsidRPr="004B00CC" w:rsidRDefault="00EA44B0" w:rsidP="00296BDA">
            <w:pPr>
              <w:pStyle w:val="naisc"/>
              <w:spacing w:before="0" w:after="0"/>
              <w:ind w:left="57" w:right="57"/>
              <w:jc w:val="both"/>
              <w:rPr>
                <w:b/>
              </w:rPr>
            </w:pPr>
          </w:p>
        </w:tc>
        <w:tc>
          <w:tcPr>
            <w:tcW w:w="3638" w:type="dxa"/>
            <w:tcBorders>
              <w:top w:val="single" w:sz="4" w:space="0" w:color="auto"/>
              <w:left w:val="single" w:sz="4" w:space="0" w:color="auto"/>
              <w:bottom w:val="single" w:sz="4" w:space="0" w:color="auto"/>
            </w:tcBorders>
          </w:tcPr>
          <w:p w:rsidR="00EA44B0" w:rsidRPr="004B00CC" w:rsidRDefault="00EA44B0" w:rsidP="00296BDA">
            <w:pPr>
              <w:jc w:val="both"/>
            </w:pPr>
            <w:r w:rsidRPr="004B00CC">
              <w:t>1.8</w:t>
            </w:r>
            <w:r w:rsidR="002A78E7">
              <w:t>9</w:t>
            </w:r>
            <w:r w:rsidRPr="004B00CC">
              <w:t>. izteikt 154., 155., 156. un 157. punktu šādā redakcijā:</w:t>
            </w:r>
          </w:p>
          <w:p w:rsidR="00EA44B0" w:rsidRPr="004B00CC" w:rsidRDefault="00EA44B0" w:rsidP="00296BDA">
            <w:pPr>
              <w:jc w:val="both"/>
            </w:pPr>
            <w:r w:rsidRPr="004B00CC">
              <w:t xml:space="preserve">“154. Institūcija, kura pilda būvvaldes funkcijas, pēc šo noteikumu 152. punktā minēto dokumentu saņemšanas 10 darbdienu laikā pārbauda patvaļīgās būvniecības esību, un izdara būvniecības informācijas sistēmā atzīmi par būvdarbu pabeigšanu, </w:t>
            </w:r>
            <w:r w:rsidRPr="004B00CC">
              <w:lastRenderedPageBreak/>
              <w:t xml:space="preserve">bet nojaukšanas gadījumā izdod izziņu par inženierbūves </w:t>
            </w:r>
            <w:proofErr w:type="spellStart"/>
            <w:r w:rsidRPr="004B00CC">
              <w:t>neesību</w:t>
            </w:r>
            <w:proofErr w:type="spellEnd"/>
            <w:r w:rsidRPr="004B00CC">
              <w:t xml:space="preserve"> </w:t>
            </w:r>
            <w:r w:rsidRPr="004B00CC">
              <w:rPr>
                <w:rFonts w:eastAsia="Calibri"/>
              </w:rPr>
              <w:t>būvniecības informācijas sistēmā strukturēto datu veidā</w:t>
            </w:r>
            <w:r w:rsidRPr="004B00CC">
              <w:t>, kurā ietver būvniecības ierosinātāja norādīto informāciju, kā arī atlikto būvdarbu apjomus un to izpildes termiņus.</w:t>
            </w:r>
          </w:p>
          <w:p w:rsidR="00EA44B0" w:rsidRPr="004B00CC" w:rsidRDefault="00EA44B0" w:rsidP="00296BDA">
            <w:pPr>
              <w:pStyle w:val="naisc"/>
              <w:spacing w:before="0" w:after="0"/>
              <w:ind w:left="57" w:right="57"/>
              <w:contextualSpacing/>
              <w:jc w:val="both"/>
            </w:pPr>
          </w:p>
        </w:tc>
      </w:tr>
      <w:tr w:rsidR="00EA44B0" w:rsidRPr="004B00CC" w:rsidTr="00296BDA">
        <w:trPr>
          <w:trHeight w:val="318"/>
        </w:trPr>
        <w:tc>
          <w:tcPr>
            <w:tcW w:w="709"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contextualSpacing/>
              <w:jc w:val="both"/>
            </w:pPr>
            <w:r w:rsidRPr="004B00CC">
              <w:lastRenderedPageBreak/>
              <w:t>2</w:t>
            </w:r>
            <w:r w:rsidR="002A78E7">
              <w:t>3</w:t>
            </w:r>
            <w:r w:rsidRPr="004B00CC">
              <w:t>.</w:t>
            </w:r>
          </w:p>
        </w:tc>
        <w:tc>
          <w:tcPr>
            <w:tcW w:w="3680"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jc w:val="both"/>
            </w:pPr>
            <w:r w:rsidRPr="004B00CC">
              <w:t>1.88. papildināt noteikumus ar 157.</w:t>
            </w:r>
            <w:r w:rsidRPr="004B00CC">
              <w:rPr>
                <w:vertAlign w:val="superscript"/>
              </w:rPr>
              <w:t>1</w:t>
            </w:r>
            <w:r w:rsidRPr="004B00CC">
              <w:t>, 157.</w:t>
            </w:r>
            <w:r w:rsidRPr="004B00CC">
              <w:rPr>
                <w:vertAlign w:val="superscript"/>
              </w:rPr>
              <w:t>2</w:t>
            </w:r>
            <w:r w:rsidRPr="004B00CC">
              <w:t>  un 157.</w:t>
            </w:r>
            <w:r w:rsidRPr="004B00CC">
              <w:rPr>
                <w:vertAlign w:val="superscript"/>
              </w:rPr>
              <w:t>3</w:t>
            </w:r>
            <w:r w:rsidRPr="004B00CC">
              <w:t> punktu šādā redakcijā:</w:t>
            </w:r>
          </w:p>
          <w:p w:rsidR="00EA44B0" w:rsidRPr="004B00CC" w:rsidRDefault="00EA44B0" w:rsidP="00296BDA">
            <w:pPr>
              <w:jc w:val="both"/>
            </w:pPr>
            <w:r w:rsidRPr="004B00CC">
              <w:t>157.</w:t>
            </w:r>
            <w:r w:rsidRPr="004B00CC">
              <w:rPr>
                <w:vertAlign w:val="superscript"/>
              </w:rPr>
              <w:t>3</w:t>
            </w:r>
            <w:r w:rsidRPr="004B00CC">
              <w:t> Pēc šo noteikumu 6.</w:t>
            </w:r>
            <w:r w:rsidRPr="004B00CC">
              <w:rPr>
                <w:vertAlign w:val="superscript"/>
              </w:rPr>
              <w:t>1</w:t>
            </w:r>
            <w:r w:rsidRPr="004B00CC">
              <w:t> 2., 6.</w:t>
            </w:r>
            <w:r w:rsidRPr="004B00CC">
              <w:rPr>
                <w:vertAlign w:val="superscript"/>
              </w:rPr>
              <w:t>1</w:t>
            </w:r>
            <w:r w:rsidRPr="004B00CC">
              <w:t> 3. un 6.</w:t>
            </w:r>
            <w:r w:rsidRPr="004B00CC">
              <w:rPr>
                <w:vertAlign w:val="superscript"/>
              </w:rPr>
              <w:t>1</w:t>
            </w:r>
            <w:r w:rsidRPr="004B00CC">
              <w:t xml:space="preserve"> 4. apakšpunktā minēto būvdarbu pabeigšanas būvniecības ierosinātājs sagatavo inženierbūves novietojuma </w:t>
            </w:r>
            <w:proofErr w:type="spellStart"/>
            <w:r w:rsidRPr="004B00CC">
              <w:t>izpildmērījuma</w:t>
            </w:r>
            <w:proofErr w:type="spellEnd"/>
            <w:r w:rsidRPr="004B00CC">
              <w:t xml:space="preserve"> plānu (šo noteikumu 146. punktā minētajos gadījumos) atbilstoši augstas detalizācijas topogrāfiskās informācijas jomas normatīvajiem aktiem.”;</w:t>
            </w:r>
          </w:p>
          <w:p w:rsidR="00EA44B0" w:rsidRPr="004B00CC" w:rsidRDefault="00EA44B0" w:rsidP="00296BDA">
            <w:pPr>
              <w:pStyle w:val="naisc"/>
              <w:spacing w:before="0" w:after="0"/>
              <w:ind w:left="57" w:right="57"/>
              <w:contextualSpacing/>
              <w:jc w:val="both"/>
            </w:pPr>
          </w:p>
        </w:tc>
        <w:tc>
          <w:tcPr>
            <w:tcW w:w="4386" w:type="dxa"/>
            <w:tcBorders>
              <w:top w:val="single" w:sz="6" w:space="0" w:color="000000"/>
              <w:left w:val="single" w:sz="6" w:space="0" w:color="000000"/>
              <w:bottom w:val="single" w:sz="6" w:space="0" w:color="000000"/>
              <w:right w:val="single" w:sz="6" w:space="0" w:color="000000"/>
            </w:tcBorders>
          </w:tcPr>
          <w:p w:rsidR="00EA44B0" w:rsidRPr="00BB5F82" w:rsidRDefault="00EA44B0" w:rsidP="00296BDA">
            <w:pPr>
              <w:pStyle w:val="naisc"/>
              <w:spacing w:before="0" w:after="0"/>
              <w:ind w:left="57" w:right="57"/>
              <w:contextualSpacing/>
              <w:jc w:val="both"/>
              <w:rPr>
                <w:b/>
                <w:u w:val="single"/>
              </w:rPr>
            </w:pPr>
            <w:r w:rsidRPr="00BB5F82">
              <w:rPr>
                <w:b/>
                <w:u w:val="single"/>
              </w:rPr>
              <w:t>Latvijas Lielo pilsētu asociācija:</w:t>
            </w:r>
          </w:p>
          <w:p w:rsidR="00EA44B0" w:rsidRPr="004B00CC" w:rsidRDefault="00EA44B0" w:rsidP="00296BDA">
            <w:pPr>
              <w:pStyle w:val="naisc"/>
              <w:spacing w:before="0" w:after="0"/>
              <w:ind w:left="57" w:right="57"/>
              <w:contextualSpacing/>
              <w:jc w:val="both"/>
              <w:rPr>
                <w:b/>
              </w:rPr>
            </w:pPr>
            <w:r w:rsidRPr="004B00CC">
              <w:rPr>
                <w:bCs/>
                <w:iCs/>
              </w:rPr>
              <w:t xml:space="preserve">Inženierbūves novietojuma </w:t>
            </w:r>
            <w:proofErr w:type="spellStart"/>
            <w:r w:rsidRPr="004B00CC">
              <w:rPr>
                <w:bCs/>
                <w:iCs/>
              </w:rPr>
              <w:t>izpildmērījuma</w:t>
            </w:r>
            <w:proofErr w:type="spellEnd"/>
            <w:r w:rsidRPr="004B00CC">
              <w:rPr>
                <w:bCs/>
                <w:iCs/>
              </w:rPr>
              <w:t xml:space="preserve"> plāns jāsagatavo un jāpievieno BIS pirms apstiprina būvdarbu pabeigšanu. Un tikai pēc plāna pievienošanas būvniecības ierosinātājam iespējams apstiprināt būvdarbu pabeigšanu.</w:t>
            </w:r>
          </w:p>
        </w:tc>
        <w:tc>
          <w:tcPr>
            <w:tcW w:w="3275"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contextualSpacing/>
              <w:jc w:val="center"/>
              <w:rPr>
                <w:b/>
                <w:bCs/>
              </w:rPr>
            </w:pPr>
            <w:r w:rsidRPr="004B00CC">
              <w:rPr>
                <w:b/>
                <w:bCs/>
              </w:rPr>
              <w:t>Panākta vienošanās starpinstitūciju sanāksmē</w:t>
            </w:r>
          </w:p>
          <w:p w:rsidR="00EA44B0" w:rsidRPr="004B00CC" w:rsidRDefault="00EA44B0" w:rsidP="00296BDA">
            <w:pPr>
              <w:jc w:val="both"/>
            </w:pPr>
            <w:r w:rsidRPr="004B00CC">
              <w:rPr>
                <w:bCs/>
              </w:rPr>
              <w:t>Paziņošanas kārtībā nav pienākums pievienot BIS i</w:t>
            </w:r>
            <w:r w:rsidRPr="004B00CC">
              <w:rPr>
                <w:bCs/>
                <w:iCs/>
              </w:rPr>
              <w:t xml:space="preserve">nženierbūves novietojuma </w:t>
            </w:r>
            <w:proofErr w:type="spellStart"/>
            <w:r w:rsidRPr="004B00CC">
              <w:rPr>
                <w:bCs/>
                <w:iCs/>
              </w:rPr>
              <w:t>izpildmērījuma</w:t>
            </w:r>
            <w:proofErr w:type="spellEnd"/>
            <w:r w:rsidRPr="004B00CC">
              <w:rPr>
                <w:bCs/>
                <w:iCs/>
              </w:rPr>
              <w:t xml:space="preserve"> plānu. Tomēr būvniecības ierosinātājam </w:t>
            </w:r>
            <w:r w:rsidRPr="004B00CC">
              <w:rPr>
                <w:bCs/>
              </w:rPr>
              <w:t>i</w:t>
            </w:r>
            <w:r w:rsidRPr="004B00CC">
              <w:rPr>
                <w:bCs/>
                <w:iCs/>
              </w:rPr>
              <w:t xml:space="preserve">nženierbūves novietojuma </w:t>
            </w:r>
            <w:proofErr w:type="spellStart"/>
            <w:r w:rsidRPr="004B00CC">
              <w:rPr>
                <w:bCs/>
                <w:iCs/>
              </w:rPr>
              <w:t>izpildmērījuma</w:t>
            </w:r>
            <w:proofErr w:type="spellEnd"/>
            <w:r w:rsidRPr="004B00CC">
              <w:rPr>
                <w:bCs/>
                <w:iCs/>
              </w:rPr>
              <w:t xml:space="preserve"> plāns ir jāiesniedz v</w:t>
            </w:r>
            <w:r w:rsidRPr="004B00CC">
              <w:t>ietējās pašvaldības datubāzes turētājam atbilstoši augstas detalizācijas topogrāfiskās informācijas jomas normatīvajiem aktiem.</w:t>
            </w:r>
          </w:p>
          <w:p w:rsidR="00EA44B0" w:rsidRPr="004B00CC" w:rsidRDefault="00EA44B0" w:rsidP="00296BDA">
            <w:pPr>
              <w:jc w:val="both"/>
              <w:rPr>
                <w:bCs/>
              </w:rPr>
            </w:pPr>
          </w:p>
        </w:tc>
        <w:tc>
          <w:tcPr>
            <w:tcW w:w="3638" w:type="dxa"/>
            <w:tcBorders>
              <w:top w:val="single" w:sz="4" w:space="0" w:color="auto"/>
              <w:left w:val="single" w:sz="4" w:space="0" w:color="auto"/>
              <w:bottom w:val="single" w:sz="4" w:space="0" w:color="auto"/>
            </w:tcBorders>
          </w:tcPr>
          <w:p w:rsidR="00EA44B0" w:rsidRPr="004B00CC" w:rsidRDefault="00EA44B0" w:rsidP="00296BDA">
            <w:pPr>
              <w:jc w:val="both"/>
            </w:pPr>
            <w:r w:rsidRPr="004B00CC">
              <w:t>1.</w:t>
            </w:r>
            <w:r w:rsidR="002A78E7">
              <w:t>90</w:t>
            </w:r>
            <w:r w:rsidRPr="004B00CC">
              <w:t>. papildināt noteikumus ar 157.</w:t>
            </w:r>
            <w:r w:rsidRPr="004B00CC">
              <w:rPr>
                <w:vertAlign w:val="superscript"/>
              </w:rPr>
              <w:t>1</w:t>
            </w:r>
            <w:r w:rsidRPr="004B00CC">
              <w:t>, 157.</w:t>
            </w:r>
            <w:r w:rsidRPr="004B00CC">
              <w:rPr>
                <w:vertAlign w:val="superscript"/>
              </w:rPr>
              <w:t>2</w:t>
            </w:r>
            <w:r w:rsidRPr="004B00CC">
              <w:t>  un 157.</w:t>
            </w:r>
            <w:r w:rsidRPr="004B00CC">
              <w:rPr>
                <w:vertAlign w:val="superscript"/>
              </w:rPr>
              <w:t>3</w:t>
            </w:r>
            <w:r w:rsidRPr="004B00CC">
              <w:t> punktu šādā redakcijā:</w:t>
            </w:r>
          </w:p>
          <w:p w:rsidR="00EA44B0" w:rsidRPr="004B00CC" w:rsidRDefault="00EA44B0" w:rsidP="00296BDA">
            <w:pPr>
              <w:jc w:val="both"/>
            </w:pPr>
            <w:r w:rsidRPr="004B00CC">
              <w:t>157.</w:t>
            </w:r>
            <w:r w:rsidRPr="004B00CC">
              <w:rPr>
                <w:vertAlign w:val="superscript"/>
              </w:rPr>
              <w:t>2</w:t>
            </w:r>
            <w:r w:rsidRPr="004B00CC">
              <w:t> Pēc šo noteikumu 6.</w:t>
            </w:r>
            <w:r w:rsidRPr="004B00CC">
              <w:rPr>
                <w:vertAlign w:val="superscript"/>
              </w:rPr>
              <w:t>1</w:t>
            </w:r>
            <w:r w:rsidRPr="004B00CC">
              <w:t> 2., 6.</w:t>
            </w:r>
            <w:r w:rsidRPr="004B00CC">
              <w:rPr>
                <w:vertAlign w:val="superscript"/>
              </w:rPr>
              <w:t>1</w:t>
            </w:r>
            <w:r w:rsidRPr="004B00CC">
              <w:t> 3. un 6.</w:t>
            </w:r>
            <w:r w:rsidRPr="004B00CC">
              <w:rPr>
                <w:vertAlign w:val="superscript"/>
              </w:rPr>
              <w:t>1</w:t>
            </w:r>
            <w:r w:rsidRPr="004B00CC">
              <w:t xml:space="preserve"> 4. apakšpunktā minēto būvdarbu pabeigšanas būvniecības ierosinātājs sagatavo inženierbūves novietojuma </w:t>
            </w:r>
            <w:proofErr w:type="spellStart"/>
            <w:r w:rsidRPr="004B00CC">
              <w:t>izpildmērījuma</w:t>
            </w:r>
            <w:proofErr w:type="spellEnd"/>
            <w:r w:rsidRPr="004B00CC">
              <w:t xml:space="preserve"> plānu (šo noteikumu 146. punktā minētajos gadījumos).”;</w:t>
            </w:r>
          </w:p>
          <w:p w:rsidR="00EA44B0" w:rsidRPr="004B00CC" w:rsidRDefault="00EA44B0" w:rsidP="00296BDA">
            <w:pPr>
              <w:ind w:firstLine="720"/>
              <w:jc w:val="both"/>
            </w:pPr>
          </w:p>
          <w:p w:rsidR="00EA44B0" w:rsidRPr="004B00CC" w:rsidRDefault="00EA44B0" w:rsidP="00296BDA">
            <w:pPr>
              <w:pStyle w:val="tv213"/>
              <w:shd w:val="clear" w:color="auto" w:fill="FFFFFF"/>
              <w:spacing w:before="0" w:beforeAutospacing="0" w:after="0" w:afterAutospacing="0"/>
              <w:jc w:val="both"/>
              <w:rPr>
                <w:shd w:val="clear" w:color="auto" w:fill="FFFFFF"/>
                <w:lang w:eastAsia="en-US"/>
              </w:rPr>
            </w:pPr>
            <w:r w:rsidRPr="004B00CC">
              <w:rPr>
                <w:shd w:val="clear" w:color="auto" w:fill="FFFFFF"/>
                <w:lang w:eastAsia="en-US"/>
              </w:rPr>
              <w:t>157.</w:t>
            </w:r>
            <w:r w:rsidRPr="004B00CC">
              <w:rPr>
                <w:shd w:val="clear" w:color="auto" w:fill="FFFFFF"/>
                <w:vertAlign w:val="superscript"/>
                <w:lang w:eastAsia="en-US"/>
              </w:rPr>
              <w:t>3</w:t>
            </w:r>
            <w:r w:rsidRPr="004B00CC">
              <w:rPr>
                <w:shd w:val="clear" w:color="auto" w:fill="FFFFFF"/>
                <w:lang w:eastAsia="en-US"/>
              </w:rPr>
              <w:t xml:space="preserve"> Būvniecības ierosinātājs līdz paziņojumā par būvniecību norādītajā būvdarbu pabeigšanas termiņam būvniecības informācijas sistēmā: </w:t>
            </w:r>
          </w:p>
          <w:p w:rsidR="00EA44B0" w:rsidRPr="004B00CC" w:rsidRDefault="00EA44B0" w:rsidP="00296BDA">
            <w:pPr>
              <w:pStyle w:val="tv213"/>
              <w:shd w:val="clear" w:color="auto" w:fill="FFFFFF"/>
              <w:spacing w:before="0" w:beforeAutospacing="0" w:after="0" w:afterAutospacing="0"/>
              <w:jc w:val="both"/>
              <w:rPr>
                <w:shd w:val="clear" w:color="auto" w:fill="FFFFFF"/>
                <w:lang w:eastAsia="en-US"/>
              </w:rPr>
            </w:pPr>
            <w:r w:rsidRPr="004B00CC">
              <w:rPr>
                <w:shd w:val="clear" w:color="auto" w:fill="FFFFFF"/>
                <w:lang w:eastAsia="en-US"/>
              </w:rPr>
              <w:t>157.</w:t>
            </w:r>
            <w:r w:rsidRPr="004B00CC">
              <w:rPr>
                <w:shd w:val="clear" w:color="auto" w:fill="FFFFFF"/>
                <w:vertAlign w:val="superscript"/>
                <w:lang w:eastAsia="en-US"/>
              </w:rPr>
              <w:t>3</w:t>
            </w:r>
            <w:r w:rsidRPr="004B00CC">
              <w:rPr>
                <w:shd w:val="clear" w:color="auto" w:fill="FFFFFF"/>
                <w:lang w:eastAsia="en-US"/>
              </w:rPr>
              <w:t> 1. </w:t>
            </w:r>
            <w:r w:rsidRPr="004B00CC">
              <w:rPr>
                <w:shd w:val="clear" w:color="auto" w:fill="FFFFFF"/>
              </w:rPr>
              <w:t xml:space="preserve">pēc </w:t>
            </w:r>
            <w:r w:rsidRPr="004B00CC">
              <w:t xml:space="preserve">inženierbūves novietojuma </w:t>
            </w:r>
            <w:proofErr w:type="spellStart"/>
            <w:r w:rsidRPr="004B00CC">
              <w:t>izpildmērījuma</w:t>
            </w:r>
            <w:proofErr w:type="spellEnd"/>
            <w:r w:rsidRPr="004B00CC">
              <w:t xml:space="preserve"> plāna (šo noteikumu 146. punktā minētajos gadījumos) iesniegšanas </w:t>
            </w:r>
            <w:r w:rsidRPr="004B00CC">
              <w:lastRenderedPageBreak/>
              <w:t>pašvaldībā</w:t>
            </w:r>
            <w:r w:rsidRPr="004B00CC">
              <w:rPr>
                <w:shd w:val="clear" w:color="auto" w:fill="FFFFFF"/>
              </w:rPr>
              <w:t xml:space="preserve"> </w:t>
            </w:r>
            <w:r w:rsidRPr="004B00CC">
              <w:rPr>
                <w:shd w:val="clear" w:color="auto" w:fill="FFFFFF"/>
                <w:lang w:eastAsia="en-US"/>
              </w:rPr>
              <w:t xml:space="preserve">apstiprina būvdarbu pabeigšanu, ja tie ir pabeigti; </w:t>
            </w:r>
          </w:p>
          <w:p w:rsidR="00EA44B0" w:rsidRPr="004B00CC" w:rsidRDefault="00EA44B0" w:rsidP="00296BDA">
            <w:pPr>
              <w:pStyle w:val="tv213"/>
              <w:shd w:val="clear" w:color="auto" w:fill="FFFFFF"/>
              <w:spacing w:before="0" w:beforeAutospacing="0" w:after="0" w:afterAutospacing="0"/>
              <w:jc w:val="both"/>
              <w:rPr>
                <w:shd w:val="clear" w:color="auto" w:fill="FFFFFF"/>
                <w:lang w:eastAsia="en-US"/>
              </w:rPr>
            </w:pPr>
            <w:r w:rsidRPr="004B00CC">
              <w:rPr>
                <w:shd w:val="clear" w:color="auto" w:fill="FFFFFF"/>
                <w:lang w:eastAsia="en-US"/>
              </w:rPr>
              <w:t>157.</w:t>
            </w:r>
            <w:r w:rsidRPr="004B00CC">
              <w:rPr>
                <w:shd w:val="clear" w:color="auto" w:fill="FFFFFF"/>
                <w:vertAlign w:val="superscript"/>
                <w:lang w:eastAsia="en-US"/>
              </w:rPr>
              <w:t>3</w:t>
            </w:r>
            <w:r w:rsidRPr="004B00CC">
              <w:rPr>
                <w:shd w:val="clear" w:color="auto" w:fill="FFFFFF"/>
                <w:lang w:eastAsia="en-US"/>
              </w:rPr>
              <w:t> 2. pagarina būvdarbu izpildes termiņu, ja plānotie būvdarbi ir uzsākti, bet nav pabeigti;</w:t>
            </w:r>
          </w:p>
          <w:p w:rsidR="00EA44B0" w:rsidRPr="004B00CC" w:rsidRDefault="00EA44B0" w:rsidP="00296BDA">
            <w:pPr>
              <w:pStyle w:val="tv213"/>
              <w:shd w:val="clear" w:color="auto" w:fill="FFFFFF"/>
              <w:spacing w:before="0" w:beforeAutospacing="0" w:after="0" w:afterAutospacing="0"/>
              <w:jc w:val="both"/>
              <w:rPr>
                <w:shd w:val="clear" w:color="auto" w:fill="FFFFFF"/>
                <w:lang w:eastAsia="en-US"/>
              </w:rPr>
            </w:pPr>
            <w:r w:rsidRPr="004B00CC">
              <w:rPr>
                <w:shd w:val="clear" w:color="auto" w:fill="FFFFFF"/>
                <w:lang w:eastAsia="en-US"/>
              </w:rPr>
              <w:t>157.</w:t>
            </w:r>
            <w:r w:rsidRPr="004B00CC">
              <w:rPr>
                <w:shd w:val="clear" w:color="auto" w:fill="FFFFFF"/>
                <w:vertAlign w:val="superscript"/>
                <w:lang w:eastAsia="en-US"/>
              </w:rPr>
              <w:t>3</w:t>
            </w:r>
            <w:r w:rsidRPr="004B00CC">
              <w:rPr>
                <w:shd w:val="clear" w:color="auto" w:fill="FFFFFF"/>
                <w:lang w:eastAsia="en-US"/>
              </w:rPr>
              <w:t> 3. atceļ paziņojumu par būvniecību, jo plānotie būvdarbi nav uzsākti un netiks veikti.</w:t>
            </w:r>
          </w:p>
          <w:p w:rsidR="00EA44B0" w:rsidRPr="004B00CC" w:rsidRDefault="00EA44B0" w:rsidP="00296BDA">
            <w:pPr>
              <w:ind w:left="57" w:right="57"/>
              <w:contextualSpacing/>
              <w:jc w:val="both"/>
            </w:pPr>
          </w:p>
        </w:tc>
      </w:tr>
      <w:tr w:rsidR="00EA44B0" w:rsidRPr="004B00CC" w:rsidTr="00296BDA">
        <w:trPr>
          <w:trHeight w:val="318"/>
        </w:trPr>
        <w:tc>
          <w:tcPr>
            <w:tcW w:w="709"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contextualSpacing/>
              <w:jc w:val="both"/>
            </w:pPr>
            <w:r w:rsidRPr="004B00CC">
              <w:lastRenderedPageBreak/>
              <w:t>2</w:t>
            </w:r>
            <w:r w:rsidR="002A78E7">
              <w:t>4</w:t>
            </w:r>
            <w:r w:rsidRPr="004B00CC">
              <w:t>.</w:t>
            </w:r>
          </w:p>
        </w:tc>
        <w:tc>
          <w:tcPr>
            <w:tcW w:w="3680"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tabs>
                <w:tab w:val="left" w:pos="1530"/>
              </w:tabs>
              <w:jc w:val="both"/>
            </w:pPr>
            <w:r w:rsidRPr="004B00CC">
              <w:t>1.95. aizstāt 182. punktā vārdus “ar aktu pieņem inženierbūvi ekspluatācijā” ar vārdiem “izdod aktu būvniecības informācijas sistēmā strukturēto datu veidā, kurā ietver būvniecības ierosinātāja norādīto informāciju”;</w:t>
            </w:r>
          </w:p>
          <w:p w:rsidR="00EA44B0" w:rsidRPr="004B00CC" w:rsidRDefault="00EA44B0" w:rsidP="00296BDA">
            <w:pPr>
              <w:pStyle w:val="naisc"/>
              <w:spacing w:before="0" w:after="0"/>
              <w:ind w:left="57" w:right="57"/>
              <w:contextualSpacing/>
              <w:jc w:val="both"/>
            </w:pPr>
          </w:p>
        </w:tc>
        <w:tc>
          <w:tcPr>
            <w:tcW w:w="4386" w:type="dxa"/>
            <w:tcBorders>
              <w:top w:val="single" w:sz="6" w:space="0" w:color="000000"/>
              <w:left w:val="single" w:sz="6" w:space="0" w:color="000000"/>
              <w:bottom w:val="single" w:sz="6" w:space="0" w:color="000000"/>
              <w:right w:val="single" w:sz="6" w:space="0" w:color="000000"/>
            </w:tcBorders>
          </w:tcPr>
          <w:p w:rsidR="00EA44B0" w:rsidRPr="00BB5F82" w:rsidRDefault="00EA44B0" w:rsidP="00296BDA">
            <w:pPr>
              <w:pStyle w:val="naisc"/>
              <w:spacing w:before="0" w:after="0"/>
              <w:ind w:left="57" w:right="57"/>
              <w:contextualSpacing/>
              <w:jc w:val="both"/>
              <w:rPr>
                <w:b/>
                <w:u w:val="single"/>
              </w:rPr>
            </w:pPr>
            <w:r w:rsidRPr="00BB5F82">
              <w:rPr>
                <w:b/>
                <w:u w:val="single"/>
              </w:rPr>
              <w:t>Latvijas Lielo pilsētu asociācija:</w:t>
            </w:r>
          </w:p>
          <w:p w:rsidR="00EA44B0" w:rsidRPr="004B00CC" w:rsidRDefault="00EA44B0" w:rsidP="00296BDA">
            <w:pPr>
              <w:pStyle w:val="CommentText"/>
              <w:spacing w:after="0"/>
              <w:jc w:val="both"/>
              <w:rPr>
                <w:rFonts w:ascii="Times New Roman" w:hAnsi="Times New Roman"/>
                <w:bCs/>
                <w:iCs/>
                <w:sz w:val="24"/>
                <w:szCs w:val="24"/>
              </w:rPr>
            </w:pPr>
            <w:r w:rsidRPr="004B00CC">
              <w:rPr>
                <w:rFonts w:ascii="Times New Roman" w:hAnsi="Times New Roman"/>
                <w:bCs/>
                <w:iCs/>
                <w:sz w:val="24"/>
                <w:szCs w:val="24"/>
              </w:rPr>
              <w:t xml:space="preserve">Punkts jāpapildina ar sekojošu papildinājumu: </w:t>
            </w:r>
          </w:p>
          <w:p w:rsidR="00EA44B0" w:rsidRPr="004B00CC" w:rsidRDefault="00EA44B0" w:rsidP="00296BDA">
            <w:pPr>
              <w:pStyle w:val="CommentText"/>
              <w:spacing w:after="0"/>
              <w:jc w:val="both"/>
              <w:rPr>
                <w:rFonts w:ascii="Times New Roman" w:hAnsi="Times New Roman"/>
                <w:bCs/>
                <w:iCs/>
                <w:sz w:val="24"/>
                <w:szCs w:val="24"/>
              </w:rPr>
            </w:pPr>
            <w:r w:rsidRPr="004B00CC">
              <w:rPr>
                <w:rFonts w:ascii="Times New Roman" w:hAnsi="Times New Roman"/>
                <w:bCs/>
                <w:i/>
                <w:iCs/>
                <w:sz w:val="24"/>
                <w:szCs w:val="24"/>
              </w:rPr>
              <w:t>“izņemot gadījumus, kad būvniecības process netiek veikts būvniecības informācijas sistēmā.”</w:t>
            </w:r>
            <w:r w:rsidRPr="004B00CC">
              <w:rPr>
                <w:rFonts w:ascii="Times New Roman" w:hAnsi="Times New Roman"/>
                <w:bCs/>
                <w:iCs/>
                <w:sz w:val="24"/>
                <w:szCs w:val="24"/>
              </w:rPr>
              <w:t xml:space="preserve"> </w:t>
            </w:r>
          </w:p>
          <w:p w:rsidR="00EA44B0" w:rsidRPr="004B00CC" w:rsidRDefault="00EA44B0" w:rsidP="00296BDA">
            <w:pPr>
              <w:pStyle w:val="naisc"/>
              <w:spacing w:before="0" w:after="0"/>
              <w:ind w:left="57" w:right="57"/>
              <w:contextualSpacing/>
              <w:jc w:val="both"/>
              <w:rPr>
                <w:bCs/>
                <w:iCs/>
              </w:rPr>
            </w:pPr>
            <w:r w:rsidRPr="004B00CC">
              <w:rPr>
                <w:bCs/>
                <w:iCs/>
              </w:rPr>
              <w:t>Būvvaldēs joprojām vēršas cilvēki par ēku nodošanu ekspluatācijā, kuriem ir būvprojekts papīra formātā un kuriem nav iespējas saņemt aktu elektroniski attiecīgi šajos gadījumos būtu jāsaglabā iespēja saņemt aktu par būves pieņemšanu ekspluatācijā izdrukātā veidā.</w:t>
            </w:r>
          </w:p>
          <w:p w:rsidR="00EA44B0" w:rsidRPr="004B00CC" w:rsidRDefault="00EA44B0" w:rsidP="00296BDA">
            <w:pPr>
              <w:pStyle w:val="naisc"/>
              <w:spacing w:before="0" w:after="0"/>
              <w:ind w:left="57" w:right="57"/>
              <w:contextualSpacing/>
              <w:jc w:val="both"/>
              <w:rPr>
                <w:b/>
              </w:rPr>
            </w:pPr>
          </w:p>
        </w:tc>
        <w:tc>
          <w:tcPr>
            <w:tcW w:w="3275"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contextualSpacing/>
              <w:jc w:val="center"/>
              <w:rPr>
                <w:b/>
                <w:bCs/>
              </w:rPr>
            </w:pPr>
            <w:r w:rsidRPr="004B00CC">
              <w:rPr>
                <w:b/>
                <w:bCs/>
              </w:rPr>
              <w:t>Panākta vienošanās starpinstitūciju sanāksmē</w:t>
            </w:r>
          </w:p>
          <w:p w:rsidR="00EA44B0" w:rsidRPr="004B00CC" w:rsidRDefault="00EA44B0" w:rsidP="00296BDA">
            <w:pPr>
              <w:contextualSpacing/>
              <w:jc w:val="both"/>
            </w:pPr>
            <w:r w:rsidRPr="004B00CC">
              <w:t>Būvniecības likuma 12.panta septītā daļa nosaka, ka būvvalde būvniecības un ekspluatācijas kontroles ietvaros nepieciešamās procesuālās darbības atspoguļo un lēmumus izdod būvniecības informācijas sistēmā, ievērojot šā panta astoto daļu. Ja nepieciešams, šādos gadījumos sagatavo akta norakstu no būvniecības informācijas sistēmas.</w:t>
            </w:r>
          </w:p>
          <w:p w:rsidR="00EA44B0" w:rsidRPr="004B00CC" w:rsidRDefault="00EA44B0" w:rsidP="00296BDA">
            <w:pPr>
              <w:contextualSpacing/>
              <w:jc w:val="both"/>
            </w:pPr>
          </w:p>
        </w:tc>
        <w:tc>
          <w:tcPr>
            <w:tcW w:w="3638" w:type="dxa"/>
            <w:tcBorders>
              <w:top w:val="single" w:sz="4" w:space="0" w:color="auto"/>
              <w:left w:val="single" w:sz="4" w:space="0" w:color="auto"/>
              <w:bottom w:val="single" w:sz="4" w:space="0" w:color="auto"/>
            </w:tcBorders>
          </w:tcPr>
          <w:p w:rsidR="00EA44B0" w:rsidRPr="004B00CC" w:rsidRDefault="00EA44B0" w:rsidP="00296BDA">
            <w:pPr>
              <w:tabs>
                <w:tab w:val="left" w:pos="1530"/>
              </w:tabs>
              <w:jc w:val="both"/>
            </w:pPr>
            <w:r w:rsidRPr="004B00CC">
              <w:t>1.9</w:t>
            </w:r>
            <w:r w:rsidR="002A78E7">
              <w:t>7</w:t>
            </w:r>
            <w:r w:rsidRPr="004B00CC">
              <w:t>. aizstāt 182. punktā vārdus “ar aktu pieņem inženierbūvi ekspluatācijā” ar vārdiem “izdod aktu būvniecības informācijas sistēmā strukturēto datu veidā, kurā ietver būvniecības ierosinātāja norādīto informāciju”;</w:t>
            </w:r>
          </w:p>
          <w:p w:rsidR="00EA44B0" w:rsidRPr="004B00CC" w:rsidRDefault="00EA44B0" w:rsidP="00296BDA">
            <w:pPr>
              <w:ind w:left="57" w:right="57"/>
              <w:contextualSpacing/>
              <w:jc w:val="both"/>
            </w:pPr>
          </w:p>
        </w:tc>
      </w:tr>
      <w:tr w:rsidR="00EA44B0" w:rsidRPr="004B00CC" w:rsidTr="00296BDA">
        <w:trPr>
          <w:trHeight w:val="318"/>
        </w:trPr>
        <w:tc>
          <w:tcPr>
            <w:tcW w:w="709"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contextualSpacing/>
              <w:jc w:val="both"/>
            </w:pPr>
            <w:r w:rsidRPr="004B00CC">
              <w:t>2</w:t>
            </w:r>
            <w:r w:rsidR="002A78E7">
              <w:t>5</w:t>
            </w:r>
            <w:r w:rsidRPr="004B00CC">
              <w:t>.</w:t>
            </w:r>
          </w:p>
          <w:p w:rsidR="00EA44B0" w:rsidRPr="004B00CC" w:rsidRDefault="00EA44B0" w:rsidP="00296BDA">
            <w:pPr>
              <w:pStyle w:val="naisc"/>
              <w:spacing w:before="0" w:after="0"/>
              <w:ind w:left="57" w:right="57"/>
              <w:contextualSpacing/>
              <w:jc w:val="both"/>
            </w:pPr>
          </w:p>
        </w:tc>
        <w:tc>
          <w:tcPr>
            <w:tcW w:w="3680"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jc w:val="both"/>
              <w:rPr>
                <w:shd w:val="clear" w:color="auto" w:fill="FFFFFF"/>
              </w:rPr>
            </w:pPr>
            <w:r w:rsidRPr="004B00CC">
              <w:rPr>
                <w:shd w:val="clear" w:color="auto" w:fill="FFFFFF"/>
              </w:rPr>
              <w:t>2. Noteikumi stājas spēkā 2021. gada 1. jūlijā.</w:t>
            </w:r>
          </w:p>
          <w:p w:rsidR="00EA44B0" w:rsidRPr="004B00CC" w:rsidRDefault="00EA44B0" w:rsidP="00296BDA">
            <w:pPr>
              <w:pStyle w:val="naisc"/>
              <w:spacing w:before="0" w:after="0"/>
              <w:ind w:left="57" w:right="57"/>
              <w:contextualSpacing/>
              <w:jc w:val="both"/>
            </w:pPr>
          </w:p>
        </w:tc>
        <w:tc>
          <w:tcPr>
            <w:tcW w:w="4386" w:type="dxa"/>
            <w:tcBorders>
              <w:top w:val="single" w:sz="6" w:space="0" w:color="000000"/>
              <w:left w:val="single" w:sz="6" w:space="0" w:color="000000"/>
              <w:bottom w:val="single" w:sz="6" w:space="0" w:color="000000"/>
              <w:right w:val="single" w:sz="6" w:space="0" w:color="000000"/>
            </w:tcBorders>
          </w:tcPr>
          <w:p w:rsidR="00EA44B0" w:rsidRPr="00BB5F82" w:rsidRDefault="00EA44B0" w:rsidP="00296BDA">
            <w:pPr>
              <w:pStyle w:val="naisc"/>
              <w:spacing w:before="0" w:after="0"/>
              <w:ind w:left="57" w:right="57"/>
              <w:contextualSpacing/>
              <w:jc w:val="both"/>
              <w:rPr>
                <w:b/>
                <w:u w:val="single"/>
              </w:rPr>
            </w:pPr>
            <w:r w:rsidRPr="00BB5F82">
              <w:rPr>
                <w:b/>
                <w:u w:val="single"/>
              </w:rPr>
              <w:t>Tieslietu ministrija</w:t>
            </w:r>
          </w:p>
          <w:p w:rsidR="00EA44B0" w:rsidRPr="004B00CC" w:rsidRDefault="00EA44B0" w:rsidP="00296BDA">
            <w:pPr>
              <w:jc w:val="both"/>
            </w:pPr>
            <w:r w:rsidRPr="004B00CC">
              <w:t>4. Projekta 2. punkts paredz, ka projekts stāsies spēkā 2021. gada 1. jūlijā. Lūdzam projekta sākotnējās ietekmes novērtējuma ziņojumā (anotācijā) skaidrot, kāpēc projektam noteikta spēkā stāšanās 2021. gada 1. jūlijā.</w:t>
            </w:r>
          </w:p>
          <w:p w:rsidR="00EA44B0" w:rsidRPr="004B00CC" w:rsidRDefault="00EA44B0" w:rsidP="00296BDA">
            <w:pPr>
              <w:pStyle w:val="naisc"/>
              <w:spacing w:before="0" w:after="0"/>
              <w:ind w:left="57" w:right="57"/>
              <w:contextualSpacing/>
              <w:jc w:val="both"/>
              <w:rPr>
                <w:b/>
              </w:rPr>
            </w:pPr>
          </w:p>
        </w:tc>
        <w:tc>
          <w:tcPr>
            <w:tcW w:w="3275"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rPr>
                <w:b/>
              </w:rPr>
            </w:pPr>
            <w:r w:rsidRPr="004B00CC">
              <w:rPr>
                <w:b/>
              </w:rPr>
              <w:lastRenderedPageBreak/>
              <w:t>Ņemts vērā</w:t>
            </w:r>
          </w:p>
          <w:p w:rsidR="00EA44B0" w:rsidRPr="004B00CC" w:rsidRDefault="00EA44B0" w:rsidP="00296BDA">
            <w:pPr>
              <w:ind w:left="57" w:right="57"/>
              <w:contextualSpacing/>
              <w:jc w:val="both"/>
              <w:rPr>
                <w:iCs/>
              </w:rPr>
            </w:pPr>
            <w:r w:rsidRPr="004B00CC">
              <w:rPr>
                <w:iCs/>
              </w:rPr>
              <w:t>Papildināta anotācija:</w:t>
            </w:r>
          </w:p>
          <w:p w:rsidR="00EA44B0" w:rsidRPr="004B00CC" w:rsidRDefault="00EA44B0" w:rsidP="00296BDA">
            <w:pPr>
              <w:pStyle w:val="naisc"/>
              <w:spacing w:before="0" w:after="0"/>
              <w:ind w:left="57" w:right="57"/>
              <w:jc w:val="both"/>
              <w:rPr>
                <w:iCs/>
              </w:rPr>
            </w:pPr>
            <w:r w:rsidRPr="004B00CC">
              <w:rPr>
                <w:iCs/>
              </w:rPr>
              <w:t xml:space="preserve">[12] Lai nodrošinātu </w:t>
            </w:r>
            <w:r w:rsidRPr="004B00CC">
              <w:rPr>
                <w:lang w:eastAsia="en-US"/>
              </w:rPr>
              <w:t xml:space="preserve">Ministru kabineta noteikumu projekta </w:t>
            </w:r>
            <w:r w:rsidRPr="004B00CC">
              <w:t xml:space="preserve">“Grozījumi Ministru kabineta 2017.gada 9.maija noteikumos Nr.253 “Atsevišķu </w:t>
            </w:r>
            <w:r w:rsidRPr="004B00CC">
              <w:lastRenderedPageBreak/>
              <w:t>inženierbūvju būvnoteikumi””</w:t>
            </w:r>
            <w:r w:rsidRPr="004B00CC">
              <w:rPr>
                <w:lang w:eastAsia="en-US"/>
              </w:rPr>
              <w:t xml:space="preserve"> </w:t>
            </w:r>
            <w:r w:rsidRPr="004B00CC">
              <w:rPr>
                <w:iCs/>
              </w:rPr>
              <w:t>īstenošanai nepieciešamos pielāgošanas darbus būvniecības informācijas sistēmā, noteikumu projektam ir noteikts spēkā stāšanās laiks – 2021. gada 1. novembris.</w:t>
            </w:r>
          </w:p>
          <w:p w:rsidR="00EA44B0" w:rsidRPr="004B00CC" w:rsidRDefault="00EA44B0" w:rsidP="00296BDA">
            <w:pPr>
              <w:pStyle w:val="naisc"/>
              <w:spacing w:before="0" w:after="0"/>
              <w:ind w:left="57" w:right="57"/>
              <w:jc w:val="both"/>
              <w:rPr>
                <w:b/>
              </w:rPr>
            </w:pPr>
          </w:p>
        </w:tc>
        <w:tc>
          <w:tcPr>
            <w:tcW w:w="3638" w:type="dxa"/>
            <w:tcBorders>
              <w:top w:val="single" w:sz="4" w:space="0" w:color="auto"/>
              <w:left w:val="single" w:sz="4" w:space="0" w:color="auto"/>
              <w:bottom w:val="single" w:sz="4" w:space="0" w:color="auto"/>
            </w:tcBorders>
          </w:tcPr>
          <w:p w:rsidR="00EA44B0" w:rsidRPr="004B00CC" w:rsidRDefault="00EA44B0" w:rsidP="00296BDA">
            <w:pPr>
              <w:jc w:val="both"/>
              <w:rPr>
                <w:shd w:val="clear" w:color="auto" w:fill="FFFFFF"/>
              </w:rPr>
            </w:pPr>
            <w:r w:rsidRPr="004B00CC">
              <w:rPr>
                <w:shd w:val="clear" w:color="auto" w:fill="FFFFFF"/>
              </w:rPr>
              <w:lastRenderedPageBreak/>
              <w:t>2. Noteikumi stājas spēkā 2021. gada 1. novembrī.</w:t>
            </w:r>
          </w:p>
          <w:p w:rsidR="00EA44B0" w:rsidRPr="004B00CC" w:rsidRDefault="00EA44B0" w:rsidP="00296BDA">
            <w:pPr>
              <w:ind w:left="57" w:right="57"/>
              <w:contextualSpacing/>
              <w:jc w:val="both"/>
            </w:pPr>
          </w:p>
        </w:tc>
      </w:tr>
      <w:tr w:rsidR="00D62A15" w:rsidRPr="004B00CC" w:rsidTr="00296BDA">
        <w:trPr>
          <w:trHeight w:val="318"/>
        </w:trPr>
        <w:tc>
          <w:tcPr>
            <w:tcW w:w="709" w:type="dxa"/>
            <w:tcBorders>
              <w:top w:val="single" w:sz="6" w:space="0" w:color="000000"/>
              <w:left w:val="single" w:sz="6" w:space="0" w:color="000000"/>
              <w:bottom w:val="single" w:sz="6" w:space="0" w:color="000000"/>
              <w:right w:val="single" w:sz="6" w:space="0" w:color="000000"/>
            </w:tcBorders>
          </w:tcPr>
          <w:p w:rsidR="00D62A15" w:rsidRPr="004B00CC" w:rsidRDefault="00A236B6" w:rsidP="00D62A15">
            <w:pPr>
              <w:pStyle w:val="naisc"/>
              <w:spacing w:before="0" w:after="0"/>
              <w:ind w:left="57" w:right="57"/>
              <w:contextualSpacing/>
              <w:jc w:val="both"/>
            </w:pPr>
            <w:r>
              <w:t>2</w:t>
            </w:r>
            <w:r w:rsidR="002A78E7">
              <w:t>6</w:t>
            </w:r>
            <w:r>
              <w:t>.</w:t>
            </w:r>
          </w:p>
        </w:tc>
        <w:tc>
          <w:tcPr>
            <w:tcW w:w="3680" w:type="dxa"/>
            <w:tcBorders>
              <w:top w:val="single" w:sz="6" w:space="0" w:color="000000"/>
              <w:left w:val="single" w:sz="6" w:space="0" w:color="000000"/>
              <w:bottom w:val="single" w:sz="6" w:space="0" w:color="000000"/>
              <w:right w:val="single" w:sz="6" w:space="0" w:color="000000"/>
            </w:tcBorders>
          </w:tcPr>
          <w:p w:rsidR="00D62A15" w:rsidRDefault="00D62A15" w:rsidP="00D62A15">
            <w:pPr>
              <w:jc w:val="both"/>
              <w:rPr>
                <w:shd w:val="clear" w:color="auto" w:fill="FFFFFF"/>
              </w:rPr>
            </w:pPr>
          </w:p>
          <w:p w:rsidR="00A236B6" w:rsidRDefault="00A236B6" w:rsidP="00D62A15">
            <w:pPr>
              <w:jc w:val="both"/>
              <w:rPr>
                <w:shd w:val="clear" w:color="auto" w:fill="FFFFFF"/>
              </w:rPr>
            </w:pPr>
          </w:p>
          <w:p w:rsidR="00A236B6" w:rsidRDefault="00A236B6" w:rsidP="00D62A15">
            <w:pPr>
              <w:jc w:val="both"/>
              <w:rPr>
                <w:shd w:val="clear" w:color="auto" w:fill="FFFFFF"/>
              </w:rPr>
            </w:pPr>
          </w:p>
          <w:p w:rsidR="00A236B6" w:rsidRDefault="00A236B6" w:rsidP="00D62A15">
            <w:pPr>
              <w:jc w:val="both"/>
              <w:rPr>
                <w:shd w:val="clear" w:color="auto" w:fill="FFFFFF"/>
              </w:rPr>
            </w:pPr>
          </w:p>
          <w:p w:rsidR="00A236B6" w:rsidRPr="004B00CC" w:rsidRDefault="00A236B6" w:rsidP="00A236B6">
            <w:pPr>
              <w:pStyle w:val="naisc"/>
              <w:spacing w:before="0" w:after="0"/>
              <w:ind w:left="57" w:right="57"/>
              <w:contextualSpacing/>
              <w:jc w:val="both"/>
              <w:rPr>
                <w:i/>
                <w:iCs/>
              </w:rPr>
            </w:pPr>
            <w:r w:rsidRPr="004B00CC">
              <w:rPr>
                <w:i/>
                <w:iCs/>
              </w:rPr>
              <w:t>MK noteikumi Nr.573</w:t>
            </w:r>
          </w:p>
          <w:p w:rsidR="00A236B6" w:rsidRPr="004B00CC" w:rsidRDefault="00A236B6" w:rsidP="00A236B6">
            <w:pPr>
              <w:jc w:val="both"/>
              <w:rPr>
                <w:i/>
                <w:iCs/>
              </w:rPr>
            </w:pPr>
            <w:r w:rsidRPr="004B00CC">
              <w:rPr>
                <w:i/>
                <w:iCs/>
              </w:rPr>
              <w:t xml:space="preserve">2.24. </w:t>
            </w:r>
            <w:r w:rsidRPr="004B00CC">
              <w:rPr>
                <w:b/>
                <w:bCs/>
                <w:i/>
                <w:iCs/>
              </w:rPr>
              <w:t>projektēšanas uzdevums</w:t>
            </w:r>
            <w:r w:rsidRPr="004B00CC">
              <w:rPr>
                <w:i/>
                <w:iCs/>
              </w:rPr>
              <w:t xml:space="preserve"> – dokuments, ko pirms būvniecības ieceres izstrādāšanas sastāda būvniecības ieceres ierosinātājs un kurā norāda projektējamās būves galvenās funkcijas un parametrus, būvprojekta veidu, ietveramās sadaļas, būvprojekta izstrādei piemērojamos dokumentus un standartus, būvniecības izpildes secību, ja būvobjekts nododams ekspluatācijā pa būves kārtām, kā arī autoruzraudzības nepieciešamību.</w:t>
            </w:r>
          </w:p>
          <w:p w:rsidR="00A236B6" w:rsidRDefault="00A236B6" w:rsidP="00D62A15">
            <w:pPr>
              <w:jc w:val="both"/>
              <w:rPr>
                <w:shd w:val="clear" w:color="auto" w:fill="FFFFFF"/>
              </w:rPr>
            </w:pPr>
          </w:p>
          <w:p w:rsidR="00A236B6" w:rsidRDefault="00A236B6" w:rsidP="00D62A15">
            <w:pPr>
              <w:jc w:val="both"/>
              <w:rPr>
                <w:shd w:val="clear" w:color="auto" w:fill="FFFFFF"/>
              </w:rPr>
            </w:pPr>
          </w:p>
          <w:p w:rsidR="00A236B6" w:rsidRDefault="00A236B6" w:rsidP="00D62A15">
            <w:pPr>
              <w:jc w:val="both"/>
              <w:rPr>
                <w:shd w:val="clear" w:color="auto" w:fill="FFFFFF"/>
              </w:rPr>
            </w:pPr>
          </w:p>
          <w:p w:rsidR="00A236B6" w:rsidRPr="004B00CC" w:rsidRDefault="00A236B6" w:rsidP="00D62A15">
            <w:pPr>
              <w:jc w:val="both"/>
              <w:rPr>
                <w:shd w:val="clear" w:color="auto" w:fill="FFFFFF"/>
              </w:rPr>
            </w:pPr>
          </w:p>
        </w:tc>
        <w:tc>
          <w:tcPr>
            <w:tcW w:w="4386" w:type="dxa"/>
            <w:tcBorders>
              <w:top w:val="single" w:sz="6" w:space="0" w:color="000000"/>
              <w:left w:val="single" w:sz="6" w:space="0" w:color="000000"/>
              <w:bottom w:val="single" w:sz="6" w:space="0" w:color="000000"/>
              <w:right w:val="single" w:sz="6" w:space="0" w:color="000000"/>
            </w:tcBorders>
          </w:tcPr>
          <w:p w:rsidR="00D62A15" w:rsidRPr="00837BFB" w:rsidRDefault="00D62A15" w:rsidP="00D62A15">
            <w:pPr>
              <w:pStyle w:val="naisc"/>
              <w:spacing w:before="0" w:after="0"/>
              <w:ind w:left="57" w:right="57"/>
              <w:contextualSpacing/>
              <w:jc w:val="both"/>
              <w:rPr>
                <w:b/>
                <w:bCs/>
                <w:u w:val="single"/>
              </w:rPr>
            </w:pPr>
            <w:r w:rsidRPr="00837BFB">
              <w:rPr>
                <w:b/>
                <w:bCs/>
                <w:u w:val="single"/>
              </w:rPr>
              <w:t>Finanšu ministrija</w:t>
            </w:r>
          </w:p>
          <w:p w:rsidR="00D62A15" w:rsidRPr="00837BFB" w:rsidRDefault="00D62A15" w:rsidP="00D62A15">
            <w:pPr>
              <w:pStyle w:val="naisc"/>
              <w:spacing w:before="0" w:after="0"/>
              <w:ind w:left="57" w:right="57"/>
              <w:contextualSpacing/>
              <w:jc w:val="both"/>
              <w:rPr>
                <w:b/>
                <w:bCs/>
                <w:u w:val="single"/>
              </w:rPr>
            </w:pPr>
            <w:r w:rsidRPr="00837BFB">
              <w:rPr>
                <w:b/>
                <w:bCs/>
                <w:u w:val="single"/>
              </w:rPr>
              <w:t>AS “Augstsprieguma tīkls” (16.02.2021.):</w:t>
            </w:r>
          </w:p>
          <w:p w:rsidR="00D62A15" w:rsidRPr="004B00CC" w:rsidRDefault="00D62A15" w:rsidP="00D62A15">
            <w:pPr>
              <w:jc w:val="both"/>
            </w:pPr>
            <w:r w:rsidRPr="004B00CC">
              <w:t>2.MK noteikumi Nr. 253 paredz noteiktas būvniecības dalībnieku darbības ar projektēšanas uzdevumu. Līdz šim projektēšanas uzdevuma definīcija bija noteikta MK noteikumu Nr. 573 2.24. punktā. Ne MK noteikumi Nr. 253, ne arī citi normatīvie akti nenoteic citu projektēšanas uzdevuma definīciju un, zaudējot spēku MK noteikumiem Nr. 573, minētā dokumenta likumā noteiktais skaidrojums tiks dzēsts. Lai izvairītos no neskaidrībām normatīvo aktu piemērošanas jomā, MK noteikumos Nr. 253 iesakāms noteikt Projektēšanas uzdevuma definīciju, saglabājot tā MK noteikumos Nr. 573 noteikto redakciju.</w:t>
            </w:r>
          </w:p>
          <w:p w:rsidR="00D62A15" w:rsidRPr="004B00CC" w:rsidRDefault="00D62A15" w:rsidP="00D62A15">
            <w:pPr>
              <w:pStyle w:val="naisc"/>
              <w:spacing w:before="0" w:after="0"/>
              <w:ind w:left="57" w:right="57"/>
              <w:contextualSpacing/>
              <w:jc w:val="both"/>
            </w:pPr>
          </w:p>
        </w:tc>
        <w:tc>
          <w:tcPr>
            <w:tcW w:w="3275" w:type="dxa"/>
            <w:tcBorders>
              <w:top w:val="single" w:sz="6" w:space="0" w:color="000000"/>
              <w:left w:val="single" w:sz="6" w:space="0" w:color="000000"/>
              <w:bottom w:val="single" w:sz="6" w:space="0" w:color="000000"/>
              <w:right w:val="single" w:sz="6" w:space="0" w:color="000000"/>
            </w:tcBorders>
          </w:tcPr>
          <w:p w:rsidR="00D62A15" w:rsidRPr="004B00CC" w:rsidRDefault="00D62A15" w:rsidP="00D62A15">
            <w:pPr>
              <w:contextualSpacing/>
              <w:jc w:val="center"/>
              <w:rPr>
                <w:b/>
                <w:bCs/>
              </w:rPr>
            </w:pPr>
            <w:r>
              <w:rPr>
                <w:b/>
                <w:bCs/>
              </w:rPr>
              <w:t>Panākta vienošanās</w:t>
            </w:r>
          </w:p>
          <w:p w:rsidR="00D62A15" w:rsidRPr="004B00CC" w:rsidRDefault="00D62A15" w:rsidP="00D62A15">
            <w:pPr>
              <w:contextualSpacing/>
              <w:jc w:val="both"/>
            </w:pPr>
            <w:r w:rsidRPr="004B00CC">
              <w:t xml:space="preserve">Līdz šim esošajos MK noteikumos Nr.253 netika noteikta termina “projektēšanas uzdevums” skaidrojums.   Projektēšanas uzdevums ir neatņemama projektēšanas līguma sastāvdaļa. Ne būvvalde, ne trešās personas nepārbauda projektēšanas uzdevumā norādīto informāciju, līdz ar to komersants projektēšanas uzdevumā iekļauj sev svarīgo informāciju. Šobrīd tiek gatavots noteikumu projekts “Grozījumi Ministru kabineta 2014.gada 19.augusta noteikumos Nr.500 “Vispārīgie būvnoteikumi””, kuros tiks noteiktas projektēšanas uzdevuma vispārīgās prasības, kuras būs saistošas būvniecības ierosinātājam. Energoapgādes </w:t>
            </w:r>
            <w:r w:rsidRPr="004B00CC">
              <w:lastRenderedPageBreak/>
              <w:t xml:space="preserve">komersants jau šobrīd </w:t>
            </w:r>
            <w:proofErr w:type="spellStart"/>
            <w:r w:rsidRPr="004B00CC">
              <w:t>pasūta</w:t>
            </w:r>
            <w:proofErr w:type="spellEnd"/>
            <w:r w:rsidRPr="004B00CC">
              <w:t xml:space="preserve"> energoapgādes objektu būvprojektus un MK noteikumos Nr.573 dotais termina “projektēšanas uzdevums” skaidrojums ir ļoti plašs un nenosaka specifiskas prasības energoapgādes objektam.</w:t>
            </w:r>
          </w:p>
        </w:tc>
        <w:tc>
          <w:tcPr>
            <w:tcW w:w="3638" w:type="dxa"/>
            <w:tcBorders>
              <w:top w:val="single" w:sz="4" w:space="0" w:color="auto"/>
              <w:left w:val="single" w:sz="4" w:space="0" w:color="auto"/>
              <w:bottom w:val="single" w:sz="4" w:space="0" w:color="auto"/>
            </w:tcBorders>
          </w:tcPr>
          <w:p w:rsidR="00D62A15" w:rsidRPr="004B00CC" w:rsidRDefault="00D62A15" w:rsidP="00D62A15">
            <w:pPr>
              <w:jc w:val="both"/>
              <w:rPr>
                <w:shd w:val="clear" w:color="auto" w:fill="FFFFFF"/>
              </w:rPr>
            </w:pPr>
          </w:p>
        </w:tc>
      </w:tr>
      <w:tr w:rsidR="00EA44B0" w:rsidRPr="004B00CC" w:rsidTr="00296BDA">
        <w:trPr>
          <w:trHeight w:val="318"/>
        </w:trPr>
        <w:tc>
          <w:tcPr>
            <w:tcW w:w="709"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contextualSpacing/>
              <w:jc w:val="both"/>
            </w:pPr>
          </w:p>
        </w:tc>
        <w:tc>
          <w:tcPr>
            <w:tcW w:w="3680"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contextualSpacing/>
              <w:jc w:val="both"/>
              <w:rPr>
                <w:b/>
                <w:bCs/>
              </w:rPr>
            </w:pPr>
            <w:r w:rsidRPr="004B00CC">
              <w:rPr>
                <w:b/>
                <w:bCs/>
              </w:rPr>
              <w:t>Anotācija</w:t>
            </w:r>
          </w:p>
        </w:tc>
        <w:tc>
          <w:tcPr>
            <w:tcW w:w="4386"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contextualSpacing/>
              <w:jc w:val="both"/>
              <w:rPr>
                <w:b/>
              </w:rPr>
            </w:pPr>
          </w:p>
        </w:tc>
        <w:tc>
          <w:tcPr>
            <w:tcW w:w="3275"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jc w:val="both"/>
              <w:rPr>
                <w:b/>
              </w:rPr>
            </w:pPr>
          </w:p>
        </w:tc>
        <w:tc>
          <w:tcPr>
            <w:tcW w:w="3638" w:type="dxa"/>
            <w:tcBorders>
              <w:top w:val="single" w:sz="4" w:space="0" w:color="auto"/>
              <w:left w:val="single" w:sz="4" w:space="0" w:color="auto"/>
              <w:bottom w:val="single" w:sz="4" w:space="0" w:color="auto"/>
            </w:tcBorders>
          </w:tcPr>
          <w:p w:rsidR="00EA44B0" w:rsidRPr="004B00CC" w:rsidRDefault="00EA44B0" w:rsidP="00296BDA">
            <w:pPr>
              <w:ind w:left="57" w:right="57"/>
              <w:contextualSpacing/>
              <w:jc w:val="both"/>
            </w:pPr>
          </w:p>
        </w:tc>
      </w:tr>
      <w:tr w:rsidR="00EA44B0" w:rsidRPr="004B00CC" w:rsidTr="00296BDA">
        <w:trPr>
          <w:trHeight w:val="318"/>
        </w:trPr>
        <w:tc>
          <w:tcPr>
            <w:tcW w:w="709"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contextualSpacing/>
              <w:jc w:val="both"/>
            </w:pPr>
            <w:r w:rsidRPr="004B00CC">
              <w:t>2</w:t>
            </w:r>
            <w:r w:rsidR="002A78E7">
              <w:t>7</w:t>
            </w:r>
            <w:r w:rsidRPr="004B00CC">
              <w:t>.</w:t>
            </w:r>
          </w:p>
        </w:tc>
        <w:tc>
          <w:tcPr>
            <w:tcW w:w="3680"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contextualSpacing/>
              <w:jc w:val="both"/>
            </w:pPr>
          </w:p>
          <w:p w:rsidR="00EA44B0" w:rsidRPr="004B00CC" w:rsidRDefault="00EA44B0" w:rsidP="00296BDA">
            <w:pPr>
              <w:pStyle w:val="naisc"/>
              <w:spacing w:before="0" w:after="0"/>
              <w:ind w:left="57" w:right="57"/>
              <w:contextualSpacing/>
              <w:jc w:val="both"/>
            </w:pPr>
          </w:p>
        </w:tc>
        <w:tc>
          <w:tcPr>
            <w:tcW w:w="4386" w:type="dxa"/>
            <w:tcBorders>
              <w:top w:val="single" w:sz="6" w:space="0" w:color="000000"/>
              <w:left w:val="single" w:sz="6" w:space="0" w:color="000000"/>
              <w:bottom w:val="single" w:sz="6" w:space="0" w:color="000000"/>
              <w:right w:val="single" w:sz="6" w:space="0" w:color="000000"/>
            </w:tcBorders>
          </w:tcPr>
          <w:p w:rsidR="00EA44B0" w:rsidRPr="00BB5F82" w:rsidRDefault="00EA44B0" w:rsidP="00296BDA">
            <w:pPr>
              <w:pStyle w:val="naisc"/>
              <w:spacing w:before="0" w:after="0"/>
              <w:ind w:left="57" w:right="57"/>
              <w:contextualSpacing/>
              <w:jc w:val="both"/>
              <w:rPr>
                <w:b/>
                <w:u w:val="single"/>
              </w:rPr>
            </w:pPr>
            <w:r w:rsidRPr="00BB5F82">
              <w:rPr>
                <w:b/>
                <w:u w:val="single"/>
              </w:rPr>
              <w:t>Vides aizsardzības un reģionālās attīstības ministrija</w:t>
            </w:r>
          </w:p>
          <w:p w:rsidR="00EA44B0" w:rsidRPr="004B00CC" w:rsidRDefault="00EA44B0" w:rsidP="00296BDA">
            <w:pPr>
              <w:jc w:val="both"/>
            </w:pPr>
            <w:r w:rsidRPr="004B00CC">
              <w:t xml:space="preserve">3. Norādām, ka anotācijas II sadaļa nav aizpildīta atbilstoši prasībām, kas paredz izvērtēt noteikumu grozījumu ietekmi uz vidi. Šajā gadījumā, ja bija plānots izslēgt noteikumu 88.punktu, ir nepieciešams norādīt, kā tas ietekmē vidi, cik daudz projektu, kuriem ir veikts ietekmes uz vidi novērtējums pēdējo 5 gadu laikā tas ir </w:t>
            </w:r>
            <w:proofErr w:type="spellStart"/>
            <w:r w:rsidRPr="004B00CC">
              <w:t>skāris</w:t>
            </w:r>
            <w:proofErr w:type="spellEnd"/>
            <w:r w:rsidRPr="004B00CC">
              <w:t>, un kā tas ietekmēs vidi, ja 88.punkts tiks izslēgts.</w:t>
            </w:r>
          </w:p>
          <w:p w:rsidR="00EA44B0" w:rsidRPr="004B00CC" w:rsidRDefault="00EA44B0" w:rsidP="00296BDA">
            <w:pPr>
              <w:jc w:val="both"/>
              <w:rPr>
                <w:b/>
              </w:rPr>
            </w:pPr>
          </w:p>
        </w:tc>
        <w:tc>
          <w:tcPr>
            <w:tcW w:w="3275"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contextualSpacing/>
              <w:jc w:val="center"/>
              <w:rPr>
                <w:b/>
                <w:bCs/>
              </w:rPr>
            </w:pPr>
            <w:r w:rsidRPr="004B00CC">
              <w:rPr>
                <w:b/>
                <w:bCs/>
              </w:rPr>
              <w:t>Panākta vienošanās starpinstitūciju sanāksmē</w:t>
            </w:r>
          </w:p>
          <w:p w:rsidR="00EA44B0" w:rsidRPr="004B00CC" w:rsidRDefault="00EA44B0" w:rsidP="00296BDA">
            <w:pPr>
              <w:contextualSpacing/>
              <w:jc w:val="both"/>
              <w:rPr>
                <w:b/>
              </w:rPr>
            </w:pPr>
          </w:p>
        </w:tc>
        <w:tc>
          <w:tcPr>
            <w:tcW w:w="3638" w:type="dxa"/>
            <w:tcBorders>
              <w:top w:val="single" w:sz="4" w:space="0" w:color="auto"/>
              <w:left w:val="single" w:sz="4" w:space="0" w:color="auto"/>
              <w:bottom w:val="single" w:sz="4" w:space="0" w:color="auto"/>
            </w:tcBorders>
          </w:tcPr>
          <w:p w:rsidR="00EA44B0" w:rsidRPr="004B00CC" w:rsidRDefault="00EA44B0" w:rsidP="00296BDA">
            <w:pPr>
              <w:ind w:left="57" w:right="57"/>
              <w:contextualSpacing/>
              <w:jc w:val="both"/>
            </w:pPr>
            <w:r w:rsidRPr="004B00CC">
              <w:t>Precizēta anotācija</w:t>
            </w:r>
          </w:p>
        </w:tc>
      </w:tr>
      <w:tr w:rsidR="00EA44B0" w:rsidRPr="004B00CC" w:rsidTr="00296BDA">
        <w:trPr>
          <w:trHeight w:val="318"/>
        </w:trPr>
        <w:tc>
          <w:tcPr>
            <w:tcW w:w="709"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contextualSpacing/>
              <w:jc w:val="both"/>
            </w:pPr>
            <w:r w:rsidRPr="004B00CC">
              <w:t>2</w:t>
            </w:r>
            <w:r w:rsidR="002A78E7">
              <w:t>8</w:t>
            </w:r>
            <w:r w:rsidRPr="004B00CC">
              <w:t>.</w:t>
            </w:r>
          </w:p>
        </w:tc>
        <w:tc>
          <w:tcPr>
            <w:tcW w:w="3680"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paragraph"/>
              <w:spacing w:before="0" w:beforeAutospacing="0" w:after="0" w:afterAutospacing="0"/>
              <w:ind w:firstLine="720"/>
              <w:jc w:val="both"/>
              <w:textAlignment w:val="baseline"/>
              <w:rPr>
                <w:rStyle w:val="normaltextrun"/>
                <w:bCs/>
              </w:rPr>
            </w:pPr>
          </w:p>
        </w:tc>
        <w:tc>
          <w:tcPr>
            <w:tcW w:w="4386" w:type="dxa"/>
            <w:tcBorders>
              <w:top w:val="single" w:sz="6" w:space="0" w:color="000000"/>
              <w:left w:val="single" w:sz="6" w:space="0" w:color="000000"/>
              <w:bottom w:val="single" w:sz="6" w:space="0" w:color="000000"/>
              <w:right w:val="single" w:sz="6" w:space="0" w:color="000000"/>
            </w:tcBorders>
          </w:tcPr>
          <w:p w:rsidR="00EA44B0" w:rsidRPr="00BB5F82" w:rsidRDefault="00EA44B0" w:rsidP="00296BDA">
            <w:pPr>
              <w:pStyle w:val="naisc"/>
              <w:spacing w:before="0" w:after="0"/>
              <w:ind w:left="57" w:right="57"/>
              <w:contextualSpacing/>
              <w:jc w:val="both"/>
              <w:rPr>
                <w:b/>
                <w:u w:val="single"/>
              </w:rPr>
            </w:pPr>
            <w:r w:rsidRPr="00BB5F82">
              <w:rPr>
                <w:b/>
                <w:u w:val="single"/>
              </w:rPr>
              <w:t>Vides aizsardzības un reģionālās attīstības ministrija</w:t>
            </w:r>
          </w:p>
          <w:p w:rsidR="00EA44B0" w:rsidRPr="004B00CC" w:rsidRDefault="00EA44B0" w:rsidP="00296BDA">
            <w:pPr>
              <w:jc w:val="both"/>
            </w:pPr>
            <w:r w:rsidRPr="004B00CC">
              <w:t xml:space="preserve">4. Lūdzam precizēt Noteikumu projekta anotācijas III sadaļas 8.punktu, norādot pielāgošanas izmaksas, kuras atbilst norādītajam cilvēkdienu apjomam un vienas cilvēkdienas izmaksām. </w:t>
            </w:r>
          </w:p>
          <w:p w:rsidR="00EA44B0" w:rsidRPr="004B00CC" w:rsidRDefault="00EA44B0" w:rsidP="00296BDA">
            <w:pPr>
              <w:pStyle w:val="naisc"/>
              <w:spacing w:before="0" w:after="0"/>
              <w:ind w:left="57" w:right="57"/>
              <w:contextualSpacing/>
              <w:jc w:val="both"/>
              <w:rPr>
                <w:b/>
              </w:rPr>
            </w:pPr>
          </w:p>
        </w:tc>
        <w:tc>
          <w:tcPr>
            <w:tcW w:w="3275" w:type="dxa"/>
            <w:tcBorders>
              <w:top w:val="single" w:sz="6" w:space="0" w:color="000000"/>
              <w:left w:val="single" w:sz="6" w:space="0" w:color="000000"/>
              <w:bottom w:val="single" w:sz="6" w:space="0" w:color="000000"/>
              <w:right w:val="single" w:sz="6" w:space="0" w:color="000000"/>
            </w:tcBorders>
          </w:tcPr>
          <w:p w:rsidR="00EA44B0" w:rsidRPr="004B00CC" w:rsidRDefault="00EA44B0" w:rsidP="00296BDA">
            <w:pPr>
              <w:pStyle w:val="naisc"/>
              <w:spacing w:before="0" w:after="0"/>
              <w:ind w:left="57" w:right="57"/>
              <w:rPr>
                <w:b/>
              </w:rPr>
            </w:pPr>
            <w:r w:rsidRPr="004B00CC">
              <w:rPr>
                <w:b/>
              </w:rPr>
              <w:t>Ņemts vērā</w:t>
            </w:r>
          </w:p>
        </w:tc>
        <w:tc>
          <w:tcPr>
            <w:tcW w:w="3638" w:type="dxa"/>
            <w:tcBorders>
              <w:top w:val="single" w:sz="4" w:space="0" w:color="auto"/>
              <w:left w:val="single" w:sz="4" w:space="0" w:color="auto"/>
              <w:bottom w:val="single" w:sz="4" w:space="0" w:color="auto"/>
            </w:tcBorders>
          </w:tcPr>
          <w:p w:rsidR="00EA44B0" w:rsidRPr="004B00CC" w:rsidRDefault="00EA44B0" w:rsidP="00296BDA">
            <w:pPr>
              <w:ind w:left="57" w:right="57"/>
              <w:contextualSpacing/>
              <w:jc w:val="both"/>
            </w:pPr>
            <w:r w:rsidRPr="004B00CC">
              <w:t xml:space="preserve">Precizēta anotācijas III sadaļa </w:t>
            </w:r>
          </w:p>
        </w:tc>
      </w:tr>
      <w:tr w:rsidR="00EA44B0" w:rsidRPr="004B00CC" w:rsidTr="00296BDA">
        <w:trPr>
          <w:trHeight w:val="318"/>
        </w:trPr>
        <w:tc>
          <w:tcPr>
            <w:tcW w:w="709" w:type="dxa"/>
            <w:tcBorders>
              <w:top w:val="single" w:sz="6" w:space="0" w:color="000000"/>
              <w:left w:val="single" w:sz="6" w:space="0" w:color="000000"/>
              <w:bottom w:val="single" w:sz="6" w:space="0" w:color="000000"/>
              <w:right w:val="single" w:sz="6" w:space="0" w:color="000000"/>
            </w:tcBorders>
          </w:tcPr>
          <w:p w:rsidR="00EA44B0" w:rsidRPr="004B00CC" w:rsidRDefault="00A236B6" w:rsidP="00296BDA">
            <w:pPr>
              <w:pStyle w:val="naisc"/>
              <w:spacing w:before="0" w:after="0"/>
              <w:ind w:left="57" w:right="57"/>
              <w:contextualSpacing/>
              <w:jc w:val="both"/>
            </w:pPr>
            <w:r>
              <w:lastRenderedPageBreak/>
              <w:t>2</w:t>
            </w:r>
            <w:r w:rsidR="002A78E7">
              <w:t>9</w:t>
            </w:r>
            <w:r>
              <w:t>.</w:t>
            </w:r>
          </w:p>
        </w:tc>
        <w:tc>
          <w:tcPr>
            <w:tcW w:w="3680" w:type="dxa"/>
            <w:tcBorders>
              <w:top w:val="single" w:sz="6" w:space="0" w:color="000000"/>
              <w:left w:val="single" w:sz="6" w:space="0" w:color="000000"/>
              <w:bottom w:val="single" w:sz="6" w:space="0" w:color="000000"/>
              <w:right w:val="single" w:sz="6" w:space="0" w:color="000000"/>
            </w:tcBorders>
          </w:tcPr>
          <w:p w:rsidR="00EA44B0" w:rsidRPr="004B00CC" w:rsidRDefault="00EA44B0" w:rsidP="00A236B6">
            <w:pPr>
              <w:jc w:val="both"/>
              <w:rPr>
                <w:rStyle w:val="normaltextrun"/>
                <w:bCs/>
              </w:rPr>
            </w:pPr>
          </w:p>
        </w:tc>
        <w:tc>
          <w:tcPr>
            <w:tcW w:w="4386" w:type="dxa"/>
            <w:tcBorders>
              <w:top w:val="single" w:sz="6" w:space="0" w:color="000000"/>
              <w:left w:val="single" w:sz="6" w:space="0" w:color="000000"/>
              <w:bottom w:val="single" w:sz="6" w:space="0" w:color="000000"/>
              <w:right w:val="single" w:sz="6" w:space="0" w:color="000000"/>
            </w:tcBorders>
          </w:tcPr>
          <w:p w:rsidR="00EA44B0" w:rsidRPr="00837BFB" w:rsidRDefault="00EA44B0" w:rsidP="00EA44B0">
            <w:pPr>
              <w:pStyle w:val="naisc"/>
              <w:spacing w:before="0" w:after="0"/>
              <w:ind w:left="57" w:right="57"/>
              <w:contextualSpacing/>
              <w:jc w:val="both"/>
              <w:rPr>
                <w:b/>
                <w:bCs/>
                <w:u w:val="single"/>
              </w:rPr>
            </w:pPr>
            <w:r w:rsidRPr="00837BFB">
              <w:rPr>
                <w:b/>
                <w:bCs/>
                <w:u w:val="single"/>
              </w:rPr>
              <w:t>Finanšu ministrija</w:t>
            </w:r>
          </w:p>
          <w:p w:rsidR="00EA44B0" w:rsidRPr="00837BFB" w:rsidRDefault="00EA44B0" w:rsidP="00EA44B0">
            <w:pPr>
              <w:pStyle w:val="naisc"/>
              <w:spacing w:before="0" w:after="0"/>
              <w:ind w:left="57" w:right="57"/>
              <w:contextualSpacing/>
              <w:jc w:val="both"/>
              <w:rPr>
                <w:b/>
                <w:bCs/>
                <w:u w:val="single"/>
              </w:rPr>
            </w:pPr>
            <w:r w:rsidRPr="00837BFB">
              <w:rPr>
                <w:b/>
                <w:bCs/>
                <w:u w:val="single"/>
              </w:rPr>
              <w:t>AS “Augstsprieguma tīkls” (16.02.2021.):</w:t>
            </w:r>
          </w:p>
          <w:p w:rsidR="00EA44B0" w:rsidRPr="004B00CC" w:rsidRDefault="00EA44B0" w:rsidP="00EA44B0">
            <w:pPr>
              <w:jc w:val="both"/>
            </w:pPr>
            <w:r w:rsidRPr="004B00CC">
              <w:t>1.MK noteikumu Nr. 253 sākotnējās ietekmes novērtējuma apvienotajā ziņojumā (turpmāk – Anotācija) noteikts, ka energoapgādes komersantam ir tiesības noteikt gadījumus un apjomu, kādā ir veicama būvniecības ieceres dokumentācijas ekspertīze, ievērojot Vispārīgo būvnoteikumu regulējumu.  Ja energoapgādes objekta komersants veic ekspertīzi tad, kad to kā obligātu nenoteic normatīvie akti, būtu nepieciešams dzēst noteikumu, ka ekspertīze jānosaka, ievērojot Vispārīgo būvnoteikumu regulējumu. Šādā gadījumā iesakāms paredzēt, ka energoapgādes komersants pats var lemt par ekspertam noteiktajām prasībām un pārējiem kritērijiem ekspertīzes veikšanai. Bez tam, ievērojot 2014. gada 19. augusta MK noteikumus Nr. 500 "Vispārīgie būvnoteikumi" 41. un tālākos punktus, ekspertīze nosakāma būvniecības dokumentācijas, nevis būvniecības ieceres dokumentācijas izstrādei.</w:t>
            </w:r>
          </w:p>
          <w:p w:rsidR="00EA44B0" w:rsidRPr="00BB5F82" w:rsidRDefault="00EA44B0" w:rsidP="00296BDA">
            <w:pPr>
              <w:pStyle w:val="naisc"/>
              <w:spacing w:before="0" w:after="0"/>
              <w:ind w:left="57" w:right="57"/>
              <w:contextualSpacing/>
              <w:jc w:val="both"/>
              <w:rPr>
                <w:b/>
                <w:u w:val="single"/>
              </w:rPr>
            </w:pPr>
          </w:p>
        </w:tc>
        <w:tc>
          <w:tcPr>
            <w:tcW w:w="3275" w:type="dxa"/>
            <w:tcBorders>
              <w:top w:val="single" w:sz="6" w:space="0" w:color="000000"/>
              <w:left w:val="single" w:sz="6" w:space="0" w:color="000000"/>
              <w:bottom w:val="single" w:sz="6" w:space="0" w:color="000000"/>
              <w:right w:val="single" w:sz="6" w:space="0" w:color="000000"/>
            </w:tcBorders>
          </w:tcPr>
          <w:p w:rsidR="00EA44B0" w:rsidRDefault="00EA44B0" w:rsidP="00296BDA">
            <w:pPr>
              <w:pStyle w:val="naisc"/>
              <w:spacing w:before="0" w:after="0"/>
              <w:ind w:left="57" w:right="57"/>
              <w:rPr>
                <w:b/>
              </w:rPr>
            </w:pPr>
            <w:r>
              <w:rPr>
                <w:b/>
              </w:rPr>
              <w:t>Panākta vienošanās</w:t>
            </w:r>
          </w:p>
          <w:p w:rsidR="00EA44B0" w:rsidRPr="004B00CC" w:rsidRDefault="00EA44B0" w:rsidP="00EA44B0">
            <w:pPr>
              <w:contextualSpacing/>
              <w:jc w:val="both"/>
            </w:pPr>
            <w:r w:rsidRPr="004B00CC">
              <w:t xml:space="preserve">Būvniecības jomas normatīvajos aktos ir noteikti </w:t>
            </w:r>
            <w:proofErr w:type="spellStart"/>
            <w:r w:rsidRPr="004B00CC">
              <w:t>būvspeciālistu</w:t>
            </w:r>
            <w:proofErr w:type="spellEnd"/>
            <w:r w:rsidRPr="004B00CC">
              <w:t xml:space="preserve"> profesionālie pienākumi un tiesības. </w:t>
            </w:r>
            <w:proofErr w:type="spellStart"/>
            <w:r w:rsidRPr="004B00CC">
              <w:t>Būvspeciālists</w:t>
            </w:r>
            <w:proofErr w:type="spellEnd"/>
            <w:r w:rsidRPr="004B00CC">
              <w:t xml:space="preserve"> ir reglamentētā profesija. Atbilstoši </w:t>
            </w:r>
          </w:p>
          <w:p w:rsidR="00EA44B0" w:rsidRPr="004B00CC" w:rsidRDefault="00EA44B0" w:rsidP="00EA44B0">
            <w:pPr>
              <w:contextualSpacing/>
              <w:jc w:val="both"/>
            </w:pPr>
            <w:r w:rsidRPr="004B00CC">
              <w:t xml:space="preserve">Būvniecības likuma 13.pantam,  </w:t>
            </w:r>
            <w:proofErr w:type="spellStart"/>
            <w:r w:rsidRPr="004B00CC">
              <w:rPr>
                <w:i/>
                <w:iCs/>
              </w:rPr>
              <w:t>būvspeciālisti</w:t>
            </w:r>
            <w:proofErr w:type="spellEnd"/>
            <w:r w:rsidRPr="004B00CC">
              <w:rPr>
                <w:i/>
                <w:iCs/>
              </w:rPr>
              <w:t xml:space="preserve"> ir personas, kas ieguvušas patstāvīgas prakses tiesības arhitektūras vai būvniecības jomā reglamentētās profesijās. </w:t>
            </w:r>
            <w:r w:rsidRPr="004B00CC">
              <w:t>Patstāvīgās prakses tiesības būvniecības jomā reglamentētā profesijā var iegūt šādās specialitātēs:  inženierizpēte; projektēšana;  būvdarbu vadīšana;  būvuzraudzība; būvekspertīze.  Patstāvīgās prakses tiesības būvniecības jomā reglamentētā profesijā var iegūt persona, kas:</w:t>
            </w:r>
          </w:p>
          <w:p w:rsidR="00EA44B0" w:rsidRPr="004B00CC" w:rsidRDefault="00EA44B0" w:rsidP="00EA44B0">
            <w:pPr>
              <w:jc w:val="both"/>
            </w:pPr>
            <w:r w:rsidRPr="004B00CC">
              <w:t>1) ieguvusi atbilstošu augstāko izglītību būvniecības vai saistītā inženierzinātņu studiju programmā;</w:t>
            </w:r>
          </w:p>
          <w:p w:rsidR="00EA44B0" w:rsidRPr="004B00CC" w:rsidRDefault="00EA44B0" w:rsidP="00EA44B0">
            <w:pPr>
              <w:jc w:val="both"/>
            </w:pPr>
            <w:r w:rsidRPr="004B00CC">
              <w:t>2) apguvusi patstāvīgai praksei nepieciešamās zināšanas un prasmes;</w:t>
            </w:r>
          </w:p>
          <w:p w:rsidR="00EA44B0" w:rsidRPr="004B00CC" w:rsidRDefault="00EA44B0" w:rsidP="00EA44B0">
            <w:pPr>
              <w:jc w:val="both"/>
            </w:pPr>
            <w:r w:rsidRPr="004B00CC">
              <w:lastRenderedPageBreak/>
              <w:t>3) normatīvajos aktos noteiktajā kārtībā saņēmusi būvprakses sertifikātu.</w:t>
            </w:r>
          </w:p>
          <w:p w:rsidR="00EA44B0" w:rsidRPr="00761B77" w:rsidRDefault="00EA44B0" w:rsidP="00EA44B0">
            <w:pPr>
              <w:jc w:val="both"/>
            </w:pPr>
            <w:r w:rsidRPr="004B00CC">
              <w:t xml:space="preserve">Tikai </w:t>
            </w:r>
            <w:proofErr w:type="spellStart"/>
            <w:r w:rsidRPr="004B00CC">
              <w:t>būvspeciālisti</w:t>
            </w:r>
            <w:proofErr w:type="spellEnd"/>
            <w:r w:rsidRPr="004B00CC">
              <w:t>, kuri ir saņēmuši Būvniecības valsts kontroles biroja izsniegtu sertifikātu būvekspertīzes jomas attiecīgā būvprojekta ekspertīzes sfērā ir tiesības veikt attiecīgā būvprojekta ekspertīzi (MK 20.03.2018. noteikumi Nr.169 “</w:t>
            </w:r>
            <w:proofErr w:type="spellStart"/>
            <w:r w:rsidRPr="00761B77">
              <w:t>Būvspeciālistu</w:t>
            </w:r>
            <w:proofErr w:type="spellEnd"/>
            <w:r w:rsidRPr="00761B77">
              <w:t xml:space="preserve"> kompetences novērtēšanas un patstāvīgās prakses uzraudzības noteikumi</w:t>
            </w:r>
            <w:r w:rsidRPr="004B00CC">
              <w:t xml:space="preserve">”). </w:t>
            </w:r>
          </w:p>
          <w:p w:rsidR="00EA44B0" w:rsidRPr="004B00CC" w:rsidRDefault="00EA44B0" w:rsidP="00EA44B0">
            <w:pPr>
              <w:contextualSpacing/>
              <w:jc w:val="both"/>
            </w:pPr>
            <w:r w:rsidRPr="004B00CC">
              <w:t xml:space="preserve">Ja būvprojekta ekspertīzi veic  </w:t>
            </w:r>
            <w:proofErr w:type="spellStart"/>
            <w:r w:rsidRPr="004B00CC">
              <w:t>būvspeciālists</w:t>
            </w:r>
            <w:proofErr w:type="spellEnd"/>
            <w:r w:rsidRPr="004B00CC">
              <w:t>, kuram nav sertifikāts būvekspertīzē, tad sagatavotais dokuments nav uzskatāms par ekspertīzi.</w:t>
            </w:r>
          </w:p>
          <w:p w:rsidR="00EA44B0" w:rsidRPr="004B00CC" w:rsidRDefault="00EA44B0" w:rsidP="00EA44B0">
            <w:pPr>
              <w:contextualSpacing/>
              <w:jc w:val="both"/>
            </w:pPr>
            <w:r w:rsidRPr="004B00CC">
              <w:t>Termins “būvniecības ieceres dokumentācija” ir lietots atbilstoši Būvniecības likumā lietotai terminoloģijai.</w:t>
            </w:r>
          </w:p>
          <w:p w:rsidR="00EA44B0" w:rsidRPr="004B00CC" w:rsidRDefault="00EA44B0" w:rsidP="00296BDA">
            <w:pPr>
              <w:pStyle w:val="naisc"/>
              <w:spacing w:before="0" w:after="0"/>
              <w:ind w:left="57" w:right="57"/>
              <w:rPr>
                <w:b/>
              </w:rPr>
            </w:pPr>
          </w:p>
        </w:tc>
        <w:tc>
          <w:tcPr>
            <w:tcW w:w="3638" w:type="dxa"/>
            <w:tcBorders>
              <w:top w:val="single" w:sz="4" w:space="0" w:color="auto"/>
              <w:left w:val="single" w:sz="4" w:space="0" w:color="auto"/>
              <w:bottom w:val="single" w:sz="4" w:space="0" w:color="auto"/>
            </w:tcBorders>
          </w:tcPr>
          <w:p w:rsidR="00EA44B0" w:rsidRPr="004B00CC" w:rsidRDefault="00EA44B0" w:rsidP="00296BDA">
            <w:pPr>
              <w:ind w:left="57" w:right="57"/>
              <w:contextualSpacing/>
              <w:jc w:val="both"/>
            </w:pPr>
          </w:p>
        </w:tc>
      </w:tr>
    </w:tbl>
    <w:p w:rsidR="00EA44B0" w:rsidRPr="004B00CC" w:rsidRDefault="00EA44B0" w:rsidP="00EA44B0"/>
    <w:p w:rsidR="00EA44B0" w:rsidRPr="004B00CC" w:rsidRDefault="00EA44B0" w:rsidP="00EA44B0">
      <w:pPr>
        <w:pStyle w:val="naisf"/>
        <w:spacing w:before="0" w:after="0"/>
        <w:ind w:firstLine="0"/>
      </w:pPr>
      <w:r w:rsidRPr="004B00CC">
        <w:t>Par projektu atbildīgā amatpersona:</w:t>
      </w:r>
    </w:p>
    <w:p w:rsidR="00EA44B0" w:rsidRPr="004B00CC" w:rsidRDefault="00EA44B0" w:rsidP="00EA44B0">
      <w:pPr>
        <w:pStyle w:val="naisf"/>
        <w:spacing w:before="0" w:after="0"/>
        <w:ind w:firstLine="0"/>
      </w:pPr>
      <w:r w:rsidRPr="004B00CC">
        <w:t>Andris Lazarevs</w:t>
      </w:r>
    </w:p>
    <w:p w:rsidR="00EA44B0" w:rsidRPr="004B00CC" w:rsidRDefault="00EA44B0" w:rsidP="00EA44B0">
      <w:pPr>
        <w:pStyle w:val="naisf"/>
        <w:spacing w:before="0" w:after="0"/>
        <w:ind w:firstLine="0"/>
      </w:pPr>
      <w:r w:rsidRPr="004B00CC">
        <w:t>Ekonomikas ministrijas</w:t>
      </w:r>
    </w:p>
    <w:p w:rsidR="00EA44B0" w:rsidRPr="004B00CC" w:rsidRDefault="00EA44B0" w:rsidP="00EA44B0">
      <w:pPr>
        <w:pStyle w:val="naisf"/>
        <w:spacing w:before="0" w:after="0"/>
        <w:ind w:firstLine="0"/>
      </w:pPr>
      <w:r w:rsidRPr="004B00CC">
        <w:t>Būvniecības politikas departamenta direktores vietnieks</w:t>
      </w:r>
    </w:p>
    <w:p w:rsidR="00EA44B0" w:rsidRPr="004B00CC" w:rsidRDefault="00EA44B0" w:rsidP="00EA44B0">
      <w:pPr>
        <w:pStyle w:val="naisf"/>
        <w:spacing w:before="0" w:after="0"/>
        <w:ind w:firstLine="0"/>
      </w:pPr>
      <w:r w:rsidRPr="004B00CC">
        <w:t>Tālr. 67013035,</w:t>
      </w:r>
    </w:p>
    <w:p w:rsidR="00EA44B0" w:rsidRPr="004B00CC" w:rsidRDefault="00EA44B0" w:rsidP="00EA44B0">
      <w:pPr>
        <w:pStyle w:val="naisf"/>
        <w:spacing w:before="0" w:after="0"/>
        <w:ind w:firstLine="0"/>
        <w:rPr>
          <w:rStyle w:val="Hyperlink"/>
          <w:color w:val="auto"/>
          <w:u w:val="none"/>
        </w:rPr>
      </w:pPr>
      <w:r w:rsidRPr="004B00CC">
        <w:lastRenderedPageBreak/>
        <w:t xml:space="preserve">e-pasts: </w:t>
      </w:r>
      <w:hyperlink r:id="rId7" w:history="1">
        <w:r w:rsidRPr="004B00CC">
          <w:rPr>
            <w:rStyle w:val="Hyperlink"/>
            <w:color w:val="auto"/>
            <w:u w:val="none"/>
          </w:rPr>
          <w:t>Andris.Lazarevs@em.gov.lv</w:t>
        </w:r>
      </w:hyperlink>
      <w:r>
        <w:rPr>
          <w:rStyle w:val="Hyperlink"/>
          <w:color w:val="auto"/>
          <w:u w:val="none"/>
        </w:rPr>
        <w:t xml:space="preserve"> </w:t>
      </w:r>
    </w:p>
    <w:p w:rsidR="00EA44B0" w:rsidRPr="004B00CC" w:rsidRDefault="00EA44B0" w:rsidP="00EA44B0">
      <w:pPr>
        <w:pStyle w:val="naisf"/>
        <w:tabs>
          <w:tab w:val="left" w:pos="0"/>
        </w:tabs>
        <w:spacing w:before="0" w:after="0"/>
        <w:ind w:right="57" w:firstLine="0"/>
      </w:pPr>
    </w:p>
    <w:p w:rsidR="00EA44B0" w:rsidRPr="004B00CC" w:rsidRDefault="00EA44B0" w:rsidP="00EA44B0">
      <w:pPr>
        <w:pStyle w:val="naisf"/>
        <w:tabs>
          <w:tab w:val="left" w:pos="0"/>
        </w:tabs>
        <w:spacing w:before="0" w:after="0"/>
        <w:ind w:right="57" w:firstLine="0"/>
      </w:pPr>
    </w:p>
    <w:p w:rsidR="00EA44B0" w:rsidRPr="00DC2820" w:rsidRDefault="00EA44B0" w:rsidP="00EA44B0">
      <w:pPr>
        <w:rPr>
          <w:sz w:val="20"/>
          <w:szCs w:val="20"/>
        </w:rPr>
      </w:pPr>
      <w:r w:rsidRPr="00DC2820">
        <w:rPr>
          <w:sz w:val="20"/>
          <w:szCs w:val="20"/>
        </w:rPr>
        <w:t>19.02.2021.</w:t>
      </w:r>
    </w:p>
    <w:bookmarkStart w:id="15" w:name="OLE_LINK3"/>
    <w:bookmarkStart w:id="16" w:name="OLE_LINK4"/>
    <w:p w:rsidR="00EA44B0" w:rsidRPr="00DC2820" w:rsidRDefault="00EA44B0" w:rsidP="00EA44B0">
      <w:pPr>
        <w:rPr>
          <w:sz w:val="20"/>
          <w:szCs w:val="20"/>
        </w:rPr>
      </w:pPr>
      <w:r w:rsidRPr="00DC2820">
        <w:rPr>
          <w:sz w:val="20"/>
          <w:szCs w:val="20"/>
        </w:rPr>
        <w:fldChar w:fldCharType="begin"/>
      </w:r>
      <w:r w:rsidRPr="00DC2820">
        <w:rPr>
          <w:sz w:val="20"/>
          <w:szCs w:val="20"/>
        </w:rPr>
        <w:instrText xml:space="preserve"> NUMWORDS   \* MERGEFORMAT </w:instrText>
      </w:r>
      <w:r w:rsidRPr="00DC2820">
        <w:rPr>
          <w:sz w:val="20"/>
          <w:szCs w:val="20"/>
        </w:rPr>
        <w:fldChar w:fldCharType="separate"/>
      </w:r>
      <w:r w:rsidR="00B70367">
        <w:rPr>
          <w:noProof/>
          <w:sz w:val="20"/>
          <w:szCs w:val="20"/>
        </w:rPr>
        <w:t>8572</w:t>
      </w:r>
      <w:r w:rsidRPr="00DC2820">
        <w:rPr>
          <w:sz w:val="20"/>
          <w:szCs w:val="20"/>
        </w:rPr>
        <w:fldChar w:fldCharType="end"/>
      </w:r>
    </w:p>
    <w:p w:rsidR="00EA44B0" w:rsidRPr="00DC2820" w:rsidRDefault="00EA44B0" w:rsidP="00EA44B0">
      <w:pPr>
        <w:rPr>
          <w:sz w:val="20"/>
          <w:szCs w:val="20"/>
        </w:rPr>
      </w:pPr>
      <w:r w:rsidRPr="00DC2820">
        <w:rPr>
          <w:sz w:val="20"/>
          <w:szCs w:val="20"/>
        </w:rPr>
        <w:t>Bučinska, 67013032</w:t>
      </w:r>
    </w:p>
    <w:bookmarkEnd w:id="15"/>
    <w:bookmarkEnd w:id="16"/>
    <w:p w:rsidR="00EA44B0" w:rsidRPr="00DC2820" w:rsidRDefault="00EA44B0" w:rsidP="00EA44B0">
      <w:pPr>
        <w:rPr>
          <w:sz w:val="20"/>
          <w:szCs w:val="20"/>
        </w:rPr>
      </w:pPr>
      <w:r w:rsidRPr="00DC2820">
        <w:rPr>
          <w:sz w:val="20"/>
          <w:szCs w:val="20"/>
        </w:rPr>
        <w:fldChar w:fldCharType="begin"/>
      </w:r>
      <w:r w:rsidRPr="00DC2820">
        <w:rPr>
          <w:sz w:val="20"/>
          <w:szCs w:val="20"/>
        </w:rPr>
        <w:instrText xml:space="preserve"> HYPERLINK "mailto:Elga.Bucinska@em.gov.lv" </w:instrText>
      </w:r>
      <w:r w:rsidRPr="00DC2820">
        <w:rPr>
          <w:sz w:val="20"/>
          <w:szCs w:val="20"/>
        </w:rPr>
        <w:fldChar w:fldCharType="separate"/>
      </w:r>
      <w:r w:rsidRPr="00DC2820">
        <w:rPr>
          <w:rStyle w:val="Hyperlink"/>
          <w:color w:val="auto"/>
          <w:sz w:val="20"/>
          <w:szCs w:val="20"/>
          <w:u w:val="none"/>
        </w:rPr>
        <w:t>Elga.Bucinska@em.gov.lv</w:t>
      </w:r>
      <w:r w:rsidRPr="00DC2820">
        <w:rPr>
          <w:sz w:val="20"/>
          <w:szCs w:val="20"/>
        </w:rPr>
        <w:fldChar w:fldCharType="end"/>
      </w:r>
      <w:r w:rsidRPr="00DC2820">
        <w:rPr>
          <w:sz w:val="20"/>
          <w:szCs w:val="20"/>
        </w:rPr>
        <w:t xml:space="preserve"> </w:t>
      </w:r>
    </w:p>
    <w:p w:rsidR="00EA44B0" w:rsidRPr="00DC2820" w:rsidRDefault="00EA44B0" w:rsidP="00EA44B0">
      <w:pPr>
        <w:rPr>
          <w:sz w:val="20"/>
          <w:szCs w:val="20"/>
        </w:rPr>
      </w:pPr>
    </w:p>
    <w:p w:rsidR="00EA44B0" w:rsidRPr="004B00CC" w:rsidRDefault="00EA44B0" w:rsidP="00EA44B0"/>
    <w:p w:rsidR="00EA44B0" w:rsidRPr="004B00CC" w:rsidRDefault="00EA44B0" w:rsidP="00EA44B0"/>
    <w:p w:rsidR="00EA44B0" w:rsidRPr="004B00CC" w:rsidRDefault="00EA44B0" w:rsidP="00EA44B0"/>
    <w:p w:rsidR="00C167F9" w:rsidRDefault="00C167F9"/>
    <w:sectPr w:rsidR="00C167F9" w:rsidSect="00296BDA">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66C" w:rsidRDefault="0015766C">
      <w:r>
        <w:separator/>
      </w:r>
    </w:p>
  </w:endnote>
  <w:endnote w:type="continuationSeparator" w:id="0">
    <w:p w:rsidR="0015766C" w:rsidRDefault="0015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66C" w:rsidRDefault="00E62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66C" w:rsidRPr="005738E3" w:rsidRDefault="00E6266C" w:rsidP="00296BDA">
    <w:pPr>
      <w:jc w:val="both"/>
      <w:rPr>
        <w:sz w:val="20"/>
        <w:szCs w:val="20"/>
      </w:rPr>
    </w:pPr>
    <w:r w:rsidRPr="006B55BD">
      <w:rPr>
        <w:noProof/>
        <w:sz w:val="20"/>
        <w:szCs w:val="20"/>
      </w:rPr>
      <w:fldChar w:fldCharType="begin"/>
    </w:r>
    <w:r w:rsidRPr="006B55BD">
      <w:rPr>
        <w:noProof/>
        <w:sz w:val="20"/>
        <w:szCs w:val="20"/>
      </w:rPr>
      <w:instrText xml:space="preserve"> FILENAME   \* MERGEFORMAT </w:instrText>
    </w:r>
    <w:r w:rsidRPr="006B55BD">
      <w:rPr>
        <w:noProof/>
        <w:sz w:val="20"/>
        <w:szCs w:val="20"/>
      </w:rPr>
      <w:fldChar w:fldCharType="separate"/>
    </w:r>
    <w:r>
      <w:rPr>
        <w:noProof/>
        <w:sz w:val="20"/>
        <w:szCs w:val="20"/>
      </w:rPr>
      <w:t>EMizz_190221_groz253_AIBN.docx</w:t>
    </w:r>
    <w:r w:rsidRPr="006B55BD">
      <w:rPr>
        <w:noProof/>
        <w:sz w:val="20"/>
        <w:szCs w:val="20"/>
      </w:rPr>
      <w:fldChar w:fldCharType="end"/>
    </w:r>
    <w:r w:rsidRPr="006B55BD">
      <w:rPr>
        <w:noProof/>
        <w:sz w:val="20"/>
        <w:szCs w:val="20"/>
      </w:rPr>
      <w:t xml:space="preserve">; </w:t>
    </w:r>
    <w:r w:rsidRPr="006B55BD">
      <w:rPr>
        <w:sz w:val="20"/>
        <w:szCs w:val="20"/>
      </w:rPr>
      <w:t xml:space="preserve">Izziņa par atzinumos sniegtajiem iebildumiem </w:t>
    </w:r>
    <w:r w:rsidRPr="005738E3">
      <w:rPr>
        <w:sz w:val="20"/>
        <w:szCs w:val="20"/>
      </w:rPr>
      <w:t>noteikumu projektam “Grozījumi Ministru kabineta 2017.gada 9.maija noteikumos Nr.253 “Atsevišķu inženierbūvju būvnoteikumi”” (VSS-969)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66C" w:rsidRPr="005738E3" w:rsidRDefault="00E6266C" w:rsidP="00296BDA">
    <w:pPr>
      <w:jc w:val="both"/>
      <w:rPr>
        <w:sz w:val="20"/>
        <w:szCs w:val="20"/>
      </w:rPr>
    </w:pPr>
    <w:r w:rsidRPr="006B55BD">
      <w:rPr>
        <w:noProof/>
        <w:sz w:val="20"/>
        <w:szCs w:val="20"/>
      </w:rPr>
      <w:fldChar w:fldCharType="begin"/>
    </w:r>
    <w:r w:rsidRPr="006B55BD">
      <w:rPr>
        <w:noProof/>
        <w:sz w:val="20"/>
        <w:szCs w:val="20"/>
      </w:rPr>
      <w:instrText xml:space="preserve"> FILENAME   \* MERGEFORMAT </w:instrText>
    </w:r>
    <w:r w:rsidRPr="006B55BD">
      <w:rPr>
        <w:noProof/>
        <w:sz w:val="20"/>
        <w:szCs w:val="20"/>
      </w:rPr>
      <w:fldChar w:fldCharType="separate"/>
    </w:r>
    <w:r>
      <w:rPr>
        <w:noProof/>
        <w:sz w:val="20"/>
        <w:szCs w:val="20"/>
      </w:rPr>
      <w:t>EMizz_190221_groz253_AIBN.docx</w:t>
    </w:r>
    <w:r w:rsidRPr="006B55BD">
      <w:rPr>
        <w:noProof/>
        <w:sz w:val="20"/>
        <w:szCs w:val="20"/>
      </w:rPr>
      <w:fldChar w:fldCharType="end"/>
    </w:r>
    <w:r w:rsidRPr="006B55BD">
      <w:rPr>
        <w:noProof/>
        <w:sz w:val="20"/>
        <w:szCs w:val="20"/>
      </w:rPr>
      <w:t xml:space="preserve">; </w:t>
    </w:r>
    <w:r w:rsidRPr="006B55BD">
      <w:rPr>
        <w:sz w:val="20"/>
        <w:szCs w:val="20"/>
      </w:rPr>
      <w:t xml:space="preserve">Izziņa par atzinumos sniegtajiem iebildumiem </w:t>
    </w:r>
    <w:bookmarkStart w:id="17" w:name="_Hlk15917822"/>
    <w:r w:rsidRPr="005738E3">
      <w:rPr>
        <w:sz w:val="20"/>
        <w:szCs w:val="20"/>
      </w:rPr>
      <w:t xml:space="preserve">noteikumu projektam </w:t>
    </w:r>
    <w:bookmarkEnd w:id="17"/>
    <w:r w:rsidRPr="005738E3">
      <w:rPr>
        <w:sz w:val="20"/>
        <w:szCs w:val="20"/>
      </w:rPr>
      <w:t>“Grozījumi Ministru kabineta 2017.gada 9.maija noteikumos Nr.253 “Atsevišķu inženierbūvju būvnoteikumi”” (VSS-969)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66C" w:rsidRDefault="0015766C">
      <w:r>
        <w:separator/>
      </w:r>
    </w:p>
  </w:footnote>
  <w:footnote w:type="continuationSeparator" w:id="0">
    <w:p w:rsidR="0015766C" w:rsidRDefault="00157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66C" w:rsidRDefault="00E62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586495"/>
      <w:docPartObj>
        <w:docPartGallery w:val="Page Numbers (Top of Page)"/>
        <w:docPartUnique/>
      </w:docPartObj>
    </w:sdtPr>
    <w:sdtEndPr>
      <w:rPr>
        <w:noProof/>
      </w:rPr>
    </w:sdtEndPr>
    <w:sdtContent>
      <w:p w:rsidR="00E6266C" w:rsidRDefault="00E6266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E6266C" w:rsidRDefault="00E62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66C" w:rsidRDefault="00E62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7DDB"/>
    <w:multiLevelType w:val="hybridMultilevel"/>
    <w:tmpl w:val="376821CE"/>
    <w:lvl w:ilvl="0" w:tplc="3B28F9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0C969F8"/>
    <w:multiLevelType w:val="hybridMultilevel"/>
    <w:tmpl w:val="ADFE91A8"/>
    <w:lvl w:ilvl="0" w:tplc="906288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0655BF0"/>
    <w:multiLevelType w:val="hybridMultilevel"/>
    <w:tmpl w:val="CE94BB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7913616"/>
    <w:multiLevelType w:val="multilevel"/>
    <w:tmpl w:val="3A1806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B0"/>
    <w:rsid w:val="0015766C"/>
    <w:rsid w:val="00296BDA"/>
    <w:rsid w:val="002A78E7"/>
    <w:rsid w:val="004A2CB1"/>
    <w:rsid w:val="00752A81"/>
    <w:rsid w:val="00793E40"/>
    <w:rsid w:val="00A236B6"/>
    <w:rsid w:val="00B70367"/>
    <w:rsid w:val="00C167F9"/>
    <w:rsid w:val="00D62A15"/>
    <w:rsid w:val="00D67095"/>
    <w:rsid w:val="00E6266C"/>
    <w:rsid w:val="00EA44B0"/>
    <w:rsid w:val="00F56D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E172"/>
  <w15:chartTrackingRefBased/>
  <w15:docId w15:val="{CE1B85A9-F267-4830-A8AE-5CA2829D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4B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A44B0"/>
    <w:pPr>
      <w:spacing w:before="100" w:beforeAutospacing="1" w:after="100" w:afterAutospacing="1"/>
    </w:pPr>
  </w:style>
  <w:style w:type="paragraph" w:customStyle="1" w:styleId="naisf">
    <w:name w:val="naisf"/>
    <w:basedOn w:val="Normal"/>
    <w:rsid w:val="00EA44B0"/>
    <w:pPr>
      <w:spacing w:before="75" w:after="75"/>
      <w:ind w:firstLine="375"/>
      <w:jc w:val="both"/>
    </w:pPr>
  </w:style>
  <w:style w:type="paragraph" w:customStyle="1" w:styleId="naisnod">
    <w:name w:val="naisnod"/>
    <w:basedOn w:val="Normal"/>
    <w:uiPriority w:val="99"/>
    <w:rsid w:val="00EA44B0"/>
    <w:pPr>
      <w:spacing w:before="150" w:after="150"/>
      <w:jc w:val="center"/>
    </w:pPr>
    <w:rPr>
      <w:b/>
      <w:bCs/>
    </w:rPr>
  </w:style>
  <w:style w:type="paragraph" w:customStyle="1" w:styleId="naiskr">
    <w:name w:val="naiskr"/>
    <w:basedOn w:val="Normal"/>
    <w:rsid w:val="00EA44B0"/>
    <w:pPr>
      <w:spacing w:before="75" w:after="75"/>
    </w:pPr>
  </w:style>
  <w:style w:type="paragraph" w:customStyle="1" w:styleId="naisc">
    <w:name w:val="naisc"/>
    <w:basedOn w:val="Normal"/>
    <w:rsid w:val="00EA44B0"/>
    <w:pPr>
      <w:spacing w:before="75" w:after="75"/>
      <w:jc w:val="center"/>
    </w:pPr>
  </w:style>
  <w:style w:type="paragraph" w:styleId="Header">
    <w:name w:val="header"/>
    <w:basedOn w:val="Normal"/>
    <w:link w:val="HeaderChar"/>
    <w:uiPriority w:val="99"/>
    <w:unhideWhenUsed/>
    <w:rsid w:val="00EA44B0"/>
    <w:pPr>
      <w:tabs>
        <w:tab w:val="center" w:pos="4153"/>
        <w:tab w:val="right" w:pos="8306"/>
      </w:tabs>
    </w:pPr>
  </w:style>
  <w:style w:type="character" w:customStyle="1" w:styleId="HeaderChar">
    <w:name w:val="Header Char"/>
    <w:basedOn w:val="DefaultParagraphFont"/>
    <w:link w:val="Header"/>
    <w:uiPriority w:val="99"/>
    <w:rsid w:val="00EA44B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A44B0"/>
    <w:pPr>
      <w:tabs>
        <w:tab w:val="center" w:pos="4153"/>
        <w:tab w:val="right" w:pos="8306"/>
      </w:tabs>
    </w:pPr>
  </w:style>
  <w:style w:type="character" w:customStyle="1" w:styleId="FooterChar">
    <w:name w:val="Footer Char"/>
    <w:basedOn w:val="DefaultParagraphFont"/>
    <w:link w:val="Footer"/>
    <w:uiPriority w:val="99"/>
    <w:rsid w:val="00EA44B0"/>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A44B0"/>
    <w:rPr>
      <w:color w:val="0563C1" w:themeColor="hyperlink"/>
      <w:u w:val="single"/>
    </w:rPr>
  </w:style>
  <w:style w:type="paragraph" w:customStyle="1" w:styleId="tv213">
    <w:name w:val="tv213"/>
    <w:basedOn w:val="Normal"/>
    <w:rsid w:val="00EA44B0"/>
    <w:pPr>
      <w:spacing w:before="100" w:beforeAutospacing="1" w:after="100" w:afterAutospacing="1"/>
    </w:pPr>
  </w:style>
  <w:style w:type="character" w:customStyle="1" w:styleId="normaltextrun">
    <w:name w:val="normaltextrun"/>
    <w:basedOn w:val="DefaultParagraphFont"/>
    <w:rsid w:val="00EA44B0"/>
  </w:style>
  <w:style w:type="paragraph" w:customStyle="1" w:styleId="paragraph">
    <w:name w:val="paragraph"/>
    <w:basedOn w:val="Normal"/>
    <w:rsid w:val="00EA44B0"/>
    <w:pPr>
      <w:spacing w:before="100" w:beforeAutospacing="1" w:after="100" w:afterAutospacing="1"/>
    </w:pPr>
  </w:style>
  <w:style w:type="character" w:customStyle="1" w:styleId="eop">
    <w:name w:val="eop"/>
    <w:basedOn w:val="DefaultParagraphFont"/>
    <w:rsid w:val="00EA44B0"/>
  </w:style>
  <w:style w:type="paragraph" w:styleId="ListParagraph">
    <w:name w:val="List Paragraph"/>
    <w:basedOn w:val="Normal"/>
    <w:uiPriority w:val="34"/>
    <w:qFormat/>
    <w:rsid w:val="00EA44B0"/>
    <w:pPr>
      <w:ind w:left="720"/>
      <w:contextualSpacing/>
    </w:pPr>
  </w:style>
  <w:style w:type="paragraph" w:styleId="CommentText">
    <w:name w:val="annotation text"/>
    <w:basedOn w:val="Normal"/>
    <w:link w:val="CommentTextChar"/>
    <w:unhideWhenUsed/>
    <w:rsid w:val="00EA44B0"/>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rsid w:val="00EA44B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A44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4B0"/>
    <w:rPr>
      <w:rFonts w:ascii="Segoe UI" w:eastAsia="Times New Roman" w:hAnsi="Segoe UI" w:cs="Segoe UI"/>
      <w:sz w:val="18"/>
      <w:szCs w:val="18"/>
      <w:lang w:eastAsia="lv-LV"/>
    </w:rPr>
  </w:style>
  <w:style w:type="character" w:styleId="UnresolvedMention">
    <w:name w:val="Unresolved Mention"/>
    <w:basedOn w:val="DefaultParagraphFont"/>
    <w:uiPriority w:val="99"/>
    <w:semiHidden/>
    <w:unhideWhenUsed/>
    <w:rsid w:val="00EA4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dris.Lazarevs@e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39</Pages>
  <Words>44155</Words>
  <Characters>25169</Characters>
  <Application>Microsoft Office Word</Application>
  <DocSecurity>0</DocSecurity>
  <Lines>209</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10</cp:revision>
  <dcterms:created xsi:type="dcterms:W3CDTF">2021-02-19T14:34:00Z</dcterms:created>
  <dcterms:modified xsi:type="dcterms:W3CDTF">2021-02-23T13:53:00Z</dcterms:modified>
</cp:coreProperties>
</file>