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94DED" w14:textId="77777777" w:rsidR="00E41FCE" w:rsidRPr="00812F8E" w:rsidRDefault="00614474" w:rsidP="00812F8E">
      <w:pPr>
        <w:jc w:val="center"/>
        <w:rPr>
          <w:rFonts w:eastAsia="Times New Roman" w:cs="Times New Roman"/>
          <w:b/>
          <w:bCs/>
          <w:sz w:val="28"/>
          <w:szCs w:val="28"/>
          <w:lang w:eastAsia="lv-LV"/>
        </w:rPr>
      </w:pPr>
      <w:bookmarkStart w:id="0" w:name="_Hlk511289679"/>
      <w:r w:rsidRPr="00812F8E">
        <w:rPr>
          <w:rFonts w:cs="Times New Roman"/>
          <w:b/>
          <w:sz w:val="28"/>
          <w:szCs w:val="28"/>
        </w:rPr>
        <w:t>Ministru kabineta noteikumu projekta</w:t>
      </w:r>
      <w:r w:rsidRPr="00812F8E">
        <w:rPr>
          <w:rFonts w:eastAsia="Times New Roman" w:cs="Times New Roman"/>
          <w:b/>
          <w:bCs/>
          <w:color w:val="000000"/>
          <w:sz w:val="28"/>
          <w:szCs w:val="28"/>
          <w:lang w:eastAsia="lv-LV"/>
        </w:rPr>
        <w:t xml:space="preserve"> “</w:t>
      </w:r>
      <w:r w:rsidR="00812F8E" w:rsidRPr="00812F8E">
        <w:rPr>
          <w:b/>
          <w:bCs/>
          <w:sz w:val="28"/>
          <w:szCs w:val="28"/>
        </w:rPr>
        <w:t>Grozījum</w:t>
      </w:r>
      <w:r w:rsidR="00190878">
        <w:rPr>
          <w:b/>
          <w:bCs/>
          <w:sz w:val="28"/>
          <w:szCs w:val="28"/>
        </w:rPr>
        <w:t>i</w:t>
      </w:r>
      <w:r w:rsidR="00812F8E" w:rsidRPr="00812F8E">
        <w:rPr>
          <w:b/>
          <w:bCs/>
          <w:sz w:val="28"/>
          <w:szCs w:val="28"/>
        </w:rPr>
        <w:t xml:space="preserve"> Ministru kabineta 2018.gada 30.oktobra noteikumos Nr.661 </w:t>
      </w:r>
      <w:r w:rsidR="00812F8E" w:rsidRPr="00812F8E">
        <w:rPr>
          <w:b/>
          <w:sz w:val="28"/>
          <w:szCs w:val="28"/>
        </w:rPr>
        <w:t>“</w:t>
      </w:r>
      <w:r w:rsidR="00812F8E" w:rsidRPr="00812F8E">
        <w:rPr>
          <w:b/>
          <w:bCs/>
          <w:sz w:val="28"/>
          <w:szCs w:val="28"/>
        </w:rPr>
        <w:t>Kārtība, kādā maksā nodokļus, nodevas, citus valsts noteiktos maksājumus un ar tiem saistītos maksājumus un novirza tos saistību segšanai</w:t>
      </w:r>
      <w:r w:rsidR="00812F8E" w:rsidRPr="00812F8E">
        <w:rPr>
          <w:b/>
          <w:sz w:val="28"/>
          <w:szCs w:val="28"/>
        </w:rPr>
        <w:t>”</w:t>
      </w:r>
      <w:r w:rsidRPr="00812F8E">
        <w:rPr>
          <w:rFonts w:eastAsia="Times New Roman" w:cs="Times New Roman"/>
          <w:b/>
          <w:bCs/>
          <w:color w:val="000000"/>
          <w:sz w:val="28"/>
          <w:szCs w:val="28"/>
          <w:lang w:eastAsia="lv-LV"/>
        </w:rPr>
        <w:t>”</w:t>
      </w:r>
      <w:r w:rsidRPr="00812F8E">
        <w:rPr>
          <w:rFonts w:eastAsia="Times New Roman" w:cs="Times New Roman"/>
          <w:b/>
          <w:bCs/>
          <w:sz w:val="28"/>
          <w:szCs w:val="28"/>
          <w:lang w:eastAsia="lv-LV"/>
        </w:rPr>
        <w:t xml:space="preserve"> sākotnējās ietekmes </w:t>
      </w:r>
    </w:p>
    <w:p w14:paraId="344F4E52" w14:textId="77777777" w:rsidR="00614474" w:rsidRPr="00812F8E" w:rsidRDefault="00614474" w:rsidP="00614474">
      <w:pPr>
        <w:jc w:val="center"/>
        <w:rPr>
          <w:rFonts w:cs="Times New Roman"/>
          <w:b/>
          <w:bCs/>
          <w:sz w:val="28"/>
          <w:szCs w:val="28"/>
        </w:rPr>
      </w:pPr>
      <w:r w:rsidRPr="00812F8E">
        <w:rPr>
          <w:rFonts w:eastAsia="Times New Roman" w:cs="Times New Roman"/>
          <w:b/>
          <w:bCs/>
          <w:sz w:val="28"/>
          <w:szCs w:val="28"/>
          <w:lang w:eastAsia="lv-LV"/>
        </w:rPr>
        <w:t>novērtējuma ziņojums (anotācija)</w:t>
      </w:r>
      <w:bookmarkEnd w:id="0"/>
    </w:p>
    <w:p w14:paraId="617C75BB" w14:textId="77777777" w:rsidR="00E5323B" w:rsidRPr="00812F8E" w:rsidRDefault="00E5323B" w:rsidP="00894C55">
      <w:pPr>
        <w:shd w:val="clear" w:color="auto" w:fill="FFFFFF"/>
        <w:jc w:val="center"/>
        <w:rPr>
          <w:rFonts w:eastAsia="Times New Roman" w:cs="Times New Roman"/>
          <w:b/>
          <w:bCs/>
          <w:sz w:val="28"/>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CE33AC" w:rsidRPr="00A26C8D" w14:paraId="442D66F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EBD6DE2" w14:textId="77777777" w:rsidR="00655F2C" w:rsidRPr="00A26C8D" w:rsidRDefault="00E5323B" w:rsidP="00E5323B">
            <w:pPr>
              <w:rPr>
                <w:rFonts w:eastAsia="Times New Roman" w:cs="Times New Roman"/>
                <w:b/>
                <w:bCs/>
                <w:iCs/>
                <w:szCs w:val="24"/>
                <w:lang w:eastAsia="lv-LV"/>
              </w:rPr>
            </w:pPr>
            <w:r w:rsidRPr="00A26C8D">
              <w:rPr>
                <w:rFonts w:eastAsia="Times New Roman" w:cs="Times New Roman"/>
                <w:b/>
                <w:bCs/>
                <w:iCs/>
                <w:szCs w:val="24"/>
                <w:lang w:eastAsia="lv-LV"/>
              </w:rPr>
              <w:t>Tiesību akta projekta anotācijas kopsavilkums</w:t>
            </w:r>
          </w:p>
        </w:tc>
      </w:tr>
      <w:tr w:rsidR="00CE33AC" w:rsidRPr="00A26C8D" w14:paraId="23A08DFC" w14:textId="77777777" w:rsidTr="001F7321">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1CD41947" w14:textId="77777777" w:rsidR="00E5323B" w:rsidRPr="00A26C8D" w:rsidRDefault="00E5323B" w:rsidP="00E5323B">
            <w:pPr>
              <w:rPr>
                <w:rFonts w:eastAsia="Times New Roman" w:cs="Times New Roman"/>
                <w:iCs/>
                <w:szCs w:val="24"/>
                <w:lang w:eastAsia="lv-LV"/>
              </w:rPr>
            </w:pPr>
            <w:r w:rsidRPr="00A26C8D">
              <w:rPr>
                <w:rFonts w:eastAsia="Times New Roman" w:cs="Times New Roman"/>
                <w:iCs/>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0FDA82D3" w14:textId="7665C3A5" w:rsidR="00A57674" w:rsidRDefault="00A57674" w:rsidP="00A57674">
            <w:pPr>
              <w:ind w:firstLine="284"/>
              <w:jc w:val="both"/>
              <w:rPr>
                <w:rFonts w:cs="Times New Roman"/>
                <w:szCs w:val="24"/>
              </w:rPr>
            </w:pPr>
            <w:r w:rsidRPr="00A26C8D">
              <w:rPr>
                <w:rFonts w:cs="Times New Roman"/>
                <w:szCs w:val="24"/>
              </w:rPr>
              <w:t>Ministru kabineta noteikumu projekts “</w:t>
            </w:r>
            <w:r w:rsidR="00C45743">
              <w:rPr>
                <w:rFonts w:cs="Times New Roman"/>
                <w:bCs/>
                <w:szCs w:val="24"/>
              </w:rPr>
              <w:t>Grozījum</w:t>
            </w:r>
            <w:r w:rsidR="00190878">
              <w:rPr>
                <w:rFonts w:cs="Times New Roman"/>
                <w:bCs/>
                <w:szCs w:val="24"/>
              </w:rPr>
              <w:t>i</w:t>
            </w:r>
            <w:r w:rsidR="00B766D7" w:rsidRPr="00A26C8D">
              <w:rPr>
                <w:rFonts w:cs="Times New Roman"/>
                <w:bCs/>
                <w:szCs w:val="24"/>
              </w:rPr>
              <w:t xml:space="preserve"> Ministru kabineta 2018.gada 30.oktobra noteikumos Nr.661 “Kārtība, kādā maksā nodokļus, nodevas, citus valsts noteiktos maksājumus un ar tiem saistītos maksājumus un novirza tos saistību segšanai”</w:t>
            </w:r>
            <w:r w:rsidRPr="00A26C8D">
              <w:rPr>
                <w:rFonts w:cs="Times New Roman"/>
                <w:bCs/>
                <w:szCs w:val="24"/>
              </w:rPr>
              <w:t xml:space="preserve">” </w:t>
            </w:r>
            <w:r w:rsidRPr="00A26C8D">
              <w:rPr>
                <w:rFonts w:cs="Times New Roman"/>
                <w:szCs w:val="24"/>
              </w:rPr>
              <w:t xml:space="preserve">(turpmāk –projekts) izstrādāts ar mērķi pilnveidot </w:t>
            </w:r>
            <w:r w:rsidR="00B766D7" w:rsidRPr="00A26C8D">
              <w:rPr>
                <w:rFonts w:eastAsia="Times New Roman" w:cs="Times New Roman"/>
                <w:bCs/>
                <w:color w:val="000000"/>
                <w:szCs w:val="24"/>
                <w:lang w:eastAsia="lv-LV"/>
              </w:rPr>
              <w:t>esošo regulējumu</w:t>
            </w:r>
            <w:r w:rsidR="00F62F8B">
              <w:rPr>
                <w:rFonts w:eastAsia="Times New Roman" w:cs="Times New Roman"/>
                <w:bCs/>
                <w:color w:val="000000"/>
                <w:szCs w:val="24"/>
                <w:lang w:eastAsia="lv-LV"/>
              </w:rPr>
              <w:t>,</w:t>
            </w:r>
            <w:r w:rsidR="00B766D7" w:rsidRPr="00A26C8D">
              <w:rPr>
                <w:rFonts w:eastAsia="Times New Roman" w:cs="Times New Roman"/>
                <w:bCs/>
                <w:color w:val="000000"/>
                <w:szCs w:val="24"/>
                <w:lang w:eastAsia="lv-LV"/>
              </w:rPr>
              <w:t xml:space="preserve"> </w:t>
            </w:r>
            <w:r w:rsidR="00736CD8">
              <w:rPr>
                <w:rFonts w:eastAsia="Times New Roman" w:cs="Times New Roman"/>
                <w:bCs/>
                <w:color w:val="000000"/>
                <w:szCs w:val="24"/>
                <w:lang w:eastAsia="lv-LV"/>
              </w:rPr>
              <w:t xml:space="preserve">precizējot </w:t>
            </w:r>
            <w:r w:rsidR="003B04FE">
              <w:rPr>
                <w:rFonts w:eastAsia="Times New Roman" w:cs="Times New Roman"/>
                <w:bCs/>
                <w:color w:val="000000"/>
                <w:szCs w:val="24"/>
                <w:lang w:eastAsia="lv-LV"/>
              </w:rPr>
              <w:t>gadījumu</w:t>
            </w:r>
            <w:r w:rsidR="00736CD8">
              <w:rPr>
                <w:rFonts w:eastAsia="Times New Roman" w:cs="Times New Roman"/>
                <w:bCs/>
                <w:color w:val="000000"/>
                <w:szCs w:val="24"/>
                <w:lang w:eastAsia="lv-LV"/>
              </w:rPr>
              <w:t>s</w:t>
            </w:r>
            <w:r w:rsidR="003B04FE">
              <w:rPr>
                <w:rFonts w:eastAsia="Times New Roman" w:cs="Times New Roman"/>
                <w:bCs/>
                <w:color w:val="000000"/>
                <w:szCs w:val="24"/>
                <w:lang w:eastAsia="lv-LV"/>
              </w:rPr>
              <w:t>, kad</w:t>
            </w:r>
            <w:r w:rsidR="00B766D7" w:rsidRPr="00A26C8D">
              <w:rPr>
                <w:rFonts w:eastAsia="Times New Roman" w:cs="Times New Roman"/>
                <w:bCs/>
                <w:color w:val="000000"/>
                <w:szCs w:val="24"/>
                <w:lang w:eastAsia="lv-LV"/>
              </w:rPr>
              <w:t xml:space="preserve"> nodokļu iemaksu vienotajā nodokļu kontā </w:t>
            </w:r>
            <w:r w:rsidR="003B04FE">
              <w:rPr>
                <w:rFonts w:eastAsia="Times New Roman" w:cs="Times New Roman"/>
                <w:bCs/>
                <w:color w:val="000000"/>
                <w:szCs w:val="24"/>
                <w:lang w:eastAsia="lv-LV"/>
              </w:rPr>
              <w:t>veic,</w:t>
            </w:r>
            <w:r w:rsidR="00B766D7" w:rsidRPr="00A26C8D">
              <w:rPr>
                <w:rFonts w:eastAsia="Times New Roman" w:cs="Times New Roman"/>
                <w:bCs/>
                <w:color w:val="000000"/>
                <w:szCs w:val="24"/>
                <w:lang w:eastAsia="lv-LV"/>
              </w:rPr>
              <w:t xml:space="preserve"> </w:t>
            </w:r>
            <w:r w:rsidR="00A26C8D">
              <w:rPr>
                <w:rFonts w:eastAsia="Times New Roman" w:cs="Times New Roman"/>
                <w:bCs/>
                <w:color w:val="000000"/>
                <w:szCs w:val="24"/>
                <w:lang w:eastAsia="lv-LV"/>
              </w:rPr>
              <w:t>norādot</w:t>
            </w:r>
            <w:r w:rsidR="00B766D7" w:rsidRPr="00A26C8D">
              <w:rPr>
                <w:rFonts w:eastAsia="Times New Roman" w:cs="Times New Roman"/>
                <w:bCs/>
                <w:color w:val="000000"/>
                <w:szCs w:val="24"/>
                <w:lang w:eastAsia="lv-LV"/>
              </w:rPr>
              <w:t xml:space="preserve"> maksājuma identifikatoru</w:t>
            </w:r>
            <w:r w:rsidRPr="00A26C8D">
              <w:rPr>
                <w:rFonts w:cs="Times New Roman"/>
                <w:szCs w:val="24"/>
              </w:rPr>
              <w:t xml:space="preserve">. </w:t>
            </w:r>
            <w:r w:rsidR="00736CD8">
              <w:rPr>
                <w:rFonts w:cs="Times New Roman"/>
                <w:szCs w:val="24"/>
              </w:rPr>
              <w:t>Pēc</w:t>
            </w:r>
            <w:r w:rsidR="00736CD8">
              <w:rPr>
                <w:rFonts w:eastAsia="Times New Roman" w:cs="Times New Roman"/>
                <w:bCs/>
                <w:color w:val="000000"/>
                <w:szCs w:val="24"/>
                <w:lang w:eastAsia="lv-LV"/>
              </w:rPr>
              <w:t xml:space="preserve"> projektā paredzētā regulējuma ieviešanas ar maksājuma identifikatoru varēs maksāt </w:t>
            </w:r>
            <w:r w:rsidR="00736CD8" w:rsidRPr="00736CD8">
              <w:rPr>
                <w:rFonts w:eastAsia="Times New Roman" w:cs="Times New Roman"/>
                <w:bCs/>
                <w:color w:val="000000"/>
                <w:szCs w:val="24"/>
                <w:lang w:eastAsia="lv-LV"/>
              </w:rPr>
              <w:t xml:space="preserve">dabas resursu nodokli par Latvijā pastāvīgi pirmo reizi reģistrētiem transportlīdzekļiem, </w:t>
            </w:r>
            <w:r w:rsidR="00736CD8">
              <w:rPr>
                <w:rFonts w:eastAsia="Times New Roman" w:cs="Times New Roman"/>
                <w:bCs/>
                <w:color w:val="000000"/>
                <w:szCs w:val="24"/>
                <w:lang w:eastAsia="lv-LV"/>
              </w:rPr>
              <w:t xml:space="preserve">kā arī </w:t>
            </w:r>
            <w:r w:rsidR="00AB5B58" w:rsidRPr="00AB5B58">
              <w:rPr>
                <w:rFonts w:eastAsia="Times New Roman" w:cs="Times New Roman"/>
                <w:bCs/>
                <w:color w:val="000000"/>
                <w:szCs w:val="24"/>
                <w:lang w:eastAsia="lv-LV"/>
              </w:rPr>
              <w:t>pievienotās vērtības nodokli, kuru persona iemaksā īpašo pie</w:t>
            </w:r>
            <w:r w:rsidR="00AB5B58">
              <w:rPr>
                <w:rFonts w:eastAsia="Times New Roman" w:cs="Times New Roman"/>
                <w:bCs/>
                <w:color w:val="000000"/>
                <w:szCs w:val="24"/>
                <w:lang w:eastAsia="lv-LV"/>
              </w:rPr>
              <w:t>vienotās vērtības nodokļa režīm</w:t>
            </w:r>
            <w:r w:rsidR="00CE634D">
              <w:rPr>
                <w:rFonts w:eastAsia="Times New Roman" w:cs="Times New Roman"/>
                <w:bCs/>
                <w:color w:val="000000"/>
                <w:szCs w:val="24"/>
                <w:lang w:eastAsia="lv-LV"/>
              </w:rPr>
              <w:t>u</w:t>
            </w:r>
            <w:r w:rsidR="00AB5B58" w:rsidRPr="00AB5B58">
              <w:rPr>
                <w:rFonts w:eastAsia="Times New Roman" w:cs="Times New Roman"/>
                <w:bCs/>
                <w:color w:val="000000"/>
                <w:szCs w:val="24"/>
                <w:lang w:eastAsia="lv-LV"/>
              </w:rPr>
              <w:t xml:space="preserve"> ietvaros</w:t>
            </w:r>
            <w:r w:rsidR="00AB5B58">
              <w:rPr>
                <w:rFonts w:eastAsia="Times New Roman" w:cs="Times New Roman"/>
                <w:bCs/>
                <w:color w:val="000000"/>
                <w:szCs w:val="24"/>
                <w:lang w:eastAsia="lv-LV"/>
              </w:rPr>
              <w:t>.</w:t>
            </w:r>
          </w:p>
          <w:p w14:paraId="53880123" w14:textId="77FA507E" w:rsidR="00E5323B" w:rsidRPr="00A26C8D" w:rsidRDefault="00DF3E15" w:rsidP="00CE634D">
            <w:pPr>
              <w:ind w:firstLine="284"/>
              <w:jc w:val="both"/>
              <w:rPr>
                <w:rFonts w:cs="Times New Roman"/>
                <w:szCs w:val="24"/>
              </w:rPr>
            </w:pPr>
            <w:r w:rsidRPr="00A26C8D">
              <w:rPr>
                <w:rFonts w:cs="Times New Roman"/>
                <w:szCs w:val="24"/>
              </w:rPr>
              <w:t>Grozījumi n</w:t>
            </w:r>
            <w:r w:rsidR="00A57674" w:rsidRPr="00A26C8D">
              <w:rPr>
                <w:rFonts w:cs="Times New Roman"/>
                <w:szCs w:val="24"/>
              </w:rPr>
              <w:t>oteikum</w:t>
            </w:r>
            <w:r w:rsidRPr="00A26C8D">
              <w:rPr>
                <w:rFonts w:cs="Times New Roman"/>
                <w:szCs w:val="24"/>
              </w:rPr>
              <w:t>os stāsies spēkā pēc to</w:t>
            </w:r>
            <w:r w:rsidR="00A57674" w:rsidRPr="00A26C8D">
              <w:rPr>
                <w:rFonts w:cs="Times New Roman"/>
                <w:szCs w:val="24"/>
              </w:rPr>
              <w:t xml:space="preserve"> pieņemšanas Ministru kabinetā vispārīgā kārtībā, izņemot grozījumu noteikumu</w:t>
            </w:r>
            <w:r w:rsidR="00A26C8D" w:rsidRPr="00A26C8D">
              <w:rPr>
                <w:rFonts w:cs="Times New Roman"/>
                <w:szCs w:val="24"/>
              </w:rPr>
              <w:t xml:space="preserve"> </w:t>
            </w:r>
            <w:r w:rsidR="001F23E8">
              <w:rPr>
                <w:rFonts w:cs="Times New Roman"/>
                <w:szCs w:val="24"/>
              </w:rPr>
              <w:t>5.</w:t>
            </w:r>
            <w:r w:rsidR="000D288F">
              <w:rPr>
                <w:rFonts w:cs="Times New Roman"/>
                <w:szCs w:val="24"/>
              </w:rPr>
              <w:t>5</w:t>
            </w:r>
            <w:r w:rsidR="00781C72">
              <w:rPr>
                <w:rFonts w:cs="Times New Roman"/>
                <w:szCs w:val="24"/>
              </w:rPr>
              <w:t>.apakš</w:t>
            </w:r>
            <w:r w:rsidR="008613B5" w:rsidRPr="00A26C8D">
              <w:rPr>
                <w:rFonts w:cs="Times New Roman"/>
                <w:szCs w:val="24"/>
              </w:rPr>
              <w:t>punktā</w:t>
            </w:r>
            <w:r w:rsidR="00CA1C82">
              <w:rPr>
                <w:rFonts w:cs="Times New Roman"/>
                <w:szCs w:val="24"/>
              </w:rPr>
              <w:t>,</w:t>
            </w:r>
            <w:r w:rsidR="00B904E6">
              <w:rPr>
                <w:rFonts w:cs="Times New Roman"/>
                <w:szCs w:val="24"/>
              </w:rPr>
              <w:t xml:space="preserve"> noteikumu </w:t>
            </w:r>
            <w:r w:rsidR="006F0EF4">
              <w:rPr>
                <w:rFonts w:cs="Times New Roman"/>
                <w:szCs w:val="24"/>
              </w:rPr>
              <w:t>5.</w:t>
            </w:r>
            <w:r w:rsidR="006F0EF4" w:rsidRPr="006F0EF4">
              <w:rPr>
                <w:rFonts w:cs="Times New Roman"/>
                <w:szCs w:val="24"/>
                <w:vertAlign w:val="superscript"/>
              </w:rPr>
              <w:t>1</w:t>
            </w:r>
            <w:r w:rsidR="006F0EF4">
              <w:rPr>
                <w:rFonts w:cs="Times New Roman"/>
                <w:szCs w:val="24"/>
              </w:rPr>
              <w:t>2</w:t>
            </w:r>
            <w:r w:rsidR="00B904E6">
              <w:rPr>
                <w:rFonts w:cs="Times New Roman"/>
                <w:szCs w:val="24"/>
              </w:rPr>
              <w:t>.apakšpunktu</w:t>
            </w:r>
            <w:r w:rsidR="00CA1C82">
              <w:rPr>
                <w:rFonts w:cs="Times New Roman"/>
                <w:szCs w:val="24"/>
              </w:rPr>
              <w:t xml:space="preserve"> un grozījumu</w:t>
            </w:r>
            <w:r w:rsidR="00AB5B58">
              <w:rPr>
                <w:rFonts w:cs="Times New Roman"/>
                <w:szCs w:val="24"/>
              </w:rPr>
              <w:t>s</w:t>
            </w:r>
            <w:r w:rsidR="00CA1C82">
              <w:rPr>
                <w:rFonts w:cs="Times New Roman"/>
                <w:szCs w:val="24"/>
              </w:rPr>
              <w:t xml:space="preserve"> </w:t>
            </w:r>
            <w:r w:rsidR="00CE634D">
              <w:rPr>
                <w:rFonts w:cs="Times New Roman"/>
                <w:szCs w:val="24"/>
              </w:rPr>
              <w:t>noteikumu</w:t>
            </w:r>
            <w:r w:rsidR="00CA1C82">
              <w:rPr>
                <w:rFonts w:cs="Times New Roman"/>
                <w:szCs w:val="24"/>
              </w:rPr>
              <w:t xml:space="preserve"> pielikumā</w:t>
            </w:r>
            <w:r w:rsidR="00A26C8D" w:rsidRPr="00A26C8D">
              <w:rPr>
                <w:rFonts w:cs="Times New Roman"/>
                <w:szCs w:val="24"/>
              </w:rPr>
              <w:t>, kas stāsies spēkā 2021</w:t>
            </w:r>
            <w:r w:rsidR="00A57674" w:rsidRPr="00A26C8D">
              <w:rPr>
                <w:rFonts w:cs="Times New Roman"/>
                <w:szCs w:val="24"/>
              </w:rPr>
              <w:t>.gada 1.</w:t>
            </w:r>
            <w:r w:rsidR="00C85A3F" w:rsidRPr="00A26C8D">
              <w:rPr>
                <w:rFonts w:cs="Times New Roman"/>
                <w:szCs w:val="24"/>
              </w:rPr>
              <w:t>jūlijā</w:t>
            </w:r>
            <w:r w:rsidR="00A57674" w:rsidRPr="00A26C8D">
              <w:rPr>
                <w:rFonts w:cs="Times New Roman"/>
                <w:szCs w:val="24"/>
              </w:rPr>
              <w:t>.</w:t>
            </w:r>
          </w:p>
        </w:tc>
      </w:tr>
    </w:tbl>
    <w:p w14:paraId="6173B019" w14:textId="77777777" w:rsidR="00E5323B" w:rsidRPr="00812F8E" w:rsidRDefault="00E5323B" w:rsidP="00E5323B">
      <w:pPr>
        <w:rPr>
          <w:rFonts w:eastAsia="Times New Roman" w:cs="Times New Roman"/>
          <w:iCs/>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676"/>
        <w:gridCol w:w="5802"/>
      </w:tblGrid>
      <w:tr w:rsidR="00CE33AC" w:rsidRPr="00B766D7" w14:paraId="235E99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3787B9" w14:textId="77777777" w:rsidR="00655F2C" w:rsidRPr="00B766D7" w:rsidRDefault="00E5323B" w:rsidP="00E5323B">
            <w:pPr>
              <w:rPr>
                <w:rFonts w:eastAsia="Times New Roman" w:cs="Times New Roman"/>
                <w:b/>
                <w:bCs/>
                <w:iCs/>
                <w:szCs w:val="24"/>
                <w:lang w:eastAsia="lv-LV"/>
              </w:rPr>
            </w:pPr>
            <w:r w:rsidRPr="00B766D7">
              <w:rPr>
                <w:rFonts w:eastAsia="Times New Roman" w:cs="Times New Roman"/>
                <w:b/>
                <w:bCs/>
                <w:iCs/>
                <w:szCs w:val="24"/>
                <w:lang w:eastAsia="lv-LV"/>
              </w:rPr>
              <w:t>I. Tiesību akta projekta izstrādes nepieciešamība</w:t>
            </w:r>
          </w:p>
        </w:tc>
      </w:tr>
      <w:tr w:rsidR="00A25FB4" w:rsidRPr="00B766D7" w14:paraId="6556D8FC" w14:textId="77777777" w:rsidTr="001F7321">
        <w:trPr>
          <w:tblCellSpacing w:w="15" w:type="dxa"/>
        </w:trPr>
        <w:tc>
          <w:tcPr>
            <w:tcW w:w="294" w:type="pct"/>
            <w:tcBorders>
              <w:top w:val="outset" w:sz="6" w:space="0" w:color="auto"/>
              <w:left w:val="outset" w:sz="6" w:space="0" w:color="auto"/>
              <w:bottom w:val="outset" w:sz="6" w:space="0" w:color="auto"/>
              <w:right w:val="outset" w:sz="6" w:space="0" w:color="auto"/>
            </w:tcBorders>
          </w:tcPr>
          <w:p w14:paraId="7F32ABEB" w14:textId="77777777" w:rsidR="00A25FB4" w:rsidRPr="00B766D7" w:rsidRDefault="00A25FB4" w:rsidP="00E5323B">
            <w:pPr>
              <w:rPr>
                <w:rFonts w:eastAsia="Times New Roman" w:cs="Times New Roman"/>
                <w:iCs/>
                <w:szCs w:val="24"/>
                <w:lang w:eastAsia="lv-LV"/>
              </w:rPr>
            </w:pPr>
            <w:r w:rsidRPr="00B766D7">
              <w:rPr>
                <w:rFonts w:eastAsia="Times New Roman" w:cs="Times New Roman"/>
                <w:iCs/>
                <w:szCs w:val="24"/>
                <w:lang w:eastAsia="lv-LV"/>
              </w:rPr>
              <w:t>1.</w:t>
            </w:r>
          </w:p>
        </w:tc>
        <w:tc>
          <w:tcPr>
            <w:tcW w:w="1461" w:type="pct"/>
            <w:tcBorders>
              <w:top w:val="outset" w:sz="6" w:space="0" w:color="auto"/>
              <w:left w:val="outset" w:sz="6" w:space="0" w:color="auto"/>
              <w:bottom w:val="outset" w:sz="6" w:space="0" w:color="auto"/>
              <w:right w:val="outset" w:sz="6" w:space="0" w:color="auto"/>
            </w:tcBorders>
          </w:tcPr>
          <w:p w14:paraId="55FA44F7" w14:textId="77777777" w:rsidR="00A25FB4" w:rsidRPr="00B766D7" w:rsidRDefault="00A25FB4" w:rsidP="00E5323B">
            <w:pPr>
              <w:rPr>
                <w:rFonts w:eastAsia="Times New Roman" w:cs="Times New Roman"/>
                <w:iCs/>
                <w:szCs w:val="24"/>
                <w:lang w:eastAsia="lv-LV"/>
              </w:rPr>
            </w:pPr>
            <w:r w:rsidRPr="00B766D7">
              <w:rPr>
                <w:rFonts w:eastAsia="Times New Roman" w:cs="Times New Roman"/>
                <w:iCs/>
                <w:szCs w:val="24"/>
                <w:lang w:eastAsia="lv-LV"/>
              </w:rPr>
              <w:t>Pamatojums</w:t>
            </w:r>
          </w:p>
        </w:tc>
        <w:tc>
          <w:tcPr>
            <w:tcW w:w="3179" w:type="pct"/>
            <w:tcBorders>
              <w:top w:val="outset" w:sz="6" w:space="0" w:color="auto"/>
              <w:left w:val="outset" w:sz="6" w:space="0" w:color="auto"/>
              <w:bottom w:val="outset" w:sz="6" w:space="0" w:color="auto"/>
              <w:right w:val="outset" w:sz="6" w:space="0" w:color="auto"/>
            </w:tcBorders>
          </w:tcPr>
          <w:p w14:paraId="7D349576" w14:textId="58EED80D" w:rsidR="00A25FB4" w:rsidRPr="00B766D7" w:rsidRDefault="00736CD8" w:rsidP="00736CD8">
            <w:pPr>
              <w:ind w:firstLine="284"/>
              <w:jc w:val="both"/>
              <w:rPr>
                <w:rFonts w:eastAsia="Times New Roman" w:cs="Times New Roman"/>
                <w:b/>
                <w:i/>
                <w:iCs/>
                <w:szCs w:val="24"/>
                <w:lang w:eastAsia="lv-LV"/>
              </w:rPr>
            </w:pPr>
            <w:r>
              <w:rPr>
                <w:rFonts w:cs="Times New Roman"/>
                <w:szCs w:val="24"/>
              </w:rPr>
              <w:t>P</w:t>
            </w:r>
            <w:r w:rsidR="000942C2" w:rsidRPr="00B766D7">
              <w:rPr>
                <w:rFonts w:cs="Times New Roman"/>
                <w:szCs w:val="24"/>
              </w:rPr>
              <w:t>rojekts</w:t>
            </w:r>
            <w:r w:rsidR="00614474" w:rsidRPr="00B766D7">
              <w:rPr>
                <w:rFonts w:cs="Times New Roman"/>
                <w:szCs w:val="24"/>
              </w:rPr>
              <w:t xml:space="preserve"> izstrādāts </w:t>
            </w:r>
            <w:r w:rsidR="00812F8E" w:rsidRPr="00B766D7">
              <w:rPr>
                <w:rFonts w:cs="Times New Roman"/>
                <w:szCs w:val="24"/>
              </w:rPr>
              <w:t xml:space="preserve">atbilstoši Ministru kabineta dotajam uzdevumam </w:t>
            </w:r>
            <w:r w:rsidR="00B766D7" w:rsidRPr="00B766D7">
              <w:rPr>
                <w:rFonts w:cs="Times New Roman"/>
                <w:szCs w:val="24"/>
              </w:rPr>
              <w:t>(Ministru kabineta 2020.gada 17.decembra sēdes protokola Nr.84 7.§ 2.punkt</w:t>
            </w:r>
            <w:r w:rsidR="00513304">
              <w:rPr>
                <w:rFonts w:cs="Times New Roman"/>
                <w:szCs w:val="24"/>
              </w:rPr>
              <w:t>s</w:t>
            </w:r>
            <w:r w:rsidR="00B766D7" w:rsidRPr="00B766D7">
              <w:rPr>
                <w:rFonts w:cs="Times New Roman"/>
                <w:szCs w:val="24"/>
              </w:rPr>
              <w:t xml:space="preserve">) </w:t>
            </w:r>
            <w:r w:rsidR="00812F8E" w:rsidRPr="00B766D7">
              <w:rPr>
                <w:rFonts w:cs="Times New Roman"/>
                <w:szCs w:val="24"/>
              </w:rPr>
              <w:t>un</w:t>
            </w:r>
            <w:r w:rsidR="00B766D7" w:rsidRPr="00B766D7">
              <w:rPr>
                <w:rFonts w:cs="Times New Roman"/>
                <w:szCs w:val="24"/>
              </w:rPr>
              <w:t xml:space="preserve"> </w:t>
            </w:r>
            <w:r w:rsidR="009A3B99">
              <w:rPr>
                <w:rFonts w:cs="Times New Roman"/>
                <w:szCs w:val="24"/>
              </w:rPr>
              <w:t xml:space="preserve">pēc Finanšu ministrijas iniciatīvas, lai pilnībā ieviestu </w:t>
            </w:r>
            <w:r w:rsidR="00A26C8D">
              <w:rPr>
                <w:rFonts w:cs="Times New Roman"/>
                <w:szCs w:val="24"/>
              </w:rPr>
              <w:t>2020.gada 15.</w:t>
            </w:r>
            <w:r w:rsidR="00F86F09">
              <w:rPr>
                <w:rFonts w:cs="Times New Roman"/>
                <w:szCs w:val="24"/>
              </w:rPr>
              <w:t>oktobra</w:t>
            </w:r>
            <w:r w:rsidR="00A26C8D">
              <w:rPr>
                <w:rFonts w:cs="Times New Roman"/>
                <w:szCs w:val="24"/>
              </w:rPr>
              <w:t xml:space="preserve"> likum</w:t>
            </w:r>
            <w:r w:rsidR="009A3B99">
              <w:rPr>
                <w:rFonts w:cs="Times New Roman"/>
                <w:szCs w:val="24"/>
              </w:rPr>
              <w:t>ā</w:t>
            </w:r>
            <w:r w:rsidR="00B766D7" w:rsidRPr="00B766D7">
              <w:rPr>
                <w:rFonts w:cs="Times New Roman"/>
                <w:szCs w:val="24"/>
              </w:rPr>
              <w:t xml:space="preserve"> “Grozījumi Pievienotās vērtības nodokļa likumā”</w:t>
            </w:r>
            <w:r w:rsidR="009A3B99">
              <w:rPr>
                <w:rFonts w:cs="Times New Roman"/>
                <w:szCs w:val="24"/>
              </w:rPr>
              <w:t xml:space="preserve"> paredzēto procesu</w:t>
            </w:r>
            <w:r w:rsidR="00614474" w:rsidRPr="00B766D7">
              <w:rPr>
                <w:rFonts w:cs="Times New Roman"/>
                <w:szCs w:val="24"/>
              </w:rPr>
              <w:t>.</w:t>
            </w:r>
          </w:p>
        </w:tc>
      </w:tr>
      <w:tr w:rsidR="00CE33AC" w:rsidRPr="00B766D7" w14:paraId="113875A3" w14:textId="77777777" w:rsidTr="001F732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FCF24F8" w14:textId="77777777" w:rsidR="00655F2C" w:rsidRPr="00B766D7" w:rsidRDefault="00E5323B" w:rsidP="005C0A16">
            <w:pPr>
              <w:rPr>
                <w:rFonts w:eastAsia="Times New Roman" w:cs="Times New Roman"/>
                <w:szCs w:val="24"/>
                <w:lang w:eastAsia="lv-LV"/>
              </w:rPr>
            </w:pPr>
            <w:r w:rsidRPr="00B766D7">
              <w:rPr>
                <w:rFonts w:eastAsia="Times New Roman" w:cs="Times New Roman"/>
                <w:iCs/>
                <w:szCs w:val="24"/>
                <w:lang w:eastAsia="lv-LV"/>
              </w:rPr>
              <w:t>2.</w:t>
            </w:r>
          </w:p>
        </w:tc>
        <w:tc>
          <w:tcPr>
            <w:tcW w:w="1461" w:type="pct"/>
            <w:tcBorders>
              <w:top w:val="outset" w:sz="6" w:space="0" w:color="auto"/>
              <w:left w:val="outset" w:sz="6" w:space="0" w:color="auto"/>
              <w:bottom w:val="outset" w:sz="6" w:space="0" w:color="auto"/>
              <w:right w:val="outset" w:sz="6" w:space="0" w:color="auto"/>
            </w:tcBorders>
            <w:hideMark/>
          </w:tcPr>
          <w:p w14:paraId="58CA2DBC" w14:textId="77777777" w:rsidR="00E5323B" w:rsidRPr="00B766D7" w:rsidRDefault="00E5323B" w:rsidP="00086DBA">
            <w:pPr>
              <w:rPr>
                <w:rFonts w:eastAsia="Times New Roman" w:cs="Times New Roman"/>
                <w:szCs w:val="24"/>
                <w:lang w:eastAsia="lv-LV"/>
              </w:rPr>
            </w:pPr>
            <w:r w:rsidRPr="00B766D7">
              <w:rPr>
                <w:rFonts w:eastAsia="Times New Roman" w:cs="Times New Roman"/>
                <w:iCs/>
                <w:szCs w:val="24"/>
                <w:lang w:eastAsia="lv-LV"/>
              </w:rPr>
              <w:t>Pašreizējā situācija un problēmas, kuru risināšanai tiesību akta projekts izstrādāts, tiesiskā regulējuma mērķis un būtība</w:t>
            </w:r>
          </w:p>
        </w:tc>
        <w:tc>
          <w:tcPr>
            <w:tcW w:w="3179" w:type="pct"/>
            <w:tcBorders>
              <w:top w:val="outset" w:sz="6" w:space="0" w:color="auto"/>
              <w:left w:val="outset" w:sz="6" w:space="0" w:color="auto"/>
              <w:bottom w:val="outset" w:sz="6" w:space="0" w:color="auto"/>
              <w:right w:val="outset" w:sz="6" w:space="0" w:color="auto"/>
            </w:tcBorders>
            <w:hideMark/>
          </w:tcPr>
          <w:p w14:paraId="5F4977DC" w14:textId="5DE34250" w:rsidR="00707D92" w:rsidRPr="009248C5" w:rsidRDefault="00707D92" w:rsidP="00707D92">
            <w:pPr>
              <w:pStyle w:val="ListParagraph"/>
              <w:ind w:left="0" w:firstLine="284"/>
              <w:contextualSpacing w:val="0"/>
              <w:jc w:val="both"/>
              <w:rPr>
                <w:rFonts w:eastAsia="Times New Roman"/>
                <w:szCs w:val="24"/>
                <w:lang w:eastAsia="lv-LV"/>
              </w:rPr>
            </w:pPr>
            <w:r w:rsidRPr="009248C5">
              <w:rPr>
                <w:rFonts w:eastAsia="Times New Roman"/>
                <w:szCs w:val="24"/>
                <w:lang w:eastAsia="lv-LV"/>
              </w:rPr>
              <w:t>2020.gada 17.decembrī tika pieņemti Ministru kabineta noteikumi Nr.758 “Grozījumi Ministru kabineta 2012.gada 22.maija noteikumos Nr.361 “Dabas resursu nodokļa piemērošanas noteikumi transportlīdzekļiem””.</w:t>
            </w:r>
            <w:r w:rsidR="00CE4513" w:rsidRPr="009248C5">
              <w:t xml:space="preserve"> </w:t>
            </w:r>
            <w:r w:rsidR="00D82422" w:rsidRPr="009248C5">
              <w:t>Minētā projekta virzības laikā d</w:t>
            </w:r>
            <w:r w:rsidR="00CE4513" w:rsidRPr="009248C5">
              <w:rPr>
                <w:rFonts w:eastAsia="Times New Roman"/>
                <w:szCs w:val="24"/>
                <w:lang w:eastAsia="lv-LV"/>
              </w:rPr>
              <w:t xml:space="preserve">abas resursu nodokļa (turpmāk – DRN) reglamentējošajos normatīvajos aktos noteiktā DRN par transportlīdzekli maksāšanas kārtība, kas cita starpā paredz arī iespēju izmantot dažādus maksājumu pakalpojumu veidus, </w:t>
            </w:r>
            <w:r w:rsidR="00D82422" w:rsidRPr="009248C5">
              <w:rPr>
                <w:rFonts w:eastAsia="Times New Roman"/>
                <w:szCs w:val="24"/>
                <w:lang w:eastAsia="lv-LV"/>
              </w:rPr>
              <w:t xml:space="preserve">tika pārskatīta un </w:t>
            </w:r>
            <w:r w:rsidR="00CE4513" w:rsidRPr="009248C5">
              <w:rPr>
                <w:rFonts w:eastAsia="Times New Roman"/>
                <w:szCs w:val="24"/>
                <w:lang w:eastAsia="lv-LV"/>
              </w:rPr>
              <w:t xml:space="preserve">atzīta par efektīvu un operatīvu. Nodokļu maksātājam nav iespējams veikt darbības ar transportlīdzekli </w:t>
            </w:r>
            <w:r w:rsidR="00781C72" w:rsidRPr="009248C5">
              <w:rPr>
                <w:rFonts w:eastAsia="Times New Roman"/>
                <w:szCs w:val="24"/>
                <w:lang w:eastAsia="lv-LV"/>
              </w:rPr>
              <w:t>valsts akciju sabiedrībā “</w:t>
            </w:r>
            <w:r w:rsidR="00935CB3" w:rsidRPr="009248C5">
              <w:rPr>
                <w:rFonts w:eastAsia="Times New Roman"/>
                <w:szCs w:val="24"/>
                <w:lang w:eastAsia="lv-LV"/>
              </w:rPr>
              <w:t>Ce</w:t>
            </w:r>
            <w:r w:rsidR="00781C72" w:rsidRPr="009248C5">
              <w:rPr>
                <w:rFonts w:eastAsia="Times New Roman"/>
                <w:szCs w:val="24"/>
                <w:lang w:eastAsia="lv-LV"/>
              </w:rPr>
              <w:t>ļu satiksmes drošības direkcija”</w:t>
            </w:r>
            <w:r w:rsidR="00935CB3" w:rsidRPr="009248C5">
              <w:rPr>
                <w:rFonts w:eastAsia="Times New Roman"/>
                <w:szCs w:val="24"/>
                <w:lang w:eastAsia="lv-LV"/>
              </w:rPr>
              <w:t xml:space="preserve"> (turpmāk – CSDD)</w:t>
            </w:r>
            <w:r w:rsidR="00CE4513" w:rsidRPr="009248C5">
              <w:rPr>
                <w:rFonts w:eastAsia="Times New Roman"/>
                <w:szCs w:val="24"/>
                <w:lang w:eastAsia="lv-LV"/>
              </w:rPr>
              <w:t xml:space="preserve">, kamēr DRN par transportlīdzekli nav samaksāts, tādējādi ir novērsta minētā nodokļa parāda rašanās iespējamība. </w:t>
            </w:r>
            <w:r w:rsidR="00D82422" w:rsidRPr="009248C5">
              <w:rPr>
                <w:rFonts w:eastAsia="Times New Roman"/>
                <w:szCs w:val="24"/>
                <w:lang w:eastAsia="lv-LV"/>
              </w:rPr>
              <w:t xml:space="preserve">Lai </w:t>
            </w:r>
            <w:r w:rsidR="00D82422" w:rsidRPr="009248C5">
              <w:rPr>
                <w:rFonts w:eastAsia="Times New Roman"/>
                <w:szCs w:val="24"/>
                <w:lang w:eastAsia="lv-LV"/>
              </w:rPr>
              <w:lastRenderedPageBreak/>
              <w:t>netiktu apgrūtināta (tai skaitā arī paildzināta) transportlīdzekļa reģistrācijas procesa operativitāte, netiktu samazināta DRN administrēšanas procesa efekt</w:t>
            </w:r>
            <w:r w:rsidR="0052296E" w:rsidRPr="009248C5">
              <w:rPr>
                <w:rFonts w:eastAsia="Times New Roman"/>
                <w:szCs w:val="24"/>
                <w:lang w:eastAsia="lv-LV"/>
              </w:rPr>
              <w:t>i</w:t>
            </w:r>
            <w:r w:rsidR="00D82422" w:rsidRPr="009248C5">
              <w:rPr>
                <w:rFonts w:eastAsia="Times New Roman"/>
                <w:szCs w:val="24"/>
                <w:lang w:eastAsia="lv-LV"/>
              </w:rPr>
              <w:t>vitāte (saglabājot to tād</w:t>
            </w:r>
            <w:r w:rsidR="0052296E" w:rsidRPr="009248C5">
              <w:rPr>
                <w:rFonts w:eastAsia="Times New Roman"/>
                <w:szCs w:val="24"/>
                <w:lang w:eastAsia="lv-LV"/>
              </w:rPr>
              <w:t>ā</w:t>
            </w:r>
            <w:r w:rsidR="00D82422" w:rsidRPr="009248C5">
              <w:rPr>
                <w:rFonts w:eastAsia="Times New Roman"/>
                <w:szCs w:val="24"/>
                <w:lang w:eastAsia="lv-LV"/>
              </w:rPr>
              <w:t xml:space="preserve"> līmenī, kāds ir nodrošināts šobrīd</w:t>
            </w:r>
            <w:r w:rsidR="00935CB3" w:rsidRPr="009248C5">
              <w:rPr>
                <w:rFonts w:eastAsia="Times New Roman"/>
                <w:szCs w:val="24"/>
                <w:lang w:eastAsia="lv-LV"/>
              </w:rPr>
              <w:t xml:space="preserve">), </w:t>
            </w:r>
            <w:r w:rsidR="0052296E" w:rsidRPr="009248C5">
              <w:rPr>
                <w:rFonts w:eastAsia="Times New Roman"/>
                <w:szCs w:val="24"/>
                <w:lang w:eastAsia="lv-LV"/>
              </w:rPr>
              <w:t>nebūtu</w:t>
            </w:r>
            <w:r w:rsidR="00935CB3" w:rsidRPr="009248C5">
              <w:rPr>
                <w:rFonts w:eastAsia="Times New Roman"/>
                <w:szCs w:val="24"/>
                <w:lang w:eastAsia="lv-LV"/>
              </w:rPr>
              <w:t xml:space="preserve"> jāveido papildu informācijas apmaiņas risinājums starp Valsts ieņēmumu dienestu </w:t>
            </w:r>
            <w:r w:rsidR="006251E2" w:rsidRPr="009248C5">
              <w:rPr>
                <w:rFonts w:eastAsia="Times New Roman"/>
                <w:szCs w:val="24"/>
                <w:lang w:eastAsia="lv-LV"/>
              </w:rPr>
              <w:t xml:space="preserve">(turpmāk – VID) </w:t>
            </w:r>
            <w:r w:rsidR="00935CB3" w:rsidRPr="009248C5">
              <w:rPr>
                <w:rFonts w:eastAsia="Times New Roman"/>
                <w:szCs w:val="24"/>
                <w:lang w:eastAsia="lv-LV"/>
              </w:rPr>
              <w:t xml:space="preserve">un CSDD, </w:t>
            </w:r>
            <w:r w:rsidR="00781C72" w:rsidRPr="009248C5">
              <w:rPr>
                <w:rFonts w:eastAsia="Times New Roman"/>
                <w:szCs w:val="24"/>
                <w:lang w:eastAsia="lv-LV"/>
              </w:rPr>
              <w:t xml:space="preserve">tika </w:t>
            </w:r>
            <w:r w:rsidR="00E41DA3" w:rsidRPr="009248C5">
              <w:rPr>
                <w:rFonts w:eastAsia="Times New Roman"/>
                <w:szCs w:val="24"/>
                <w:lang w:eastAsia="lv-LV"/>
              </w:rPr>
              <w:t>panākta vienošanās</w:t>
            </w:r>
            <w:r w:rsidR="00935CB3" w:rsidRPr="009248C5">
              <w:rPr>
                <w:rFonts w:eastAsia="Times New Roman"/>
                <w:szCs w:val="24"/>
                <w:lang w:eastAsia="lv-LV"/>
              </w:rPr>
              <w:t xml:space="preserve"> </w:t>
            </w:r>
            <w:r w:rsidR="00E41DA3" w:rsidRPr="009248C5">
              <w:rPr>
                <w:rFonts w:eastAsia="Times New Roman"/>
                <w:szCs w:val="24"/>
                <w:lang w:eastAsia="lv-LV"/>
              </w:rPr>
              <w:t>minē</w:t>
            </w:r>
            <w:r w:rsidR="00781C72" w:rsidRPr="009248C5">
              <w:rPr>
                <w:rFonts w:eastAsia="Times New Roman"/>
                <w:szCs w:val="24"/>
                <w:lang w:eastAsia="lv-LV"/>
              </w:rPr>
              <w:t xml:space="preserve">tajos noteikumos </w:t>
            </w:r>
            <w:r w:rsidR="00935CB3" w:rsidRPr="009248C5">
              <w:t xml:space="preserve">saglabāt nodokļu maksātājiem </w:t>
            </w:r>
            <w:r w:rsidR="00781C72" w:rsidRPr="009248C5">
              <w:t>šobrīd esošo DRN maksāšanas kārtību</w:t>
            </w:r>
            <w:r w:rsidR="008D4D68" w:rsidRPr="009248C5">
              <w:rPr>
                <w:rFonts w:eastAsia="Times New Roman"/>
                <w:szCs w:val="24"/>
                <w:lang w:eastAsia="lv-LV"/>
              </w:rPr>
              <w:t>.</w:t>
            </w:r>
            <w:r w:rsidR="00935CB3" w:rsidRPr="009248C5">
              <w:rPr>
                <w:rFonts w:eastAsia="Times New Roman"/>
                <w:szCs w:val="24"/>
                <w:lang w:eastAsia="lv-LV"/>
              </w:rPr>
              <w:t xml:space="preserve"> </w:t>
            </w:r>
            <w:r w:rsidR="008D4D68" w:rsidRPr="009248C5">
              <w:rPr>
                <w:rFonts w:eastAsia="Times New Roman"/>
                <w:szCs w:val="24"/>
                <w:lang w:eastAsia="lv-LV"/>
              </w:rPr>
              <w:t xml:space="preserve">Vienlaikus, </w:t>
            </w:r>
            <w:r w:rsidR="00935CB3" w:rsidRPr="009248C5">
              <w:rPr>
                <w:rFonts w:eastAsia="Times New Roman"/>
                <w:szCs w:val="24"/>
                <w:lang w:eastAsia="lv-LV"/>
              </w:rPr>
              <w:t>l</w:t>
            </w:r>
            <w:r w:rsidRPr="009248C5">
              <w:rPr>
                <w:rFonts w:eastAsia="Times New Roman"/>
                <w:szCs w:val="24"/>
                <w:lang w:eastAsia="lv-LV"/>
              </w:rPr>
              <w:t xml:space="preserve">ai nodrošinātu skaidru un nepārprotamu normatīvo regulējumu attiecībā uz </w:t>
            </w:r>
            <w:r w:rsidR="00935CB3" w:rsidRPr="009248C5">
              <w:rPr>
                <w:rFonts w:eastAsia="Times New Roman"/>
                <w:szCs w:val="24"/>
                <w:lang w:eastAsia="lv-LV"/>
              </w:rPr>
              <w:t>DRN</w:t>
            </w:r>
            <w:r w:rsidRPr="009248C5">
              <w:rPr>
                <w:rFonts w:eastAsia="Times New Roman"/>
                <w:szCs w:val="24"/>
                <w:lang w:eastAsia="lv-LV"/>
              </w:rPr>
              <w:t xml:space="preserve"> par transportlīdzekļiem, kuri Latvijā tiek pastāvīgi reģistrēti pirmo reizi, maksāšanu vienotajā nodokļu kontā, Finanšu ministrijai tika dots uzdevums līdz 2021.gada 1.martam iesniegt Ministru kabinetā grozījumus Ministru kabineta 2018.gad</w:t>
            </w:r>
            <w:r w:rsidR="00781C72" w:rsidRPr="009248C5">
              <w:rPr>
                <w:rFonts w:eastAsia="Times New Roman"/>
                <w:szCs w:val="24"/>
                <w:lang w:eastAsia="lv-LV"/>
              </w:rPr>
              <w:t>a 30.oktobra noteikumos Nr.661 “</w:t>
            </w:r>
            <w:r w:rsidRPr="009248C5">
              <w:rPr>
                <w:rFonts w:eastAsia="Times New Roman"/>
                <w:szCs w:val="24"/>
                <w:lang w:eastAsia="lv-LV"/>
              </w:rPr>
              <w:t>Kārtība, kādā maksā nodokļus, nodevas, citus valsts noteiktos maksājumus un ar tiem saistītos maksājumus u</w:t>
            </w:r>
            <w:r w:rsidR="00781C72" w:rsidRPr="009248C5">
              <w:rPr>
                <w:rFonts w:eastAsia="Times New Roman"/>
                <w:szCs w:val="24"/>
                <w:lang w:eastAsia="lv-LV"/>
              </w:rPr>
              <w:t>n novirza tos saistību segšanai”</w:t>
            </w:r>
            <w:r w:rsidR="00904FA0" w:rsidRPr="009248C5">
              <w:rPr>
                <w:rFonts w:eastAsia="Times New Roman"/>
                <w:szCs w:val="24"/>
                <w:lang w:eastAsia="lv-LV"/>
              </w:rPr>
              <w:t xml:space="preserve"> (turpmāk – MK noteikumi Nr.661)</w:t>
            </w:r>
            <w:r w:rsidRPr="009248C5">
              <w:rPr>
                <w:rFonts w:eastAsia="Times New Roman"/>
                <w:szCs w:val="24"/>
                <w:lang w:eastAsia="lv-LV"/>
              </w:rPr>
              <w:t xml:space="preserve">, nosakot, ka </w:t>
            </w:r>
            <w:r w:rsidR="00935CB3" w:rsidRPr="009248C5">
              <w:rPr>
                <w:rFonts w:eastAsia="Times New Roman"/>
                <w:szCs w:val="24"/>
                <w:lang w:eastAsia="lv-LV"/>
              </w:rPr>
              <w:t xml:space="preserve">CSDD </w:t>
            </w:r>
            <w:r w:rsidRPr="009248C5">
              <w:rPr>
                <w:rFonts w:eastAsia="Times New Roman"/>
                <w:szCs w:val="24"/>
                <w:lang w:eastAsia="lv-LV"/>
              </w:rPr>
              <w:t xml:space="preserve">iekasēto </w:t>
            </w:r>
            <w:r w:rsidR="006251E2" w:rsidRPr="009248C5">
              <w:rPr>
                <w:rFonts w:eastAsia="Times New Roman"/>
                <w:szCs w:val="24"/>
                <w:lang w:eastAsia="lv-LV"/>
              </w:rPr>
              <w:t>DRN</w:t>
            </w:r>
            <w:r w:rsidRPr="009248C5">
              <w:rPr>
                <w:rFonts w:eastAsia="Times New Roman"/>
                <w:szCs w:val="24"/>
                <w:lang w:eastAsia="lv-LV"/>
              </w:rPr>
              <w:t xml:space="preserve"> par transportlīdzekļiem, kuri Latvijā tiek pastāvīgi reģistrēti pirmo reizi, vienotajā nodokļu kontā iemaksā, norādot maksājuma identifikatoru.</w:t>
            </w:r>
            <w:r w:rsidR="008D4D68" w:rsidRPr="009248C5">
              <w:rPr>
                <w:rFonts w:eastAsia="Times New Roman"/>
                <w:szCs w:val="24"/>
                <w:lang w:eastAsia="lv-LV"/>
              </w:rPr>
              <w:t xml:space="preserve"> Tādējādi projektā iekļaut</w:t>
            </w:r>
            <w:r w:rsidR="00781C72" w:rsidRPr="009248C5">
              <w:rPr>
                <w:rFonts w:eastAsia="Times New Roman"/>
                <w:szCs w:val="24"/>
                <w:lang w:eastAsia="lv-LV"/>
              </w:rPr>
              <w:t>a norma, kas nosaka, ka</w:t>
            </w:r>
            <w:r w:rsidR="008D4D68" w:rsidRPr="009248C5">
              <w:rPr>
                <w:rFonts w:eastAsia="Times New Roman"/>
                <w:szCs w:val="24"/>
                <w:lang w:eastAsia="lv-LV"/>
              </w:rPr>
              <w:t xml:space="preserve"> </w:t>
            </w:r>
            <w:r w:rsidR="006251E2" w:rsidRPr="009248C5">
              <w:rPr>
                <w:rFonts w:eastAsia="Times New Roman"/>
                <w:szCs w:val="24"/>
                <w:lang w:eastAsia="lv-LV"/>
              </w:rPr>
              <w:t>DRN</w:t>
            </w:r>
            <w:r w:rsidR="00781C72" w:rsidRPr="009248C5">
              <w:rPr>
                <w:rFonts w:eastAsia="Times New Roman"/>
                <w:szCs w:val="24"/>
                <w:lang w:eastAsia="lv-LV"/>
              </w:rPr>
              <w:t xml:space="preserve">, </w:t>
            </w:r>
            <w:r w:rsidR="00E41DA3" w:rsidRPr="009248C5">
              <w:rPr>
                <w:rFonts w:eastAsia="Times New Roman"/>
                <w:szCs w:val="24"/>
                <w:lang w:eastAsia="lv-LV"/>
              </w:rPr>
              <w:t>kuru CSDD ir</w:t>
            </w:r>
            <w:r w:rsidR="00781C72" w:rsidRPr="009248C5">
              <w:rPr>
                <w:rFonts w:eastAsia="Times New Roman"/>
                <w:szCs w:val="24"/>
                <w:lang w:eastAsia="lv-LV"/>
              </w:rPr>
              <w:t xml:space="preserve"> </w:t>
            </w:r>
            <w:r w:rsidR="00E41DA3" w:rsidRPr="009248C5">
              <w:rPr>
                <w:rFonts w:eastAsia="Times New Roman"/>
                <w:szCs w:val="24"/>
                <w:lang w:eastAsia="lv-LV"/>
              </w:rPr>
              <w:t xml:space="preserve">iekasējusi no personām </w:t>
            </w:r>
            <w:r w:rsidR="00781C72" w:rsidRPr="009248C5">
              <w:rPr>
                <w:rFonts w:eastAsia="Times New Roman"/>
                <w:szCs w:val="24"/>
                <w:lang w:eastAsia="lv-LV"/>
              </w:rPr>
              <w:t xml:space="preserve">par transportlīdzekļiem, kuri Latvijā tiek pastāvīgi reģistrēti pirmo reizi, </w:t>
            </w:r>
            <w:r w:rsidR="00E41DA3" w:rsidRPr="009248C5">
              <w:rPr>
                <w:rFonts w:eastAsia="Times New Roman"/>
                <w:szCs w:val="24"/>
                <w:lang w:eastAsia="lv-LV"/>
              </w:rPr>
              <w:t xml:space="preserve">CSDD </w:t>
            </w:r>
            <w:r w:rsidR="00781C72" w:rsidRPr="009248C5">
              <w:rPr>
                <w:rFonts w:eastAsia="Times New Roman"/>
                <w:szCs w:val="24"/>
                <w:lang w:eastAsia="lv-LV"/>
              </w:rPr>
              <w:t>vienotajā nodokļu kontā iemaksā, norādot maksājuma identifikatoru.</w:t>
            </w:r>
          </w:p>
          <w:p w14:paraId="208828B6" w14:textId="18ECAC68" w:rsidR="00BF3605" w:rsidRPr="009248C5" w:rsidRDefault="00904FA0" w:rsidP="00B766D7">
            <w:pPr>
              <w:pStyle w:val="ListParagraph"/>
              <w:ind w:left="0" w:firstLine="284"/>
              <w:contextualSpacing w:val="0"/>
              <w:jc w:val="both"/>
            </w:pPr>
            <w:r w:rsidRPr="009248C5">
              <w:t xml:space="preserve">Šobrīd </w:t>
            </w:r>
            <w:r w:rsidR="00F37330" w:rsidRPr="009248C5">
              <w:t>MK</w:t>
            </w:r>
            <w:r w:rsidRPr="009248C5">
              <w:t xml:space="preserve"> noteikumu Nr.661 5.5.apakšpunkts paredz, ka persona, norādot maksājuma identifikatoru, iemaksā kontā maksājumu, kas veikts saskaņā ar īpašo pievienotās vērtības nodokļa (turpmāk – PVN) aprēķināšanas un maksāšanas režīmu elektronisko sakaru, apraides un elektroniski sniegtiem pakalpojumiem personai, kura nav PVN maksātājs. Saskaņā ar grozījumiem Pievienotās vērtības nodokļa likumā, kurus Saeima pieņēma 2020.gada 15.oktobrī, ar 2021.gada 1.jūliju tiek paplašināts esošo īpašo PVN režīmu piemērošanas tvērums: </w:t>
            </w:r>
            <w:proofErr w:type="spellStart"/>
            <w:r w:rsidRPr="009248C5">
              <w:t>ārpussavienības</w:t>
            </w:r>
            <w:proofErr w:type="spellEnd"/>
            <w:r w:rsidRPr="009248C5">
              <w:t xml:space="preserve"> režīms tiks attiecināts uz jebkādiem pakalpojumiem (t.sk. elektronisko sakaru, apraides un elektroniski sniegtajiem pakalpojumiem), ko sniedz PVN maksātājs, kurš neveic saimniecisko darbību Eiropas Savienībā, personām, kuras nav PVN maksātājas; savienības režīms tiek attiecināts uz jebkādu pakalpojumu (t.sk. elektronisko sakaru, apraides un elektroniski sniegto pakalpojumu) sniegšanu un preču </w:t>
            </w:r>
            <w:proofErr w:type="spellStart"/>
            <w:r w:rsidRPr="009248C5">
              <w:t>tālpārdošanu</w:t>
            </w:r>
            <w:proofErr w:type="spellEnd"/>
            <w:r w:rsidRPr="009248C5">
              <w:t xml:space="preserve"> Eiropas Savienības teritorijā, kā arī tiks ieviests jauns īpašs PVN režīms no trešajām valstīm vai trešajām teritorijām importētu preču </w:t>
            </w:r>
            <w:proofErr w:type="spellStart"/>
            <w:r w:rsidRPr="009248C5">
              <w:t>tālpārdošanai</w:t>
            </w:r>
            <w:proofErr w:type="spellEnd"/>
            <w:r w:rsidRPr="009248C5">
              <w:t>, to attiecinot uz preču, izņemot akcīzes preces, sūtījumiem, kuru patiesā vērtība nepārsniedz 150 </w:t>
            </w:r>
            <w:proofErr w:type="spellStart"/>
            <w:r w:rsidRPr="009248C5">
              <w:rPr>
                <w:i/>
                <w:iCs/>
              </w:rPr>
              <w:t>euro</w:t>
            </w:r>
            <w:proofErr w:type="spellEnd"/>
            <w:r w:rsidRPr="009248C5">
              <w:t xml:space="preserve">. </w:t>
            </w:r>
            <w:r w:rsidR="00BF3605" w:rsidRPr="009248C5">
              <w:t xml:space="preserve">Tādēļ MK noteikumu Nr.661 5.5.apakšpunkts spēkā esošajā redakcijā ir zaudējis aktualitāti, jo ar 2021.gada 1.jūliju tiek paplašināts īpašo PVN režīmu tvērums, un maksājums par elektronisko sakaru, apraides un elektroniski sniegtiem pakalpojumiem tiks veikts </w:t>
            </w:r>
            <w:r w:rsidR="00CE634D" w:rsidRPr="009248C5">
              <w:t>vienā (</w:t>
            </w:r>
            <w:r w:rsidR="00BF3605" w:rsidRPr="009248C5">
              <w:t>kopējā</w:t>
            </w:r>
            <w:r w:rsidR="00CE634D" w:rsidRPr="009248C5">
              <w:t>)</w:t>
            </w:r>
            <w:r w:rsidR="00BF3605" w:rsidRPr="009248C5">
              <w:t xml:space="preserve"> summā par visiem darījumiem, kas veikti konkrētā īpašā PVN režīma ietvaros. Līdz ar to ir nepieciešams precizēt MK noteikumu Nr.661 5.5.apakšpunkta tvērumu.</w:t>
            </w:r>
          </w:p>
          <w:p w14:paraId="228E9646" w14:textId="11F22790" w:rsidR="00FD3C07" w:rsidRPr="009248C5" w:rsidRDefault="00FD3C07" w:rsidP="00B766D7">
            <w:pPr>
              <w:pStyle w:val="ListParagraph"/>
              <w:ind w:left="0" w:firstLine="284"/>
              <w:contextualSpacing w:val="0"/>
              <w:jc w:val="both"/>
            </w:pPr>
          </w:p>
          <w:p w14:paraId="5327D232" w14:textId="08B17C4A" w:rsidR="00904FA0" w:rsidRPr="009248C5" w:rsidRDefault="00FD3C07" w:rsidP="00B766D7">
            <w:pPr>
              <w:pStyle w:val="ListParagraph"/>
              <w:ind w:left="0" w:firstLine="284"/>
              <w:contextualSpacing w:val="0"/>
              <w:jc w:val="both"/>
              <w:rPr>
                <w:szCs w:val="24"/>
              </w:rPr>
            </w:pPr>
            <w:r w:rsidRPr="009248C5">
              <w:t>Saskaņā ar Pievienotās vērtība nodokļa likumā noteikto, sākot ar 2021.gada 1.jūliju, PVN, kas aprēķināts par taksācijas periodā veiktajiem darījumiem īpašo PVN režīmu (</w:t>
            </w:r>
            <w:proofErr w:type="spellStart"/>
            <w:r w:rsidRPr="009248C5">
              <w:t>ārpussavienības</w:t>
            </w:r>
            <w:proofErr w:type="spellEnd"/>
            <w:r w:rsidRPr="009248C5">
              <w:t xml:space="preserve"> režīma, savienības režīma vai importa režīma) ietvaros, persona iemaksā valsts budžetā līdz taksācijas periodam, par kuru iesniegta PVN deklarācija, sekojošā mēneša beigām. </w:t>
            </w:r>
            <w:r w:rsidR="00BF3605" w:rsidRPr="009248C5">
              <w:t>Padomes 2010.gada 7.oktobra r</w:t>
            </w:r>
            <w:r w:rsidR="00554675" w:rsidRPr="009248C5">
              <w:t xml:space="preserve">egulas </w:t>
            </w:r>
            <w:r w:rsidR="00BF3605" w:rsidRPr="009248C5">
              <w:t>(ES) Nr.904/2010 par administratīvu sadarbību un krāpšanas apkarošanu pievienotās vērtības nodokļa jomā 46.panta 1.punkts paredz identifikācijas dalībvalsts pienākumu nodrošin</w:t>
            </w:r>
            <w:r w:rsidR="00F4477C" w:rsidRPr="009248C5">
              <w:t>āt</w:t>
            </w:r>
            <w:r w:rsidR="00BF3605" w:rsidRPr="009248C5">
              <w:t xml:space="preserve">, ka personas </w:t>
            </w:r>
            <w:r w:rsidR="00BF3605" w:rsidRPr="001434DA">
              <w:rPr>
                <w:u w:val="single"/>
              </w:rPr>
              <w:t xml:space="preserve">samaksāto </w:t>
            </w:r>
            <w:r w:rsidR="00F4477C" w:rsidRPr="001434DA">
              <w:rPr>
                <w:u w:val="single"/>
              </w:rPr>
              <w:t xml:space="preserve">PVN </w:t>
            </w:r>
            <w:r w:rsidR="00BF3605" w:rsidRPr="001434DA">
              <w:rPr>
                <w:u w:val="single"/>
              </w:rPr>
              <w:t xml:space="preserve">summu ieskaita </w:t>
            </w:r>
            <w:r w:rsidR="00F4477C" w:rsidRPr="001434DA">
              <w:rPr>
                <w:u w:val="single"/>
              </w:rPr>
              <w:t xml:space="preserve">patēriņa dalībvalsts noteiktajā </w:t>
            </w:r>
            <w:r w:rsidR="00BF3605" w:rsidRPr="001434DA">
              <w:rPr>
                <w:u w:val="single"/>
              </w:rPr>
              <w:t xml:space="preserve">bankas </w:t>
            </w:r>
            <w:proofErr w:type="spellStart"/>
            <w:r w:rsidR="00BF3605" w:rsidRPr="009447E9">
              <w:rPr>
                <w:i/>
                <w:u w:val="single"/>
              </w:rPr>
              <w:t>euro</w:t>
            </w:r>
            <w:proofErr w:type="spellEnd"/>
            <w:r w:rsidR="00BF3605" w:rsidRPr="001434DA">
              <w:rPr>
                <w:u w:val="single"/>
              </w:rPr>
              <w:t xml:space="preserve"> kontā</w:t>
            </w:r>
            <w:r w:rsidR="00F4477C" w:rsidRPr="009248C5">
              <w:t>.</w:t>
            </w:r>
            <w:r w:rsidR="00BF3605" w:rsidRPr="009248C5">
              <w:t xml:space="preserve"> </w:t>
            </w:r>
            <w:r w:rsidR="009447E9">
              <w:t xml:space="preserve">Līdz ar to ar šo projektu tiek noteikts konkrētais </w:t>
            </w:r>
            <w:proofErr w:type="spellStart"/>
            <w:r w:rsidR="009447E9" w:rsidRPr="001434DA">
              <w:rPr>
                <w:i/>
              </w:rPr>
              <w:t>euro</w:t>
            </w:r>
            <w:proofErr w:type="spellEnd"/>
            <w:r w:rsidR="009447E9">
              <w:t xml:space="preserve"> konts, proti, Latvijas gadījumā tas ir vienotais nodokļ</w:t>
            </w:r>
            <w:r w:rsidR="000232CA">
              <w:t>u</w:t>
            </w:r>
            <w:r w:rsidR="009447E9">
              <w:t xml:space="preserve"> konts</w:t>
            </w:r>
            <w:r w:rsidR="009447E9">
              <w:rPr>
                <w:rFonts w:cs="Times New Roman"/>
                <w:szCs w:val="24"/>
              </w:rPr>
              <w:t>, kurā ir ieskaitāmi PVN maksājumi</w:t>
            </w:r>
            <w:r w:rsidR="009447E9">
              <w:rPr>
                <w:rFonts w:cs="Times New Roman"/>
                <w:color w:val="1F497D"/>
                <w:szCs w:val="24"/>
              </w:rPr>
              <w:t xml:space="preserve">. </w:t>
            </w:r>
            <w:r w:rsidR="00BF3605" w:rsidRPr="009248C5">
              <w:t>Latvija kā identifikācijas valsts līdzīgi kā pārējās ES dalībvalstis</w:t>
            </w:r>
            <w:r w:rsidR="00F4477C" w:rsidRPr="009248C5">
              <w:t xml:space="preserve"> ar </w:t>
            </w:r>
            <w:r w:rsidR="00BF3605" w:rsidRPr="009248C5">
              <w:t>īpašajiem PVN režīmiem nodrošinās citas valsts – patēriņa dalībvalsts - PVN summas iekasēšanu</w:t>
            </w:r>
            <w:r w:rsidR="00F4477C" w:rsidRPr="009248C5">
              <w:t xml:space="preserve"> un vēlāk pārska</w:t>
            </w:r>
            <w:r w:rsidR="000232CA">
              <w:t>i</w:t>
            </w:r>
            <w:r w:rsidR="00F4477C" w:rsidRPr="009248C5">
              <w:t>tīs patēriņa dalībvalstīm pienākošās PVN summas</w:t>
            </w:r>
            <w:r w:rsidR="00BF3605" w:rsidRPr="009248C5">
              <w:t>, tādēļ minēto režīmu ietvaros iekasējamā PVN summa</w:t>
            </w:r>
            <w:r w:rsidR="009447E9">
              <w:t xml:space="preserve">, kas tiek iemaksāta vienotajā </w:t>
            </w:r>
            <w:r w:rsidR="0074397C">
              <w:t xml:space="preserve">nodokļu </w:t>
            </w:r>
            <w:r w:rsidR="009447E9">
              <w:t>kontā,</w:t>
            </w:r>
            <w:r w:rsidR="00BF3605" w:rsidRPr="009248C5">
              <w:t xml:space="preserve"> ir nošķirama no vispārējā kārtībā iekasējamā PVN valsts budžetā. </w:t>
            </w:r>
            <w:r w:rsidR="00F4477C" w:rsidRPr="009248C5">
              <w:t xml:space="preserve">Tā kā PVN ir harmonizēts nodoklis ES, minētā kārtība attiecībā uz PVN, kas aprēķināts un iemaksāts identifikācijas valstij par taksācijas periodā veiktajiem darījumiem īpašo PVN režīmu ietvaros, </w:t>
            </w:r>
            <w:r w:rsidR="007C1BAE" w:rsidRPr="009248C5">
              <w:t>ie</w:t>
            </w:r>
            <w:r w:rsidR="00F4477C" w:rsidRPr="009248C5">
              <w:t>maksu ir vienādi piemērojama visās ES dalībvalstīs, nodrošinot Padomes 2006.gada 28.novembra direktīvas 2006/112/EK par kopējo pievienotās vērtības nodokļa sistēmu prasību ievērošanu</w:t>
            </w:r>
            <w:r w:rsidR="007C1BAE" w:rsidRPr="009248C5">
              <w:t xml:space="preserve">. Tādēļ </w:t>
            </w:r>
            <w:r w:rsidR="00F4477C" w:rsidRPr="009248C5">
              <w:t>arī PVN summa, ko cita ES dalībvalsts iemaksā Latvijai kā patēriņa valstij, ir nošķirama no vispārējā kārtībā iekasējamā PVN valsts budžetā. Līdz ar to ir nepieciešams</w:t>
            </w:r>
            <w:r w:rsidR="00904FA0" w:rsidRPr="009248C5">
              <w:t xml:space="preserve"> papildināt </w:t>
            </w:r>
            <w:r w:rsidR="00F4477C" w:rsidRPr="009248C5">
              <w:t xml:space="preserve">MK </w:t>
            </w:r>
            <w:r w:rsidR="00904FA0" w:rsidRPr="009248C5">
              <w:t xml:space="preserve">noteikumus </w:t>
            </w:r>
            <w:r w:rsidR="00F4477C" w:rsidRPr="009248C5">
              <w:t xml:space="preserve">Nr.661 </w:t>
            </w:r>
            <w:r w:rsidR="00904FA0" w:rsidRPr="009248C5">
              <w:t xml:space="preserve">ar jaunu izņēmumu attiecībā uz </w:t>
            </w:r>
            <w:r w:rsidR="00B904E6" w:rsidRPr="009248C5">
              <w:t xml:space="preserve">PVN </w:t>
            </w:r>
            <w:r w:rsidR="00F4477C" w:rsidRPr="009248C5">
              <w:t xml:space="preserve">iemaksu </w:t>
            </w:r>
            <w:r w:rsidR="00904FA0" w:rsidRPr="009248C5">
              <w:t xml:space="preserve">par darījumiem, kas veikti īpašo </w:t>
            </w:r>
            <w:r w:rsidR="00B904E6" w:rsidRPr="009248C5">
              <w:t>PVN</w:t>
            </w:r>
            <w:r w:rsidR="00904FA0" w:rsidRPr="009248C5">
              <w:t xml:space="preserve"> režīmu (</w:t>
            </w:r>
            <w:proofErr w:type="spellStart"/>
            <w:r w:rsidR="00904FA0" w:rsidRPr="009248C5">
              <w:t>ārpussavienības</w:t>
            </w:r>
            <w:proofErr w:type="spellEnd"/>
            <w:r w:rsidR="00904FA0" w:rsidRPr="009248C5">
              <w:t xml:space="preserve"> režīma, savienības režīma vai importa režīma) ietvaros</w:t>
            </w:r>
            <w:r w:rsidR="00616F03" w:rsidRPr="009248C5">
              <w:t>, ar Eiropas Savienības dalībvalsts starpniecību.</w:t>
            </w:r>
            <w:r w:rsidR="00F4477C" w:rsidRPr="009248C5">
              <w:rPr>
                <w:sz w:val="28"/>
              </w:rPr>
              <w:t xml:space="preserve"> </w:t>
            </w:r>
            <w:r w:rsidR="00AB5B58" w:rsidRPr="009248C5">
              <w:rPr>
                <w:szCs w:val="24"/>
              </w:rPr>
              <w:t>Ņemot vērā, ka minētajos gadījumos tiks paredzēt</w:t>
            </w:r>
            <w:r w:rsidR="00CE634D" w:rsidRPr="009248C5">
              <w:rPr>
                <w:szCs w:val="24"/>
              </w:rPr>
              <w:t>a</w:t>
            </w:r>
            <w:r w:rsidR="00AB5B58" w:rsidRPr="009248C5">
              <w:rPr>
                <w:szCs w:val="24"/>
              </w:rPr>
              <w:t xml:space="preserve"> maksājuma iemaksa ar maksājuma identifikatoru, šādiem maksājumiem nav nepieciešams noteikt vietu (prioritāti) maksājumu saistību prioritāšu sarakstā, līdz ar to MK noteikumu Nr.661 pielikumā ir svītrojama 37. un 38.prioritāte.</w:t>
            </w:r>
          </w:p>
          <w:p w14:paraId="56C2FB88" w14:textId="77777777" w:rsidR="00C23827" w:rsidRPr="009248C5" w:rsidRDefault="00C23827" w:rsidP="00904FA0">
            <w:pPr>
              <w:pStyle w:val="ListParagraph"/>
              <w:ind w:left="0" w:firstLine="284"/>
              <w:contextualSpacing w:val="0"/>
              <w:jc w:val="both"/>
              <w:rPr>
                <w:rFonts w:eastAsia="Times New Roman"/>
                <w:szCs w:val="24"/>
                <w:lang w:eastAsia="lv-LV"/>
              </w:rPr>
            </w:pPr>
          </w:p>
        </w:tc>
      </w:tr>
      <w:tr w:rsidR="00CE33AC" w:rsidRPr="00B766D7" w14:paraId="21024539" w14:textId="77777777" w:rsidTr="001F732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E05B0E7" w14:textId="77777777" w:rsidR="00655F2C" w:rsidRPr="00B766D7" w:rsidRDefault="00E5323B" w:rsidP="00E5323B">
            <w:pPr>
              <w:rPr>
                <w:rFonts w:eastAsia="Times New Roman" w:cs="Times New Roman"/>
                <w:iCs/>
                <w:szCs w:val="24"/>
                <w:lang w:eastAsia="lv-LV"/>
              </w:rPr>
            </w:pPr>
            <w:r w:rsidRPr="00B766D7">
              <w:rPr>
                <w:rFonts w:eastAsia="Times New Roman" w:cs="Times New Roman"/>
                <w:iCs/>
                <w:szCs w:val="24"/>
                <w:lang w:eastAsia="lv-LV"/>
              </w:rPr>
              <w:lastRenderedPageBreak/>
              <w:t>3.</w:t>
            </w:r>
          </w:p>
        </w:tc>
        <w:tc>
          <w:tcPr>
            <w:tcW w:w="1461" w:type="pct"/>
            <w:tcBorders>
              <w:top w:val="outset" w:sz="6" w:space="0" w:color="auto"/>
              <w:left w:val="outset" w:sz="6" w:space="0" w:color="auto"/>
              <w:bottom w:val="outset" w:sz="6" w:space="0" w:color="auto"/>
              <w:right w:val="outset" w:sz="6" w:space="0" w:color="auto"/>
            </w:tcBorders>
            <w:hideMark/>
          </w:tcPr>
          <w:p w14:paraId="7B605AB7" w14:textId="77777777" w:rsidR="00E5323B" w:rsidRPr="00B766D7" w:rsidRDefault="00E5323B" w:rsidP="00E5323B">
            <w:pPr>
              <w:rPr>
                <w:rFonts w:eastAsia="Times New Roman" w:cs="Times New Roman"/>
                <w:iCs/>
                <w:szCs w:val="24"/>
                <w:lang w:eastAsia="lv-LV"/>
              </w:rPr>
            </w:pPr>
            <w:r w:rsidRPr="00B766D7">
              <w:rPr>
                <w:rFonts w:eastAsia="Times New Roman" w:cs="Times New Roman"/>
                <w:iCs/>
                <w:szCs w:val="24"/>
                <w:lang w:eastAsia="lv-LV"/>
              </w:rPr>
              <w:t>Projekta izstrādē iesaistītās institūcijas un publiskas personas kapitālsabiedrības</w:t>
            </w:r>
          </w:p>
        </w:tc>
        <w:tc>
          <w:tcPr>
            <w:tcW w:w="3179" w:type="pct"/>
            <w:tcBorders>
              <w:top w:val="outset" w:sz="6" w:space="0" w:color="auto"/>
              <w:left w:val="outset" w:sz="6" w:space="0" w:color="auto"/>
              <w:bottom w:val="outset" w:sz="6" w:space="0" w:color="auto"/>
              <w:right w:val="outset" w:sz="6" w:space="0" w:color="auto"/>
            </w:tcBorders>
            <w:hideMark/>
          </w:tcPr>
          <w:p w14:paraId="3A8525A7" w14:textId="77777777" w:rsidR="00E5323B" w:rsidRPr="00B766D7" w:rsidRDefault="00C85DCD" w:rsidP="00935CB3">
            <w:pPr>
              <w:ind w:firstLine="284"/>
              <w:jc w:val="both"/>
              <w:rPr>
                <w:rFonts w:eastAsia="Times New Roman" w:cs="Times New Roman"/>
                <w:iCs/>
                <w:szCs w:val="24"/>
                <w:lang w:eastAsia="lv-LV"/>
              </w:rPr>
            </w:pPr>
            <w:r w:rsidRPr="00B766D7">
              <w:rPr>
                <w:rFonts w:eastAsia="Times New Roman" w:cs="Times New Roman"/>
                <w:szCs w:val="24"/>
                <w:lang w:eastAsia="lv-LV"/>
              </w:rPr>
              <w:t xml:space="preserve">Finanšu ministrija, </w:t>
            </w:r>
            <w:r w:rsidR="00382224" w:rsidRPr="00B766D7">
              <w:rPr>
                <w:rFonts w:eastAsia="Times New Roman" w:cs="Times New Roman"/>
                <w:szCs w:val="24"/>
                <w:lang w:eastAsia="lv-LV"/>
              </w:rPr>
              <w:t>VID</w:t>
            </w:r>
            <w:r w:rsidR="00382224">
              <w:rPr>
                <w:rFonts w:eastAsia="Times New Roman" w:cs="Times New Roman"/>
                <w:szCs w:val="24"/>
                <w:lang w:eastAsia="lv-LV"/>
              </w:rPr>
              <w:t>,</w:t>
            </w:r>
            <w:r w:rsidR="00382224" w:rsidRPr="00B766D7">
              <w:rPr>
                <w:rFonts w:eastAsia="Times New Roman" w:cs="Times New Roman"/>
                <w:szCs w:val="24"/>
                <w:lang w:eastAsia="lv-LV"/>
              </w:rPr>
              <w:t xml:space="preserve"> </w:t>
            </w:r>
            <w:r w:rsidR="00812F8E" w:rsidRPr="00B766D7">
              <w:rPr>
                <w:rFonts w:eastAsia="Times New Roman" w:cs="Times New Roman"/>
                <w:szCs w:val="24"/>
                <w:lang w:eastAsia="lv-LV"/>
              </w:rPr>
              <w:t xml:space="preserve">Satiksmes ministrija, </w:t>
            </w:r>
            <w:r w:rsidR="006F2B8E">
              <w:rPr>
                <w:rFonts w:eastAsia="Times New Roman"/>
                <w:szCs w:val="24"/>
                <w:lang w:eastAsia="lv-LV"/>
              </w:rPr>
              <w:t>CSDD</w:t>
            </w:r>
            <w:r w:rsidRPr="00B766D7">
              <w:rPr>
                <w:rFonts w:eastAsia="Times New Roman" w:cs="Times New Roman"/>
                <w:szCs w:val="24"/>
                <w:lang w:eastAsia="lv-LV"/>
              </w:rPr>
              <w:t>.</w:t>
            </w:r>
          </w:p>
        </w:tc>
      </w:tr>
      <w:tr w:rsidR="00CE33AC" w:rsidRPr="00B766D7" w14:paraId="643D0F2F" w14:textId="77777777" w:rsidTr="001F732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F264F1B" w14:textId="77777777" w:rsidR="00655F2C" w:rsidRPr="00B766D7" w:rsidRDefault="00E5323B" w:rsidP="00E5323B">
            <w:pPr>
              <w:rPr>
                <w:rFonts w:eastAsia="Times New Roman" w:cs="Times New Roman"/>
                <w:iCs/>
                <w:szCs w:val="24"/>
                <w:lang w:eastAsia="lv-LV"/>
              </w:rPr>
            </w:pPr>
            <w:r w:rsidRPr="00B766D7">
              <w:rPr>
                <w:rFonts w:eastAsia="Times New Roman" w:cs="Times New Roman"/>
                <w:iCs/>
                <w:szCs w:val="24"/>
                <w:lang w:eastAsia="lv-LV"/>
              </w:rPr>
              <w:t>4.</w:t>
            </w:r>
          </w:p>
        </w:tc>
        <w:tc>
          <w:tcPr>
            <w:tcW w:w="1461" w:type="pct"/>
            <w:tcBorders>
              <w:top w:val="outset" w:sz="6" w:space="0" w:color="auto"/>
              <w:left w:val="outset" w:sz="6" w:space="0" w:color="auto"/>
              <w:bottom w:val="outset" w:sz="6" w:space="0" w:color="auto"/>
              <w:right w:val="outset" w:sz="6" w:space="0" w:color="auto"/>
            </w:tcBorders>
            <w:hideMark/>
          </w:tcPr>
          <w:p w14:paraId="2BB5AFE1" w14:textId="77777777" w:rsidR="00E5323B" w:rsidRPr="00B766D7" w:rsidRDefault="00E5323B" w:rsidP="00E5323B">
            <w:pPr>
              <w:rPr>
                <w:rFonts w:eastAsia="Times New Roman" w:cs="Times New Roman"/>
                <w:iCs/>
                <w:szCs w:val="24"/>
                <w:lang w:eastAsia="lv-LV"/>
              </w:rPr>
            </w:pPr>
            <w:r w:rsidRPr="00B766D7">
              <w:rPr>
                <w:rFonts w:eastAsia="Times New Roman" w:cs="Times New Roman"/>
                <w:iCs/>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742901F5" w14:textId="77777777" w:rsidR="001E7565" w:rsidRPr="00B766D7" w:rsidRDefault="00812F8E" w:rsidP="00F86F09">
            <w:pPr>
              <w:ind w:firstLine="284"/>
              <w:jc w:val="both"/>
              <w:rPr>
                <w:rFonts w:eastAsia="Times New Roman" w:cs="Times New Roman"/>
                <w:iCs/>
                <w:szCs w:val="24"/>
                <w:lang w:eastAsia="lv-LV"/>
              </w:rPr>
            </w:pPr>
            <w:r w:rsidRPr="00B766D7">
              <w:rPr>
                <w:rFonts w:eastAsia="Times New Roman" w:cs="Times New Roman"/>
                <w:iCs/>
                <w:szCs w:val="24"/>
                <w:lang w:eastAsia="lv-LV"/>
              </w:rPr>
              <w:t>Detalizētāk</w:t>
            </w:r>
            <w:r w:rsidR="006F2B8E">
              <w:rPr>
                <w:rFonts w:eastAsia="Times New Roman" w:cs="Times New Roman"/>
                <w:iCs/>
                <w:szCs w:val="24"/>
                <w:lang w:eastAsia="lv-LV"/>
              </w:rPr>
              <w:t>a</w:t>
            </w:r>
            <w:r w:rsidRPr="00B766D7">
              <w:rPr>
                <w:rFonts w:eastAsia="Times New Roman" w:cs="Times New Roman"/>
                <w:iCs/>
                <w:szCs w:val="24"/>
                <w:lang w:eastAsia="lv-LV"/>
              </w:rPr>
              <w:t xml:space="preserve"> informācija par </w:t>
            </w:r>
            <w:r w:rsidR="00B766D7" w:rsidRPr="00B766D7">
              <w:rPr>
                <w:rFonts w:eastAsia="Times New Roman" w:cs="Times New Roman"/>
                <w:iCs/>
                <w:szCs w:val="24"/>
                <w:lang w:eastAsia="lv-LV"/>
              </w:rPr>
              <w:t>veikt</w:t>
            </w:r>
            <w:r w:rsidR="006F2B8E">
              <w:rPr>
                <w:rFonts w:eastAsia="Times New Roman" w:cs="Times New Roman"/>
                <w:iCs/>
                <w:szCs w:val="24"/>
                <w:lang w:eastAsia="lv-LV"/>
              </w:rPr>
              <w:t>ajiem</w:t>
            </w:r>
            <w:r w:rsidR="00B766D7" w:rsidRPr="00B766D7">
              <w:rPr>
                <w:rFonts w:eastAsia="Times New Roman" w:cs="Times New Roman"/>
                <w:iCs/>
                <w:szCs w:val="24"/>
                <w:lang w:eastAsia="lv-LV"/>
              </w:rPr>
              <w:t xml:space="preserve"> grozījum</w:t>
            </w:r>
            <w:r w:rsidR="006F2B8E">
              <w:rPr>
                <w:rFonts w:eastAsia="Times New Roman" w:cs="Times New Roman"/>
                <w:iCs/>
                <w:szCs w:val="24"/>
                <w:lang w:eastAsia="lv-LV"/>
              </w:rPr>
              <w:t>iem</w:t>
            </w:r>
            <w:r w:rsidRPr="00B766D7">
              <w:rPr>
                <w:rFonts w:eastAsia="Times New Roman" w:cs="Times New Roman"/>
                <w:iCs/>
                <w:szCs w:val="24"/>
                <w:lang w:eastAsia="lv-LV"/>
              </w:rPr>
              <w:t xml:space="preserve"> </w:t>
            </w:r>
            <w:r w:rsidR="00B766D7" w:rsidRPr="00B766D7">
              <w:rPr>
                <w:rFonts w:eastAsia="Times New Roman" w:cs="Times New Roman"/>
                <w:iCs/>
                <w:szCs w:val="24"/>
                <w:lang w:eastAsia="lv-LV"/>
              </w:rPr>
              <w:t>saistībā ar</w:t>
            </w:r>
            <w:r w:rsidRPr="00B766D7">
              <w:rPr>
                <w:rFonts w:eastAsia="Times New Roman" w:cs="Times New Roman"/>
                <w:iCs/>
                <w:szCs w:val="24"/>
                <w:lang w:eastAsia="lv-LV"/>
              </w:rPr>
              <w:t xml:space="preserve"> </w:t>
            </w:r>
            <w:r w:rsidR="00F86F09">
              <w:rPr>
                <w:rFonts w:eastAsia="Times New Roman" w:cs="Times New Roman"/>
                <w:iCs/>
                <w:szCs w:val="24"/>
                <w:lang w:eastAsia="lv-LV"/>
              </w:rPr>
              <w:t>DRN</w:t>
            </w:r>
            <w:r w:rsidRPr="00B766D7">
              <w:rPr>
                <w:rFonts w:eastAsia="Times New Roman" w:cs="Times New Roman"/>
                <w:iCs/>
                <w:szCs w:val="24"/>
                <w:lang w:eastAsia="lv-LV"/>
              </w:rPr>
              <w:t xml:space="preserve"> iemaksāšanu </w:t>
            </w:r>
            <w:r w:rsidR="00F62F8B">
              <w:rPr>
                <w:rFonts w:eastAsia="Times New Roman" w:cs="Times New Roman"/>
                <w:iCs/>
                <w:szCs w:val="24"/>
                <w:lang w:eastAsia="lv-LV"/>
              </w:rPr>
              <w:t>vienotajā nodokļu k</w:t>
            </w:r>
            <w:r w:rsidRPr="00B766D7">
              <w:rPr>
                <w:rFonts w:eastAsia="Times New Roman" w:cs="Times New Roman"/>
                <w:iCs/>
                <w:szCs w:val="24"/>
                <w:lang w:eastAsia="lv-LV"/>
              </w:rPr>
              <w:t>ontā ir sniegt</w:t>
            </w:r>
            <w:r w:rsidR="006F2B8E">
              <w:rPr>
                <w:rFonts w:eastAsia="Times New Roman" w:cs="Times New Roman"/>
                <w:iCs/>
                <w:szCs w:val="24"/>
                <w:lang w:eastAsia="lv-LV"/>
              </w:rPr>
              <w:t>a</w:t>
            </w:r>
            <w:r w:rsidRPr="00B766D7">
              <w:rPr>
                <w:rFonts w:eastAsia="Times New Roman" w:cs="Times New Roman"/>
                <w:iCs/>
                <w:szCs w:val="24"/>
                <w:lang w:eastAsia="lv-LV"/>
              </w:rPr>
              <w:t xml:space="preserve"> Ministru kabineta noteikumu projekta “Grozījumi Ministru kabineta 2012.gada 22.maija noteikumos Nr.361 “Dabas resursu nodokļa piemērošanas noteikumi transportlīdzekļiem”” sākotnēj</w:t>
            </w:r>
            <w:r w:rsidR="00B766D7" w:rsidRPr="00B766D7">
              <w:rPr>
                <w:rFonts w:eastAsia="Times New Roman" w:cs="Times New Roman"/>
                <w:iCs/>
                <w:szCs w:val="24"/>
                <w:lang w:eastAsia="lv-LV"/>
              </w:rPr>
              <w:t>ās ietekmes novērtējuma ziņojuma</w:t>
            </w:r>
            <w:r w:rsidRPr="00B766D7">
              <w:rPr>
                <w:rFonts w:eastAsia="Times New Roman" w:cs="Times New Roman"/>
                <w:iCs/>
                <w:szCs w:val="24"/>
                <w:lang w:eastAsia="lv-LV"/>
              </w:rPr>
              <w:t xml:space="preserve"> (anotācija</w:t>
            </w:r>
            <w:r w:rsidR="00B766D7" w:rsidRPr="00B766D7">
              <w:rPr>
                <w:rFonts w:eastAsia="Times New Roman" w:cs="Times New Roman"/>
                <w:iCs/>
                <w:szCs w:val="24"/>
                <w:lang w:eastAsia="lv-LV"/>
              </w:rPr>
              <w:t>s</w:t>
            </w:r>
            <w:r w:rsidRPr="00B766D7">
              <w:rPr>
                <w:rFonts w:eastAsia="Times New Roman" w:cs="Times New Roman"/>
                <w:iCs/>
                <w:szCs w:val="24"/>
                <w:lang w:eastAsia="lv-LV"/>
              </w:rPr>
              <w:t>) I sadaļas 2.punktā</w:t>
            </w:r>
            <w:r w:rsidR="00781C72">
              <w:rPr>
                <w:rStyle w:val="FootnoteReference"/>
                <w:rFonts w:eastAsia="Times New Roman" w:cs="Times New Roman"/>
                <w:iCs/>
                <w:szCs w:val="24"/>
                <w:lang w:eastAsia="lv-LV"/>
              </w:rPr>
              <w:footnoteReference w:id="1"/>
            </w:r>
            <w:r w:rsidR="00781C72">
              <w:rPr>
                <w:rFonts w:eastAsia="Times New Roman" w:cs="Times New Roman"/>
                <w:iCs/>
                <w:szCs w:val="24"/>
                <w:lang w:eastAsia="lv-LV"/>
              </w:rPr>
              <w:t>.</w:t>
            </w:r>
            <w:r w:rsidR="001E7565" w:rsidRPr="00B766D7">
              <w:t xml:space="preserve"> </w:t>
            </w:r>
          </w:p>
        </w:tc>
      </w:tr>
    </w:tbl>
    <w:p w14:paraId="157C6F98" w14:textId="77777777" w:rsidR="00E5323B" w:rsidRPr="009A3B99" w:rsidRDefault="00E5323B" w:rsidP="00E5323B">
      <w:pPr>
        <w:rPr>
          <w:rFonts w:eastAsia="Times New Roman" w:cs="Times New Roman"/>
          <w:iCs/>
          <w:szCs w:val="24"/>
          <w:lang w:eastAsia="lv-LV"/>
        </w:rPr>
      </w:pPr>
      <w:r w:rsidRPr="009A3B99">
        <w:rPr>
          <w:rFonts w:eastAsia="Times New Roman" w:cs="Times New Roman"/>
          <w:iCs/>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CE33AC" w:rsidRPr="00E94842" w14:paraId="49DE0B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D1D4D0" w14:textId="77777777" w:rsidR="00655F2C" w:rsidRPr="00E94842" w:rsidRDefault="00E5323B" w:rsidP="00E5323B">
            <w:pPr>
              <w:rPr>
                <w:rFonts w:eastAsia="Times New Roman" w:cs="Times New Roman"/>
                <w:b/>
                <w:bCs/>
                <w:iCs/>
                <w:szCs w:val="24"/>
                <w:lang w:eastAsia="lv-LV"/>
              </w:rPr>
            </w:pPr>
            <w:r w:rsidRPr="00E94842">
              <w:rPr>
                <w:rFonts w:eastAsia="Times New Roman" w:cs="Times New Roman"/>
                <w:b/>
                <w:bCs/>
                <w:iCs/>
                <w:szCs w:val="24"/>
                <w:lang w:eastAsia="lv-LV"/>
              </w:rPr>
              <w:t>II. Tiesību akta projekta ietekme uz sabiedrību, tautsaimniecības attīstību un administratīvo slogu</w:t>
            </w:r>
          </w:p>
        </w:tc>
      </w:tr>
      <w:tr w:rsidR="00CE33AC" w:rsidRPr="00E94842" w14:paraId="547126B4"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5AC33E" w14:textId="77777777" w:rsidR="00655F2C"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43011357" w14:textId="77777777" w:rsidR="00E5323B"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 xml:space="preserve">Sabiedrības </w:t>
            </w:r>
            <w:proofErr w:type="spellStart"/>
            <w:r w:rsidRPr="00E94842">
              <w:rPr>
                <w:rFonts w:eastAsia="Times New Roman" w:cs="Times New Roman"/>
                <w:iCs/>
                <w:szCs w:val="24"/>
                <w:lang w:eastAsia="lv-LV"/>
              </w:rPr>
              <w:t>mērķgrupas</w:t>
            </w:r>
            <w:proofErr w:type="spellEnd"/>
            <w:r w:rsidRPr="00E94842">
              <w:rPr>
                <w:rFonts w:eastAsia="Times New Roman" w:cs="Times New Roman"/>
                <w:iCs/>
                <w:szCs w:val="24"/>
                <w:lang w:eastAsia="lv-LV"/>
              </w:rPr>
              <w:t>, kuras tiesiskais regulējums ietekmē vai varētu ietekmēt</w:t>
            </w:r>
          </w:p>
        </w:tc>
        <w:tc>
          <w:tcPr>
            <w:tcW w:w="3179" w:type="pct"/>
            <w:tcBorders>
              <w:top w:val="outset" w:sz="6" w:space="0" w:color="auto"/>
              <w:left w:val="outset" w:sz="6" w:space="0" w:color="auto"/>
              <w:bottom w:val="outset" w:sz="6" w:space="0" w:color="auto"/>
              <w:right w:val="outset" w:sz="6" w:space="0" w:color="auto"/>
            </w:tcBorders>
            <w:hideMark/>
          </w:tcPr>
          <w:p w14:paraId="1B4FC713" w14:textId="77777777" w:rsidR="00781C72" w:rsidRDefault="00E94842" w:rsidP="0043295F">
            <w:pPr>
              <w:ind w:firstLine="284"/>
              <w:jc w:val="both"/>
              <w:rPr>
                <w:iCs/>
              </w:rPr>
            </w:pPr>
            <w:r w:rsidRPr="00E94842">
              <w:rPr>
                <w:iCs/>
              </w:rPr>
              <w:t>CSDD</w:t>
            </w:r>
            <w:r w:rsidR="0040193D">
              <w:rPr>
                <w:iCs/>
              </w:rPr>
              <w:t>, VID</w:t>
            </w:r>
            <w:r w:rsidR="00781C72">
              <w:rPr>
                <w:iCs/>
              </w:rPr>
              <w:t>.</w:t>
            </w:r>
          </w:p>
          <w:p w14:paraId="5E94EEE7" w14:textId="62D938EB" w:rsidR="00E947B4" w:rsidRDefault="00CE634D" w:rsidP="0043295F">
            <w:pPr>
              <w:ind w:firstLine="284"/>
              <w:jc w:val="both"/>
              <w:rPr>
                <w:iCs/>
              </w:rPr>
            </w:pPr>
            <w:r>
              <w:rPr>
                <w:rFonts w:eastAsia="Times New Roman" w:cs="Times New Roman"/>
                <w:bCs/>
                <w:color w:val="000000"/>
                <w:szCs w:val="24"/>
                <w:lang w:eastAsia="lv-LV"/>
              </w:rPr>
              <w:t>DRN</w:t>
            </w:r>
            <w:r w:rsidR="00E947B4">
              <w:rPr>
                <w:rFonts w:eastAsia="Times New Roman" w:cs="Times New Roman"/>
                <w:bCs/>
                <w:color w:val="000000"/>
                <w:szCs w:val="24"/>
                <w:lang w:eastAsia="lv-LV"/>
              </w:rPr>
              <w:t>, kas maksājams</w:t>
            </w:r>
            <w:r w:rsidR="00E947B4" w:rsidRPr="00736CD8">
              <w:rPr>
                <w:rFonts w:eastAsia="Times New Roman" w:cs="Times New Roman"/>
                <w:bCs/>
                <w:color w:val="000000"/>
                <w:szCs w:val="24"/>
                <w:lang w:eastAsia="lv-LV"/>
              </w:rPr>
              <w:t xml:space="preserve"> par Latvijā pastāvīgi pirmo reizi reģistrētiem transportlīdzekļiem</w:t>
            </w:r>
            <w:r w:rsidR="00E947B4">
              <w:rPr>
                <w:rFonts w:eastAsia="Times New Roman" w:cs="Times New Roman"/>
                <w:bCs/>
                <w:color w:val="000000"/>
                <w:szCs w:val="24"/>
                <w:lang w:eastAsia="lv-LV"/>
              </w:rPr>
              <w:t>, maksātāji.</w:t>
            </w:r>
          </w:p>
          <w:p w14:paraId="129E0D4E" w14:textId="77777777" w:rsidR="005A360F" w:rsidRPr="00E94842" w:rsidRDefault="00E94842">
            <w:pPr>
              <w:ind w:firstLine="284"/>
              <w:jc w:val="both"/>
              <w:rPr>
                <w:rFonts w:eastAsia="Times New Roman" w:cs="Times New Roman"/>
                <w:iCs/>
                <w:szCs w:val="24"/>
                <w:lang w:eastAsia="lv-LV"/>
              </w:rPr>
            </w:pPr>
            <w:r w:rsidRPr="00E94842">
              <w:rPr>
                <w:iCs/>
              </w:rPr>
              <w:t>PVN maksātāji,</w:t>
            </w:r>
            <w:r w:rsidRPr="00E94842">
              <w:rPr>
                <w:rFonts w:cs="Times New Roman"/>
                <w:szCs w:val="24"/>
              </w:rPr>
              <w:t xml:space="preserve"> kurus Latvija kā identifikācijas valsts reģistrē </w:t>
            </w:r>
            <w:proofErr w:type="spellStart"/>
            <w:r w:rsidRPr="00E94842">
              <w:rPr>
                <w:rFonts w:cs="Times New Roman"/>
                <w:szCs w:val="24"/>
              </w:rPr>
              <w:t>ārpussavienības</w:t>
            </w:r>
            <w:proofErr w:type="spellEnd"/>
            <w:r w:rsidRPr="00E94842">
              <w:rPr>
                <w:rFonts w:cs="Times New Roman"/>
                <w:szCs w:val="24"/>
              </w:rPr>
              <w:t xml:space="preserve"> režīma, savienības režīma vai importa režīma izmantošanai</w:t>
            </w:r>
            <w:r w:rsidR="00D72BE6">
              <w:rPr>
                <w:rFonts w:cs="Times New Roman"/>
                <w:szCs w:val="24"/>
              </w:rPr>
              <w:t>.</w:t>
            </w:r>
          </w:p>
        </w:tc>
      </w:tr>
      <w:tr w:rsidR="00CE33AC" w:rsidRPr="00E94842" w14:paraId="00339139"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E6982B" w14:textId="77777777" w:rsidR="00655F2C"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106855C2" w14:textId="77777777" w:rsidR="00E5323B"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14:paraId="0DAEA66E" w14:textId="617D2836" w:rsidR="00AD5908" w:rsidRPr="00E94842" w:rsidRDefault="00736CD8" w:rsidP="00736CD8">
            <w:pPr>
              <w:pStyle w:val="NoSpacing"/>
              <w:ind w:firstLine="284"/>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P</w:t>
            </w:r>
            <w:r w:rsidR="00C85DCD" w:rsidRPr="00E94842">
              <w:rPr>
                <w:rFonts w:ascii="Times New Roman" w:eastAsia="Times New Roman" w:hAnsi="Times New Roman" w:cs="Times New Roman"/>
                <w:iCs/>
                <w:sz w:val="24"/>
                <w:szCs w:val="24"/>
                <w:lang w:eastAsia="lv-LV"/>
              </w:rPr>
              <w:t xml:space="preserve">rojekts </w:t>
            </w:r>
            <w:r w:rsidR="000B1D67" w:rsidRPr="00E94842">
              <w:rPr>
                <w:rFonts w:ascii="Times New Roman" w:eastAsia="Times New Roman" w:hAnsi="Times New Roman" w:cs="Times New Roman"/>
                <w:iCs/>
                <w:sz w:val="24"/>
                <w:szCs w:val="24"/>
                <w:lang w:eastAsia="lv-LV"/>
              </w:rPr>
              <w:t xml:space="preserve">kopumā </w:t>
            </w:r>
            <w:r w:rsidR="00C85DCD" w:rsidRPr="00E94842">
              <w:rPr>
                <w:rFonts w:ascii="Times New Roman" w:eastAsia="Times New Roman" w:hAnsi="Times New Roman" w:cs="Times New Roman"/>
                <w:iCs/>
                <w:sz w:val="24"/>
                <w:szCs w:val="24"/>
                <w:lang w:eastAsia="lv-LV"/>
              </w:rPr>
              <w:t xml:space="preserve">nemaina minēto sabiedrības </w:t>
            </w:r>
            <w:proofErr w:type="spellStart"/>
            <w:r w:rsidR="00C85DCD" w:rsidRPr="00E94842">
              <w:rPr>
                <w:rFonts w:ascii="Times New Roman" w:eastAsia="Times New Roman" w:hAnsi="Times New Roman" w:cs="Times New Roman"/>
                <w:iCs/>
                <w:sz w:val="24"/>
                <w:szCs w:val="24"/>
                <w:lang w:eastAsia="lv-LV"/>
              </w:rPr>
              <w:t>mērķgrupu</w:t>
            </w:r>
            <w:proofErr w:type="spellEnd"/>
            <w:r w:rsidR="00C85DCD" w:rsidRPr="00E94842">
              <w:rPr>
                <w:rFonts w:ascii="Times New Roman" w:eastAsia="Times New Roman" w:hAnsi="Times New Roman" w:cs="Times New Roman"/>
                <w:iCs/>
                <w:sz w:val="24"/>
                <w:szCs w:val="24"/>
                <w:lang w:eastAsia="lv-LV"/>
              </w:rPr>
              <w:t xml:space="preserve"> tiesības un pienākumus</w:t>
            </w:r>
            <w:r w:rsidR="00A12755" w:rsidRPr="00E94842">
              <w:rPr>
                <w:rFonts w:ascii="Times New Roman" w:eastAsia="Times New Roman" w:hAnsi="Times New Roman" w:cs="Times New Roman"/>
                <w:iCs/>
                <w:sz w:val="24"/>
                <w:szCs w:val="24"/>
                <w:lang w:eastAsia="lv-LV"/>
              </w:rPr>
              <w:t xml:space="preserve">, </w:t>
            </w:r>
            <w:r w:rsidR="00E94842" w:rsidRPr="00E94842">
              <w:rPr>
                <w:rFonts w:ascii="Times New Roman" w:eastAsia="Times New Roman" w:hAnsi="Times New Roman" w:cs="Times New Roman"/>
                <w:iCs/>
                <w:sz w:val="24"/>
                <w:szCs w:val="24"/>
                <w:lang w:eastAsia="lv-LV"/>
              </w:rPr>
              <w:t>bet precizē nodokļa iemaksāšanas kārtību. Regulējums kopumā labvēlīgs, jo paredz, ka veiktais maksājums tiks novirzīts konkrētās saistības segšanai atbilstoši nor</w:t>
            </w:r>
            <w:r w:rsidR="006F2B8E">
              <w:rPr>
                <w:rFonts w:ascii="Times New Roman" w:eastAsia="Times New Roman" w:hAnsi="Times New Roman" w:cs="Times New Roman"/>
                <w:iCs/>
                <w:sz w:val="24"/>
                <w:szCs w:val="24"/>
                <w:lang w:eastAsia="lv-LV"/>
              </w:rPr>
              <w:t>ā</w:t>
            </w:r>
            <w:r w:rsidR="00E94842" w:rsidRPr="00E94842">
              <w:rPr>
                <w:rFonts w:ascii="Times New Roman" w:eastAsia="Times New Roman" w:hAnsi="Times New Roman" w:cs="Times New Roman"/>
                <w:iCs/>
                <w:sz w:val="24"/>
                <w:szCs w:val="24"/>
                <w:lang w:eastAsia="lv-LV"/>
              </w:rPr>
              <w:t>dītajam identifikatoram.</w:t>
            </w:r>
          </w:p>
        </w:tc>
      </w:tr>
      <w:tr w:rsidR="00CE33AC" w:rsidRPr="00E94842" w14:paraId="3FDBC7B9"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6E137" w14:textId="77777777" w:rsidR="00655F2C"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3.</w:t>
            </w:r>
          </w:p>
        </w:tc>
        <w:tc>
          <w:tcPr>
            <w:tcW w:w="1459" w:type="pct"/>
            <w:tcBorders>
              <w:top w:val="outset" w:sz="6" w:space="0" w:color="auto"/>
              <w:left w:val="outset" w:sz="6" w:space="0" w:color="auto"/>
              <w:bottom w:val="outset" w:sz="6" w:space="0" w:color="auto"/>
              <w:right w:val="outset" w:sz="6" w:space="0" w:color="auto"/>
            </w:tcBorders>
            <w:hideMark/>
          </w:tcPr>
          <w:p w14:paraId="010AECF4" w14:textId="77777777" w:rsidR="00E5323B"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1B30F2B5" w14:textId="77777777" w:rsidR="00F63B67" w:rsidRPr="00E94842" w:rsidRDefault="00E94842" w:rsidP="00E94842">
            <w:pPr>
              <w:ind w:firstLine="284"/>
              <w:jc w:val="both"/>
              <w:rPr>
                <w:rFonts w:cs="Times New Roman"/>
                <w:szCs w:val="24"/>
              </w:rPr>
            </w:pPr>
            <w:r w:rsidRPr="00E94842">
              <w:rPr>
                <w:rFonts w:eastAsia="Times New Roman" w:cs="Times New Roman"/>
                <w:szCs w:val="24"/>
                <w:lang w:eastAsia="lv-LV"/>
              </w:rPr>
              <w:t>Administratīvo izmaksu monetārais slogs paliks nemainīgs.</w:t>
            </w:r>
          </w:p>
        </w:tc>
      </w:tr>
      <w:tr w:rsidR="00CE33AC" w:rsidRPr="00E94842" w14:paraId="1BD132B5"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89CB80" w14:textId="77777777" w:rsidR="00655F2C"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5A50D400" w14:textId="77777777" w:rsidR="00E5323B"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69E1F06B" w14:textId="197C7723" w:rsidR="00A21E85" w:rsidRPr="00E94842" w:rsidRDefault="00736CD8" w:rsidP="00A21E85">
            <w:pPr>
              <w:ind w:left="-11" w:firstLine="284"/>
              <w:jc w:val="both"/>
              <w:rPr>
                <w:rFonts w:eastAsia="Times New Roman" w:cs="Times New Roman"/>
                <w:iCs/>
                <w:szCs w:val="24"/>
                <w:lang w:eastAsia="lv-LV"/>
              </w:rPr>
            </w:pPr>
            <w:r>
              <w:rPr>
                <w:rFonts w:eastAsia="Times New Roman" w:cs="Times New Roman"/>
                <w:szCs w:val="24"/>
                <w:lang w:eastAsia="lv-LV"/>
              </w:rPr>
              <w:t>P</w:t>
            </w:r>
            <w:r w:rsidR="00C85DCD" w:rsidRPr="00E94842">
              <w:rPr>
                <w:rFonts w:eastAsia="Times New Roman" w:cs="Times New Roman"/>
                <w:szCs w:val="24"/>
                <w:lang w:eastAsia="lv-LV"/>
              </w:rPr>
              <w:t>rojekts šo jomu neskar.</w:t>
            </w:r>
          </w:p>
        </w:tc>
      </w:tr>
      <w:tr w:rsidR="00CE33AC" w:rsidRPr="00E94842" w14:paraId="449309EB" w14:textId="77777777" w:rsidTr="001F732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930A91" w14:textId="77777777" w:rsidR="00655F2C"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5.</w:t>
            </w:r>
          </w:p>
        </w:tc>
        <w:tc>
          <w:tcPr>
            <w:tcW w:w="1459" w:type="pct"/>
            <w:tcBorders>
              <w:top w:val="outset" w:sz="6" w:space="0" w:color="auto"/>
              <w:left w:val="outset" w:sz="6" w:space="0" w:color="auto"/>
              <w:bottom w:val="outset" w:sz="6" w:space="0" w:color="auto"/>
              <w:right w:val="outset" w:sz="6" w:space="0" w:color="auto"/>
            </w:tcBorders>
            <w:hideMark/>
          </w:tcPr>
          <w:p w14:paraId="7B093B15" w14:textId="77777777" w:rsidR="00E5323B" w:rsidRPr="00E94842" w:rsidRDefault="00E5323B" w:rsidP="00E5323B">
            <w:pPr>
              <w:rPr>
                <w:rFonts w:eastAsia="Times New Roman" w:cs="Times New Roman"/>
                <w:iCs/>
                <w:szCs w:val="24"/>
                <w:lang w:eastAsia="lv-LV"/>
              </w:rPr>
            </w:pPr>
            <w:r w:rsidRPr="00E94842">
              <w:rPr>
                <w:rFonts w:eastAsia="Times New Roman" w:cs="Times New Roman"/>
                <w:iCs/>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2C2C8FBD" w14:textId="77777777" w:rsidR="00E5323B" w:rsidRPr="00E94842" w:rsidRDefault="00C85DCD">
            <w:pPr>
              <w:ind w:left="-11" w:firstLine="284"/>
              <w:jc w:val="both"/>
              <w:rPr>
                <w:rFonts w:eastAsia="Times New Roman" w:cs="Times New Roman"/>
                <w:iCs/>
                <w:szCs w:val="24"/>
                <w:lang w:eastAsia="lv-LV"/>
              </w:rPr>
            </w:pPr>
            <w:r w:rsidRPr="00E94842">
              <w:rPr>
                <w:rFonts w:cs="Times New Roman"/>
                <w:szCs w:val="24"/>
              </w:rPr>
              <w:t>Nav.</w:t>
            </w:r>
          </w:p>
        </w:tc>
      </w:tr>
    </w:tbl>
    <w:p w14:paraId="57F0686B" w14:textId="77777777" w:rsidR="00CF1B95" w:rsidRPr="00812F8E" w:rsidRDefault="00CF1B95" w:rsidP="00E5323B">
      <w:pPr>
        <w:rPr>
          <w:rFonts w:eastAsia="Times New Roman" w:cs="Times New Roman"/>
          <w:iCs/>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9061C" w:rsidRPr="00FD04BB" w14:paraId="5E4E9EB4" w14:textId="77777777" w:rsidTr="00CA0E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E2A7DD" w14:textId="77777777" w:rsidR="00F9061C" w:rsidRPr="00FD04BB" w:rsidRDefault="00F9061C" w:rsidP="00CA0EA6">
            <w:pPr>
              <w:rPr>
                <w:rFonts w:eastAsia="Times New Roman" w:cs="Times New Roman"/>
                <w:b/>
                <w:bCs/>
                <w:iCs/>
                <w:szCs w:val="24"/>
                <w:lang w:eastAsia="lv-LV"/>
              </w:rPr>
            </w:pPr>
            <w:r w:rsidRPr="00FD04BB">
              <w:rPr>
                <w:rFonts w:eastAsia="Times New Roman" w:cs="Times New Roman"/>
                <w:b/>
                <w:bCs/>
                <w:iCs/>
                <w:szCs w:val="24"/>
                <w:lang w:eastAsia="lv-LV"/>
              </w:rPr>
              <w:t>III. Tiesību akta projekta ietekme uz valsts budžetu un pašvaldību budžetiem</w:t>
            </w:r>
          </w:p>
        </w:tc>
      </w:tr>
      <w:tr w:rsidR="000D288F" w:rsidRPr="00FD04BB" w14:paraId="5AA6D973" w14:textId="77777777" w:rsidTr="009E4DF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92B3BEE" w14:textId="77777777" w:rsidR="000D288F" w:rsidRPr="00FD04BB" w:rsidRDefault="000D288F" w:rsidP="009E4DF5">
            <w:pPr>
              <w:ind w:firstLine="284"/>
              <w:jc w:val="center"/>
              <w:rPr>
                <w:rFonts w:cs="Times New Roman"/>
                <w:bCs/>
                <w:szCs w:val="24"/>
              </w:rPr>
            </w:pPr>
            <w:r w:rsidRPr="00FD04BB">
              <w:rPr>
                <w:rFonts w:eastAsia="Times New Roman" w:cs="Times New Roman"/>
                <w:bCs/>
                <w:szCs w:val="24"/>
                <w:lang w:eastAsia="lv-LV"/>
              </w:rPr>
              <w:t>Noteikumu projekts šo jomu neskar.</w:t>
            </w:r>
          </w:p>
        </w:tc>
      </w:tr>
    </w:tbl>
    <w:p w14:paraId="4DF0EF43" w14:textId="77777777" w:rsidR="00E5323B" w:rsidRPr="00812F8E" w:rsidRDefault="00E5323B" w:rsidP="00E5323B">
      <w:pPr>
        <w:rPr>
          <w:rFonts w:eastAsia="Times New Roman" w:cs="Times New Roman"/>
          <w:iCs/>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E33AC" w:rsidRPr="00FD04BB" w14:paraId="3C230E26" w14:textId="77777777" w:rsidTr="00CF1B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17B90E" w14:textId="77777777" w:rsidR="00CF1B95" w:rsidRPr="00FD04BB" w:rsidRDefault="00CF1B95" w:rsidP="007C3930">
            <w:pPr>
              <w:rPr>
                <w:rFonts w:eastAsia="Times New Roman" w:cs="Times New Roman"/>
                <w:b/>
                <w:bCs/>
                <w:iCs/>
                <w:szCs w:val="24"/>
                <w:lang w:eastAsia="lv-LV"/>
              </w:rPr>
            </w:pPr>
            <w:r w:rsidRPr="00FD04BB">
              <w:rPr>
                <w:rFonts w:eastAsia="Times New Roman" w:cs="Times New Roman"/>
                <w:b/>
                <w:bCs/>
                <w:iCs/>
                <w:szCs w:val="24"/>
                <w:lang w:eastAsia="lv-LV"/>
              </w:rPr>
              <w:t>IV. Tiesību akta projekta ietekme uz spēkā esošo tiesību normu sistēmu</w:t>
            </w:r>
          </w:p>
        </w:tc>
      </w:tr>
      <w:tr w:rsidR="00C85DCD" w:rsidRPr="00FD04BB" w14:paraId="3E1D9491" w14:textId="77777777" w:rsidTr="00C85DC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7E2AD42" w14:textId="77777777" w:rsidR="00C85DCD" w:rsidRPr="00FD04BB" w:rsidRDefault="00C85DCD" w:rsidP="00C85DCD">
            <w:pPr>
              <w:ind w:firstLine="284"/>
              <w:jc w:val="center"/>
              <w:rPr>
                <w:rFonts w:cs="Times New Roman"/>
                <w:bCs/>
                <w:szCs w:val="24"/>
              </w:rPr>
            </w:pPr>
            <w:r w:rsidRPr="00FD04BB">
              <w:rPr>
                <w:rFonts w:eastAsia="Times New Roman" w:cs="Times New Roman"/>
                <w:bCs/>
                <w:szCs w:val="24"/>
                <w:lang w:eastAsia="lv-LV"/>
              </w:rPr>
              <w:t>Noteikumu projekts šo jomu neskar.</w:t>
            </w:r>
          </w:p>
        </w:tc>
      </w:tr>
    </w:tbl>
    <w:p w14:paraId="0FD9657B" w14:textId="77777777" w:rsidR="00E5323B" w:rsidRPr="00812F8E" w:rsidRDefault="00E5323B" w:rsidP="00E5323B">
      <w:pPr>
        <w:rPr>
          <w:rFonts w:eastAsia="Times New Roman" w:cs="Times New Roman"/>
          <w:iCs/>
          <w:szCs w:val="24"/>
          <w:highlight w:val="yellow"/>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3"/>
        <w:gridCol w:w="2422"/>
        <w:gridCol w:w="327"/>
        <w:gridCol w:w="2771"/>
        <w:gridCol w:w="3329"/>
        <w:gridCol w:w="60"/>
        <w:gridCol w:w="109"/>
      </w:tblGrid>
      <w:tr w:rsidR="00EA19CF" w:rsidRPr="00FD04BB" w14:paraId="61E60F99" w14:textId="77777777" w:rsidTr="009447E9">
        <w:trPr>
          <w:gridBefore w:val="1"/>
          <w:gridAfter w:val="1"/>
          <w:wBefore w:w="4" w:type="pct"/>
          <w:wAfter w:w="19" w:type="pct"/>
          <w:tblCellSpacing w:w="15" w:type="dxa"/>
        </w:trPr>
        <w:tc>
          <w:tcPr>
            <w:tcW w:w="4911" w:type="pct"/>
            <w:gridSpan w:val="5"/>
            <w:tcBorders>
              <w:top w:val="outset" w:sz="6" w:space="0" w:color="auto"/>
              <w:left w:val="outset" w:sz="6" w:space="0" w:color="auto"/>
              <w:bottom w:val="outset" w:sz="6" w:space="0" w:color="auto"/>
              <w:right w:val="outset" w:sz="6" w:space="0" w:color="auto"/>
            </w:tcBorders>
            <w:vAlign w:val="center"/>
          </w:tcPr>
          <w:p w14:paraId="2216DB41" w14:textId="6CC8C44A" w:rsidR="00655F2C" w:rsidRPr="00FD04BB" w:rsidRDefault="00655F2C" w:rsidP="00E5323B">
            <w:pPr>
              <w:rPr>
                <w:rFonts w:eastAsia="Times New Roman" w:cs="Times New Roman"/>
                <w:b/>
                <w:bCs/>
                <w:iCs/>
                <w:szCs w:val="24"/>
                <w:lang w:eastAsia="lv-LV"/>
              </w:rPr>
            </w:pPr>
          </w:p>
        </w:tc>
      </w:tr>
      <w:tr w:rsidR="00EA19CF" w:rsidRPr="00FD04BB" w14:paraId="3094394D" w14:textId="77777777" w:rsidTr="00216BA6">
        <w:trPr>
          <w:gridBefore w:val="1"/>
          <w:wBefore w:w="4" w:type="pct"/>
          <w:tblCellSpacing w:w="15" w:type="dxa"/>
        </w:trPr>
        <w:tc>
          <w:tcPr>
            <w:tcW w:w="4947" w:type="pct"/>
            <w:gridSpan w:val="6"/>
            <w:tcBorders>
              <w:top w:val="outset" w:sz="6" w:space="0" w:color="auto"/>
              <w:left w:val="outset" w:sz="6" w:space="0" w:color="auto"/>
              <w:bottom w:val="outset" w:sz="6" w:space="0" w:color="auto"/>
              <w:right w:val="outset" w:sz="6" w:space="0" w:color="auto"/>
            </w:tcBorders>
            <w:vAlign w:val="center"/>
          </w:tcPr>
          <w:p w14:paraId="51F14942" w14:textId="6D1F4277" w:rsidR="005E6263" w:rsidRPr="00FD04BB" w:rsidRDefault="005E6263" w:rsidP="005E6263">
            <w:pPr>
              <w:jc w:val="center"/>
              <w:rPr>
                <w:rFonts w:eastAsia="Times New Roman" w:cs="Times New Roman"/>
                <w:b/>
                <w:bCs/>
                <w:iCs/>
                <w:szCs w:val="24"/>
                <w:lang w:eastAsia="lv-LV"/>
              </w:rPr>
            </w:pPr>
          </w:p>
        </w:tc>
      </w:tr>
      <w:tr w:rsidR="00C33515" w:rsidRPr="001A37C2" w14:paraId="0521AD51" w14:textId="77777777" w:rsidTr="009447E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 w:type="pct"/>
        </w:trPr>
        <w:tc>
          <w:tcPr>
            <w:tcW w:w="4898" w:type="pct"/>
            <w:gridSpan w:val="5"/>
          </w:tcPr>
          <w:p w14:paraId="23DD8AC7" w14:textId="2BCFA919" w:rsidR="00C33515" w:rsidRDefault="00C33515" w:rsidP="00C33515">
            <w:pPr>
              <w:ind w:left="255"/>
              <w:jc w:val="both"/>
              <w:rPr>
                <w:spacing w:val="-2"/>
                <w:szCs w:val="26"/>
                <w:lang w:eastAsia="lv-LV"/>
              </w:rPr>
            </w:pPr>
            <w:r w:rsidRPr="003D53CA">
              <w:rPr>
                <w:b/>
                <w:szCs w:val="24"/>
              </w:rPr>
              <w:t xml:space="preserve">V. Tiesību akta projekta </w:t>
            </w:r>
            <w:r w:rsidRPr="003D53CA">
              <w:rPr>
                <w:rFonts w:eastAsia="Times New Roman" w:cs="Times New Roman"/>
                <w:b/>
                <w:bCs/>
                <w:iCs/>
                <w:szCs w:val="24"/>
                <w:lang w:eastAsia="lv-LV"/>
              </w:rPr>
              <w:t>atbilstība</w:t>
            </w:r>
            <w:r w:rsidRPr="003D53CA">
              <w:rPr>
                <w:b/>
                <w:szCs w:val="24"/>
              </w:rPr>
              <w:t xml:space="preserve"> Latvijas Republikas starptautiskajām saistībām</w:t>
            </w:r>
          </w:p>
        </w:tc>
      </w:tr>
      <w:tr w:rsidR="00F3381F" w:rsidRPr="001A37C2" w14:paraId="3C74D56C" w14:textId="77777777" w:rsidTr="009447E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 w:type="pct"/>
        </w:trPr>
        <w:tc>
          <w:tcPr>
            <w:tcW w:w="1511" w:type="pct"/>
            <w:gridSpan w:val="3"/>
          </w:tcPr>
          <w:p w14:paraId="0F941D09" w14:textId="6B07DABD" w:rsidR="00C33515" w:rsidRPr="00C33515" w:rsidRDefault="00C33515" w:rsidP="00216BA6">
            <w:pPr>
              <w:rPr>
                <w:rFonts w:eastAsia="Times New Roman"/>
                <w:szCs w:val="26"/>
                <w:lang w:eastAsia="lv-LV"/>
              </w:rPr>
            </w:pPr>
            <w:r w:rsidRPr="00C33515">
              <w:rPr>
                <w:rFonts w:eastAsia="Times New Roman"/>
                <w:szCs w:val="26"/>
                <w:lang w:eastAsia="lv-LV"/>
              </w:rPr>
              <w:t>Saistības pret Eiropas Savienību</w:t>
            </w:r>
          </w:p>
        </w:tc>
        <w:tc>
          <w:tcPr>
            <w:tcW w:w="3370" w:type="pct"/>
            <w:gridSpan w:val="2"/>
          </w:tcPr>
          <w:p w14:paraId="402A93CC" w14:textId="3A065731" w:rsidR="00C33515" w:rsidRPr="00C33515" w:rsidRDefault="009447E9" w:rsidP="009447E9">
            <w:pPr>
              <w:ind w:right="100" w:firstLine="284"/>
              <w:jc w:val="both"/>
              <w:rPr>
                <w:rFonts w:cs="Times New Roman"/>
                <w:szCs w:val="24"/>
              </w:rPr>
            </w:pPr>
            <w:r>
              <w:t xml:space="preserve">Ar noteikumu projektu tiek nodrošināta </w:t>
            </w:r>
            <w:r w:rsidR="00C33515" w:rsidRPr="009248C5">
              <w:t xml:space="preserve">Padomes 2010.gada 7.oktobra </w:t>
            </w:r>
            <w:r w:rsidR="00C33515" w:rsidRPr="00E97C7A">
              <w:rPr>
                <w:rFonts w:eastAsia="Times New Roman" w:cs="Times New Roman"/>
                <w:iCs/>
                <w:szCs w:val="24"/>
                <w:lang w:eastAsia="lv-LV"/>
              </w:rPr>
              <w:t>regulas</w:t>
            </w:r>
            <w:r w:rsidR="00C33515" w:rsidRPr="009248C5">
              <w:t xml:space="preserve"> (ES) Nr.904/2010 par administratīvu sadarbību un </w:t>
            </w:r>
            <w:r w:rsidR="00C33515" w:rsidRPr="00C33515">
              <w:rPr>
                <w:rFonts w:cs="Times New Roman"/>
                <w:szCs w:val="24"/>
              </w:rPr>
              <w:t>krāpšanas</w:t>
            </w:r>
            <w:r w:rsidR="00C33515" w:rsidRPr="009248C5">
              <w:t xml:space="preserve"> apkarošanu pievienotās vērtība</w:t>
            </w:r>
            <w:r w:rsidR="00C33515">
              <w:t>s nodokļa jomā 46.panta 1.punkt</w:t>
            </w:r>
            <w:r>
              <w:t>a izpilde</w:t>
            </w:r>
            <w:r w:rsidR="00EA19CF">
              <w:t>.</w:t>
            </w:r>
          </w:p>
        </w:tc>
      </w:tr>
      <w:tr w:rsidR="00EA19CF" w:rsidRPr="001A37C2" w14:paraId="1544EC68" w14:textId="77777777" w:rsidTr="009447E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 w:type="pct"/>
        </w:trPr>
        <w:tc>
          <w:tcPr>
            <w:tcW w:w="1511" w:type="pct"/>
            <w:gridSpan w:val="3"/>
          </w:tcPr>
          <w:p w14:paraId="02B8ADFE" w14:textId="40D6BB51" w:rsidR="00C33515" w:rsidRPr="00C33515" w:rsidRDefault="00C33515" w:rsidP="00C33515">
            <w:pPr>
              <w:jc w:val="both"/>
              <w:rPr>
                <w:rFonts w:eastAsia="Times New Roman"/>
                <w:szCs w:val="26"/>
                <w:lang w:eastAsia="lv-LV"/>
              </w:rPr>
            </w:pPr>
            <w:r w:rsidRPr="00C33515">
              <w:rPr>
                <w:rFonts w:eastAsia="Times New Roman"/>
                <w:szCs w:val="26"/>
                <w:lang w:eastAsia="lv-LV"/>
              </w:rPr>
              <w:t>Citas starptautiskās saistības</w:t>
            </w:r>
          </w:p>
        </w:tc>
        <w:tc>
          <w:tcPr>
            <w:tcW w:w="3370" w:type="pct"/>
            <w:gridSpan w:val="2"/>
          </w:tcPr>
          <w:p w14:paraId="01F7AA17" w14:textId="76328623" w:rsidR="00C33515" w:rsidRPr="00C33515" w:rsidRDefault="00C33515" w:rsidP="00C33515">
            <w:pPr>
              <w:ind w:left="-11" w:firstLine="284"/>
              <w:jc w:val="both"/>
              <w:rPr>
                <w:rFonts w:cs="Times New Roman"/>
                <w:szCs w:val="24"/>
              </w:rPr>
            </w:pPr>
            <w:r w:rsidRPr="00C33515">
              <w:rPr>
                <w:rFonts w:cs="Times New Roman"/>
                <w:szCs w:val="24"/>
              </w:rPr>
              <w:t>Nav.</w:t>
            </w:r>
          </w:p>
        </w:tc>
      </w:tr>
      <w:tr w:rsidR="00F3381F" w:rsidRPr="001A37C2" w14:paraId="78628909" w14:textId="77777777" w:rsidTr="009447E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 w:type="pct"/>
        </w:trPr>
        <w:tc>
          <w:tcPr>
            <w:tcW w:w="1511" w:type="pct"/>
            <w:gridSpan w:val="3"/>
          </w:tcPr>
          <w:p w14:paraId="692C61AE" w14:textId="77777777" w:rsidR="00C33515" w:rsidRPr="00C33515" w:rsidRDefault="00C33515" w:rsidP="00C33515">
            <w:pPr>
              <w:jc w:val="both"/>
              <w:rPr>
                <w:rFonts w:eastAsia="Times New Roman"/>
                <w:szCs w:val="26"/>
                <w:lang w:eastAsia="lv-LV"/>
              </w:rPr>
            </w:pPr>
            <w:r w:rsidRPr="00C33515">
              <w:rPr>
                <w:rFonts w:eastAsia="Times New Roman"/>
                <w:szCs w:val="26"/>
                <w:lang w:eastAsia="lv-LV"/>
              </w:rPr>
              <w:t>Cita informācija</w:t>
            </w:r>
          </w:p>
        </w:tc>
        <w:tc>
          <w:tcPr>
            <w:tcW w:w="3370" w:type="pct"/>
            <w:gridSpan w:val="2"/>
          </w:tcPr>
          <w:p w14:paraId="66AC3B0F" w14:textId="2CB70863" w:rsidR="00C33515" w:rsidRPr="00C33515" w:rsidRDefault="00C33515" w:rsidP="00C33515">
            <w:pPr>
              <w:ind w:left="-11" w:firstLine="284"/>
              <w:jc w:val="both"/>
              <w:rPr>
                <w:rFonts w:cs="Times New Roman"/>
                <w:szCs w:val="24"/>
              </w:rPr>
            </w:pPr>
            <w:r w:rsidRPr="00C33515">
              <w:rPr>
                <w:rFonts w:cs="Times New Roman"/>
                <w:szCs w:val="24"/>
              </w:rPr>
              <w:t>Nav.</w:t>
            </w:r>
          </w:p>
        </w:tc>
      </w:tr>
      <w:tr w:rsidR="00F3381F" w:rsidRPr="00C82D12" w14:paraId="5991FA1F" w14:textId="77777777" w:rsidTr="009447E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 w:type="pct"/>
        </w:trPr>
        <w:tc>
          <w:tcPr>
            <w:tcW w:w="4898" w:type="pct"/>
            <w:gridSpan w:val="5"/>
          </w:tcPr>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503"/>
              <w:gridCol w:w="2643"/>
              <w:gridCol w:w="2190"/>
              <w:gridCol w:w="1843"/>
            </w:tblGrid>
            <w:tr w:rsidR="00C33515" w:rsidRPr="00F06B63" w14:paraId="09C653E3" w14:textId="77777777" w:rsidTr="0016468F">
              <w:tc>
                <w:tcPr>
                  <w:tcW w:w="9179" w:type="dxa"/>
                  <w:gridSpan w:val="4"/>
                  <w:hideMark/>
                </w:tcPr>
                <w:p w14:paraId="77300F42" w14:textId="77777777" w:rsidR="00C33515" w:rsidRPr="00E97C7A" w:rsidRDefault="00C33515" w:rsidP="00C33515">
                  <w:pPr>
                    <w:jc w:val="center"/>
                    <w:rPr>
                      <w:rFonts w:eastAsia="Times New Roman"/>
                      <w:b/>
                      <w:bCs/>
                      <w:szCs w:val="24"/>
                      <w:lang w:eastAsia="lv-LV"/>
                    </w:rPr>
                  </w:pPr>
                  <w:r w:rsidRPr="00E97C7A">
                    <w:rPr>
                      <w:rFonts w:eastAsia="Times New Roman"/>
                      <w:b/>
                      <w:bCs/>
                      <w:szCs w:val="24"/>
                      <w:lang w:eastAsia="lv-LV"/>
                    </w:rPr>
                    <w:t>1. tabula</w:t>
                  </w:r>
                  <w:r w:rsidRPr="00E97C7A">
                    <w:rPr>
                      <w:rFonts w:eastAsia="Times New Roman"/>
                      <w:b/>
                      <w:bCs/>
                      <w:szCs w:val="24"/>
                      <w:lang w:eastAsia="lv-LV"/>
                    </w:rPr>
                    <w:br/>
                    <w:t>Tiesību akta projekta atbilstība ES tiesību aktiem</w:t>
                  </w:r>
                </w:p>
              </w:tc>
            </w:tr>
            <w:tr w:rsidR="00C33515" w:rsidRPr="00F06B63" w14:paraId="490891BD" w14:textId="77777777" w:rsidTr="0016468F">
              <w:tc>
                <w:tcPr>
                  <w:tcW w:w="2503" w:type="dxa"/>
                  <w:hideMark/>
                </w:tcPr>
                <w:p w14:paraId="188CD727" w14:textId="77777777" w:rsidR="00C33515" w:rsidRPr="00E97C7A" w:rsidRDefault="00C33515" w:rsidP="00C33515">
                  <w:pPr>
                    <w:rPr>
                      <w:rFonts w:eastAsia="Times New Roman"/>
                      <w:szCs w:val="24"/>
                      <w:lang w:eastAsia="lv-LV"/>
                    </w:rPr>
                  </w:pPr>
                  <w:r w:rsidRPr="00E97C7A">
                    <w:rPr>
                      <w:rFonts w:eastAsia="Times New Roman"/>
                      <w:szCs w:val="24"/>
                      <w:lang w:eastAsia="lv-LV"/>
                    </w:rPr>
                    <w:t>Attiecīgā ES tiesību akta datums, numurs un nosaukums</w:t>
                  </w:r>
                </w:p>
              </w:tc>
              <w:tc>
                <w:tcPr>
                  <w:tcW w:w="6676" w:type="dxa"/>
                  <w:gridSpan w:val="3"/>
                  <w:hideMark/>
                </w:tcPr>
                <w:p w14:paraId="1654A9F3" w14:textId="0C9443A9" w:rsidR="00C33515" w:rsidRPr="00E97C7A" w:rsidRDefault="00EA19CF" w:rsidP="00EA19CF">
                  <w:pPr>
                    <w:pStyle w:val="ListParagraph"/>
                    <w:ind w:left="414" w:right="546"/>
                    <w:jc w:val="center"/>
                    <w:rPr>
                      <w:rFonts w:eastAsia="Times New Roman"/>
                      <w:szCs w:val="24"/>
                      <w:lang w:eastAsia="lv-LV"/>
                    </w:rPr>
                  </w:pPr>
                  <w:r w:rsidRPr="009248C5">
                    <w:t xml:space="preserve">Padomes 2010.gada 7.oktobra </w:t>
                  </w:r>
                  <w:r w:rsidRPr="00E97C7A">
                    <w:rPr>
                      <w:rFonts w:eastAsia="Times New Roman" w:cs="Times New Roman"/>
                      <w:iCs/>
                      <w:szCs w:val="24"/>
                      <w:lang w:eastAsia="lv-LV"/>
                    </w:rPr>
                    <w:t>r</w:t>
                  </w:r>
                  <w:r>
                    <w:rPr>
                      <w:rFonts w:eastAsia="Times New Roman" w:cs="Times New Roman"/>
                      <w:iCs/>
                      <w:szCs w:val="24"/>
                      <w:lang w:eastAsia="lv-LV"/>
                    </w:rPr>
                    <w:t>egula</w:t>
                  </w:r>
                  <w:r w:rsidRPr="009248C5">
                    <w:t xml:space="preserve"> (ES) Nr.904/2010 par administratīvu sadarbību un </w:t>
                  </w:r>
                  <w:r w:rsidRPr="00C33515">
                    <w:rPr>
                      <w:rFonts w:cs="Times New Roman"/>
                      <w:szCs w:val="24"/>
                    </w:rPr>
                    <w:t>krāpšanas</w:t>
                  </w:r>
                  <w:r w:rsidRPr="009248C5">
                    <w:t xml:space="preserve"> apkarošanu pievienotās vērtība</w:t>
                  </w:r>
                  <w:r>
                    <w:t>s nodokļa jomā</w:t>
                  </w:r>
                </w:p>
              </w:tc>
            </w:tr>
            <w:tr w:rsidR="00C33515" w:rsidRPr="00F06B63" w14:paraId="2A5502F8" w14:textId="77777777" w:rsidTr="0016468F">
              <w:tc>
                <w:tcPr>
                  <w:tcW w:w="2503" w:type="dxa"/>
                  <w:vAlign w:val="center"/>
                  <w:hideMark/>
                </w:tcPr>
                <w:p w14:paraId="68CBDDEB" w14:textId="77777777" w:rsidR="00C33515" w:rsidRPr="00E97C7A" w:rsidRDefault="00C33515" w:rsidP="00C33515">
                  <w:pPr>
                    <w:jc w:val="center"/>
                    <w:rPr>
                      <w:rFonts w:eastAsia="Times New Roman"/>
                      <w:szCs w:val="24"/>
                      <w:lang w:eastAsia="lv-LV"/>
                    </w:rPr>
                  </w:pPr>
                  <w:r w:rsidRPr="00E97C7A">
                    <w:rPr>
                      <w:rFonts w:eastAsia="Times New Roman"/>
                      <w:szCs w:val="24"/>
                      <w:lang w:eastAsia="lv-LV"/>
                    </w:rPr>
                    <w:t>A</w:t>
                  </w:r>
                </w:p>
              </w:tc>
              <w:tc>
                <w:tcPr>
                  <w:tcW w:w="2643" w:type="dxa"/>
                  <w:vAlign w:val="center"/>
                  <w:hideMark/>
                </w:tcPr>
                <w:p w14:paraId="700D6D8A" w14:textId="77777777" w:rsidR="00C33515" w:rsidRPr="00E97C7A" w:rsidRDefault="00C33515" w:rsidP="00C33515">
                  <w:pPr>
                    <w:jc w:val="center"/>
                    <w:rPr>
                      <w:rFonts w:eastAsia="Times New Roman"/>
                      <w:szCs w:val="24"/>
                      <w:lang w:eastAsia="lv-LV"/>
                    </w:rPr>
                  </w:pPr>
                  <w:r w:rsidRPr="00E97C7A">
                    <w:rPr>
                      <w:rFonts w:eastAsia="Times New Roman"/>
                      <w:szCs w:val="24"/>
                      <w:lang w:eastAsia="lv-LV"/>
                    </w:rPr>
                    <w:t>B</w:t>
                  </w:r>
                </w:p>
              </w:tc>
              <w:tc>
                <w:tcPr>
                  <w:tcW w:w="2190" w:type="dxa"/>
                  <w:vAlign w:val="center"/>
                  <w:hideMark/>
                </w:tcPr>
                <w:p w14:paraId="4E3039EC" w14:textId="77777777" w:rsidR="00C33515" w:rsidRPr="00E97C7A" w:rsidRDefault="00C33515" w:rsidP="00C33515">
                  <w:pPr>
                    <w:jc w:val="center"/>
                    <w:rPr>
                      <w:rFonts w:eastAsia="Times New Roman"/>
                      <w:szCs w:val="24"/>
                      <w:lang w:eastAsia="lv-LV"/>
                    </w:rPr>
                  </w:pPr>
                  <w:r w:rsidRPr="00E97C7A">
                    <w:rPr>
                      <w:rFonts w:eastAsia="Times New Roman"/>
                      <w:szCs w:val="24"/>
                      <w:lang w:eastAsia="lv-LV"/>
                    </w:rPr>
                    <w:t>C</w:t>
                  </w:r>
                </w:p>
              </w:tc>
              <w:tc>
                <w:tcPr>
                  <w:tcW w:w="1843" w:type="dxa"/>
                  <w:vAlign w:val="center"/>
                  <w:hideMark/>
                </w:tcPr>
                <w:p w14:paraId="2B2AF711" w14:textId="77777777" w:rsidR="00C33515" w:rsidRPr="00E97C7A" w:rsidRDefault="00C33515" w:rsidP="00C33515">
                  <w:pPr>
                    <w:jc w:val="center"/>
                    <w:rPr>
                      <w:rFonts w:eastAsia="Times New Roman"/>
                      <w:szCs w:val="24"/>
                      <w:lang w:eastAsia="lv-LV"/>
                    </w:rPr>
                  </w:pPr>
                  <w:r w:rsidRPr="00E97C7A">
                    <w:rPr>
                      <w:rFonts w:eastAsia="Times New Roman"/>
                      <w:szCs w:val="24"/>
                      <w:lang w:eastAsia="lv-LV"/>
                    </w:rPr>
                    <w:t>D</w:t>
                  </w:r>
                </w:p>
              </w:tc>
            </w:tr>
            <w:tr w:rsidR="00C33515" w:rsidRPr="00F06B63" w14:paraId="2E4FF303" w14:textId="77777777" w:rsidTr="0016468F">
              <w:tc>
                <w:tcPr>
                  <w:tcW w:w="2503" w:type="dxa"/>
                  <w:tcBorders>
                    <w:top w:val="outset" w:sz="6" w:space="0" w:color="auto"/>
                    <w:left w:val="outset" w:sz="6" w:space="0" w:color="auto"/>
                    <w:bottom w:val="outset" w:sz="6" w:space="0" w:color="auto"/>
                    <w:right w:val="outset" w:sz="6" w:space="0" w:color="auto"/>
                  </w:tcBorders>
                </w:tcPr>
                <w:p w14:paraId="67645F5E" w14:textId="6701557D" w:rsidR="00C33515" w:rsidRPr="00E97C7A" w:rsidRDefault="00C33515" w:rsidP="00C33515">
                  <w:pPr>
                    <w:ind w:left="57"/>
                    <w:rPr>
                      <w:rFonts w:eastAsia="Times New Roman"/>
                      <w:szCs w:val="24"/>
                      <w:lang w:eastAsia="lv-LV"/>
                    </w:rPr>
                  </w:pPr>
                </w:p>
              </w:tc>
              <w:tc>
                <w:tcPr>
                  <w:tcW w:w="2643" w:type="dxa"/>
                  <w:tcBorders>
                    <w:top w:val="outset" w:sz="6" w:space="0" w:color="auto"/>
                    <w:left w:val="outset" w:sz="6" w:space="0" w:color="auto"/>
                    <w:bottom w:val="outset" w:sz="6" w:space="0" w:color="auto"/>
                    <w:right w:val="outset" w:sz="6" w:space="0" w:color="auto"/>
                  </w:tcBorders>
                </w:tcPr>
                <w:p w14:paraId="1EF3A83A" w14:textId="00C4ED39" w:rsidR="00C33515" w:rsidRPr="00656783" w:rsidRDefault="00C33515" w:rsidP="00C33515">
                  <w:pPr>
                    <w:jc w:val="center"/>
                    <w:rPr>
                      <w:rFonts w:eastAsia="Times New Roman"/>
                      <w:szCs w:val="24"/>
                      <w:lang w:eastAsia="lv-LV"/>
                    </w:rPr>
                  </w:pPr>
                </w:p>
              </w:tc>
              <w:tc>
                <w:tcPr>
                  <w:tcW w:w="2190" w:type="dxa"/>
                  <w:tcBorders>
                    <w:top w:val="outset" w:sz="6" w:space="0" w:color="auto"/>
                    <w:left w:val="outset" w:sz="6" w:space="0" w:color="auto"/>
                    <w:bottom w:val="outset" w:sz="6" w:space="0" w:color="auto"/>
                    <w:right w:val="outset" w:sz="6" w:space="0" w:color="auto"/>
                  </w:tcBorders>
                </w:tcPr>
                <w:p w14:paraId="048983B4" w14:textId="57D0AA7E" w:rsidR="00C33515" w:rsidRPr="00656783" w:rsidRDefault="00C33515" w:rsidP="00C33515">
                  <w:pPr>
                    <w:jc w:val="center"/>
                    <w:rPr>
                      <w:rFonts w:eastAsia="Times New Roman"/>
                      <w:szCs w:val="24"/>
                      <w:lang w:eastAsia="lv-LV"/>
                    </w:rPr>
                  </w:pPr>
                </w:p>
              </w:tc>
              <w:tc>
                <w:tcPr>
                  <w:tcW w:w="1843" w:type="dxa"/>
                  <w:tcBorders>
                    <w:top w:val="outset" w:sz="6" w:space="0" w:color="auto"/>
                    <w:left w:val="outset" w:sz="6" w:space="0" w:color="auto"/>
                    <w:bottom w:val="outset" w:sz="6" w:space="0" w:color="auto"/>
                    <w:right w:val="outset" w:sz="6" w:space="0" w:color="auto"/>
                  </w:tcBorders>
                </w:tcPr>
                <w:p w14:paraId="2A8E4092" w14:textId="67FFB507" w:rsidR="00C33515" w:rsidRPr="00656783" w:rsidRDefault="00C33515" w:rsidP="001434DA">
                  <w:pPr>
                    <w:ind w:right="404"/>
                    <w:jc w:val="center"/>
                    <w:rPr>
                      <w:rFonts w:eastAsia="Times New Roman"/>
                      <w:szCs w:val="24"/>
                      <w:lang w:eastAsia="lv-LV"/>
                    </w:rPr>
                  </w:pPr>
                </w:p>
              </w:tc>
            </w:tr>
            <w:tr w:rsidR="00C33515" w:rsidRPr="00F06B63" w14:paraId="0ADBAE5D" w14:textId="77777777" w:rsidTr="0016468F">
              <w:tc>
                <w:tcPr>
                  <w:tcW w:w="2503" w:type="dxa"/>
                  <w:tcBorders>
                    <w:top w:val="outset" w:sz="6" w:space="0" w:color="auto"/>
                    <w:left w:val="outset" w:sz="6" w:space="0" w:color="auto"/>
                    <w:bottom w:val="outset" w:sz="6" w:space="0" w:color="auto"/>
                    <w:right w:val="outset" w:sz="6" w:space="0" w:color="auto"/>
                  </w:tcBorders>
                </w:tcPr>
                <w:p w14:paraId="0D703ADB" w14:textId="77777777" w:rsidR="00C33515" w:rsidRPr="00E97C7A" w:rsidRDefault="00C33515" w:rsidP="00C33515">
                  <w:pPr>
                    <w:rPr>
                      <w:szCs w:val="24"/>
                    </w:rPr>
                  </w:pPr>
                  <w:r w:rsidRPr="00E97C7A">
                    <w:rPr>
                      <w:rFonts w:eastAsia="Times New Roman"/>
                      <w:szCs w:val="24"/>
                      <w:lang w:eastAsia="lv-LV"/>
                    </w:rPr>
                    <w:t>Cita informācija</w:t>
                  </w:r>
                </w:p>
              </w:tc>
              <w:tc>
                <w:tcPr>
                  <w:tcW w:w="6676" w:type="dxa"/>
                  <w:gridSpan w:val="3"/>
                  <w:tcBorders>
                    <w:top w:val="outset" w:sz="6" w:space="0" w:color="auto"/>
                    <w:left w:val="outset" w:sz="6" w:space="0" w:color="auto"/>
                    <w:bottom w:val="outset" w:sz="6" w:space="0" w:color="auto"/>
                    <w:right w:val="outset" w:sz="6" w:space="0" w:color="auto"/>
                  </w:tcBorders>
                </w:tcPr>
                <w:p w14:paraId="5B5C9C0E" w14:textId="464719BA" w:rsidR="00C33515" w:rsidRPr="00656783" w:rsidRDefault="00656783" w:rsidP="00C33515">
                  <w:pPr>
                    <w:ind w:right="77"/>
                    <w:jc w:val="both"/>
                    <w:rPr>
                      <w:szCs w:val="24"/>
                    </w:rPr>
                  </w:pPr>
                  <w:r>
                    <w:rPr>
                      <w:szCs w:val="24"/>
                    </w:rPr>
                    <w:t>Nav.</w:t>
                  </w:r>
                </w:p>
              </w:tc>
            </w:tr>
            <w:tr w:rsidR="00C33515" w:rsidRPr="00F06B63" w14:paraId="4C3143E9" w14:textId="77777777" w:rsidTr="0016468F">
              <w:tc>
                <w:tcPr>
                  <w:tcW w:w="2503" w:type="dxa"/>
                  <w:hideMark/>
                </w:tcPr>
                <w:p w14:paraId="3D86FE42" w14:textId="77777777" w:rsidR="00C33515" w:rsidRPr="00E97C7A" w:rsidRDefault="00C33515" w:rsidP="00C33515">
                  <w:pPr>
                    <w:rPr>
                      <w:rFonts w:eastAsia="Times New Roman"/>
                      <w:szCs w:val="26"/>
                      <w:lang w:eastAsia="lv-LV"/>
                    </w:rPr>
                  </w:pPr>
                  <w:r w:rsidRPr="00E97C7A">
                    <w:rPr>
                      <w:rFonts w:eastAsia="Times New Roman"/>
                      <w:szCs w:val="26"/>
                      <w:lang w:eastAsia="lv-LV"/>
                    </w:rPr>
                    <w:t>Kā ir izmantota ES tiesību aktā paredzētā rīcības brīvība dalībvalstij pārņemt vai ieviest noteiktas ES tiesību akta normas? Kādēļ?</w:t>
                  </w:r>
                </w:p>
              </w:tc>
              <w:tc>
                <w:tcPr>
                  <w:tcW w:w="6676" w:type="dxa"/>
                  <w:gridSpan w:val="3"/>
                </w:tcPr>
                <w:p w14:paraId="188F628B" w14:textId="77777777" w:rsidR="00BF3A61" w:rsidRDefault="00BF3A61" w:rsidP="001434DA">
                  <w:pPr>
                    <w:ind w:right="546"/>
                    <w:jc w:val="both"/>
                    <w:rPr>
                      <w:rFonts w:eastAsia="Times New Roman"/>
                      <w:szCs w:val="26"/>
                      <w:lang w:eastAsia="lv-LV"/>
                    </w:rPr>
                  </w:pPr>
                  <w:r w:rsidRPr="00E97C7A">
                    <w:rPr>
                      <w:rFonts w:eastAsia="Times New Roman"/>
                      <w:szCs w:val="26"/>
                      <w:lang w:eastAsia="lv-LV"/>
                    </w:rPr>
                    <w:t>Projekts šo jomu neskar.</w:t>
                  </w:r>
                </w:p>
                <w:p w14:paraId="7ED4FE6B" w14:textId="24135C9B" w:rsidR="00C33515" w:rsidRPr="0016468F" w:rsidRDefault="00C33515" w:rsidP="00CD40E9">
                  <w:pPr>
                    <w:ind w:right="546" w:firstLine="284"/>
                    <w:jc w:val="both"/>
                    <w:rPr>
                      <w:rFonts w:cs="Times New Roman"/>
                      <w:szCs w:val="24"/>
                    </w:rPr>
                  </w:pPr>
                </w:p>
              </w:tc>
            </w:tr>
            <w:tr w:rsidR="00C33515" w:rsidRPr="00F06B63" w14:paraId="5AB5C48A" w14:textId="77777777" w:rsidTr="0016468F">
              <w:tc>
                <w:tcPr>
                  <w:tcW w:w="2503" w:type="dxa"/>
                  <w:hideMark/>
                </w:tcPr>
                <w:p w14:paraId="190710FF" w14:textId="77777777" w:rsidR="00C33515" w:rsidRPr="00E97C7A" w:rsidRDefault="00C33515" w:rsidP="00C33515">
                  <w:pPr>
                    <w:rPr>
                      <w:rFonts w:eastAsia="Times New Roman"/>
                      <w:szCs w:val="26"/>
                      <w:lang w:eastAsia="lv-LV"/>
                    </w:rPr>
                  </w:pPr>
                  <w:r w:rsidRPr="00E97C7A">
                    <w:rPr>
                      <w:rFonts w:eastAsia="Times New Roman"/>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76" w:type="dxa"/>
                  <w:gridSpan w:val="3"/>
                  <w:hideMark/>
                </w:tcPr>
                <w:p w14:paraId="3F23C7D3" w14:textId="1DBDAA51" w:rsidR="00C33515" w:rsidRPr="00E97C7A" w:rsidRDefault="00C33515" w:rsidP="00C33515">
                  <w:pPr>
                    <w:jc w:val="both"/>
                    <w:rPr>
                      <w:rFonts w:eastAsia="Times New Roman"/>
                      <w:szCs w:val="26"/>
                      <w:lang w:eastAsia="lv-LV"/>
                    </w:rPr>
                  </w:pPr>
                  <w:r w:rsidRPr="00E97C7A">
                    <w:rPr>
                      <w:rFonts w:eastAsia="Times New Roman"/>
                      <w:szCs w:val="26"/>
                      <w:lang w:eastAsia="lv-LV"/>
                    </w:rPr>
                    <w:t>Projekts šo jomu neskar.</w:t>
                  </w:r>
                </w:p>
              </w:tc>
            </w:tr>
            <w:tr w:rsidR="00C33515" w:rsidRPr="00F06B63" w14:paraId="266E2158" w14:textId="77777777" w:rsidTr="0016468F">
              <w:tc>
                <w:tcPr>
                  <w:tcW w:w="2503" w:type="dxa"/>
                  <w:hideMark/>
                </w:tcPr>
                <w:p w14:paraId="0A41C8A3" w14:textId="77777777" w:rsidR="00C33515" w:rsidRPr="00C82D12" w:rsidRDefault="00C33515" w:rsidP="00C33515">
                  <w:pPr>
                    <w:rPr>
                      <w:rFonts w:eastAsia="Times New Roman"/>
                      <w:sz w:val="26"/>
                      <w:szCs w:val="26"/>
                      <w:lang w:eastAsia="lv-LV"/>
                    </w:rPr>
                  </w:pPr>
                  <w:r w:rsidRPr="00C82D12">
                    <w:rPr>
                      <w:rFonts w:eastAsia="Times New Roman"/>
                      <w:sz w:val="26"/>
                      <w:szCs w:val="26"/>
                      <w:lang w:eastAsia="lv-LV"/>
                    </w:rPr>
                    <w:t>Cita informācija</w:t>
                  </w:r>
                </w:p>
              </w:tc>
              <w:tc>
                <w:tcPr>
                  <w:tcW w:w="6676" w:type="dxa"/>
                  <w:gridSpan w:val="3"/>
                  <w:hideMark/>
                </w:tcPr>
                <w:p w14:paraId="2BEC61BC" w14:textId="56D85684" w:rsidR="00C33515" w:rsidRPr="00C82D12" w:rsidRDefault="002979E5" w:rsidP="00453147">
                  <w:pPr>
                    <w:ind w:right="679"/>
                    <w:jc w:val="both"/>
                    <w:rPr>
                      <w:sz w:val="26"/>
                      <w:szCs w:val="26"/>
                    </w:rPr>
                  </w:pPr>
                  <w:r w:rsidRPr="00F3381F">
                    <w:rPr>
                      <w:rFonts w:cs="Times New Roman"/>
                      <w:szCs w:val="24"/>
                    </w:rPr>
                    <w:t xml:space="preserve">Padomes 2010.gada 7.oktobra </w:t>
                  </w:r>
                  <w:r w:rsidRPr="00F3381F">
                    <w:rPr>
                      <w:rFonts w:eastAsia="Times New Roman" w:cs="Times New Roman"/>
                      <w:iCs/>
                      <w:szCs w:val="24"/>
                      <w:lang w:eastAsia="lv-LV"/>
                    </w:rPr>
                    <w:t>regulas</w:t>
                  </w:r>
                  <w:r w:rsidRPr="00F3381F">
                    <w:rPr>
                      <w:rFonts w:cs="Times New Roman"/>
                      <w:szCs w:val="24"/>
                    </w:rPr>
                    <w:t xml:space="preserve"> (ES) Nr. 904/2010 par administratīvu sadarbību un krāpšanas apkarošanu pievienotās vērtības nodokļa jomā 46.panta 1.punkt</w:t>
                  </w:r>
                  <w:r>
                    <w:rPr>
                      <w:rFonts w:cs="Times New Roman"/>
                      <w:szCs w:val="24"/>
                    </w:rPr>
                    <w:t xml:space="preserve">s </w:t>
                  </w:r>
                  <w:r w:rsidR="004D246B">
                    <w:rPr>
                      <w:rFonts w:cs="Times New Roman"/>
                      <w:szCs w:val="24"/>
                    </w:rPr>
                    <w:t xml:space="preserve">paredz patēriņa dalībvalsts pienākumu paziņot identifikācijas valstij </w:t>
                  </w:r>
                  <w:proofErr w:type="spellStart"/>
                  <w:r w:rsidR="004D246B" w:rsidRPr="004D246B">
                    <w:rPr>
                      <w:rFonts w:cs="Times New Roman"/>
                      <w:i/>
                      <w:szCs w:val="24"/>
                    </w:rPr>
                    <w:t>euro</w:t>
                  </w:r>
                  <w:proofErr w:type="spellEnd"/>
                  <w:r w:rsidR="004D246B">
                    <w:rPr>
                      <w:rFonts w:cs="Times New Roman"/>
                      <w:szCs w:val="24"/>
                    </w:rPr>
                    <w:t xml:space="preserve"> kontu, uz kuru ieskaitāmi </w:t>
                  </w:r>
                  <w:r>
                    <w:rPr>
                      <w:rFonts w:cs="Times New Roman"/>
                      <w:szCs w:val="24"/>
                    </w:rPr>
                    <w:t xml:space="preserve">PVN maksājumi, kas veikti īpašo PVN režīmu ietvaros, </w:t>
                  </w:r>
                  <w:r w:rsidR="004D246B">
                    <w:rPr>
                      <w:rFonts w:cs="Times New Roman"/>
                      <w:szCs w:val="24"/>
                    </w:rPr>
                    <w:t>bet nenosaka konkrētu kontu, kurā tie ir ieskaitāmi, tādēļ</w:t>
                  </w:r>
                  <w:r>
                    <w:rPr>
                      <w:rFonts w:cs="Times New Roman"/>
                      <w:szCs w:val="24"/>
                    </w:rPr>
                    <w:t xml:space="preserve"> </w:t>
                  </w:r>
                  <w:r w:rsidR="004D246B">
                    <w:rPr>
                      <w:rFonts w:cs="Times New Roman"/>
                      <w:szCs w:val="24"/>
                    </w:rPr>
                    <w:t>pieļaujot</w:t>
                  </w:r>
                  <w:r>
                    <w:rPr>
                      <w:rFonts w:cs="Times New Roman"/>
                      <w:szCs w:val="24"/>
                    </w:rPr>
                    <w:t xml:space="preserve"> dalībvalsts rīcības brīvību konta izvēlē</w:t>
                  </w:r>
                  <w:r w:rsidR="004D246B">
                    <w:rPr>
                      <w:rFonts w:cs="Times New Roman"/>
                      <w:szCs w:val="24"/>
                    </w:rPr>
                    <w:t>.</w:t>
                  </w:r>
                  <w:r>
                    <w:rPr>
                      <w:rFonts w:cs="Times New Roman"/>
                      <w:szCs w:val="24"/>
                    </w:rPr>
                    <w:t xml:space="preserve"> </w:t>
                  </w:r>
                  <w:r w:rsidRPr="0074397C">
                    <w:rPr>
                      <w:rFonts w:cs="Times New Roman"/>
                      <w:szCs w:val="24"/>
                    </w:rPr>
                    <w:t xml:space="preserve">Latvija izvēlas ieskaitīt vienotajā </w:t>
                  </w:r>
                  <w:r w:rsidR="0074397C">
                    <w:rPr>
                      <w:rFonts w:cs="Times New Roman"/>
                      <w:szCs w:val="24"/>
                    </w:rPr>
                    <w:t xml:space="preserve">nodokļu </w:t>
                  </w:r>
                  <w:r w:rsidRPr="0074397C">
                    <w:rPr>
                      <w:rFonts w:cs="Times New Roman"/>
                      <w:szCs w:val="24"/>
                    </w:rPr>
                    <w:t>kontā (</w:t>
                  </w:r>
                  <w:r w:rsidR="00453147" w:rsidRPr="0074397C">
                    <w:rPr>
                      <w:rFonts w:cs="Times New Roman"/>
                      <w:szCs w:val="24"/>
                    </w:rPr>
                    <w:t>kas ieviests no</w:t>
                  </w:r>
                  <w:r w:rsidRPr="0074397C">
                    <w:rPr>
                      <w:rFonts w:cs="Times New Roman"/>
                      <w:szCs w:val="24"/>
                    </w:rPr>
                    <w:t xml:space="preserve"> 2021.gada 1.janvāra) arī PVN maksājumus, kas veikti īpašo PVN režīmu ietvaros, piemērojot speciālu identifikatoru.</w:t>
                  </w:r>
                  <w:r w:rsidR="004D246B" w:rsidRPr="0074397C">
                    <w:rPr>
                      <w:rFonts w:cs="Times New Roman"/>
                      <w:szCs w:val="24"/>
                    </w:rPr>
                    <w:t xml:space="preserve"> Kaut gan regulas nav pārņemamas nacionālajos tiesību aktos un ir tieši piemērojamas, ar šiem grozījumiem (projekta 1. un 2.punkts) MK noteikumos Nr.661 tiek nostiprināta Latvijas rīcības izvēle visus nodokļu maksājumus, t.sk. maksājumus, kas veikti īpašo PVN režīmu ietvaros, ieskaitīt vienotajā nodokļu kontā, attiecībā uz speciālajiem PVN maksājumiem ievērojot </w:t>
                  </w:r>
                  <w:r w:rsidR="004D246B" w:rsidRPr="00F3381F">
                    <w:rPr>
                      <w:rFonts w:cs="Times New Roman"/>
                      <w:szCs w:val="24"/>
                    </w:rPr>
                    <w:t xml:space="preserve">Padomes 2010.gada 7.oktobra </w:t>
                  </w:r>
                  <w:r w:rsidR="004D246B" w:rsidRPr="00F3381F">
                    <w:rPr>
                      <w:rFonts w:eastAsia="Times New Roman" w:cs="Times New Roman"/>
                      <w:iCs/>
                      <w:szCs w:val="24"/>
                      <w:lang w:eastAsia="lv-LV"/>
                    </w:rPr>
                    <w:t>regulas</w:t>
                  </w:r>
                  <w:r w:rsidR="004D246B" w:rsidRPr="00F3381F">
                    <w:rPr>
                      <w:rFonts w:cs="Times New Roman"/>
                      <w:szCs w:val="24"/>
                    </w:rPr>
                    <w:t xml:space="preserve"> (ES) Nr. 904/2010 par administratīvu sadarbību un krāpšanas apkarošanu pievienotās vērtības nodokļa jomā 46.panta 1.punkt</w:t>
                  </w:r>
                  <w:r w:rsidR="004D246B">
                    <w:rPr>
                      <w:rFonts w:cs="Times New Roman"/>
                      <w:szCs w:val="24"/>
                    </w:rPr>
                    <w:t>a būtību.</w:t>
                  </w:r>
                </w:p>
              </w:tc>
            </w:tr>
          </w:tbl>
          <w:p w14:paraId="77D5A117" w14:textId="77777777" w:rsidR="00C33515" w:rsidRPr="00C82D12" w:rsidRDefault="00C33515" w:rsidP="00C33515">
            <w:pPr>
              <w:ind w:left="57" w:right="113"/>
              <w:jc w:val="both"/>
              <w:rPr>
                <w:rFonts w:eastAsia="Times New Roman"/>
                <w:sz w:val="26"/>
                <w:szCs w:val="26"/>
                <w:lang w:eastAsia="lv-LV"/>
              </w:rPr>
            </w:pPr>
          </w:p>
        </w:tc>
      </w:tr>
      <w:tr w:rsidR="00F3381F" w:rsidRPr="0016468F" w14:paraId="1113CDFD" w14:textId="77777777" w:rsidTr="009447E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 w:type="pct"/>
          <w:cantSplit/>
        </w:trPr>
        <w:tc>
          <w:tcPr>
            <w:tcW w:w="4898" w:type="pct"/>
            <w:gridSpan w:val="5"/>
            <w:vAlign w:val="center"/>
            <w:hideMark/>
          </w:tcPr>
          <w:p w14:paraId="50356063" w14:textId="77777777" w:rsidR="00C33515" w:rsidRPr="0016468F" w:rsidRDefault="00C33515" w:rsidP="00C33515">
            <w:pPr>
              <w:jc w:val="center"/>
              <w:rPr>
                <w:b/>
                <w:bCs/>
                <w:szCs w:val="26"/>
              </w:rPr>
            </w:pPr>
            <w:r w:rsidRPr="0016468F">
              <w:rPr>
                <w:b/>
                <w:bCs/>
                <w:szCs w:val="26"/>
              </w:rPr>
              <w:t>2. tabula</w:t>
            </w:r>
            <w:r w:rsidRPr="0016468F">
              <w:rPr>
                <w:b/>
                <w:bCs/>
                <w:szCs w:val="26"/>
              </w:rPr>
              <w:br/>
              <w:t>Ar tiesību akta projektu izpildītās vai uzņemtās saistības, kas izriet no starptautiskajiem tiesību aktiem vai starptautiskas institūcijas vai organizācijas dokumentiem.</w:t>
            </w:r>
            <w:r w:rsidRPr="0016468F">
              <w:rPr>
                <w:b/>
                <w:bCs/>
                <w:szCs w:val="26"/>
              </w:rPr>
              <w:br/>
              <w:t>Pasākumi šo saistību izpildei</w:t>
            </w:r>
          </w:p>
          <w:p w14:paraId="2ABF89BC" w14:textId="77777777" w:rsidR="00C33515" w:rsidRPr="0016468F" w:rsidRDefault="00C33515" w:rsidP="00C33515">
            <w:pPr>
              <w:jc w:val="center"/>
              <w:rPr>
                <w:b/>
                <w:bCs/>
                <w:szCs w:val="26"/>
              </w:rPr>
            </w:pPr>
          </w:p>
        </w:tc>
      </w:tr>
      <w:tr w:rsidR="00EA19CF" w:rsidRPr="00A44944" w14:paraId="317072FD" w14:textId="77777777" w:rsidTr="009447E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 w:type="pct"/>
          <w:cantSplit/>
        </w:trPr>
        <w:tc>
          <w:tcPr>
            <w:tcW w:w="1345" w:type="pct"/>
            <w:gridSpan w:val="2"/>
            <w:hideMark/>
          </w:tcPr>
          <w:p w14:paraId="3FD20A79" w14:textId="77777777" w:rsidR="00C33515" w:rsidRPr="00F3381F" w:rsidRDefault="00C33515" w:rsidP="00C33515">
            <w:pPr>
              <w:rPr>
                <w:szCs w:val="24"/>
              </w:rPr>
            </w:pPr>
            <w:r w:rsidRPr="00F3381F">
              <w:rPr>
                <w:szCs w:val="24"/>
              </w:rPr>
              <w:t>Attiecīgā starptautiskā tiesību akta vai starptautiskas institūcijas vai organizācijas dokumenta (turpmāk – starptautiskais dokuments) datums, numurs un nosaukums</w:t>
            </w:r>
          </w:p>
        </w:tc>
        <w:tc>
          <w:tcPr>
            <w:tcW w:w="3536" w:type="pct"/>
            <w:gridSpan w:val="3"/>
            <w:hideMark/>
          </w:tcPr>
          <w:p w14:paraId="77E89A32" w14:textId="77777777" w:rsidR="00C33515" w:rsidRPr="00F3381F" w:rsidRDefault="00C33515" w:rsidP="00C33515">
            <w:pPr>
              <w:rPr>
                <w:szCs w:val="24"/>
              </w:rPr>
            </w:pPr>
            <w:r w:rsidRPr="00F3381F">
              <w:rPr>
                <w:szCs w:val="24"/>
              </w:rPr>
              <w:t>Projekts šo jomu neskar.</w:t>
            </w:r>
          </w:p>
        </w:tc>
      </w:tr>
      <w:tr w:rsidR="00F3381F" w:rsidRPr="00F3381F" w14:paraId="33ABEFC3" w14:textId="77777777" w:rsidTr="009447E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 w:type="pct"/>
          <w:cantSplit/>
        </w:trPr>
        <w:tc>
          <w:tcPr>
            <w:tcW w:w="1345" w:type="pct"/>
            <w:gridSpan w:val="2"/>
            <w:vAlign w:val="center"/>
            <w:hideMark/>
          </w:tcPr>
          <w:p w14:paraId="41F83372" w14:textId="77777777" w:rsidR="00C33515" w:rsidRPr="00216BA6" w:rsidRDefault="00C33515" w:rsidP="00C33515">
            <w:pPr>
              <w:jc w:val="center"/>
              <w:rPr>
                <w:szCs w:val="24"/>
              </w:rPr>
            </w:pPr>
            <w:r w:rsidRPr="00216BA6">
              <w:rPr>
                <w:szCs w:val="24"/>
              </w:rPr>
              <w:t>A</w:t>
            </w:r>
          </w:p>
        </w:tc>
        <w:tc>
          <w:tcPr>
            <w:tcW w:w="1703" w:type="pct"/>
            <w:gridSpan w:val="2"/>
            <w:vAlign w:val="center"/>
            <w:hideMark/>
          </w:tcPr>
          <w:p w14:paraId="69DA6697" w14:textId="77777777" w:rsidR="00C33515" w:rsidRPr="00216BA6" w:rsidRDefault="00C33515" w:rsidP="00C33515">
            <w:pPr>
              <w:jc w:val="center"/>
              <w:rPr>
                <w:szCs w:val="24"/>
              </w:rPr>
            </w:pPr>
            <w:r w:rsidRPr="00216BA6">
              <w:rPr>
                <w:szCs w:val="24"/>
              </w:rPr>
              <w:t>B</w:t>
            </w:r>
          </w:p>
        </w:tc>
        <w:tc>
          <w:tcPr>
            <w:tcW w:w="1817" w:type="pct"/>
            <w:vAlign w:val="center"/>
            <w:hideMark/>
          </w:tcPr>
          <w:p w14:paraId="7A9EA850" w14:textId="77777777" w:rsidR="00C33515" w:rsidRPr="00216BA6" w:rsidRDefault="00C33515" w:rsidP="00C33515">
            <w:pPr>
              <w:jc w:val="center"/>
              <w:rPr>
                <w:szCs w:val="24"/>
              </w:rPr>
            </w:pPr>
            <w:r w:rsidRPr="00216BA6">
              <w:rPr>
                <w:szCs w:val="24"/>
              </w:rPr>
              <w:t>C</w:t>
            </w:r>
          </w:p>
        </w:tc>
      </w:tr>
      <w:tr w:rsidR="00F3381F" w:rsidRPr="00F3381F" w14:paraId="350DC2CF" w14:textId="77777777" w:rsidTr="009447E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 w:type="pct"/>
          <w:cantSplit/>
        </w:trPr>
        <w:tc>
          <w:tcPr>
            <w:tcW w:w="1345" w:type="pct"/>
            <w:gridSpan w:val="2"/>
            <w:hideMark/>
          </w:tcPr>
          <w:p w14:paraId="6619D87D" w14:textId="77777777" w:rsidR="00C33515" w:rsidRPr="00F3381F" w:rsidRDefault="00C33515" w:rsidP="00C33515">
            <w:pPr>
              <w:rPr>
                <w:szCs w:val="24"/>
              </w:rPr>
            </w:pPr>
            <w:r w:rsidRPr="00F3381F">
              <w:rPr>
                <w:szCs w:val="24"/>
              </w:rPr>
              <w:t>Starptautiskās saistības (pēc būtības), kas izriet no norādītā starptautiskā dokumenta.</w:t>
            </w:r>
            <w:r w:rsidRPr="00F3381F">
              <w:rPr>
                <w:szCs w:val="24"/>
              </w:rPr>
              <w:br/>
              <w:t>Konkrēti veicamie pasākumi vai uzdevumi, kas nepieciešami šo starptautisko saistību izpildei</w:t>
            </w:r>
          </w:p>
          <w:p w14:paraId="08932CA6" w14:textId="77777777" w:rsidR="00C33515" w:rsidRPr="00F3381F" w:rsidRDefault="00C33515" w:rsidP="00C33515">
            <w:pPr>
              <w:rPr>
                <w:szCs w:val="24"/>
              </w:rPr>
            </w:pPr>
          </w:p>
        </w:tc>
        <w:tc>
          <w:tcPr>
            <w:tcW w:w="1703" w:type="pct"/>
            <w:gridSpan w:val="2"/>
            <w:hideMark/>
          </w:tcPr>
          <w:p w14:paraId="11248BBD" w14:textId="77777777" w:rsidR="00C33515" w:rsidRPr="00EA19CF" w:rsidRDefault="00C33515" w:rsidP="00C33515">
            <w:pPr>
              <w:rPr>
                <w:szCs w:val="24"/>
              </w:rPr>
            </w:pPr>
            <w:r w:rsidRPr="00F3381F">
              <w:rPr>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17" w:type="pct"/>
            <w:hideMark/>
          </w:tcPr>
          <w:p w14:paraId="42118450" w14:textId="77777777" w:rsidR="00C33515" w:rsidRPr="00EA19CF" w:rsidRDefault="00C33515" w:rsidP="00C33515">
            <w:pPr>
              <w:rPr>
                <w:szCs w:val="24"/>
              </w:rPr>
            </w:pPr>
            <w:r w:rsidRPr="00EA19CF">
              <w:rPr>
                <w:szCs w:val="24"/>
              </w:rPr>
              <w:t>Informācija par to, vai starptautiskās saistības, kas minētas šīs tabulas A ailē, tiek izpildītas pilnībā vai daļēji.</w:t>
            </w:r>
            <w:r w:rsidRPr="00EA19CF">
              <w:rPr>
                <w:szCs w:val="24"/>
              </w:rPr>
              <w:br/>
              <w:t>Ja attiecīgās starptautiskās saistības tiek izpildītas daļēji, sniedz skaidrojumu, kā arī precīzi norāda, kad un kādā veidā starptautiskās saistības tiks izpildītas pilnībā.</w:t>
            </w:r>
            <w:r w:rsidRPr="00EA19CF">
              <w:rPr>
                <w:szCs w:val="24"/>
              </w:rPr>
              <w:br/>
              <w:t>Norāda institūciju, kas ir atbildīga par šo saistību izpildi pilnībā</w:t>
            </w:r>
          </w:p>
        </w:tc>
      </w:tr>
      <w:tr w:rsidR="00EA19CF" w:rsidRPr="00C82D12" w14:paraId="29C1EA4F" w14:textId="77777777" w:rsidTr="009447E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 w:type="pct"/>
          <w:cantSplit/>
        </w:trPr>
        <w:tc>
          <w:tcPr>
            <w:tcW w:w="1345" w:type="pct"/>
            <w:gridSpan w:val="2"/>
            <w:hideMark/>
          </w:tcPr>
          <w:p w14:paraId="6BF75F8E" w14:textId="77777777" w:rsidR="00C33515" w:rsidRPr="00F3381F" w:rsidRDefault="00C33515" w:rsidP="00C33515">
            <w:pPr>
              <w:rPr>
                <w:szCs w:val="24"/>
              </w:rPr>
            </w:pPr>
            <w:r w:rsidRPr="00F3381F">
              <w:rPr>
                <w:szCs w:val="24"/>
              </w:rPr>
              <w:t>Vai starptautiskajā dokumentā paredzētās saistības nav pretrunā ar jau esošajām Latvijas Republikas starptautiskajām saistībām</w:t>
            </w:r>
          </w:p>
          <w:p w14:paraId="0C19BB0F" w14:textId="77777777" w:rsidR="00C33515" w:rsidRPr="00F3381F" w:rsidRDefault="00C33515" w:rsidP="00C33515">
            <w:pPr>
              <w:rPr>
                <w:szCs w:val="24"/>
              </w:rPr>
            </w:pPr>
          </w:p>
        </w:tc>
        <w:tc>
          <w:tcPr>
            <w:tcW w:w="3536" w:type="pct"/>
            <w:gridSpan w:val="3"/>
            <w:hideMark/>
          </w:tcPr>
          <w:p w14:paraId="5229D44A" w14:textId="77777777" w:rsidR="00C33515" w:rsidRPr="00F3381F" w:rsidRDefault="00C33515" w:rsidP="00C33515">
            <w:pPr>
              <w:rPr>
                <w:szCs w:val="24"/>
              </w:rPr>
            </w:pPr>
            <w:r w:rsidRPr="00F3381F">
              <w:rPr>
                <w:szCs w:val="24"/>
              </w:rPr>
              <w:t>Projekts šo jomu neskar.</w:t>
            </w:r>
          </w:p>
        </w:tc>
      </w:tr>
      <w:tr w:rsidR="00EA19CF" w:rsidRPr="00C82D12" w14:paraId="736E9871" w14:textId="77777777" w:rsidTr="009447E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 w:type="pct"/>
          <w:cantSplit/>
        </w:trPr>
        <w:tc>
          <w:tcPr>
            <w:tcW w:w="1345" w:type="pct"/>
            <w:gridSpan w:val="2"/>
            <w:hideMark/>
          </w:tcPr>
          <w:p w14:paraId="0F46A0DC" w14:textId="77777777" w:rsidR="00C33515" w:rsidRPr="00F3381F" w:rsidRDefault="00C33515" w:rsidP="00C33515">
            <w:pPr>
              <w:rPr>
                <w:szCs w:val="24"/>
              </w:rPr>
            </w:pPr>
            <w:r w:rsidRPr="00F3381F">
              <w:rPr>
                <w:szCs w:val="24"/>
              </w:rPr>
              <w:t>Cita informācija</w:t>
            </w:r>
          </w:p>
          <w:p w14:paraId="2395C854" w14:textId="77777777" w:rsidR="00C33515" w:rsidRPr="00F3381F" w:rsidRDefault="00C33515" w:rsidP="00C33515">
            <w:pPr>
              <w:rPr>
                <w:szCs w:val="24"/>
              </w:rPr>
            </w:pPr>
          </w:p>
        </w:tc>
        <w:tc>
          <w:tcPr>
            <w:tcW w:w="3536" w:type="pct"/>
            <w:gridSpan w:val="3"/>
            <w:hideMark/>
          </w:tcPr>
          <w:p w14:paraId="4432FF07" w14:textId="77777777" w:rsidR="00C33515" w:rsidRPr="00F3381F" w:rsidRDefault="00C33515" w:rsidP="00C33515">
            <w:pPr>
              <w:jc w:val="both"/>
              <w:rPr>
                <w:szCs w:val="24"/>
              </w:rPr>
            </w:pPr>
            <w:r w:rsidRPr="00F3381F">
              <w:rPr>
                <w:szCs w:val="24"/>
              </w:rPr>
              <w:t>Nav.</w:t>
            </w:r>
          </w:p>
        </w:tc>
      </w:tr>
    </w:tbl>
    <w:p w14:paraId="41670E06" w14:textId="77777777" w:rsidR="00E5323B" w:rsidRPr="00812F8E" w:rsidRDefault="00E5323B" w:rsidP="00E5323B">
      <w:pPr>
        <w:rPr>
          <w:rFonts w:eastAsia="Times New Roman" w:cs="Times New Roman"/>
          <w:iCs/>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CE33AC" w:rsidRPr="001F23E8" w14:paraId="58AD07EE" w14:textId="77777777" w:rsidTr="001F23E8">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991C7DC" w14:textId="77777777" w:rsidR="00655F2C" w:rsidRPr="001F23E8" w:rsidRDefault="00E5323B" w:rsidP="00E5323B">
            <w:pPr>
              <w:rPr>
                <w:rFonts w:eastAsia="Times New Roman" w:cs="Times New Roman"/>
                <w:b/>
                <w:bCs/>
                <w:iCs/>
                <w:szCs w:val="24"/>
                <w:lang w:eastAsia="lv-LV"/>
              </w:rPr>
            </w:pPr>
            <w:r w:rsidRPr="001F23E8">
              <w:rPr>
                <w:rFonts w:eastAsia="Times New Roman" w:cs="Times New Roman"/>
                <w:b/>
                <w:bCs/>
                <w:iCs/>
                <w:szCs w:val="24"/>
                <w:lang w:eastAsia="lv-LV"/>
              </w:rPr>
              <w:t>VI. Sabiedrības līdzdalība un komunikācijas aktivitātes</w:t>
            </w:r>
          </w:p>
        </w:tc>
      </w:tr>
      <w:tr w:rsidR="00CE33AC" w:rsidRPr="001F23E8" w14:paraId="3B7169C8" w14:textId="77777777" w:rsidTr="001F23E8">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01161A78" w14:textId="77777777" w:rsidR="00655F2C" w:rsidRPr="001F23E8" w:rsidRDefault="00E5323B" w:rsidP="00E5323B">
            <w:pPr>
              <w:rPr>
                <w:rFonts w:eastAsia="Times New Roman" w:cs="Times New Roman"/>
                <w:iCs/>
                <w:szCs w:val="24"/>
                <w:lang w:eastAsia="lv-LV"/>
              </w:rPr>
            </w:pPr>
            <w:r w:rsidRPr="001F23E8">
              <w:rPr>
                <w:rFonts w:eastAsia="Times New Roman" w:cs="Times New Roman"/>
                <w:iCs/>
                <w:szCs w:val="24"/>
                <w:lang w:eastAsia="lv-LV"/>
              </w:rPr>
              <w:t>1.</w:t>
            </w:r>
          </w:p>
        </w:tc>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48021B60" w14:textId="77777777" w:rsidR="00E5323B" w:rsidRPr="001F23E8" w:rsidRDefault="00E5323B" w:rsidP="00E5323B">
            <w:pPr>
              <w:rPr>
                <w:rFonts w:eastAsia="Times New Roman" w:cs="Times New Roman"/>
                <w:iCs/>
                <w:szCs w:val="24"/>
                <w:lang w:eastAsia="lv-LV"/>
              </w:rPr>
            </w:pPr>
            <w:r w:rsidRPr="001F23E8">
              <w:rPr>
                <w:rFonts w:eastAsia="Times New Roman" w:cs="Times New Roman"/>
                <w:iCs/>
                <w:szCs w:val="24"/>
                <w:lang w:eastAsia="lv-LV"/>
              </w:rPr>
              <w:t>Plānotās sabiedrības līdzdalības un komunikācijas aktivitātes saistībā ar projektu</w:t>
            </w:r>
          </w:p>
        </w:tc>
        <w:tc>
          <w:tcPr>
            <w:tcW w:w="3023" w:type="pct"/>
            <w:tcBorders>
              <w:top w:val="outset" w:sz="6" w:space="0" w:color="auto"/>
              <w:left w:val="outset" w:sz="6" w:space="0" w:color="auto"/>
              <w:bottom w:val="outset" w:sz="6" w:space="0" w:color="auto"/>
              <w:right w:val="outset" w:sz="6" w:space="0" w:color="auto"/>
            </w:tcBorders>
            <w:shd w:val="clear" w:color="auto" w:fill="auto"/>
            <w:hideMark/>
          </w:tcPr>
          <w:p w14:paraId="13E10B0B" w14:textId="4AFF7820" w:rsidR="00E5323B" w:rsidRPr="001F23E8" w:rsidRDefault="00C85DCD" w:rsidP="00736CD8">
            <w:pPr>
              <w:ind w:firstLine="284"/>
              <w:jc w:val="both"/>
              <w:rPr>
                <w:rFonts w:cs="Times New Roman"/>
                <w:iCs/>
                <w:szCs w:val="24"/>
              </w:rPr>
            </w:pPr>
            <w:r w:rsidRPr="001F23E8">
              <w:rPr>
                <w:rFonts w:eastAsia="Times New Roman" w:cs="Times New Roman"/>
                <w:szCs w:val="24"/>
                <w:lang w:eastAsia="lv-LV"/>
              </w:rPr>
              <w:t>Lai informētu sabiedrību par projekt</w:t>
            </w:r>
            <w:r w:rsidR="0004645B">
              <w:rPr>
                <w:rFonts w:eastAsia="Times New Roman" w:cs="Times New Roman"/>
                <w:szCs w:val="24"/>
                <w:lang w:eastAsia="lv-LV"/>
              </w:rPr>
              <w:t>a izstrādi</w:t>
            </w:r>
            <w:r w:rsidRPr="001F23E8">
              <w:rPr>
                <w:rFonts w:eastAsia="Times New Roman" w:cs="Times New Roman"/>
                <w:szCs w:val="24"/>
                <w:lang w:eastAsia="lv-LV"/>
              </w:rPr>
              <w:t xml:space="preserve"> un dotu iespēju izteikt viedokli, </w:t>
            </w:r>
            <w:r w:rsidR="0004645B">
              <w:rPr>
                <w:rFonts w:eastAsia="Times New Roman" w:cs="Times New Roman"/>
                <w:szCs w:val="24"/>
                <w:lang w:eastAsia="lv-LV"/>
              </w:rPr>
              <w:t>informācij</w:t>
            </w:r>
            <w:r w:rsidR="004479DD">
              <w:rPr>
                <w:rFonts w:eastAsia="Times New Roman" w:cs="Times New Roman"/>
                <w:szCs w:val="24"/>
                <w:lang w:eastAsia="lv-LV"/>
              </w:rPr>
              <w:t>u</w:t>
            </w:r>
            <w:r w:rsidR="0004645B">
              <w:rPr>
                <w:rFonts w:eastAsia="Times New Roman" w:cs="Times New Roman"/>
                <w:szCs w:val="24"/>
                <w:lang w:eastAsia="lv-LV"/>
              </w:rPr>
              <w:t xml:space="preserve"> </w:t>
            </w:r>
            <w:r w:rsidRPr="001F23E8">
              <w:rPr>
                <w:rFonts w:eastAsia="Times New Roman" w:cs="Times New Roman"/>
                <w:szCs w:val="24"/>
                <w:lang w:eastAsia="lv-LV"/>
              </w:rPr>
              <w:t>atbilstoši Ministru kabineta 2009.gada 2</w:t>
            </w:r>
            <w:r w:rsidR="00F51B82" w:rsidRPr="001F23E8">
              <w:rPr>
                <w:rFonts w:eastAsia="Times New Roman" w:cs="Times New Roman"/>
                <w:szCs w:val="24"/>
                <w:lang w:eastAsia="lv-LV"/>
              </w:rPr>
              <w:t>5.augusta noteikumiem Nr.970 “</w:t>
            </w:r>
            <w:r w:rsidRPr="001F23E8">
              <w:rPr>
                <w:rFonts w:eastAsia="Times New Roman" w:cs="Times New Roman"/>
                <w:szCs w:val="24"/>
                <w:lang w:eastAsia="lv-LV"/>
              </w:rPr>
              <w:t>Sabiedrības līdzdalības kārtība attīstības plānošanas procesā</w:t>
            </w:r>
            <w:r w:rsidR="00F51B82" w:rsidRPr="001F23E8">
              <w:rPr>
                <w:rFonts w:eastAsia="Times New Roman" w:cs="Times New Roman"/>
                <w:szCs w:val="24"/>
                <w:lang w:eastAsia="lv-LV"/>
              </w:rPr>
              <w:t>”</w:t>
            </w:r>
            <w:r w:rsidRPr="001F23E8">
              <w:rPr>
                <w:rFonts w:eastAsia="Times New Roman" w:cs="Times New Roman"/>
                <w:szCs w:val="24"/>
                <w:lang w:eastAsia="lv-LV"/>
              </w:rPr>
              <w:t xml:space="preserve"> pirms </w:t>
            </w:r>
            <w:r w:rsidR="00D5005C">
              <w:rPr>
                <w:rFonts w:eastAsia="Times New Roman" w:cs="Times New Roman"/>
                <w:szCs w:val="24"/>
                <w:lang w:eastAsia="lv-LV"/>
              </w:rPr>
              <w:t>projekta</w:t>
            </w:r>
            <w:r w:rsidR="00D5005C" w:rsidRPr="001F23E8">
              <w:rPr>
                <w:rFonts w:eastAsia="Times New Roman" w:cs="Times New Roman"/>
                <w:szCs w:val="24"/>
                <w:lang w:eastAsia="lv-LV"/>
              </w:rPr>
              <w:t xml:space="preserve"> </w:t>
            </w:r>
            <w:r w:rsidRPr="001F23E8">
              <w:rPr>
                <w:rFonts w:eastAsia="Times New Roman" w:cs="Times New Roman"/>
                <w:szCs w:val="24"/>
                <w:lang w:eastAsia="lv-LV"/>
              </w:rPr>
              <w:t>izsludināšanas Valsts sekretāru sanāksmē ievieto</w:t>
            </w:r>
            <w:r w:rsidR="004479DD">
              <w:rPr>
                <w:rFonts w:eastAsia="Times New Roman" w:cs="Times New Roman"/>
                <w:szCs w:val="24"/>
                <w:lang w:eastAsia="lv-LV"/>
              </w:rPr>
              <w:t>j</w:t>
            </w:r>
            <w:r w:rsidR="0004645B">
              <w:rPr>
                <w:rFonts w:eastAsia="Times New Roman" w:cs="Times New Roman"/>
                <w:szCs w:val="24"/>
                <w:lang w:eastAsia="lv-LV"/>
              </w:rPr>
              <w:t>a</w:t>
            </w:r>
            <w:r w:rsidRPr="001F23E8">
              <w:rPr>
                <w:rFonts w:eastAsia="Times New Roman" w:cs="Times New Roman"/>
                <w:szCs w:val="24"/>
                <w:lang w:eastAsia="lv-LV"/>
              </w:rPr>
              <w:t xml:space="preserve"> Finanšu ministrijas tīmekļvietnē.</w:t>
            </w:r>
          </w:p>
        </w:tc>
      </w:tr>
      <w:tr w:rsidR="00CE33AC" w:rsidRPr="001F23E8" w14:paraId="045D5FBF" w14:textId="77777777" w:rsidTr="001F23E8">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08F3EDC2" w14:textId="77777777" w:rsidR="00655F2C" w:rsidRPr="001F23E8" w:rsidRDefault="00E5323B" w:rsidP="00E5323B">
            <w:pPr>
              <w:rPr>
                <w:rFonts w:eastAsia="Times New Roman" w:cs="Times New Roman"/>
                <w:iCs/>
                <w:szCs w:val="24"/>
                <w:lang w:eastAsia="lv-LV"/>
              </w:rPr>
            </w:pPr>
            <w:r w:rsidRPr="001F23E8">
              <w:rPr>
                <w:rFonts w:eastAsia="Times New Roman" w:cs="Times New Roman"/>
                <w:iCs/>
                <w:szCs w:val="24"/>
                <w:lang w:eastAsia="lv-LV"/>
              </w:rPr>
              <w:t>2.</w:t>
            </w:r>
          </w:p>
        </w:tc>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10F4E5A0" w14:textId="77777777" w:rsidR="00E5323B" w:rsidRPr="001F23E8" w:rsidRDefault="00E5323B" w:rsidP="00E5323B">
            <w:pPr>
              <w:rPr>
                <w:rFonts w:eastAsia="Times New Roman" w:cs="Times New Roman"/>
                <w:iCs/>
                <w:szCs w:val="24"/>
                <w:lang w:eastAsia="lv-LV"/>
              </w:rPr>
            </w:pPr>
            <w:r w:rsidRPr="001F23E8">
              <w:rPr>
                <w:rFonts w:eastAsia="Times New Roman" w:cs="Times New Roman"/>
                <w:iCs/>
                <w:szCs w:val="24"/>
                <w:lang w:eastAsia="lv-LV"/>
              </w:rPr>
              <w:t>Sabiedrības līdzdalība projekta izstrādē</w:t>
            </w:r>
          </w:p>
        </w:tc>
        <w:tc>
          <w:tcPr>
            <w:tcW w:w="3023" w:type="pct"/>
            <w:tcBorders>
              <w:top w:val="outset" w:sz="6" w:space="0" w:color="auto"/>
              <w:left w:val="outset" w:sz="6" w:space="0" w:color="auto"/>
              <w:bottom w:val="outset" w:sz="6" w:space="0" w:color="auto"/>
              <w:right w:val="outset" w:sz="6" w:space="0" w:color="auto"/>
            </w:tcBorders>
            <w:shd w:val="clear" w:color="auto" w:fill="auto"/>
            <w:hideMark/>
          </w:tcPr>
          <w:p w14:paraId="1E19DCCE" w14:textId="6D3B0B45" w:rsidR="00031C1D" w:rsidRPr="001F23E8" w:rsidRDefault="00C85DCD" w:rsidP="00C85DCD">
            <w:pPr>
              <w:ind w:firstLine="284"/>
              <w:jc w:val="both"/>
              <w:rPr>
                <w:rFonts w:eastAsia="Times New Roman" w:cs="Times New Roman"/>
                <w:bCs/>
                <w:szCs w:val="24"/>
                <w:lang w:eastAsia="lv-LV"/>
              </w:rPr>
            </w:pPr>
            <w:r w:rsidRPr="001F23E8">
              <w:rPr>
                <w:rFonts w:eastAsia="Times New Roman" w:cs="Times New Roman"/>
                <w:bCs/>
                <w:szCs w:val="24"/>
                <w:lang w:eastAsia="lv-LV"/>
              </w:rPr>
              <w:t>Finanšu ministrija 20</w:t>
            </w:r>
            <w:r w:rsidR="00F62F8B">
              <w:rPr>
                <w:rFonts w:eastAsia="Times New Roman" w:cs="Times New Roman"/>
                <w:bCs/>
                <w:szCs w:val="24"/>
                <w:lang w:eastAsia="lv-LV"/>
              </w:rPr>
              <w:t>21</w:t>
            </w:r>
            <w:r w:rsidRPr="001F23E8">
              <w:rPr>
                <w:rFonts w:eastAsia="Times New Roman" w:cs="Times New Roman"/>
                <w:bCs/>
                <w:szCs w:val="24"/>
                <w:lang w:eastAsia="lv-LV"/>
              </w:rPr>
              <w:t>.gada</w:t>
            </w:r>
            <w:r w:rsidR="00F62F8B">
              <w:rPr>
                <w:rFonts w:eastAsia="Times New Roman" w:cs="Times New Roman"/>
                <w:bCs/>
                <w:szCs w:val="24"/>
                <w:lang w:eastAsia="lv-LV"/>
              </w:rPr>
              <w:t xml:space="preserve"> </w:t>
            </w:r>
            <w:r w:rsidR="00001C3D">
              <w:rPr>
                <w:rFonts w:eastAsia="Times New Roman" w:cs="Times New Roman"/>
                <w:bCs/>
                <w:szCs w:val="24"/>
                <w:lang w:eastAsia="lv-LV"/>
              </w:rPr>
              <w:t>1</w:t>
            </w:r>
            <w:r w:rsidR="00F62F8B">
              <w:rPr>
                <w:rFonts w:eastAsia="Times New Roman" w:cs="Times New Roman"/>
                <w:bCs/>
                <w:szCs w:val="24"/>
                <w:lang w:eastAsia="lv-LV"/>
              </w:rPr>
              <w:t xml:space="preserve">.februārī </w:t>
            </w:r>
            <w:r w:rsidRPr="001F23E8">
              <w:rPr>
                <w:rFonts w:eastAsia="Times New Roman" w:cs="Times New Roman"/>
                <w:bCs/>
                <w:szCs w:val="24"/>
                <w:lang w:eastAsia="lv-LV"/>
              </w:rPr>
              <w:t>informāciju par projektu ievietoja savā tīmekļvietnē sadaļas</w:t>
            </w:r>
            <w:r w:rsidR="00F51B82" w:rsidRPr="001F23E8">
              <w:rPr>
                <w:rFonts w:eastAsia="Times New Roman" w:cs="Times New Roman"/>
                <w:bCs/>
                <w:szCs w:val="24"/>
                <w:lang w:eastAsia="lv-LV"/>
              </w:rPr>
              <w:t xml:space="preserve"> “Sabiedrības līdzdalība”</w:t>
            </w:r>
            <w:r w:rsidRPr="001F23E8">
              <w:rPr>
                <w:rFonts w:eastAsia="Times New Roman" w:cs="Times New Roman"/>
                <w:bCs/>
                <w:szCs w:val="24"/>
                <w:lang w:eastAsia="lv-LV"/>
              </w:rPr>
              <w:t xml:space="preserve"> </w:t>
            </w:r>
            <w:proofErr w:type="spellStart"/>
            <w:r w:rsidRPr="001F23E8">
              <w:rPr>
                <w:rFonts w:eastAsia="Times New Roman" w:cs="Times New Roman"/>
                <w:bCs/>
                <w:szCs w:val="24"/>
                <w:lang w:eastAsia="lv-LV"/>
              </w:rPr>
              <w:t>apakšsadaļā</w:t>
            </w:r>
            <w:proofErr w:type="spellEnd"/>
            <w:r w:rsidRPr="001F23E8">
              <w:rPr>
                <w:rFonts w:eastAsia="Times New Roman" w:cs="Times New Roman"/>
                <w:bCs/>
                <w:szCs w:val="24"/>
                <w:lang w:eastAsia="lv-LV"/>
              </w:rPr>
              <w:t xml:space="preserve"> “Nodokļu politika” (pieejams:</w:t>
            </w:r>
            <w:r w:rsidRPr="001F23E8">
              <w:t xml:space="preserve"> </w:t>
            </w:r>
            <w:r w:rsidR="00001C3D" w:rsidRPr="00001C3D">
              <w:rPr>
                <w:rFonts w:eastAsia="Times New Roman" w:cs="Times New Roman"/>
                <w:bCs/>
                <w:szCs w:val="24"/>
                <w:lang w:eastAsia="lv-LV"/>
              </w:rPr>
              <w:t>https://www.fm.gov.lv/lv/mk-noteikumu-projekts-grozijumi-ministru-kabineta-2018-gada-30-oktobra-noteikumos-nr-661-kartiba-kada-maksa-nodoklus-nodevas-citus-valsts-noteiktos-maksajumus-un-ar-tiem-saistitos-maksajumus-un-novirza-tos-saistibu-segsanai</w:t>
            </w:r>
            <w:r w:rsidRPr="001F23E8">
              <w:rPr>
                <w:rFonts w:eastAsia="Times New Roman" w:cs="Times New Roman"/>
                <w:bCs/>
                <w:szCs w:val="24"/>
                <w:lang w:eastAsia="lv-LV"/>
              </w:rPr>
              <w:t xml:space="preserve">), tādējādi dodot iespēju sabiedrībai līdzdarboties tiesību akta izstrādes procesā. Sabiedrībai </w:t>
            </w:r>
            <w:r w:rsidR="00C05324">
              <w:rPr>
                <w:rFonts w:eastAsia="Times New Roman" w:cs="Times New Roman"/>
                <w:bCs/>
                <w:szCs w:val="24"/>
                <w:lang w:eastAsia="lv-LV"/>
              </w:rPr>
              <w:t>bija</w:t>
            </w:r>
            <w:r w:rsidR="00C05324" w:rsidRPr="001F23E8">
              <w:rPr>
                <w:rFonts w:eastAsia="Times New Roman" w:cs="Times New Roman"/>
                <w:bCs/>
                <w:szCs w:val="24"/>
                <w:lang w:eastAsia="lv-LV"/>
              </w:rPr>
              <w:t xml:space="preserve"> </w:t>
            </w:r>
            <w:r w:rsidRPr="001F23E8">
              <w:rPr>
                <w:rFonts w:eastAsia="Times New Roman" w:cs="Times New Roman"/>
                <w:bCs/>
                <w:szCs w:val="24"/>
                <w:lang w:eastAsia="lv-LV"/>
              </w:rPr>
              <w:t xml:space="preserve">iespēja līdz </w:t>
            </w:r>
            <w:r w:rsidR="00001C3D">
              <w:rPr>
                <w:rFonts w:eastAsia="Times New Roman" w:cs="Times New Roman"/>
                <w:bCs/>
                <w:szCs w:val="24"/>
                <w:lang w:eastAsia="lv-LV"/>
              </w:rPr>
              <w:t xml:space="preserve">2021.gada 15.februārim </w:t>
            </w:r>
            <w:r w:rsidRPr="001F23E8">
              <w:rPr>
                <w:rFonts w:eastAsia="Times New Roman" w:cs="Times New Roman"/>
                <w:bCs/>
                <w:szCs w:val="24"/>
                <w:lang w:eastAsia="lv-LV"/>
              </w:rPr>
              <w:t>sniegt rakstisku viedokli Finanšu ministrijai par izstrādāto projektu.</w:t>
            </w:r>
            <w:r w:rsidR="0004645B">
              <w:rPr>
                <w:rFonts w:eastAsia="Times New Roman" w:cs="Times New Roman"/>
                <w:bCs/>
                <w:szCs w:val="24"/>
                <w:lang w:eastAsia="lv-LV"/>
              </w:rPr>
              <w:t xml:space="preserve"> Tāpat </w:t>
            </w:r>
            <w:r w:rsidR="002C1E89">
              <w:rPr>
                <w:rFonts w:eastAsia="Times New Roman" w:cs="Times New Roman"/>
                <w:bCs/>
                <w:szCs w:val="24"/>
                <w:lang w:eastAsia="lv-LV"/>
              </w:rPr>
              <w:t>sabiedrības pārstāvji varē</w:t>
            </w:r>
            <w:r w:rsidR="00C05324">
              <w:rPr>
                <w:rFonts w:eastAsia="Times New Roman" w:cs="Times New Roman"/>
                <w:bCs/>
                <w:szCs w:val="24"/>
                <w:lang w:eastAsia="lv-LV"/>
              </w:rPr>
              <w:t>ja</w:t>
            </w:r>
            <w:r w:rsidR="002C1E89">
              <w:rPr>
                <w:rFonts w:eastAsia="Times New Roman" w:cs="Times New Roman"/>
                <w:bCs/>
                <w:szCs w:val="24"/>
                <w:lang w:eastAsia="lv-LV"/>
              </w:rPr>
              <w:t xml:space="preserve"> sniegt viedokļus arī pēc projekta izsludināšanas Valsts sekretāru sanāksmē.</w:t>
            </w:r>
          </w:p>
          <w:p w14:paraId="61388EB8" w14:textId="0D2C5812" w:rsidR="00C85DCD" w:rsidRPr="001F23E8" w:rsidRDefault="00C85DCD" w:rsidP="00F86F09">
            <w:pPr>
              <w:jc w:val="both"/>
              <w:rPr>
                <w:rFonts w:eastAsia="Times New Roman" w:cs="Times New Roman"/>
                <w:bCs/>
                <w:szCs w:val="24"/>
                <w:lang w:eastAsia="lv-LV"/>
              </w:rPr>
            </w:pPr>
            <w:r w:rsidRPr="001F23E8">
              <w:rPr>
                <w:rFonts w:eastAsia="Times New Roman" w:cs="Times New Roman"/>
                <w:bCs/>
                <w:szCs w:val="24"/>
                <w:lang w:eastAsia="lv-LV"/>
              </w:rPr>
              <w:t xml:space="preserve">Turklāt </w:t>
            </w:r>
            <w:r w:rsidR="0004645B">
              <w:rPr>
                <w:rFonts w:eastAsia="Times New Roman" w:cs="Times New Roman"/>
                <w:bCs/>
                <w:szCs w:val="24"/>
                <w:lang w:eastAsia="lv-LV"/>
              </w:rPr>
              <w:t>informācija par līdzdalību projekta izstrādē</w:t>
            </w:r>
            <w:r w:rsidR="0004645B" w:rsidRPr="001F23E8">
              <w:rPr>
                <w:rFonts w:eastAsia="Times New Roman" w:cs="Times New Roman"/>
                <w:bCs/>
                <w:szCs w:val="24"/>
                <w:lang w:eastAsia="lv-LV"/>
              </w:rPr>
              <w:t xml:space="preserve"> </w:t>
            </w:r>
            <w:r w:rsidRPr="001F23E8">
              <w:rPr>
                <w:rFonts w:eastAsia="Times New Roman" w:cs="Times New Roman"/>
                <w:bCs/>
                <w:szCs w:val="24"/>
                <w:lang w:eastAsia="lv-LV"/>
              </w:rPr>
              <w:t>ir publicēt</w:t>
            </w:r>
            <w:r w:rsidR="0004645B">
              <w:rPr>
                <w:rFonts w:eastAsia="Times New Roman" w:cs="Times New Roman"/>
                <w:bCs/>
                <w:szCs w:val="24"/>
                <w:lang w:eastAsia="lv-LV"/>
              </w:rPr>
              <w:t>a</w:t>
            </w:r>
            <w:r w:rsidRPr="001F23E8">
              <w:rPr>
                <w:rFonts w:eastAsia="Times New Roman" w:cs="Times New Roman"/>
                <w:bCs/>
                <w:szCs w:val="24"/>
                <w:lang w:eastAsia="lv-LV"/>
              </w:rPr>
              <w:t xml:space="preserve"> Ministru kabineta tīmekļvietnē sadaļā “Valsts kanceleja” – “Sabiedrības līdzdalība” (adrese: </w:t>
            </w:r>
            <w:hyperlink r:id="rId11" w:history="1">
              <w:r w:rsidR="00DA0C1C">
                <w:rPr>
                  <w:rStyle w:val="Hyperlink"/>
                </w:rPr>
                <w:t>https://www.mk.gov.lv/lv/ministru-kabineta-diskusiju-dokumenti</w:t>
              </w:r>
            </w:hyperlink>
            <w:r w:rsidRPr="001F23E8">
              <w:rPr>
                <w:rFonts w:eastAsia="Times New Roman" w:cs="Times New Roman"/>
                <w:bCs/>
                <w:szCs w:val="24"/>
                <w:lang w:eastAsia="lv-LV"/>
              </w:rPr>
              <w:t>).</w:t>
            </w:r>
          </w:p>
          <w:p w14:paraId="51C81869" w14:textId="77777777" w:rsidR="00C85DCD" w:rsidRPr="001F23E8" w:rsidRDefault="00C85DCD" w:rsidP="00C85DCD">
            <w:pPr>
              <w:ind w:firstLine="284"/>
              <w:jc w:val="both"/>
              <w:rPr>
                <w:rFonts w:cs="Times New Roman"/>
                <w:iCs/>
                <w:spacing w:val="-2"/>
                <w:szCs w:val="24"/>
              </w:rPr>
            </w:pPr>
          </w:p>
        </w:tc>
      </w:tr>
      <w:tr w:rsidR="00CE33AC" w:rsidRPr="001F23E8" w14:paraId="3B48BFE3" w14:textId="77777777" w:rsidTr="001F23E8">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0D2ECF92" w14:textId="77777777" w:rsidR="00655F2C" w:rsidRPr="001F23E8" w:rsidRDefault="00E5323B" w:rsidP="00E5323B">
            <w:pPr>
              <w:rPr>
                <w:rFonts w:eastAsia="Times New Roman" w:cs="Times New Roman"/>
                <w:iCs/>
                <w:szCs w:val="24"/>
                <w:lang w:eastAsia="lv-LV"/>
              </w:rPr>
            </w:pPr>
            <w:r w:rsidRPr="001F23E8">
              <w:rPr>
                <w:rFonts w:eastAsia="Times New Roman" w:cs="Times New Roman"/>
                <w:iCs/>
                <w:szCs w:val="24"/>
                <w:lang w:eastAsia="lv-LV"/>
              </w:rPr>
              <w:t>3.</w:t>
            </w:r>
          </w:p>
        </w:tc>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57DDDBD2" w14:textId="77777777" w:rsidR="00E5323B" w:rsidRPr="001F23E8" w:rsidRDefault="00E5323B" w:rsidP="00E5323B">
            <w:pPr>
              <w:rPr>
                <w:rFonts w:eastAsia="Times New Roman" w:cs="Times New Roman"/>
                <w:iCs/>
                <w:szCs w:val="24"/>
                <w:lang w:eastAsia="lv-LV"/>
              </w:rPr>
            </w:pPr>
            <w:r w:rsidRPr="001F23E8">
              <w:rPr>
                <w:rFonts w:eastAsia="Times New Roman" w:cs="Times New Roman"/>
                <w:iCs/>
                <w:szCs w:val="24"/>
                <w:lang w:eastAsia="lv-LV"/>
              </w:rPr>
              <w:t>Sabiedrības līdzdalības rezultāti</w:t>
            </w:r>
          </w:p>
        </w:tc>
        <w:tc>
          <w:tcPr>
            <w:tcW w:w="3023" w:type="pct"/>
            <w:tcBorders>
              <w:top w:val="outset" w:sz="6" w:space="0" w:color="auto"/>
              <w:left w:val="outset" w:sz="6" w:space="0" w:color="auto"/>
              <w:bottom w:val="outset" w:sz="6" w:space="0" w:color="auto"/>
              <w:right w:val="outset" w:sz="6" w:space="0" w:color="auto"/>
            </w:tcBorders>
            <w:shd w:val="clear" w:color="auto" w:fill="auto"/>
          </w:tcPr>
          <w:p w14:paraId="7546E193" w14:textId="793B63B5" w:rsidR="00B85299" w:rsidRPr="001F23E8" w:rsidRDefault="00E947B4">
            <w:pPr>
              <w:ind w:firstLine="284"/>
              <w:jc w:val="both"/>
              <w:rPr>
                <w:rFonts w:eastAsia="Times New Roman" w:cs="Times New Roman"/>
                <w:i/>
                <w:iCs/>
                <w:szCs w:val="24"/>
                <w:lang w:eastAsia="lv-LV"/>
              </w:rPr>
            </w:pPr>
            <w:r>
              <w:t xml:space="preserve">Latvijas Brīvo arodbiedrību savienība un Latvijas Darba devēju </w:t>
            </w:r>
            <w:r w:rsidRPr="00E947B4">
              <w:t>konfederācija</w:t>
            </w:r>
            <w:r w:rsidRPr="009248C5">
              <w:rPr>
                <w:rFonts w:eastAsia="Times New Roman" w:cs="Times New Roman"/>
                <w:bCs/>
                <w:szCs w:val="24"/>
                <w:lang w:eastAsia="lv-LV"/>
              </w:rPr>
              <w:t xml:space="preserve"> saskaņoja projektu bez iebildumiem un priekšlikumiem</w:t>
            </w:r>
            <w:r w:rsidR="00FD04BB" w:rsidRPr="00E947B4">
              <w:rPr>
                <w:rFonts w:eastAsia="Times New Roman" w:cs="Times New Roman"/>
                <w:bCs/>
                <w:szCs w:val="24"/>
                <w:lang w:eastAsia="lv-LV"/>
              </w:rPr>
              <w:t>.</w:t>
            </w:r>
          </w:p>
        </w:tc>
      </w:tr>
      <w:tr w:rsidR="00CE33AC" w:rsidRPr="00812F8E" w14:paraId="1527EDBD" w14:textId="77777777" w:rsidTr="001F23E8">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70F62820" w14:textId="77777777" w:rsidR="00655F2C" w:rsidRPr="001F23E8" w:rsidRDefault="00E5323B" w:rsidP="00E5323B">
            <w:pPr>
              <w:rPr>
                <w:rFonts w:eastAsia="Times New Roman" w:cs="Times New Roman"/>
                <w:iCs/>
                <w:szCs w:val="24"/>
                <w:lang w:eastAsia="lv-LV"/>
              </w:rPr>
            </w:pPr>
            <w:r w:rsidRPr="001F23E8">
              <w:rPr>
                <w:rFonts w:eastAsia="Times New Roman" w:cs="Times New Roman"/>
                <w:iCs/>
                <w:szCs w:val="24"/>
                <w:lang w:eastAsia="lv-LV"/>
              </w:rPr>
              <w:t>4.</w:t>
            </w:r>
          </w:p>
        </w:tc>
        <w:tc>
          <w:tcPr>
            <w:tcW w:w="1615" w:type="pct"/>
            <w:tcBorders>
              <w:top w:val="outset" w:sz="6" w:space="0" w:color="auto"/>
              <w:left w:val="outset" w:sz="6" w:space="0" w:color="auto"/>
              <w:bottom w:val="outset" w:sz="6" w:space="0" w:color="auto"/>
              <w:right w:val="outset" w:sz="6" w:space="0" w:color="auto"/>
            </w:tcBorders>
            <w:shd w:val="clear" w:color="auto" w:fill="auto"/>
            <w:hideMark/>
          </w:tcPr>
          <w:p w14:paraId="2E6E4A76" w14:textId="77777777" w:rsidR="00E5323B" w:rsidRPr="001F23E8" w:rsidRDefault="00E5323B" w:rsidP="00E5323B">
            <w:pPr>
              <w:rPr>
                <w:rFonts w:eastAsia="Times New Roman" w:cs="Times New Roman"/>
                <w:iCs/>
                <w:szCs w:val="24"/>
                <w:lang w:eastAsia="lv-LV"/>
              </w:rPr>
            </w:pPr>
            <w:r w:rsidRPr="001F23E8">
              <w:rPr>
                <w:rFonts w:eastAsia="Times New Roman" w:cs="Times New Roman"/>
                <w:iCs/>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shd w:val="clear" w:color="auto" w:fill="auto"/>
            <w:hideMark/>
          </w:tcPr>
          <w:p w14:paraId="582B6E00" w14:textId="77777777" w:rsidR="00E5323B" w:rsidRPr="00FD04BB" w:rsidRDefault="00C85DCD" w:rsidP="00907DFC">
            <w:pPr>
              <w:ind w:firstLine="284"/>
              <w:jc w:val="both"/>
              <w:rPr>
                <w:rFonts w:eastAsia="Times New Roman" w:cs="Times New Roman"/>
                <w:iCs/>
                <w:szCs w:val="24"/>
                <w:lang w:eastAsia="lv-LV"/>
              </w:rPr>
            </w:pPr>
            <w:r w:rsidRPr="001F23E8">
              <w:rPr>
                <w:rFonts w:eastAsia="Times New Roman" w:cs="Times New Roman"/>
                <w:szCs w:val="24"/>
                <w:lang w:eastAsia="lv-LV"/>
              </w:rPr>
              <w:t>Nav.</w:t>
            </w:r>
          </w:p>
        </w:tc>
      </w:tr>
    </w:tbl>
    <w:p w14:paraId="37D8292D" w14:textId="77777777" w:rsidR="00E5323B" w:rsidRPr="00812F8E" w:rsidRDefault="00E5323B" w:rsidP="00E5323B">
      <w:pPr>
        <w:rPr>
          <w:rFonts w:eastAsia="Times New Roman" w:cs="Times New Roman"/>
          <w:iCs/>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693"/>
        <w:gridCol w:w="5944"/>
      </w:tblGrid>
      <w:tr w:rsidR="00CE33AC" w:rsidRPr="00FD04BB" w14:paraId="607A43B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B0820E" w14:textId="77777777" w:rsidR="00655F2C" w:rsidRPr="00FD04BB" w:rsidRDefault="00E5323B" w:rsidP="00E5323B">
            <w:pPr>
              <w:rPr>
                <w:rFonts w:eastAsia="Times New Roman" w:cs="Times New Roman"/>
                <w:b/>
                <w:bCs/>
                <w:iCs/>
                <w:szCs w:val="24"/>
                <w:lang w:eastAsia="lv-LV"/>
              </w:rPr>
            </w:pPr>
            <w:r w:rsidRPr="00FD04BB">
              <w:rPr>
                <w:rFonts w:eastAsia="Times New Roman" w:cs="Times New Roman"/>
                <w:b/>
                <w:bCs/>
                <w:iCs/>
                <w:szCs w:val="24"/>
                <w:lang w:eastAsia="lv-LV"/>
              </w:rPr>
              <w:t>VII. Tiesību akta projekta izpildes nodrošināšana un tās ietekme uz institūcijām</w:t>
            </w:r>
          </w:p>
        </w:tc>
      </w:tr>
      <w:tr w:rsidR="00CE33AC" w:rsidRPr="00FD04BB" w14:paraId="3A926790" w14:textId="77777777" w:rsidTr="001F732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D842A87" w14:textId="77777777" w:rsidR="00655F2C" w:rsidRPr="00FD04BB" w:rsidRDefault="00E5323B" w:rsidP="00E5323B">
            <w:pPr>
              <w:rPr>
                <w:rFonts w:eastAsia="Times New Roman" w:cs="Times New Roman"/>
                <w:iCs/>
                <w:szCs w:val="24"/>
                <w:lang w:eastAsia="lv-LV"/>
              </w:rPr>
            </w:pPr>
            <w:r w:rsidRPr="00FD04BB">
              <w:rPr>
                <w:rFonts w:eastAsia="Times New Roman" w:cs="Times New Roman"/>
                <w:iCs/>
                <w:szCs w:val="24"/>
                <w:lang w:eastAsia="lv-LV"/>
              </w:rPr>
              <w:t>1.</w:t>
            </w:r>
          </w:p>
        </w:tc>
        <w:tc>
          <w:tcPr>
            <w:tcW w:w="1470" w:type="pct"/>
            <w:tcBorders>
              <w:top w:val="outset" w:sz="6" w:space="0" w:color="auto"/>
              <w:left w:val="outset" w:sz="6" w:space="0" w:color="auto"/>
              <w:bottom w:val="outset" w:sz="6" w:space="0" w:color="auto"/>
              <w:right w:val="outset" w:sz="6" w:space="0" w:color="auto"/>
            </w:tcBorders>
            <w:hideMark/>
          </w:tcPr>
          <w:p w14:paraId="62606A96" w14:textId="77777777" w:rsidR="00E5323B" w:rsidRPr="00FD04BB" w:rsidRDefault="00E5323B" w:rsidP="00E5323B">
            <w:pPr>
              <w:rPr>
                <w:rFonts w:eastAsia="Times New Roman" w:cs="Times New Roman"/>
                <w:iCs/>
                <w:szCs w:val="24"/>
                <w:lang w:eastAsia="lv-LV"/>
              </w:rPr>
            </w:pPr>
            <w:r w:rsidRPr="00FD04BB">
              <w:rPr>
                <w:rFonts w:eastAsia="Times New Roman" w:cs="Times New Roman"/>
                <w:iCs/>
                <w:szCs w:val="24"/>
                <w:lang w:eastAsia="lv-LV"/>
              </w:rPr>
              <w:t>Projekta izpildē iesaistītās institūcijas</w:t>
            </w:r>
          </w:p>
        </w:tc>
        <w:tc>
          <w:tcPr>
            <w:tcW w:w="3257" w:type="pct"/>
            <w:tcBorders>
              <w:top w:val="outset" w:sz="6" w:space="0" w:color="auto"/>
              <w:left w:val="outset" w:sz="6" w:space="0" w:color="auto"/>
              <w:bottom w:val="outset" w:sz="6" w:space="0" w:color="auto"/>
              <w:right w:val="outset" w:sz="6" w:space="0" w:color="auto"/>
            </w:tcBorders>
            <w:hideMark/>
          </w:tcPr>
          <w:p w14:paraId="27E5EBC3" w14:textId="77777777" w:rsidR="00E5323B" w:rsidRPr="00FD04BB" w:rsidRDefault="00C85DCD" w:rsidP="00FD04BB">
            <w:pPr>
              <w:ind w:firstLine="284"/>
              <w:rPr>
                <w:rFonts w:eastAsia="Times New Roman" w:cs="Times New Roman"/>
                <w:iCs/>
                <w:szCs w:val="24"/>
                <w:lang w:eastAsia="lv-LV"/>
              </w:rPr>
            </w:pPr>
            <w:r w:rsidRPr="00FD04BB">
              <w:rPr>
                <w:rFonts w:cs="Times New Roman"/>
                <w:szCs w:val="24"/>
              </w:rPr>
              <w:t>VID</w:t>
            </w:r>
            <w:r w:rsidRPr="00FD04BB">
              <w:rPr>
                <w:rFonts w:cs="Times New Roman"/>
              </w:rPr>
              <w:t xml:space="preserve"> </w:t>
            </w:r>
            <w:r w:rsidRPr="00FD04BB">
              <w:rPr>
                <w:rFonts w:cs="Times New Roman"/>
                <w:szCs w:val="24"/>
              </w:rPr>
              <w:t>un</w:t>
            </w:r>
            <w:r w:rsidRPr="00FD04BB">
              <w:rPr>
                <w:rFonts w:cs="Times New Roman"/>
              </w:rPr>
              <w:t xml:space="preserve"> </w:t>
            </w:r>
            <w:r w:rsidR="00FD04BB" w:rsidRPr="00FD04BB">
              <w:rPr>
                <w:rFonts w:cs="Times New Roman"/>
                <w:szCs w:val="24"/>
              </w:rPr>
              <w:t>CSDD</w:t>
            </w:r>
            <w:r w:rsidRPr="00FD04BB">
              <w:rPr>
                <w:rFonts w:cs="Times New Roman"/>
                <w:szCs w:val="24"/>
              </w:rPr>
              <w:t>.</w:t>
            </w:r>
          </w:p>
        </w:tc>
      </w:tr>
      <w:tr w:rsidR="00CE33AC" w:rsidRPr="00FD04BB" w14:paraId="148B77EB" w14:textId="77777777" w:rsidTr="001F732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D9BE358" w14:textId="77777777" w:rsidR="00655F2C" w:rsidRPr="00FD04BB" w:rsidRDefault="00E5323B" w:rsidP="00E5323B">
            <w:pPr>
              <w:rPr>
                <w:rFonts w:eastAsia="Times New Roman" w:cs="Times New Roman"/>
                <w:iCs/>
                <w:szCs w:val="24"/>
                <w:lang w:eastAsia="lv-LV"/>
              </w:rPr>
            </w:pPr>
            <w:r w:rsidRPr="00FD04BB">
              <w:rPr>
                <w:rFonts w:eastAsia="Times New Roman" w:cs="Times New Roman"/>
                <w:iCs/>
                <w:szCs w:val="24"/>
                <w:lang w:eastAsia="lv-LV"/>
              </w:rPr>
              <w:t>2.</w:t>
            </w:r>
          </w:p>
        </w:tc>
        <w:tc>
          <w:tcPr>
            <w:tcW w:w="1470" w:type="pct"/>
            <w:tcBorders>
              <w:top w:val="outset" w:sz="6" w:space="0" w:color="auto"/>
              <w:left w:val="outset" w:sz="6" w:space="0" w:color="auto"/>
              <w:bottom w:val="outset" w:sz="6" w:space="0" w:color="auto"/>
              <w:right w:val="outset" w:sz="6" w:space="0" w:color="auto"/>
            </w:tcBorders>
            <w:hideMark/>
          </w:tcPr>
          <w:p w14:paraId="006D6D41" w14:textId="77777777" w:rsidR="00D77D9F" w:rsidRPr="00FD04BB" w:rsidRDefault="00E5323B" w:rsidP="00D77D9F">
            <w:pPr>
              <w:rPr>
                <w:rFonts w:eastAsia="Times New Roman" w:cs="Times New Roman"/>
                <w:iCs/>
                <w:szCs w:val="24"/>
                <w:lang w:eastAsia="lv-LV"/>
              </w:rPr>
            </w:pPr>
            <w:r w:rsidRPr="00FD04BB">
              <w:rPr>
                <w:rFonts w:eastAsia="Times New Roman" w:cs="Times New Roman"/>
                <w:iCs/>
                <w:szCs w:val="24"/>
                <w:lang w:eastAsia="lv-LV"/>
              </w:rPr>
              <w:t>Projekta izpildes ietekme uz pārvaldes funkcijām un institucionālo struktūru.</w:t>
            </w:r>
          </w:p>
          <w:p w14:paraId="010518A1" w14:textId="77777777" w:rsidR="00E5323B" w:rsidRPr="00FD04BB" w:rsidRDefault="00E5323B" w:rsidP="00D77D9F">
            <w:pPr>
              <w:rPr>
                <w:rFonts w:eastAsia="Times New Roman" w:cs="Times New Roman"/>
                <w:iCs/>
                <w:szCs w:val="24"/>
                <w:lang w:eastAsia="lv-LV"/>
              </w:rPr>
            </w:pPr>
            <w:r w:rsidRPr="00FD04BB">
              <w:rPr>
                <w:rFonts w:eastAsia="Times New Roman" w:cs="Times New Roman"/>
                <w:iCs/>
                <w:szCs w:val="24"/>
                <w:lang w:eastAsia="lv-LV"/>
              </w:rPr>
              <w:t>Jaunu institūciju izveide, esošu institūciju likvidācija vai reorganizācija, to ietekme uz institūcijas cilvēkresursiem</w:t>
            </w:r>
          </w:p>
        </w:tc>
        <w:tc>
          <w:tcPr>
            <w:tcW w:w="3257" w:type="pct"/>
            <w:tcBorders>
              <w:top w:val="outset" w:sz="6" w:space="0" w:color="auto"/>
              <w:left w:val="outset" w:sz="6" w:space="0" w:color="auto"/>
              <w:bottom w:val="outset" w:sz="6" w:space="0" w:color="auto"/>
              <w:right w:val="outset" w:sz="6" w:space="0" w:color="auto"/>
            </w:tcBorders>
            <w:hideMark/>
          </w:tcPr>
          <w:p w14:paraId="3B8E8CF1" w14:textId="766D074B" w:rsidR="00C85DCD" w:rsidRPr="00FD04BB" w:rsidRDefault="00736CD8" w:rsidP="00C85DCD">
            <w:pPr>
              <w:ind w:firstLine="284"/>
              <w:jc w:val="both"/>
              <w:rPr>
                <w:rFonts w:cs="Times New Roman"/>
                <w:szCs w:val="24"/>
              </w:rPr>
            </w:pPr>
            <w:r>
              <w:rPr>
                <w:rFonts w:cs="Times New Roman"/>
                <w:szCs w:val="24"/>
              </w:rPr>
              <w:t>P</w:t>
            </w:r>
            <w:r w:rsidR="00C85DCD" w:rsidRPr="00FD04BB">
              <w:rPr>
                <w:rFonts w:cs="Times New Roman"/>
                <w:szCs w:val="24"/>
              </w:rPr>
              <w:t>rojekts neparedz veidot jaunas institūcijas, reorganizēt vai likvidēt esošās institūcijas.</w:t>
            </w:r>
          </w:p>
          <w:p w14:paraId="66C1BE38" w14:textId="77777777" w:rsidR="00C85DCD" w:rsidRPr="00FD04BB" w:rsidRDefault="00C85DCD" w:rsidP="00C85DCD">
            <w:pPr>
              <w:ind w:firstLine="284"/>
              <w:jc w:val="both"/>
              <w:rPr>
                <w:rFonts w:cs="Times New Roman"/>
                <w:szCs w:val="24"/>
              </w:rPr>
            </w:pPr>
            <w:r w:rsidRPr="00FD04BB">
              <w:rPr>
                <w:rFonts w:cs="Times New Roman"/>
                <w:szCs w:val="24"/>
              </w:rPr>
              <w:t>Tāpat esošajām institūcijām netiek ne paplašinātas, ne sašaurinātas funkcijas.</w:t>
            </w:r>
          </w:p>
          <w:p w14:paraId="31AB5292" w14:textId="4FBDC1DB" w:rsidR="00E5323B" w:rsidRPr="00FD04BB" w:rsidRDefault="00736CD8" w:rsidP="00736CD8">
            <w:pPr>
              <w:pStyle w:val="NoSpacing"/>
              <w:ind w:firstLine="284"/>
              <w:jc w:val="both"/>
              <w:rPr>
                <w:rFonts w:eastAsia="Times New Roman"/>
                <w:iCs/>
                <w:sz w:val="24"/>
                <w:szCs w:val="24"/>
                <w:lang w:eastAsia="lv-LV"/>
              </w:rPr>
            </w:pPr>
            <w:r>
              <w:rPr>
                <w:rFonts w:ascii="Times New Roman" w:hAnsi="Times New Roman" w:cs="Times New Roman"/>
                <w:sz w:val="24"/>
                <w:szCs w:val="24"/>
              </w:rPr>
              <w:t>P</w:t>
            </w:r>
            <w:r w:rsidR="00C85DCD" w:rsidRPr="00FD04BB">
              <w:rPr>
                <w:rFonts w:ascii="Times New Roman" w:hAnsi="Times New Roman" w:cs="Times New Roman"/>
                <w:sz w:val="24"/>
                <w:szCs w:val="24"/>
              </w:rPr>
              <w:t>rojekta izpilde tiks nodrošināta esošo cilvēkresursu un finansējuma ietvaros.</w:t>
            </w:r>
          </w:p>
        </w:tc>
      </w:tr>
      <w:tr w:rsidR="00CE33AC" w:rsidRPr="00FD04BB" w14:paraId="32A0C6A1" w14:textId="77777777" w:rsidTr="001F7321">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58433C9" w14:textId="77777777" w:rsidR="00655F2C" w:rsidRPr="00FD04BB" w:rsidRDefault="00E5323B" w:rsidP="00E5323B">
            <w:pPr>
              <w:rPr>
                <w:rFonts w:eastAsia="Times New Roman" w:cs="Times New Roman"/>
                <w:iCs/>
                <w:szCs w:val="24"/>
                <w:lang w:eastAsia="lv-LV"/>
              </w:rPr>
            </w:pPr>
            <w:r w:rsidRPr="00FD04BB">
              <w:rPr>
                <w:rFonts w:eastAsia="Times New Roman" w:cs="Times New Roman"/>
                <w:iCs/>
                <w:szCs w:val="24"/>
                <w:lang w:eastAsia="lv-LV"/>
              </w:rPr>
              <w:t>3.</w:t>
            </w:r>
          </w:p>
        </w:tc>
        <w:tc>
          <w:tcPr>
            <w:tcW w:w="1470" w:type="pct"/>
            <w:tcBorders>
              <w:top w:val="outset" w:sz="6" w:space="0" w:color="auto"/>
              <w:left w:val="outset" w:sz="6" w:space="0" w:color="auto"/>
              <w:bottom w:val="outset" w:sz="6" w:space="0" w:color="auto"/>
              <w:right w:val="outset" w:sz="6" w:space="0" w:color="auto"/>
            </w:tcBorders>
            <w:hideMark/>
          </w:tcPr>
          <w:p w14:paraId="7BC36F72" w14:textId="77777777" w:rsidR="00E5323B" w:rsidRPr="00FD04BB" w:rsidRDefault="00E5323B" w:rsidP="00E5323B">
            <w:pPr>
              <w:rPr>
                <w:rFonts w:eastAsia="Times New Roman" w:cs="Times New Roman"/>
                <w:iCs/>
                <w:szCs w:val="24"/>
                <w:lang w:eastAsia="lv-LV"/>
              </w:rPr>
            </w:pPr>
            <w:r w:rsidRPr="00FD04BB">
              <w:rPr>
                <w:rFonts w:eastAsia="Times New Roman" w:cs="Times New Roman"/>
                <w:iCs/>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139768EB" w14:textId="77777777" w:rsidR="00E5323B" w:rsidRPr="00FD04BB" w:rsidRDefault="00907DFC" w:rsidP="00166ACB">
            <w:pPr>
              <w:ind w:firstLine="284"/>
              <w:rPr>
                <w:rFonts w:eastAsia="Times New Roman" w:cs="Times New Roman"/>
                <w:iCs/>
                <w:szCs w:val="24"/>
                <w:lang w:eastAsia="lv-LV"/>
              </w:rPr>
            </w:pPr>
            <w:r w:rsidRPr="00FD04BB">
              <w:rPr>
                <w:rFonts w:eastAsia="Times New Roman" w:cs="Times New Roman"/>
                <w:iCs/>
                <w:szCs w:val="24"/>
                <w:lang w:eastAsia="lv-LV"/>
              </w:rPr>
              <w:t>Nav</w:t>
            </w:r>
            <w:r w:rsidR="004A2B26" w:rsidRPr="00FD04BB">
              <w:rPr>
                <w:rFonts w:eastAsia="Times New Roman" w:cs="Times New Roman"/>
                <w:iCs/>
                <w:szCs w:val="24"/>
                <w:lang w:eastAsia="lv-LV"/>
              </w:rPr>
              <w:t>.</w:t>
            </w:r>
          </w:p>
        </w:tc>
      </w:tr>
    </w:tbl>
    <w:p w14:paraId="1F8F6164" w14:textId="77777777" w:rsidR="00E5323B" w:rsidRPr="00FD04BB" w:rsidRDefault="00E5323B" w:rsidP="00907DFC">
      <w:pPr>
        <w:rPr>
          <w:rFonts w:cs="Times New Roman"/>
          <w:sz w:val="28"/>
          <w:szCs w:val="28"/>
        </w:rPr>
      </w:pPr>
    </w:p>
    <w:p w14:paraId="5A97F75E" w14:textId="77777777" w:rsidR="00907DFC" w:rsidRPr="00FD04BB" w:rsidRDefault="00292870" w:rsidP="00292870">
      <w:pPr>
        <w:tabs>
          <w:tab w:val="left" w:pos="0"/>
          <w:tab w:val="right" w:pos="9071"/>
        </w:tabs>
        <w:rPr>
          <w:rFonts w:eastAsia="Calibri" w:cs="Times New Roman"/>
          <w:sz w:val="28"/>
          <w:szCs w:val="28"/>
        </w:rPr>
      </w:pPr>
      <w:r w:rsidRPr="00FD04BB">
        <w:rPr>
          <w:rFonts w:eastAsia="Times New Roman"/>
          <w:sz w:val="28"/>
          <w:szCs w:val="28"/>
          <w:lang w:eastAsia="lv-LV"/>
        </w:rPr>
        <w:t>Finanšu ministrs</w:t>
      </w:r>
      <w:r w:rsidRPr="00FD04BB">
        <w:rPr>
          <w:rFonts w:eastAsia="Times New Roman"/>
          <w:sz w:val="28"/>
          <w:szCs w:val="28"/>
          <w:lang w:eastAsia="lv-LV"/>
        </w:rPr>
        <w:tab/>
        <w:t>J. Reirs</w:t>
      </w:r>
    </w:p>
    <w:p w14:paraId="12F9BA47" w14:textId="77777777" w:rsidR="00907DFC" w:rsidRPr="00FD04BB" w:rsidRDefault="00907DFC" w:rsidP="00907DFC">
      <w:pPr>
        <w:tabs>
          <w:tab w:val="left" w:pos="6237"/>
        </w:tabs>
        <w:rPr>
          <w:rFonts w:eastAsia="Calibri" w:cs="Times New Roman"/>
          <w:sz w:val="28"/>
          <w:szCs w:val="28"/>
        </w:rPr>
      </w:pPr>
    </w:p>
    <w:p w14:paraId="2DFA23E8" w14:textId="77777777" w:rsidR="00C85DCD" w:rsidRPr="00FD04BB" w:rsidRDefault="00C85DCD" w:rsidP="00C85DCD">
      <w:pPr>
        <w:rPr>
          <w:rFonts w:cs="Times New Roman"/>
          <w:sz w:val="20"/>
        </w:rPr>
      </w:pPr>
      <w:r w:rsidRPr="00FD04BB">
        <w:rPr>
          <w:rFonts w:cs="Times New Roman"/>
          <w:sz w:val="20"/>
        </w:rPr>
        <w:t>Voiniča 67095567</w:t>
      </w:r>
    </w:p>
    <w:p w14:paraId="70405185" w14:textId="77777777" w:rsidR="00894C55" w:rsidRPr="00C85DCD" w:rsidRDefault="00C85DCD" w:rsidP="00C85DCD">
      <w:pPr>
        <w:rPr>
          <w:rFonts w:cs="Times New Roman"/>
          <w:sz w:val="20"/>
        </w:rPr>
      </w:pPr>
      <w:r w:rsidRPr="00FD04BB">
        <w:rPr>
          <w:rFonts w:cs="Times New Roman"/>
          <w:sz w:val="20"/>
        </w:rPr>
        <w:t>Kristine.Voinica@fm.gov.lv</w:t>
      </w:r>
    </w:p>
    <w:sectPr w:rsidR="00894C55" w:rsidRPr="00C85DCD" w:rsidSect="001123A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0C43D" w14:textId="77777777" w:rsidR="001D0608" w:rsidRDefault="001D0608" w:rsidP="00894C55">
      <w:r>
        <w:separator/>
      </w:r>
    </w:p>
  </w:endnote>
  <w:endnote w:type="continuationSeparator" w:id="0">
    <w:p w14:paraId="01D90B40" w14:textId="77777777" w:rsidR="001D0608" w:rsidRDefault="001D0608"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E3209" w14:textId="1EDCB08A" w:rsidR="00BB53C0" w:rsidRPr="00BC0F9D" w:rsidRDefault="00FD04BB" w:rsidP="00907DFC">
    <w:pPr>
      <w:pStyle w:val="Footer"/>
      <w:rPr>
        <w:rFonts w:cs="Times New Roman"/>
        <w:sz w:val="20"/>
        <w:szCs w:val="20"/>
      </w:rPr>
    </w:pPr>
    <w:r>
      <w:rPr>
        <w:rFonts w:cs="Times New Roman"/>
        <w:sz w:val="20"/>
        <w:szCs w:val="20"/>
      </w:rPr>
      <w:t>FMAnot_</w:t>
    </w:r>
    <w:r w:rsidR="00FA52A1">
      <w:rPr>
        <w:rFonts w:cs="Times New Roman"/>
        <w:sz w:val="20"/>
        <w:szCs w:val="20"/>
      </w:rPr>
      <w:t>2</w:t>
    </w:r>
    <w:r w:rsidR="00190F5D">
      <w:rPr>
        <w:rFonts w:cs="Times New Roman"/>
        <w:sz w:val="20"/>
        <w:szCs w:val="20"/>
      </w:rPr>
      <w:t>5</w:t>
    </w:r>
    <w:r w:rsidR="00E947B4">
      <w:rPr>
        <w:rFonts w:cs="Times New Roman"/>
        <w:sz w:val="20"/>
        <w:szCs w:val="20"/>
      </w:rPr>
      <w:t>03</w:t>
    </w:r>
    <w:r>
      <w:rPr>
        <w:rFonts w:cs="Times New Roman"/>
        <w:sz w:val="20"/>
        <w:szCs w:val="20"/>
      </w:rPr>
      <w:t>21_661groz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020C2" w14:textId="4AB9C544" w:rsidR="00BB53C0" w:rsidRPr="00BC0F9D" w:rsidRDefault="00FD04BB" w:rsidP="00907DFC">
    <w:pPr>
      <w:pStyle w:val="Footer"/>
      <w:rPr>
        <w:rFonts w:cs="Times New Roman"/>
        <w:sz w:val="20"/>
        <w:szCs w:val="20"/>
      </w:rPr>
    </w:pPr>
    <w:r>
      <w:rPr>
        <w:rFonts w:cs="Times New Roman"/>
        <w:sz w:val="20"/>
        <w:szCs w:val="20"/>
      </w:rPr>
      <w:t>FMAnot_</w:t>
    </w:r>
    <w:r w:rsidR="00190F5D">
      <w:rPr>
        <w:rFonts w:cs="Times New Roman"/>
        <w:sz w:val="20"/>
        <w:szCs w:val="20"/>
      </w:rPr>
      <w:t>25</w:t>
    </w:r>
    <w:r w:rsidR="00E947B4">
      <w:rPr>
        <w:rFonts w:cs="Times New Roman"/>
        <w:sz w:val="20"/>
        <w:szCs w:val="20"/>
      </w:rPr>
      <w:t>03</w:t>
    </w:r>
    <w:r>
      <w:rPr>
        <w:rFonts w:cs="Times New Roman"/>
        <w:sz w:val="20"/>
        <w:szCs w:val="20"/>
      </w:rPr>
      <w:t>21_661groz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F2EE4" w14:textId="77777777" w:rsidR="001D0608" w:rsidRDefault="001D0608" w:rsidP="00894C55">
      <w:r>
        <w:separator/>
      </w:r>
    </w:p>
  </w:footnote>
  <w:footnote w:type="continuationSeparator" w:id="0">
    <w:p w14:paraId="596BBB33" w14:textId="77777777" w:rsidR="001D0608" w:rsidRDefault="001D0608" w:rsidP="00894C55">
      <w:r>
        <w:continuationSeparator/>
      </w:r>
    </w:p>
  </w:footnote>
  <w:footnote w:id="1">
    <w:p w14:paraId="632707BB" w14:textId="77777777" w:rsidR="00781C72" w:rsidRDefault="00781C72">
      <w:pPr>
        <w:pStyle w:val="FootnoteText"/>
        <w:rPr>
          <w:iCs/>
          <w:szCs w:val="24"/>
          <w:lang w:eastAsia="lv-LV"/>
        </w:rPr>
      </w:pPr>
      <w:r>
        <w:rPr>
          <w:rStyle w:val="FootnoteReference"/>
        </w:rPr>
        <w:footnoteRef/>
      </w:r>
      <w:r>
        <w:t xml:space="preserve"> </w:t>
      </w:r>
      <w:hyperlink r:id="rId1" w:history="1">
        <w:r w:rsidR="001F23E8" w:rsidRPr="000F573F">
          <w:rPr>
            <w:rStyle w:val="Hyperlink"/>
            <w:iCs/>
            <w:szCs w:val="24"/>
            <w:lang w:eastAsia="lv-LV"/>
          </w:rPr>
          <w:t>http://tap.mk.gov.lv/doc/2020_12/FMANOT_271120_DRN[1].2371.DOCX</w:t>
        </w:r>
      </w:hyperlink>
    </w:p>
    <w:p w14:paraId="6B607855" w14:textId="77777777" w:rsidR="001F23E8" w:rsidRDefault="001F23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cs="Times New Roman"/>
        <w:noProof/>
        <w:szCs w:val="20"/>
      </w:rPr>
    </w:sdtEndPr>
    <w:sdtContent>
      <w:p w14:paraId="59DE69D7" w14:textId="7174DCF5" w:rsidR="00BB53C0" w:rsidRPr="00C25B49" w:rsidRDefault="00BB53C0">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190F5D">
          <w:rPr>
            <w:rFonts w:cs="Times New Roman"/>
            <w:noProof/>
            <w:szCs w:val="20"/>
          </w:rPr>
          <w:t>4</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0EE5"/>
    <w:multiLevelType w:val="hybridMultilevel"/>
    <w:tmpl w:val="5F48D638"/>
    <w:lvl w:ilvl="0" w:tplc="6D64029C">
      <w:numFmt w:val="bullet"/>
      <w:lvlText w:val="-"/>
      <w:lvlJc w:val="left"/>
      <w:pPr>
        <w:ind w:left="720" w:hanging="360"/>
      </w:pPr>
      <w:rPr>
        <w:rFonts w:ascii="Verdana" w:eastAsia="Calibri" w:hAnsi="Verdana"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9AE79A6"/>
    <w:multiLevelType w:val="hybridMultilevel"/>
    <w:tmpl w:val="557CDAD6"/>
    <w:lvl w:ilvl="0" w:tplc="2638B02E">
      <w:start w:val="1"/>
      <w:numFmt w:val="decimal"/>
      <w:lvlText w:val="%1)"/>
      <w:lvlJc w:val="left"/>
      <w:pPr>
        <w:ind w:left="417"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ED13C0"/>
    <w:multiLevelType w:val="hybridMultilevel"/>
    <w:tmpl w:val="A5D08922"/>
    <w:lvl w:ilvl="0" w:tplc="04260001">
      <w:start w:val="1"/>
      <w:numFmt w:val="bullet"/>
      <w:lvlText w:val=""/>
      <w:lvlJc w:val="left"/>
      <w:pPr>
        <w:ind w:left="777" w:hanging="360"/>
      </w:pPr>
      <w:rPr>
        <w:rFonts w:ascii="Symbol" w:hAnsi="Symbol" w:hint="default"/>
      </w:rPr>
    </w:lvl>
    <w:lvl w:ilvl="1" w:tplc="04260003">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3" w15:restartNumberingAfterBreak="0">
    <w:nsid w:val="25C65899"/>
    <w:multiLevelType w:val="hybridMultilevel"/>
    <w:tmpl w:val="3F02BF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9177BF"/>
    <w:multiLevelType w:val="hybridMultilevel"/>
    <w:tmpl w:val="9C841896"/>
    <w:lvl w:ilvl="0" w:tplc="7ADE0212">
      <w:start w:val="1"/>
      <w:numFmt w:val="decimal"/>
      <w:lvlText w:val="%1."/>
      <w:lvlJc w:val="left"/>
      <w:pPr>
        <w:ind w:left="473" w:hanging="360"/>
      </w:pPr>
      <w:rPr>
        <w:rFonts w:hint="default"/>
        <w:b/>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5" w15:restartNumberingAfterBreak="0">
    <w:nsid w:val="47250B38"/>
    <w:multiLevelType w:val="hybridMultilevel"/>
    <w:tmpl w:val="9D88D870"/>
    <w:lvl w:ilvl="0" w:tplc="97701436">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15:restartNumberingAfterBreak="0">
    <w:nsid w:val="6440420A"/>
    <w:multiLevelType w:val="hybridMultilevel"/>
    <w:tmpl w:val="F6129CC8"/>
    <w:lvl w:ilvl="0" w:tplc="7D6E5B46">
      <w:start w:val="2"/>
      <w:numFmt w:val="bullet"/>
      <w:lvlText w:val="-"/>
      <w:lvlJc w:val="left"/>
      <w:pPr>
        <w:ind w:left="402" w:hanging="360"/>
      </w:pPr>
      <w:rPr>
        <w:rFonts w:ascii="Times New Roman" w:eastAsia="Times New Roman" w:hAnsi="Times New Roman" w:cs="Times New Roman"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8" w15:restartNumberingAfterBreak="0">
    <w:nsid w:val="648D44D2"/>
    <w:multiLevelType w:val="hybridMultilevel"/>
    <w:tmpl w:val="24B2392E"/>
    <w:lvl w:ilvl="0" w:tplc="127EA922">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9" w15:restartNumberingAfterBreak="0">
    <w:nsid w:val="659B2B74"/>
    <w:multiLevelType w:val="hybridMultilevel"/>
    <w:tmpl w:val="D1CE6A4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C3155B8"/>
    <w:multiLevelType w:val="hybridMultilevel"/>
    <w:tmpl w:val="5810D8D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0E434B4"/>
    <w:multiLevelType w:val="hybridMultilevel"/>
    <w:tmpl w:val="1DC0C30A"/>
    <w:lvl w:ilvl="0" w:tplc="1FB4B1EE">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vertAlign w:val="baseline"/>
      </w:rPr>
    </w:lvl>
    <w:lvl w:ilvl="1" w:tplc="AB0454DE" w:tentative="1">
      <w:start w:val="1"/>
      <w:numFmt w:val="lowerLetter"/>
      <w:lvlText w:val="%2."/>
      <w:lvlJc w:val="left"/>
      <w:pPr>
        <w:ind w:left="-696" w:hanging="360"/>
      </w:pPr>
    </w:lvl>
    <w:lvl w:ilvl="2" w:tplc="4DA63BC6" w:tentative="1">
      <w:start w:val="1"/>
      <w:numFmt w:val="lowerRoman"/>
      <w:lvlText w:val="%3."/>
      <w:lvlJc w:val="right"/>
      <w:pPr>
        <w:ind w:left="24" w:hanging="180"/>
      </w:pPr>
    </w:lvl>
    <w:lvl w:ilvl="3" w:tplc="6720D17A" w:tentative="1">
      <w:start w:val="1"/>
      <w:numFmt w:val="decimal"/>
      <w:lvlText w:val="%4."/>
      <w:lvlJc w:val="left"/>
      <w:pPr>
        <w:ind w:left="744" w:hanging="360"/>
      </w:pPr>
    </w:lvl>
    <w:lvl w:ilvl="4" w:tplc="DD14F116" w:tentative="1">
      <w:start w:val="1"/>
      <w:numFmt w:val="lowerLetter"/>
      <w:lvlText w:val="%5."/>
      <w:lvlJc w:val="left"/>
      <w:pPr>
        <w:ind w:left="1464" w:hanging="360"/>
      </w:pPr>
    </w:lvl>
    <w:lvl w:ilvl="5" w:tplc="6F2AFF78" w:tentative="1">
      <w:start w:val="1"/>
      <w:numFmt w:val="lowerRoman"/>
      <w:lvlText w:val="%6."/>
      <w:lvlJc w:val="right"/>
      <w:pPr>
        <w:ind w:left="2184" w:hanging="180"/>
      </w:pPr>
    </w:lvl>
    <w:lvl w:ilvl="6" w:tplc="4DD2E848" w:tentative="1">
      <w:start w:val="1"/>
      <w:numFmt w:val="decimal"/>
      <w:lvlText w:val="%7."/>
      <w:lvlJc w:val="left"/>
      <w:pPr>
        <w:ind w:left="2904" w:hanging="360"/>
      </w:pPr>
    </w:lvl>
    <w:lvl w:ilvl="7" w:tplc="90EC4C40" w:tentative="1">
      <w:start w:val="1"/>
      <w:numFmt w:val="lowerLetter"/>
      <w:lvlText w:val="%8."/>
      <w:lvlJc w:val="left"/>
      <w:pPr>
        <w:ind w:left="3624" w:hanging="360"/>
      </w:pPr>
    </w:lvl>
    <w:lvl w:ilvl="8" w:tplc="AEF0B936" w:tentative="1">
      <w:start w:val="1"/>
      <w:numFmt w:val="lowerRoman"/>
      <w:lvlText w:val="%9."/>
      <w:lvlJc w:val="right"/>
      <w:pPr>
        <w:ind w:left="4344" w:hanging="180"/>
      </w:pPr>
    </w:lvl>
  </w:abstractNum>
  <w:num w:numId="1">
    <w:abstractNumId w:val="5"/>
  </w:num>
  <w:num w:numId="2">
    <w:abstractNumId w:val="8"/>
  </w:num>
  <w:num w:numId="3">
    <w:abstractNumId w:val="7"/>
  </w:num>
  <w:num w:numId="4">
    <w:abstractNumId w:val="0"/>
  </w:num>
  <w:num w:numId="5">
    <w:abstractNumId w:val="10"/>
  </w:num>
  <w:num w:numId="6">
    <w:abstractNumId w:val="11"/>
  </w:num>
  <w:num w:numId="7">
    <w:abstractNumId w:val="9"/>
  </w:num>
  <w:num w:numId="8">
    <w:abstractNumId w:val="6"/>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8"/>
  <w:proofState w:spelling="clean" w:grammar="clean"/>
  <w:revisionView w:markup="0"/>
  <w:documentProtection w:edit="forms" w:enforcement="0"/>
  <w:defaultTabStop w:val="720"/>
  <w:doNotShadeFormData/>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ADC"/>
    <w:rsid w:val="00001A47"/>
    <w:rsid w:val="00001C3D"/>
    <w:rsid w:val="00002A4E"/>
    <w:rsid w:val="0000463E"/>
    <w:rsid w:val="00011D35"/>
    <w:rsid w:val="0001477F"/>
    <w:rsid w:val="00016BEA"/>
    <w:rsid w:val="0002294E"/>
    <w:rsid w:val="000232CA"/>
    <w:rsid w:val="000252FD"/>
    <w:rsid w:val="00025C01"/>
    <w:rsid w:val="00031C1D"/>
    <w:rsid w:val="00043979"/>
    <w:rsid w:val="0004645B"/>
    <w:rsid w:val="0004675F"/>
    <w:rsid w:val="00047AD1"/>
    <w:rsid w:val="00047B45"/>
    <w:rsid w:val="00047C24"/>
    <w:rsid w:val="00047FD4"/>
    <w:rsid w:val="0005169A"/>
    <w:rsid w:val="00051C8D"/>
    <w:rsid w:val="0005248A"/>
    <w:rsid w:val="00054F4D"/>
    <w:rsid w:val="00055750"/>
    <w:rsid w:val="00055F7D"/>
    <w:rsid w:val="0005622A"/>
    <w:rsid w:val="00056A6D"/>
    <w:rsid w:val="000624C4"/>
    <w:rsid w:val="00073512"/>
    <w:rsid w:val="0007535D"/>
    <w:rsid w:val="00076433"/>
    <w:rsid w:val="0007676B"/>
    <w:rsid w:val="00083A12"/>
    <w:rsid w:val="00085D6A"/>
    <w:rsid w:val="000866BE"/>
    <w:rsid w:val="00086DBA"/>
    <w:rsid w:val="00091F4B"/>
    <w:rsid w:val="000942C2"/>
    <w:rsid w:val="00094833"/>
    <w:rsid w:val="00096B16"/>
    <w:rsid w:val="000A1956"/>
    <w:rsid w:val="000A1AF0"/>
    <w:rsid w:val="000A3BB0"/>
    <w:rsid w:val="000A52BD"/>
    <w:rsid w:val="000A666D"/>
    <w:rsid w:val="000B1D67"/>
    <w:rsid w:val="000B1E8D"/>
    <w:rsid w:val="000B2E31"/>
    <w:rsid w:val="000B3844"/>
    <w:rsid w:val="000B4E35"/>
    <w:rsid w:val="000B6DF9"/>
    <w:rsid w:val="000B7F84"/>
    <w:rsid w:val="000C2321"/>
    <w:rsid w:val="000C45C6"/>
    <w:rsid w:val="000C5B4B"/>
    <w:rsid w:val="000C7233"/>
    <w:rsid w:val="000C7753"/>
    <w:rsid w:val="000C7E96"/>
    <w:rsid w:val="000D1D51"/>
    <w:rsid w:val="000D288F"/>
    <w:rsid w:val="000D2F66"/>
    <w:rsid w:val="000D6548"/>
    <w:rsid w:val="000E5D1B"/>
    <w:rsid w:val="000F0147"/>
    <w:rsid w:val="000F0C20"/>
    <w:rsid w:val="000F0DBE"/>
    <w:rsid w:val="000F581F"/>
    <w:rsid w:val="001013F5"/>
    <w:rsid w:val="00104479"/>
    <w:rsid w:val="00105DBF"/>
    <w:rsid w:val="00105F33"/>
    <w:rsid w:val="00107690"/>
    <w:rsid w:val="001123A4"/>
    <w:rsid w:val="00113E92"/>
    <w:rsid w:val="00114CC1"/>
    <w:rsid w:val="001171E7"/>
    <w:rsid w:val="00122100"/>
    <w:rsid w:val="00124218"/>
    <w:rsid w:val="00124903"/>
    <w:rsid w:val="001259F9"/>
    <w:rsid w:val="00131EC3"/>
    <w:rsid w:val="00135D36"/>
    <w:rsid w:val="001427C2"/>
    <w:rsid w:val="001434DA"/>
    <w:rsid w:val="00145BEF"/>
    <w:rsid w:val="00150911"/>
    <w:rsid w:val="0015306B"/>
    <w:rsid w:val="00153A37"/>
    <w:rsid w:val="0015481F"/>
    <w:rsid w:val="00154D5D"/>
    <w:rsid w:val="00155446"/>
    <w:rsid w:val="00156AB0"/>
    <w:rsid w:val="00157A55"/>
    <w:rsid w:val="00157AA0"/>
    <w:rsid w:val="0016307A"/>
    <w:rsid w:val="00163E86"/>
    <w:rsid w:val="0016468F"/>
    <w:rsid w:val="00166ACB"/>
    <w:rsid w:val="001708F2"/>
    <w:rsid w:val="00171171"/>
    <w:rsid w:val="001776F3"/>
    <w:rsid w:val="00181DD1"/>
    <w:rsid w:val="001822A6"/>
    <w:rsid w:val="00182E4D"/>
    <w:rsid w:val="001842EC"/>
    <w:rsid w:val="00184C05"/>
    <w:rsid w:val="00185F22"/>
    <w:rsid w:val="001867A2"/>
    <w:rsid w:val="00190878"/>
    <w:rsid w:val="001909A4"/>
    <w:rsid w:val="00190F5D"/>
    <w:rsid w:val="001929A0"/>
    <w:rsid w:val="00194D9E"/>
    <w:rsid w:val="00195664"/>
    <w:rsid w:val="001957FE"/>
    <w:rsid w:val="001A1F91"/>
    <w:rsid w:val="001A3353"/>
    <w:rsid w:val="001A611B"/>
    <w:rsid w:val="001B3032"/>
    <w:rsid w:val="001B373F"/>
    <w:rsid w:val="001B7EFA"/>
    <w:rsid w:val="001C0B11"/>
    <w:rsid w:val="001C16EA"/>
    <w:rsid w:val="001D0608"/>
    <w:rsid w:val="001D1EF2"/>
    <w:rsid w:val="001D474E"/>
    <w:rsid w:val="001D7845"/>
    <w:rsid w:val="001E00D8"/>
    <w:rsid w:val="001E092A"/>
    <w:rsid w:val="001E1A87"/>
    <w:rsid w:val="001E1B4D"/>
    <w:rsid w:val="001E293C"/>
    <w:rsid w:val="001E3EC4"/>
    <w:rsid w:val="001E3ECA"/>
    <w:rsid w:val="001E592D"/>
    <w:rsid w:val="001E7504"/>
    <w:rsid w:val="001E7565"/>
    <w:rsid w:val="001F0599"/>
    <w:rsid w:val="001F0BC5"/>
    <w:rsid w:val="001F23E8"/>
    <w:rsid w:val="001F29E2"/>
    <w:rsid w:val="001F3039"/>
    <w:rsid w:val="001F3B69"/>
    <w:rsid w:val="001F7321"/>
    <w:rsid w:val="00201B79"/>
    <w:rsid w:val="00205282"/>
    <w:rsid w:val="0020619B"/>
    <w:rsid w:val="00210074"/>
    <w:rsid w:val="00213588"/>
    <w:rsid w:val="00214A30"/>
    <w:rsid w:val="002166A1"/>
    <w:rsid w:val="00216BA6"/>
    <w:rsid w:val="00216C34"/>
    <w:rsid w:val="00221EC6"/>
    <w:rsid w:val="00222906"/>
    <w:rsid w:val="00224772"/>
    <w:rsid w:val="00225C95"/>
    <w:rsid w:val="00232EF7"/>
    <w:rsid w:val="00233630"/>
    <w:rsid w:val="002339B3"/>
    <w:rsid w:val="002423DA"/>
    <w:rsid w:val="00243426"/>
    <w:rsid w:val="00245C89"/>
    <w:rsid w:val="00250BAC"/>
    <w:rsid w:val="00252BD5"/>
    <w:rsid w:val="0025534F"/>
    <w:rsid w:val="00256518"/>
    <w:rsid w:val="002566A4"/>
    <w:rsid w:val="00256C2D"/>
    <w:rsid w:val="00256C64"/>
    <w:rsid w:val="0026270F"/>
    <w:rsid w:val="00266857"/>
    <w:rsid w:val="002703DE"/>
    <w:rsid w:val="002715C0"/>
    <w:rsid w:val="00272306"/>
    <w:rsid w:val="00272987"/>
    <w:rsid w:val="0027510B"/>
    <w:rsid w:val="0027596E"/>
    <w:rsid w:val="002763AC"/>
    <w:rsid w:val="00277345"/>
    <w:rsid w:val="002836AC"/>
    <w:rsid w:val="00284AA2"/>
    <w:rsid w:val="00286551"/>
    <w:rsid w:val="002912C4"/>
    <w:rsid w:val="00291866"/>
    <w:rsid w:val="00292578"/>
    <w:rsid w:val="00292870"/>
    <w:rsid w:val="002939FB"/>
    <w:rsid w:val="00294592"/>
    <w:rsid w:val="00295454"/>
    <w:rsid w:val="00295852"/>
    <w:rsid w:val="00297614"/>
    <w:rsid w:val="002979E5"/>
    <w:rsid w:val="002A1B42"/>
    <w:rsid w:val="002A4497"/>
    <w:rsid w:val="002A4897"/>
    <w:rsid w:val="002A5095"/>
    <w:rsid w:val="002A5639"/>
    <w:rsid w:val="002A65A9"/>
    <w:rsid w:val="002A7284"/>
    <w:rsid w:val="002A733C"/>
    <w:rsid w:val="002A7BD9"/>
    <w:rsid w:val="002B0CCC"/>
    <w:rsid w:val="002B1D8B"/>
    <w:rsid w:val="002B316C"/>
    <w:rsid w:val="002B32FD"/>
    <w:rsid w:val="002B33D4"/>
    <w:rsid w:val="002B5CC0"/>
    <w:rsid w:val="002C1E89"/>
    <w:rsid w:val="002C3EE4"/>
    <w:rsid w:val="002D18B6"/>
    <w:rsid w:val="002D299B"/>
    <w:rsid w:val="002D3078"/>
    <w:rsid w:val="002D4F1B"/>
    <w:rsid w:val="002E1C05"/>
    <w:rsid w:val="002E6C35"/>
    <w:rsid w:val="002F2E82"/>
    <w:rsid w:val="002F5B69"/>
    <w:rsid w:val="0030116E"/>
    <w:rsid w:val="003014CA"/>
    <w:rsid w:val="003017CD"/>
    <w:rsid w:val="00301A4E"/>
    <w:rsid w:val="003027E3"/>
    <w:rsid w:val="003037CC"/>
    <w:rsid w:val="00303C5A"/>
    <w:rsid w:val="00304F42"/>
    <w:rsid w:val="00305F8E"/>
    <w:rsid w:val="00306460"/>
    <w:rsid w:val="00306870"/>
    <w:rsid w:val="003069C2"/>
    <w:rsid w:val="00306D9E"/>
    <w:rsid w:val="00307650"/>
    <w:rsid w:val="0030784C"/>
    <w:rsid w:val="00310115"/>
    <w:rsid w:val="00311861"/>
    <w:rsid w:val="003130B8"/>
    <w:rsid w:val="003154FC"/>
    <w:rsid w:val="00320B8F"/>
    <w:rsid w:val="00321DBA"/>
    <w:rsid w:val="0032492E"/>
    <w:rsid w:val="00324BD7"/>
    <w:rsid w:val="00325567"/>
    <w:rsid w:val="00326DF1"/>
    <w:rsid w:val="00327561"/>
    <w:rsid w:val="00327C71"/>
    <w:rsid w:val="0033024E"/>
    <w:rsid w:val="00330FE2"/>
    <w:rsid w:val="00331938"/>
    <w:rsid w:val="00333362"/>
    <w:rsid w:val="003357D0"/>
    <w:rsid w:val="00337C3F"/>
    <w:rsid w:val="0034028A"/>
    <w:rsid w:val="00341A27"/>
    <w:rsid w:val="003426D9"/>
    <w:rsid w:val="003428B9"/>
    <w:rsid w:val="00343BDA"/>
    <w:rsid w:val="00345795"/>
    <w:rsid w:val="00346E0D"/>
    <w:rsid w:val="00347043"/>
    <w:rsid w:val="003478B9"/>
    <w:rsid w:val="003514F2"/>
    <w:rsid w:val="00355862"/>
    <w:rsid w:val="003578AE"/>
    <w:rsid w:val="00360AD3"/>
    <w:rsid w:val="00363928"/>
    <w:rsid w:val="00363D95"/>
    <w:rsid w:val="003641DE"/>
    <w:rsid w:val="00366A0F"/>
    <w:rsid w:val="00366EFC"/>
    <w:rsid w:val="00372C5D"/>
    <w:rsid w:val="0037302A"/>
    <w:rsid w:val="00373969"/>
    <w:rsid w:val="00380199"/>
    <w:rsid w:val="0038024C"/>
    <w:rsid w:val="00382224"/>
    <w:rsid w:val="003826E2"/>
    <w:rsid w:val="003A2783"/>
    <w:rsid w:val="003A4A9E"/>
    <w:rsid w:val="003A53BF"/>
    <w:rsid w:val="003B04FE"/>
    <w:rsid w:val="003B0B81"/>
    <w:rsid w:val="003B0BF9"/>
    <w:rsid w:val="003B0E6C"/>
    <w:rsid w:val="003B15A1"/>
    <w:rsid w:val="003B1D30"/>
    <w:rsid w:val="003B2F89"/>
    <w:rsid w:val="003B2FB1"/>
    <w:rsid w:val="003B6267"/>
    <w:rsid w:val="003C11CA"/>
    <w:rsid w:val="003C137C"/>
    <w:rsid w:val="003C2041"/>
    <w:rsid w:val="003C366F"/>
    <w:rsid w:val="003C4176"/>
    <w:rsid w:val="003C4DCE"/>
    <w:rsid w:val="003C65CB"/>
    <w:rsid w:val="003C676B"/>
    <w:rsid w:val="003C773F"/>
    <w:rsid w:val="003D1061"/>
    <w:rsid w:val="003D4BFF"/>
    <w:rsid w:val="003D53CA"/>
    <w:rsid w:val="003D6546"/>
    <w:rsid w:val="003E0791"/>
    <w:rsid w:val="003E15DE"/>
    <w:rsid w:val="003E45DF"/>
    <w:rsid w:val="003E4C9D"/>
    <w:rsid w:val="003E4D12"/>
    <w:rsid w:val="003E7D5D"/>
    <w:rsid w:val="003F1DA8"/>
    <w:rsid w:val="003F225C"/>
    <w:rsid w:val="003F2860"/>
    <w:rsid w:val="003F28AC"/>
    <w:rsid w:val="003F3670"/>
    <w:rsid w:val="003F3B64"/>
    <w:rsid w:val="003F41AC"/>
    <w:rsid w:val="003F4FB2"/>
    <w:rsid w:val="003F67AF"/>
    <w:rsid w:val="00400A61"/>
    <w:rsid w:val="0040193D"/>
    <w:rsid w:val="00404248"/>
    <w:rsid w:val="00407510"/>
    <w:rsid w:val="00414E01"/>
    <w:rsid w:val="00416B3D"/>
    <w:rsid w:val="00421032"/>
    <w:rsid w:val="00423BFA"/>
    <w:rsid w:val="004250F2"/>
    <w:rsid w:val="00425300"/>
    <w:rsid w:val="004302A0"/>
    <w:rsid w:val="00430D7C"/>
    <w:rsid w:val="0043295F"/>
    <w:rsid w:val="004343B6"/>
    <w:rsid w:val="00436572"/>
    <w:rsid w:val="00436E40"/>
    <w:rsid w:val="004412F7"/>
    <w:rsid w:val="004414CB"/>
    <w:rsid w:val="00445268"/>
    <w:rsid w:val="004454FE"/>
    <w:rsid w:val="00445E18"/>
    <w:rsid w:val="0044634C"/>
    <w:rsid w:val="004479DD"/>
    <w:rsid w:val="00452780"/>
    <w:rsid w:val="00452C05"/>
    <w:rsid w:val="00453147"/>
    <w:rsid w:val="00456E40"/>
    <w:rsid w:val="00457E08"/>
    <w:rsid w:val="0046047A"/>
    <w:rsid w:val="00462601"/>
    <w:rsid w:val="00462697"/>
    <w:rsid w:val="00462D39"/>
    <w:rsid w:val="00464846"/>
    <w:rsid w:val="00471F27"/>
    <w:rsid w:val="00472486"/>
    <w:rsid w:val="0047261E"/>
    <w:rsid w:val="004726BD"/>
    <w:rsid w:val="00476A96"/>
    <w:rsid w:val="0048077F"/>
    <w:rsid w:val="00480F44"/>
    <w:rsid w:val="004812AB"/>
    <w:rsid w:val="004819DA"/>
    <w:rsid w:val="004905CD"/>
    <w:rsid w:val="00491289"/>
    <w:rsid w:val="00493CD9"/>
    <w:rsid w:val="00497D6B"/>
    <w:rsid w:val="004A04B2"/>
    <w:rsid w:val="004A2B26"/>
    <w:rsid w:val="004A531A"/>
    <w:rsid w:val="004A6061"/>
    <w:rsid w:val="004A61D9"/>
    <w:rsid w:val="004A6BBB"/>
    <w:rsid w:val="004B2C4E"/>
    <w:rsid w:val="004B7F0D"/>
    <w:rsid w:val="004C43BE"/>
    <w:rsid w:val="004C5F45"/>
    <w:rsid w:val="004D0F1E"/>
    <w:rsid w:val="004D1D8B"/>
    <w:rsid w:val="004D1DAD"/>
    <w:rsid w:val="004D223E"/>
    <w:rsid w:val="004D246B"/>
    <w:rsid w:val="004D2BB2"/>
    <w:rsid w:val="004E1226"/>
    <w:rsid w:val="004E7985"/>
    <w:rsid w:val="004F04CE"/>
    <w:rsid w:val="004F07F1"/>
    <w:rsid w:val="004F5315"/>
    <w:rsid w:val="004F5A2E"/>
    <w:rsid w:val="004F766A"/>
    <w:rsid w:val="0050178F"/>
    <w:rsid w:val="00501BA5"/>
    <w:rsid w:val="00513304"/>
    <w:rsid w:val="00513BF2"/>
    <w:rsid w:val="00513F85"/>
    <w:rsid w:val="00514DB2"/>
    <w:rsid w:val="00516A85"/>
    <w:rsid w:val="00517D9A"/>
    <w:rsid w:val="0052296E"/>
    <w:rsid w:val="00523F71"/>
    <w:rsid w:val="00525E13"/>
    <w:rsid w:val="005304E1"/>
    <w:rsid w:val="00530A55"/>
    <w:rsid w:val="00535DC7"/>
    <w:rsid w:val="00536CE4"/>
    <w:rsid w:val="00536CE7"/>
    <w:rsid w:val="005414A1"/>
    <w:rsid w:val="00542112"/>
    <w:rsid w:val="005510D3"/>
    <w:rsid w:val="00553EBA"/>
    <w:rsid w:val="00554675"/>
    <w:rsid w:val="00554D19"/>
    <w:rsid w:val="00565B96"/>
    <w:rsid w:val="005661CF"/>
    <w:rsid w:val="00566347"/>
    <w:rsid w:val="00570338"/>
    <w:rsid w:val="00572567"/>
    <w:rsid w:val="00581D1F"/>
    <w:rsid w:val="00582847"/>
    <w:rsid w:val="0058491D"/>
    <w:rsid w:val="00585A33"/>
    <w:rsid w:val="00586E41"/>
    <w:rsid w:val="00590EB7"/>
    <w:rsid w:val="005937D6"/>
    <w:rsid w:val="0059683E"/>
    <w:rsid w:val="005971F8"/>
    <w:rsid w:val="00597756"/>
    <w:rsid w:val="005A105A"/>
    <w:rsid w:val="005A125F"/>
    <w:rsid w:val="005A360F"/>
    <w:rsid w:val="005A66FA"/>
    <w:rsid w:val="005B320D"/>
    <w:rsid w:val="005B6988"/>
    <w:rsid w:val="005C0A16"/>
    <w:rsid w:val="005C0CE1"/>
    <w:rsid w:val="005C182A"/>
    <w:rsid w:val="005C335B"/>
    <w:rsid w:val="005C49F6"/>
    <w:rsid w:val="005C7CA3"/>
    <w:rsid w:val="005D094B"/>
    <w:rsid w:val="005D2304"/>
    <w:rsid w:val="005D3DB3"/>
    <w:rsid w:val="005E095A"/>
    <w:rsid w:val="005E1369"/>
    <w:rsid w:val="005E5AB1"/>
    <w:rsid w:val="005E6263"/>
    <w:rsid w:val="005F21C2"/>
    <w:rsid w:val="005F4565"/>
    <w:rsid w:val="006016D4"/>
    <w:rsid w:val="00602B23"/>
    <w:rsid w:val="00602FB7"/>
    <w:rsid w:val="006038A2"/>
    <w:rsid w:val="00607DC3"/>
    <w:rsid w:val="00613B05"/>
    <w:rsid w:val="00614189"/>
    <w:rsid w:val="00614474"/>
    <w:rsid w:val="00616F03"/>
    <w:rsid w:val="00617D79"/>
    <w:rsid w:val="0062092A"/>
    <w:rsid w:val="00620DB2"/>
    <w:rsid w:val="006245DA"/>
    <w:rsid w:val="006251E2"/>
    <w:rsid w:val="00626AC0"/>
    <w:rsid w:val="00634DB7"/>
    <w:rsid w:val="00635D9E"/>
    <w:rsid w:val="00637358"/>
    <w:rsid w:val="0064150A"/>
    <w:rsid w:val="006419B9"/>
    <w:rsid w:val="006506C0"/>
    <w:rsid w:val="00651515"/>
    <w:rsid w:val="00652A12"/>
    <w:rsid w:val="00653C89"/>
    <w:rsid w:val="00655F2C"/>
    <w:rsid w:val="006564DB"/>
    <w:rsid w:val="00656783"/>
    <w:rsid w:val="00657F80"/>
    <w:rsid w:val="0066440B"/>
    <w:rsid w:val="00666345"/>
    <w:rsid w:val="006664BF"/>
    <w:rsid w:val="00667F0D"/>
    <w:rsid w:val="00670F7D"/>
    <w:rsid w:val="00673813"/>
    <w:rsid w:val="006743E5"/>
    <w:rsid w:val="006770BA"/>
    <w:rsid w:val="00677518"/>
    <w:rsid w:val="00677B7D"/>
    <w:rsid w:val="00682622"/>
    <w:rsid w:val="00682CF2"/>
    <w:rsid w:val="00687295"/>
    <w:rsid w:val="006927EA"/>
    <w:rsid w:val="00692BDF"/>
    <w:rsid w:val="006971F8"/>
    <w:rsid w:val="006A2348"/>
    <w:rsid w:val="006A25DE"/>
    <w:rsid w:val="006A2882"/>
    <w:rsid w:val="006A3545"/>
    <w:rsid w:val="006A356C"/>
    <w:rsid w:val="006A3851"/>
    <w:rsid w:val="006A41C2"/>
    <w:rsid w:val="006A7278"/>
    <w:rsid w:val="006B1FE5"/>
    <w:rsid w:val="006B3351"/>
    <w:rsid w:val="006B6224"/>
    <w:rsid w:val="006C14E0"/>
    <w:rsid w:val="006C52AE"/>
    <w:rsid w:val="006C637A"/>
    <w:rsid w:val="006D07D5"/>
    <w:rsid w:val="006D107D"/>
    <w:rsid w:val="006D2E08"/>
    <w:rsid w:val="006D71A4"/>
    <w:rsid w:val="006D7BDF"/>
    <w:rsid w:val="006E1081"/>
    <w:rsid w:val="006E238B"/>
    <w:rsid w:val="006E2F02"/>
    <w:rsid w:val="006E51B7"/>
    <w:rsid w:val="006E7938"/>
    <w:rsid w:val="006F0EF4"/>
    <w:rsid w:val="006F2B8E"/>
    <w:rsid w:val="006F37EB"/>
    <w:rsid w:val="006F3CD9"/>
    <w:rsid w:val="006F5505"/>
    <w:rsid w:val="006F62D1"/>
    <w:rsid w:val="006F7AA0"/>
    <w:rsid w:val="00700B3A"/>
    <w:rsid w:val="00700E70"/>
    <w:rsid w:val="00702116"/>
    <w:rsid w:val="0070250D"/>
    <w:rsid w:val="007038EE"/>
    <w:rsid w:val="0070578A"/>
    <w:rsid w:val="0070680D"/>
    <w:rsid w:val="00706AF1"/>
    <w:rsid w:val="00706EE0"/>
    <w:rsid w:val="00707D92"/>
    <w:rsid w:val="00716E70"/>
    <w:rsid w:val="00720585"/>
    <w:rsid w:val="00727B1F"/>
    <w:rsid w:val="00733C16"/>
    <w:rsid w:val="00735C3E"/>
    <w:rsid w:val="00736CD8"/>
    <w:rsid w:val="0073718D"/>
    <w:rsid w:val="00740C1F"/>
    <w:rsid w:val="00741285"/>
    <w:rsid w:val="0074183B"/>
    <w:rsid w:val="00742B50"/>
    <w:rsid w:val="00743444"/>
    <w:rsid w:val="0074397C"/>
    <w:rsid w:val="00744625"/>
    <w:rsid w:val="007449AB"/>
    <w:rsid w:val="00744E8A"/>
    <w:rsid w:val="00750114"/>
    <w:rsid w:val="007503A6"/>
    <w:rsid w:val="00750604"/>
    <w:rsid w:val="00750BF4"/>
    <w:rsid w:val="007530D5"/>
    <w:rsid w:val="00753426"/>
    <w:rsid w:val="007540B6"/>
    <w:rsid w:val="0076132A"/>
    <w:rsid w:val="00761522"/>
    <w:rsid w:val="00761CD3"/>
    <w:rsid w:val="0076234F"/>
    <w:rsid w:val="00762DCE"/>
    <w:rsid w:val="00763BB2"/>
    <w:rsid w:val="0076444B"/>
    <w:rsid w:val="007647EB"/>
    <w:rsid w:val="0076544F"/>
    <w:rsid w:val="00766792"/>
    <w:rsid w:val="007702E6"/>
    <w:rsid w:val="00773AF6"/>
    <w:rsid w:val="00775B3B"/>
    <w:rsid w:val="00781C72"/>
    <w:rsid w:val="0078682C"/>
    <w:rsid w:val="007906D3"/>
    <w:rsid w:val="007932FE"/>
    <w:rsid w:val="00795F71"/>
    <w:rsid w:val="007A29EE"/>
    <w:rsid w:val="007B13CF"/>
    <w:rsid w:val="007B3C6A"/>
    <w:rsid w:val="007B6D83"/>
    <w:rsid w:val="007B7090"/>
    <w:rsid w:val="007C1934"/>
    <w:rsid w:val="007C1BAE"/>
    <w:rsid w:val="007C38F2"/>
    <w:rsid w:val="007C3930"/>
    <w:rsid w:val="007C3DA2"/>
    <w:rsid w:val="007C60A9"/>
    <w:rsid w:val="007D01F5"/>
    <w:rsid w:val="007D03DF"/>
    <w:rsid w:val="007D5CB4"/>
    <w:rsid w:val="007D6538"/>
    <w:rsid w:val="007E095D"/>
    <w:rsid w:val="007E0BF8"/>
    <w:rsid w:val="007E438D"/>
    <w:rsid w:val="007E45FA"/>
    <w:rsid w:val="007E5F7A"/>
    <w:rsid w:val="007E73AB"/>
    <w:rsid w:val="007F0300"/>
    <w:rsid w:val="007F0A67"/>
    <w:rsid w:val="007F2BFD"/>
    <w:rsid w:val="007F374A"/>
    <w:rsid w:val="007F63BB"/>
    <w:rsid w:val="007F7E1F"/>
    <w:rsid w:val="00800148"/>
    <w:rsid w:val="00803462"/>
    <w:rsid w:val="00803A9A"/>
    <w:rsid w:val="00806E0B"/>
    <w:rsid w:val="008100AE"/>
    <w:rsid w:val="00812911"/>
    <w:rsid w:val="00812F8E"/>
    <w:rsid w:val="00813784"/>
    <w:rsid w:val="00814248"/>
    <w:rsid w:val="0081699E"/>
    <w:rsid w:val="00816C11"/>
    <w:rsid w:val="0082013E"/>
    <w:rsid w:val="00821424"/>
    <w:rsid w:val="00821E95"/>
    <w:rsid w:val="00823487"/>
    <w:rsid w:val="0082356D"/>
    <w:rsid w:val="00824344"/>
    <w:rsid w:val="00824D1B"/>
    <w:rsid w:val="008260DA"/>
    <w:rsid w:val="00830F0A"/>
    <w:rsid w:val="00833F6E"/>
    <w:rsid w:val="00834C06"/>
    <w:rsid w:val="008374C1"/>
    <w:rsid w:val="008403DD"/>
    <w:rsid w:val="0084450B"/>
    <w:rsid w:val="00845533"/>
    <w:rsid w:val="00847E0F"/>
    <w:rsid w:val="0085234D"/>
    <w:rsid w:val="00853579"/>
    <w:rsid w:val="00860658"/>
    <w:rsid w:val="00860DEE"/>
    <w:rsid w:val="008613B5"/>
    <w:rsid w:val="00862B42"/>
    <w:rsid w:val="00862E36"/>
    <w:rsid w:val="008631A7"/>
    <w:rsid w:val="00863C06"/>
    <w:rsid w:val="00863DD2"/>
    <w:rsid w:val="00873345"/>
    <w:rsid w:val="00873644"/>
    <w:rsid w:val="00875204"/>
    <w:rsid w:val="008756C7"/>
    <w:rsid w:val="008802FC"/>
    <w:rsid w:val="008814CF"/>
    <w:rsid w:val="008815FD"/>
    <w:rsid w:val="00881986"/>
    <w:rsid w:val="00883CDE"/>
    <w:rsid w:val="00891AD8"/>
    <w:rsid w:val="0089225B"/>
    <w:rsid w:val="00892FDC"/>
    <w:rsid w:val="00893608"/>
    <w:rsid w:val="00894C55"/>
    <w:rsid w:val="00897AE9"/>
    <w:rsid w:val="008A04DB"/>
    <w:rsid w:val="008A0768"/>
    <w:rsid w:val="008A1122"/>
    <w:rsid w:val="008A1452"/>
    <w:rsid w:val="008A7DBC"/>
    <w:rsid w:val="008B411B"/>
    <w:rsid w:val="008C2512"/>
    <w:rsid w:val="008C50EC"/>
    <w:rsid w:val="008D1BA2"/>
    <w:rsid w:val="008D4D68"/>
    <w:rsid w:val="008D5F4D"/>
    <w:rsid w:val="008E5577"/>
    <w:rsid w:val="008E6B4E"/>
    <w:rsid w:val="008F2D8A"/>
    <w:rsid w:val="008F337D"/>
    <w:rsid w:val="008F6724"/>
    <w:rsid w:val="009049DD"/>
    <w:rsid w:val="00904FA0"/>
    <w:rsid w:val="0090521B"/>
    <w:rsid w:val="009060D7"/>
    <w:rsid w:val="00907DFC"/>
    <w:rsid w:val="00910F7B"/>
    <w:rsid w:val="009169E0"/>
    <w:rsid w:val="0092294B"/>
    <w:rsid w:val="00924572"/>
    <w:rsid w:val="009248C5"/>
    <w:rsid w:val="00925213"/>
    <w:rsid w:val="00925676"/>
    <w:rsid w:val="0093156D"/>
    <w:rsid w:val="00931D75"/>
    <w:rsid w:val="00935CB3"/>
    <w:rsid w:val="009373C6"/>
    <w:rsid w:val="00937BEB"/>
    <w:rsid w:val="00942E58"/>
    <w:rsid w:val="0094373F"/>
    <w:rsid w:val="009447E9"/>
    <w:rsid w:val="00944A2B"/>
    <w:rsid w:val="00951131"/>
    <w:rsid w:val="009514EB"/>
    <w:rsid w:val="00957BFD"/>
    <w:rsid w:val="00961765"/>
    <w:rsid w:val="00965F78"/>
    <w:rsid w:val="00972405"/>
    <w:rsid w:val="00974C2C"/>
    <w:rsid w:val="00980373"/>
    <w:rsid w:val="009812CB"/>
    <w:rsid w:val="00981670"/>
    <w:rsid w:val="0098384B"/>
    <w:rsid w:val="0098462E"/>
    <w:rsid w:val="00992AF9"/>
    <w:rsid w:val="00995685"/>
    <w:rsid w:val="00996150"/>
    <w:rsid w:val="00997D07"/>
    <w:rsid w:val="009A153C"/>
    <w:rsid w:val="009A2654"/>
    <w:rsid w:val="009A3B99"/>
    <w:rsid w:val="009A5927"/>
    <w:rsid w:val="009B6654"/>
    <w:rsid w:val="009C001B"/>
    <w:rsid w:val="009C1B4C"/>
    <w:rsid w:val="009C2928"/>
    <w:rsid w:val="009C3640"/>
    <w:rsid w:val="009C46A9"/>
    <w:rsid w:val="009C4A78"/>
    <w:rsid w:val="009C5AEE"/>
    <w:rsid w:val="009C602C"/>
    <w:rsid w:val="009D0D13"/>
    <w:rsid w:val="009D3FB6"/>
    <w:rsid w:val="009E12EC"/>
    <w:rsid w:val="009E6D2C"/>
    <w:rsid w:val="009E788D"/>
    <w:rsid w:val="009E7BD0"/>
    <w:rsid w:val="009F1EAE"/>
    <w:rsid w:val="009F22A4"/>
    <w:rsid w:val="009F28F7"/>
    <w:rsid w:val="009F2B6D"/>
    <w:rsid w:val="009F5970"/>
    <w:rsid w:val="00A0351F"/>
    <w:rsid w:val="00A05FB9"/>
    <w:rsid w:val="00A07825"/>
    <w:rsid w:val="00A10D22"/>
    <w:rsid w:val="00A10FA1"/>
    <w:rsid w:val="00A10FC3"/>
    <w:rsid w:val="00A11CF1"/>
    <w:rsid w:val="00A11DF5"/>
    <w:rsid w:val="00A12755"/>
    <w:rsid w:val="00A140B7"/>
    <w:rsid w:val="00A14561"/>
    <w:rsid w:val="00A16298"/>
    <w:rsid w:val="00A17330"/>
    <w:rsid w:val="00A17A61"/>
    <w:rsid w:val="00A17B19"/>
    <w:rsid w:val="00A206EB"/>
    <w:rsid w:val="00A21E85"/>
    <w:rsid w:val="00A2329B"/>
    <w:rsid w:val="00A23BFC"/>
    <w:rsid w:val="00A23F2A"/>
    <w:rsid w:val="00A25FB4"/>
    <w:rsid w:val="00A2697D"/>
    <w:rsid w:val="00A26C8D"/>
    <w:rsid w:val="00A3288B"/>
    <w:rsid w:val="00A331C2"/>
    <w:rsid w:val="00A374F9"/>
    <w:rsid w:val="00A376C2"/>
    <w:rsid w:val="00A416F2"/>
    <w:rsid w:val="00A44944"/>
    <w:rsid w:val="00A4604B"/>
    <w:rsid w:val="00A46837"/>
    <w:rsid w:val="00A524A0"/>
    <w:rsid w:val="00A57674"/>
    <w:rsid w:val="00A6073E"/>
    <w:rsid w:val="00A63AAE"/>
    <w:rsid w:val="00A640D4"/>
    <w:rsid w:val="00A64175"/>
    <w:rsid w:val="00A66D9A"/>
    <w:rsid w:val="00A676F4"/>
    <w:rsid w:val="00A72A86"/>
    <w:rsid w:val="00A7436F"/>
    <w:rsid w:val="00A8152D"/>
    <w:rsid w:val="00A90C84"/>
    <w:rsid w:val="00A93374"/>
    <w:rsid w:val="00A96D51"/>
    <w:rsid w:val="00AA08A4"/>
    <w:rsid w:val="00AA79B9"/>
    <w:rsid w:val="00AB5891"/>
    <w:rsid w:val="00AB5B58"/>
    <w:rsid w:val="00AB7CDC"/>
    <w:rsid w:val="00AC0430"/>
    <w:rsid w:val="00AC2295"/>
    <w:rsid w:val="00AC2E1E"/>
    <w:rsid w:val="00AC4F4A"/>
    <w:rsid w:val="00AD001C"/>
    <w:rsid w:val="00AD1073"/>
    <w:rsid w:val="00AD1B71"/>
    <w:rsid w:val="00AD3E70"/>
    <w:rsid w:val="00AD5908"/>
    <w:rsid w:val="00AD74A2"/>
    <w:rsid w:val="00AE5567"/>
    <w:rsid w:val="00AE796F"/>
    <w:rsid w:val="00AF1239"/>
    <w:rsid w:val="00AF5C3E"/>
    <w:rsid w:val="00AF5C7A"/>
    <w:rsid w:val="00AF627D"/>
    <w:rsid w:val="00AF67B7"/>
    <w:rsid w:val="00AF6C36"/>
    <w:rsid w:val="00B03EC4"/>
    <w:rsid w:val="00B05359"/>
    <w:rsid w:val="00B06EAD"/>
    <w:rsid w:val="00B072E5"/>
    <w:rsid w:val="00B07D63"/>
    <w:rsid w:val="00B11D0E"/>
    <w:rsid w:val="00B127F3"/>
    <w:rsid w:val="00B14159"/>
    <w:rsid w:val="00B15C2D"/>
    <w:rsid w:val="00B16230"/>
    <w:rsid w:val="00B16480"/>
    <w:rsid w:val="00B2165C"/>
    <w:rsid w:val="00B23EAD"/>
    <w:rsid w:val="00B24146"/>
    <w:rsid w:val="00B27BE6"/>
    <w:rsid w:val="00B27E97"/>
    <w:rsid w:val="00B306E1"/>
    <w:rsid w:val="00B322A8"/>
    <w:rsid w:val="00B334A7"/>
    <w:rsid w:val="00B33F29"/>
    <w:rsid w:val="00B424DB"/>
    <w:rsid w:val="00B445F7"/>
    <w:rsid w:val="00B44B04"/>
    <w:rsid w:val="00B45638"/>
    <w:rsid w:val="00B45899"/>
    <w:rsid w:val="00B5161E"/>
    <w:rsid w:val="00B5672D"/>
    <w:rsid w:val="00B601A1"/>
    <w:rsid w:val="00B61EF1"/>
    <w:rsid w:val="00B62C23"/>
    <w:rsid w:val="00B63FC9"/>
    <w:rsid w:val="00B64001"/>
    <w:rsid w:val="00B66715"/>
    <w:rsid w:val="00B667B6"/>
    <w:rsid w:val="00B73215"/>
    <w:rsid w:val="00B747D5"/>
    <w:rsid w:val="00B756B0"/>
    <w:rsid w:val="00B75A66"/>
    <w:rsid w:val="00B76574"/>
    <w:rsid w:val="00B766D7"/>
    <w:rsid w:val="00B81CB8"/>
    <w:rsid w:val="00B820A9"/>
    <w:rsid w:val="00B82F63"/>
    <w:rsid w:val="00B83DF3"/>
    <w:rsid w:val="00B85299"/>
    <w:rsid w:val="00B87D5C"/>
    <w:rsid w:val="00B904E6"/>
    <w:rsid w:val="00B93D0B"/>
    <w:rsid w:val="00B93DA5"/>
    <w:rsid w:val="00B94265"/>
    <w:rsid w:val="00B95279"/>
    <w:rsid w:val="00B95941"/>
    <w:rsid w:val="00B96577"/>
    <w:rsid w:val="00B96CCA"/>
    <w:rsid w:val="00BA0A8D"/>
    <w:rsid w:val="00BA20AA"/>
    <w:rsid w:val="00BA3DBD"/>
    <w:rsid w:val="00BA5DBD"/>
    <w:rsid w:val="00BA6EA4"/>
    <w:rsid w:val="00BB1A50"/>
    <w:rsid w:val="00BB37F2"/>
    <w:rsid w:val="00BB4DC2"/>
    <w:rsid w:val="00BB53C0"/>
    <w:rsid w:val="00BB614C"/>
    <w:rsid w:val="00BC0F9D"/>
    <w:rsid w:val="00BC14FE"/>
    <w:rsid w:val="00BC1631"/>
    <w:rsid w:val="00BC29D9"/>
    <w:rsid w:val="00BC4366"/>
    <w:rsid w:val="00BD1307"/>
    <w:rsid w:val="00BD2382"/>
    <w:rsid w:val="00BD4425"/>
    <w:rsid w:val="00BD55F1"/>
    <w:rsid w:val="00BE280E"/>
    <w:rsid w:val="00BE2812"/>
    <w:rsid w:val="00BE2BBB"/>
    <w:rsid w:val="00BE51F4"/>
    <w:rsid w:val="00BE7F20"/>
    <w:rsid w:val="00BF10F9"/>
    <w:rsid w:val="00BF3605"/>
    <w:rsid w:val="00BF3A61"/>
    <w:rsid w:val="00BF5FC4"/>
    <w:rsid w:val="00BF6447"/>
    <w:rsid w:val="00BF7734"/>
    <w:rsid w:val="00BF7D80"/>
    <w:rsid w:val="00C022B3"/>
    <w:rsid w:val="00C022DE"/>
    <w:rsid w:val="00C038BB"/>
    <w:rsid w:val="00C043CF"/>
    <w:rsid w:val="00C04B54"/>
    <w:rsid w:val="00C05324"/>
    <w:rsid w:val="00C06CCF"/>
    <w:rsid w:val="00C14CF2"/>
    <w:rsid w:val="00C20017"/>
    <w:rsid w:val="00C2321D"/>
    <w:rsid w:val="00C23827"/>
    <w:rsid w:val="00C25B49"/>
    <w:rsid w:val="00C264D4"/>
    <w:rsid w:val="00C30A33"/>
    <w:rsid w:val="00C31349"/>
    <w:rsid w:val="00C313FD"/>
    <w:rsid w:val="00C33515"/>
    <w:rsid w:val="00C37155"/>
    <w:rsid w:val="00C37DEB"/>
    <w:rsid w:val="00C4067F"/>
    <w:rsid w:val="00C4169C"/>
    <w:rsid w:val="00C4242F"/>
    <w:rsid w:val="00C436D2"/>
    <w:rsid w:val="00C45743"/>
    <w:rsid w:val="00C536A9"/>
    <w:rsid w:val="00C5572A"/>
    <w:rsid w:val="00C573D1"/>
    <w:rsid w:val="00C605AE"/>
    <w:rsid w:val="00C61C0C"/>
    <w:rsid w:val="00C62A07"/>
    <w:rsid w:val="00C62A69"/>
    <w:rsid w:val="00C63D28"/>
    <w:rsid w:val="00C65E6B"/>
    <w:rsid w:val="00C67B38"/>
    <w:rsid w:val="00C73806"/>
    <w:rsid w:val="00C755AF"/>
    <w:rsid w:val="00C7668D"/>
    <w:rsid w:val="00C76EF2"/>
    <w:rsid w:val="00C80564"/>
    <w:rsid w:val="00C82D3D"/>
    <w:rsid w:val="00C83122"/>
    <w:rsid w:val="00C85A3F"/>
    <w:rsid w:val="00C85DCD"/>
    <w:rsid w:val="00C85F75"/>
    <w:rsid w:val="00C8656E"/>
    <w:rsid w:val="00C874EB"/>
    <w:rsid w:val="00C913B5"/>
    <w:rsid w:val="00C93CBC"/>
    <w:rsid w:val="00C94C24"/>
    <w:rsid w:val="00C94FDA"/>
    <w:rsid w:val="00CA1C82"/>
    <w:rsid w:val="00CA25AF"/>
    <w:rsid w:val="00CA3F11"/>
    <w:rsid w:val="00CA7014"/>
    <w:rsid w:val="00CB0CD1"/>
    <w:rsid w:val="00CB5597"/>
    <w:rsid w:val="00CB6EA9"/>
    <w:rsid w:val="00CB748C"/>
    <w:rsid w:val="00CB7F5A"/>
    <w:rsid w:val="00CC0D2D"/>
    <w:rsid w:val="00CC1354"/>
    <w:rsid w:val="00CC47D9"/>
    <w:rsid w:val="00CC6BBD"/>
    <w:rsid w:val="00CD1125"/>
    <w:rsid w:val="00CD1743"/>
    <w:rsid w:val="00CD40E9"/>
    <w:rsid w:val="00CD677A"/>
    <w:rsid w:val="00CE04BF"/>
    <w:rsid w:val="00CE22B4"/>
    <w:rsid w:val="00CE29BC"/>
    <w:rsid w:val="00CE33AC"/>
    <w:rsid w:val="00CE4513"/>
    <w:rsid w:val="00CE46E9"/>
    <w:rsid w:val="00CE492D"/>
    <w:rsid w:val="00CE4935"/>
    <w:rsid w:val="00CE53BC"/>
    <w:rsid w:val="00CE5657"/>
    <w:rsid w:val="00CE634D"/>
    <w:rsid w:val="00CE68A0"/>
    <w:rsid w:val="00CF0D8E"/>
    <w:rsid w:val="00CF1B95"/>
    <w:rsid w:val="00CF31C2"/>
    <w:rsid w:val="00CF4519"/>
    <w:rsid w:val="00D00A66"/>
    <w:rsid w:val="00D01061"/>
    <w:rsid w:val="00D01C27"/>
    <w:rsid w:val="00D02B1F"/>
    <w:rsid w:val="00D0777C"/>
    <w:rsid w:val="00D11459"/>
    <w:rsid w:val="00D11AE0"/>
    <w:rsid w:val="00D133F8"/>
    <w:rsid w:val="00D14A3E"/>
    <w:rsid w:val="00D20502"/>
    <w:rsid w:val="00D23EE3"/>
    <w:rsid w:val="00D31251"/>
    <w:rsid w:val="00D31735"/>
    <w:rsid w:val="00D34151"/>
    <w:rsid w:val="00D3699D"/>
    <w:rsid w:val="00D41500"/>
    <w:rsid w:val="00D45437"/>
    <w:rsid w:val="00D47FCD"/>
    <w:rsid w:val="00D5005C"/>
    <w:rsid w:val="00D501D4"/>
    <w:rsid w:val="00D50F5E"/>
    <w:rsid w:val="00D52268"/>
    <w:rsid w:val="00D52D1A"/>
    <w:rsid w:val="00D566F4"/>
    <w:rsid w:val="00D60A4D"/>
    <w:rsid w:val="00D60DB2"/>
    <w:rsid w:val="00D63AFF"/>
    <w:rsid w:val="00D66350"/>
    <w:rsid w:val="00D72220"/>
    <w:rsid w:val="00D72BE6"/>
    <w:rsid w:val="00D72FD7"/>
    <w:rsid w:val="00D74B10"/>
    <w:rsid w:val="00D77D9F"/>
    <w:rsid w:val="00D80647"/>
    <w:rsid w:val="00D82422"/>
    <w:rsid w:val="00D829A8"/>
    <w:rsid w:val="00D82BD9"/>
    <w:rsid w:val="00D82DBE"/>
    <w:rsid w:val="00D830A2"/>
    <w:rsid w:val="00D83D6F"/>
    <w:rsid w:val="00D87732"/>
    <w:rsid w:val="00D90BA0"/>
    <w:rsid w:val="00D91923"/>
    <w:rsid w:val="00D927EA"/>
    <w:rsid w:val="00D96E80"/>
    <w:rsid w:val="00D97241"/>
    <w:rsid w:val="00DA0C1C"/>
    <w:rsid w:val="00DA4097"/>
    <w:rsid w:val="00DA65A6"/>
    <w:rsid w:val="00DA6AE4"/>
    <w:rsid w:val="00DB0B64"/>
    <w:rsid w:val="00DB2C0F"/>
    <w:rsid w:val="00DB3BEC"/>
    <w:rsid w:val="00DB5340"/>
    <w:rsid w:val="00DC17CA"/>
    <w:rsid w:val="00DC2EEE"/>
    <w:rsid w:val="00DC3DEE"/>
    <w:rsid w:val="00DC7117"/>
    <w:rsid w:val="00DD261E"/>
    <w:rsid w:val="00DD699F"/>
    <w:rsid w:val="00DD73B1"/>
    <w:rsid w:val="00DE0E76"/>
    <w:rsid w:val="00DE1416"/>
    <w:rsid w:val="00DE2C8E"/>
    <w:rsid w:val="00DE4F77"/>
    <w:rsid w:val="00DE5FF0"/>
    <w:rsid w:val="00DE65CA"/>
    <w:rsid w:val="00DE7CA8"/>
    <w:rsid w:val="00DF138A"/>
    <w:rsid w:val="00DF25E8"/>
    <w:rsid w:val="00DF3922"/>
    <w:rsid w:val="00DF3E15"/>
    <w:rsid w:val="00E001FE"/>
    <w:rsid w:val="00E02B0E"/>
    <w:rsid w:val="00E0402A"/>
    <w:rsid w:val="00E04210"/>
    <w:rsid w:val="00E04907"/>
    <w:rsid w:val="00E04E26"/>
    <w:rsid w:val="00E1046F"/>
    <w:rsid w:val="00E151F5"/>
    <w:rsid w:val="00E163E8"/>
    <w:rsid w:val="00E21CEF"/>
    <w:rsid w:val="00E24BD6"/>
    <w:rsid w:val="00E251BA"/>
    <w:rsid w:val="00E25E77"/>
    <w:rsid w:val="00E33366"/>
    <w:rsid w:val="00E33899"/>
    <w:rsid w:val="00E33D58"/>
    <w:rsid w:val="00E357BF"/>
    <w:rsid w:val="00E358BA"/>
    <w:rsid w:val="00E35F9B"/>
    <w:rsid w:val="00E363A8"/>
    <w:rsid w:val="00E36525"/>
    <w:rsid w:val="00E366A7"/>
    <w:rsid w:val="00E3716B"/>
    <w:rsid w:val="00E37208"/>
    <w:rsid w:val="00E37804"/>
    <w:rsid w:val="00E41DA3"/>
    <w:rsid w:val="00E41FCE"/>
    <w:rsid w:val="00E43315"/>
    <w:rsid w:val="00E44A17"/>
    <w:rsid w:val="00E462BB"/>
    <w:rsid w:val="00E46DB4"/>
    <w:rsid w:val="00E513A2"/>
    <w:rsid w:val="00E5323B"/>
    <w:rsid w:val="00E54CEE"/>
    <w:rsid w:val="00E56F1B"/>
    <w:rsid w:val="00E6021B"/>
    <w:rsid w:val="00E61002"/>
    <w:rsid w:val="00E652A3"/>
    <w:rsid w:val="00E6706D"/>
    <w:rsid w:val="00E677A0"/>
    <w:rsid w:val="00E776F0"/>
    <w:rsid w:val="00E8142B"/>
    <w:rsid w:val="00E81C6B"/>
    <w:rsid w:val="00E8732A"/>
    <w:rsid w:val="00E8749E"/>
    <w:rsid w:val="00E87595"/>
    <w:rsid w:val="00E90C01"/>
    <w:rsid w:val="00E9150A"/>
    <w:rsid w:val="00E933C2"/>
    <w:rsid w:val="00E947B4"/>
    <w:rsid w:val="00E94842"/>
    <w:rsid w:val="00E95F57"/>
    <w:rsid w:val="00E9794A"/>
    <w:rsid w:val="00E97C7A"/>
    <w:rsid w:val="00EA096E"/>
    <w:rsid w:val="00EA19CF"/>
    <w:rsid w:val="00EA1A9B"/>
    <w:rsid w:val="00EA1BDF"/>
    <w:rsid w:val="00EA1CC1"/>
    <w:rsid w:val="00EA486E"/>
    <w:rsid w:val="00EA6DCF"/>
    <w:rsid w:val="00EA6FB5"/>
    <w:rsid w:val="00EB02F9"/>
    <w:rsid w:val="00EB42A7"/>
    <w:rsid w:val="00EB6CB4"/>
    <w:rsid w:val="00EB7B54"/>
    <w:rsid w:val="00EC04FD"/>
    <w:rsid w:val="00EC0AA6"/>
    <w:rsid w:val="00EC2153"/>
    <w:rsid w:val="00EC45BD"/>
    <w:rsid w:val="00EC5A1F"/>
    <w:rsid w:val="00EC6F58"/>
    <w:rsid w:val="00EC7653"/>
    <w:rsid w:val="00ED323C"/>
    <w:rsid w:val="00ED36F5"/>
    <w:rsid w:val="00ED6A24"/>
    <w:rsid w:val="00ED7483"/>
    <w:rsid w:val="00EE3BF6"/>
    <w:rsid w:val="00EE705C"/>
    <w:rsid w:val="00EE7BBC"/>
    <w:rsid w:val="00EF0DF7"/>
    <w:rsid w:val="00EF6F55"/>
    <w:rsid w:val="00EF7155"/>
    <w:rsid w:val="00F01086"/>
    <w:rsid w:val="00F05343"/>
    <w:rsid w:val="00F14893"/>
    <w:rsid w:val="00F218F5"/>
    <w:rsid w:val="00F22115"/>
    <w:rsid w:val="00F228A1"/>
    <w:rsid w:val="00F25593"/>
    <w:rsid w:val="00F25789"/>
    <w:rsid w:val="00F25B9C"/>
    <w:rsid w:val="00F31DD1"/>
    <w:rsid w:val="00F332E6"/>
    <w:rsid w:val="00F3381F"/>
    <w:rsid w:val="00F35BF8"/>
    <w:rsid w:val="00F35C75"/>
    <w:rsid w:val="00F35CBA"/>
    <w:rsid w:val="00F37330"/>
    <w:rsid w:val="00F40D47"/>
    <w:rsid w:val="00F40F26"/>
    <w:rsid w:val="00F410F3"/>
    <w:rsid w:val="00F4477C"/>
    <w:rsid w:val="00F47AA2"/>
    <w:rsid w:val="00F500C1"/>
    <w:rsid w:val="00F50350"/>
    <w:rsid w:val="00F51258"/>
    <w:rsid w:val="00F51B82"/>
    <w:rsid w:val="00F525ED"/>
    <w:rsid w:val="00F57B0C"/>
    <w:rsid w:val="00F62F8B"/>
    <w:rsid w:val="00F63079"/>
    <w:rsid w:val="00F63B67"/>
    <w:rsid w:val="00F67387"/>
    <w:rsid w:val="00F70103"/>
    <w:rsid w:val="00F7115F"/>
    <w:rsid w:val="00F73776"/>
    <w:rsid w:val="00F77363"/>
    <w:rsid w:val="00F809D9"/>
    <w:rsid w:val="00F8340F"/>
    <w:rsid w:val="00F86F09"/>
    <w:rsid w:val="00F9061C"/>
    <w:rsid w:val="00F9243C"/>
    <w:rsid w:val="00F9510E"/>
    <w:rsid w:val="00F97AC1"/>
    <w:rsid w:val="00FA0088"/>
    <w:rsid w:val="00FA494F"/>
    <w:rsid w:val="00FA52A1"/>
    <w:rsid w:val="00FA7111"/>
    <w:rsid w:val="00FB1F04"/>
    <w:rsid w:val="00FB2001"/>
    <w:rsid w:val="00FB3AF7"/>
    <w:rsid w:val="00FB69C5"/>
    <w:rsid w:val="00FC2F48"/>
    <w:rsid w:val="00FC461B"/>
    <w:rsid w:val="00FC6E5D"/>
    <w:rsid w:val="00FD04BB"/>
    <w:rsid w:val="00FD0DF7"/>
    <w:rsid w:val="00FD3C07"/>
    <w:rsid w:val="00FE384B"/>
    <w:rsid w:val="00FE4A44"/>
    <w:rsid w:val="00FE4E31"/>
    <w:rsid w:val="00FE522D"/>
    <w:rsid w:val="00FF080C"/>
    <w:rsid w:val="00FF2BBD"/>
    <w:rsid w:val="00FF35F0"/>
    <w:rsid w:val="00FF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3961D"/>
  <w15:docId w15:val="{1AF761F0-C6A6-453A-ADA8-5B1CDE59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EB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D53CA"/>
    <w:pPr>
      <w:keepNext/>
      <w:keepLines/>
      <w:outlineLvl w:val="0"/>
    </w:pPr>
    <w:rPr>
      <w:rFonts w:eastAsia="Times New Roman" w:cs="Times New Roman"/>
      <w:b/>
      <w:bCs/>
      <w:sz w:val="32"/>
      <w:szCs w:val="28"/>
    </w:rPr>
  </w:style>
  <w:style w:type="paragraph" w:styleId="Heading3">
    <w:name w:val="heading 3"/>
    <w:basedOn w:val="Normal"/>
    <w:next w:val="Normal"/>
    <w:link w:val="Heading3Char"/>
    <w:uiPriority w:val="9"/>
    <w:qFormat/>
    <w:rsid w:val="003D53CA"/>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3D53CA"/>
    <w:pPr>
      <w:suppressAutoHyphens/>
      <w:spacing w:before="240" w:after="60"/>
      <w:outlineLvl w:val="4"/>
    </w:pPr>
    <w:rPr>
      <w:rFonts w:eastAsia="Times New Roman" w:cs="Times New Roman"/>
      <w:b/>
      <w:bCs/>
      <w:i/>
      <w:iCs/>
      <w:kern w:val="1"/>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rsid w:val="003F28AC"/>
    <w:rPr>
      <w:rFonts w:ascii="Tahoma" w:hAnsi="Tahoma" w:cs="Tahoma"/>
      <w:sz w:val="16"/>
      <w:szCs w:val="16"/>
    </w:rPr>
  </w:style>
  <w:style w:type="paragraph" w:styleId="NoSpacing">
    <w:name w:val="No Spacing"/>
    <w:uiPriority w:val="1"/>
    <w:qFormat/>
    <w:rsid w:val="00256C64"/>
    <w:pPr>
      <w:spacing w:after="0" w:line="240" w:lineRule="auto"/>
    </w:pPr>
  </w:style>
  <w:style w:type="paragraph" w:customStyle="1" w:styleId="Default">
    <w:name w:val="Default"/>
    <w:rsid w:val="00BA0A8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9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061"/>
    <w:rPr>
      <w:sz w:val="16"/>
      <w:szCs w:val="16"/>
    </w:rPr>
  </w:style>
  <w:style w:type="paragraph" w:styleId="CommentText">
    <w:name w:val="annotation text"/>
    <w:basedOn w:val="Normal"/>
    <w:link w:val="CommentTextChar"/>
    <w:uiPriority w:val="99"/>
    <w:unhideWhenUsed/>
    <w:rsid w:val="00D01061"/>
    <w:rPr>
      <w:sz w:val="20"/>
      <w:szCs w:val="20"/>
    </w:rPr>
  </w:style>
  <w:style w:type="character" w:customStyle="1" w:styleId="CommentTextChar">
    <w:name w:val="Comment Text Char"/>
    <w:basedOn w:val="DefaultParagraphFont"/>
    <w:link w:val="CommentText"/>
    <w:uiPriority w:val="99"/>
    <w:rsid w:val="00D01061"/>
    <w:rPr>
      <w:sz w:val="20"/>
      <w:szCs w:val="20"/>
    </w:rPr>
  </w:style>
  <w:style w:type="paragraph" w:styleId="CommentSubject">
    <w:name w:val="annotation subject"/>
    <w:basedOn w:val="CommentText"/>
    <w:next w:val="CommentText"/>
    <w:link w:val="CommentSubjectChar"/>
    <w:uiPriority w:val="99"/>
    <w:semiHidden/>
    <w:unhideWhenUsed/>
    <w:rsid w:val="00D01061"/>
    <w:rPr>
      <w:b/>
      <w:bCs/>
    </w:rPr>
  </w:style>
  <w:style w:type="character" w:customStyle="1" w:styleId="CommentSubjectChar">
    <w:name w:val="Comment Subject Char"/>
    <w:basedOn w:val="CommentTextChar"/>
    <w:link w:val="CommentSubject"/>
    <w:uiPriority w:val="99"/>
    <w:semiHidden/>
    <w:rsid w:val="00D01061"/>
    <w:rPr>
      <w:b/>
      <w:bCs/>
      <w:sz w:val="20"/>
      <w:szCs w:val="20"/>
    </w:rPr>
  </w:style>
  <w:style w:type="paragraph" w:styleId="ListParagraph">
    <w:name w:val="List Paragraph"/>
    <w:aliases w:val="2,Akapit z listą BS,H&amp;P List Paragraph,Strip"/>
    <w:basedOn w:val="Normal"/>
    <w:link w:val="ListParagraphChar"/>
    <w:uiPriority w:val="34"/>
    <w:qFormat/>
    <w:rsid w:val="00D45437"/>
    <w:pPr>
      <w:ind w:left="720"/>
      <w:contextualSpacing/>
    </w:p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
    <w:basedOn w:val="Normal"/>
    <w:link w:val="FootnoteTextChar"/>
    <w:uiPriority w:val="99"/>
    <w:rsid w:val="00A66D9A"/>
    <w:pPr>
      <w:jc w:val="both"/>
    </w:pPr>
    <w:rPr>
      <w:rFonts w:eastAsia="Times New Roman" w:cs="Times New Roman"/>
      <w:sz w:val="20"/>
      <w:szCs w:val="20"/>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
    <w:basedOn w:val="DefaultParagraphFont"/>
    <w:link w:val="FootnoteText"/>
    <w:uiPriority w:val="99"/>
    <w:rsid w:val="00A66D9A"/>
    <w:rPr>
      <w:rFonts w:ascii="Times New Roman" w:eastAsia="Times New Roman" w:hAnsi="Times New Roman" w:cs="Times New Roman"/>
      <w:sz w:val="20"/>
      <w:szCs w:val="20"/>
    </w:rPr>
  </w:style>
  <w:style w:type="character" w:styleId="FootnoteReference">
    <w:name w:val="footnote reference"/>
    <w:aliases w:val="Footnote Reference Number,Footnote symbol,SUPERS,Footnote Reference Superscript,BVI fnr,Footnote reference number,Times 10 Point,Exposant 3 Point,Footnote Reference_LVL6,Footnote Reference_LVL61,Footnote Reference_LVL62,Ref"/>
    <w:uiPriority w:val="99"/>
    <w:rsid w:val="00A66D9A"/>
    <w:rPr>
      <w:rFonts w:ascii="Times New Roman" w:hAnsi="Times New Roman"/>
      <w:vertAlign w:val="superscript"/>
    </w:rPr>
  </w:style>
  <w:style w:type="paragraph" w:styleId="BodyTextIndent">
    <w:name w:val="Body Text Indent"/>
    <w:basedOn w:val="Normal"/>
    <w:link w:val="BodyTextIndentChar"/>
    <w:uiPriority w:val="99"/>
    <w:unhideWhenUsed/>
    <w:rsid w:val="00E21CEF"/>
    <w:pPr>
      <w:spacing w:before="120" w:after="120"/>
      <w:ind w:left="283"/>
    </w:pPr>
    <w:rPr>
      <w:rFonts w:eastAsia="Times New Roman" w:cs="Times New Roman"/>
      <w:sz w:val="20"/>
      <w:szCs w:val="20"/>
    </w:rPr>
  </w:style>
  <w:style w:type="character" w:customStyle="1" w:styleId="BodyTextIndentChar">
    <w:name w:val="Body Text Indent Char"/>
    <w:basedOn w:val="DefaultParagraphFont"/>
    <w:link w:val="BodyTextIndent"/>
    <w:uiPriority w:val="99"/>
    <w:rsid w:val="00E21CEF"/>
    <w:rPr>
      <w:rFonts w:ascii="Times New Roman" w:eastAsia="Times New Roman" w:hAnsi="Times New Roman" w:cs="Times New Roman"/>
      <w:sz w:val="20"/>
      <w:szCs w:val="20"/>
    </w:rPr>
  </w:style>
  <w:style w:type="paragraph" w:styleId="Revision">
    <w:name w:val="Revision"/>
    <w:hidden/>
    <w:uiPriority w:val="99"/>
    <w:semiHidden/>
    <w:rsid w:val="000B2E31"/>
    <w:pPr>
      <w:spacing w:after="0" w:line="240" w:lineRule="auto"/>
    </w:pPr>
  </w:style>
  <w:style w:type="paragraph" w:styleId="NormalWeb">
    <w:name w:val="Normal (Web)"/>
    <w:basedOn w:val="Normal"/>
    <w:uiPriority w:val="99"/>
    <w:unhideWhenUsed/>
    <w:rsid w:val="00E9794A"/>
    <w:rPr>
      <w:rFonts w:cs="Times New Roman"/>
      <w:szCs w:val="24"/>
      <w:lang w:eastAsia="lv-LV"/>
    </w:rPr>
  </w:style>
  <w:style w:type="paragraph" w:styleId="BodyText">
    <w:name w:val="Body Text"/>
    <w:basedOn w:val="Normal"/>
    <w:link w:val="BodyTextChar"/>
    <w:uiPriority w:val="99"/>
    <w:unhideWhenUsed/>
    <w:rsid w:val="00833F6E"/>
    <w:pPr>
      <w:spacing w:after="120"/>
    </w:pPr>
    <w:rPr>
      <w:rFonts w:eastAsia="Times New Roman" w:cs="Times New Roman"/>
      <w:szCs w:val="24"/>
      <w:lang w:eastAsia="lv-LV"/>
    </w:rPr>
  </w:style>
  <w:style w:type="character" w:customStyle="1" w:styleId="BodyTextChar">
    <w:name w:val="Body Text Char"/>
    <w:basedOn w:val="DefaultParagraphFont"/>
    <w:link w:val="BodyText"/>
    <w:uiPriority w:val="99"/>
    <w:rsid w:val="00833F6E"/>
    <w:rPr>
      <w:rFonts w:ascii="Times New Roman" w:eastAsia="Times New Roman" w:hAnsi="Times New Roman" w:cs="Times New Roman"/>
      <w:sz w:val="24"/>
      <w:szCs w:val="24"/>
      <w:lang w:eastAsia="lv-LV"/>
    </w:rPr>
  </w:style>
  <w:style w:type="paragraph" w:customStyle="1" w:styleId="c01pointnumerotealtn">
    <w:name w:val="c01pointnumerotealtn"/>
    <w:basedOn w:val="Normal"/>
    <w:rsid w:val="00E001FE"/>
    <w:pPr>
      <w:spacing w:before="100" w:beforeAutospacing="1" w:after="240"/>
      <w:ind w:left="567" w:hanging="539"/>
      <w:jc w:val="both"/>
    </w:pPr>
    <w:rPr>
      <w:rFonts w:eastAsia="Times New Roman" w:cs="Times New Roman"/>
      <w:szCs w:val="24"/>
      <w:lang w:eastAsia="lv-LV"/>
    </w:rPr>
  </w:style>
  <w:style w:type="paragraph" w:styleId="EndnoteText">
    <w:name w:val="endnote text"/>
    <w:basedOn w:val="Normal"/>
    <w:link w:val="EndnoteTextChar"/>
    <w:uiPriority w:val="99"/>
    <w:semiHidden/>
    <w:unhideWhenUsed/>
    <w:rsid w:val="00F809D9"/>
    <w:rPr>
      <w:sz w:val="20"/>
      <w:szCs w:val="20"/>
    </w:rPr>
  </w:style>
  <w:style w:type="character" w:customStyle="1" w:styleId="EndnoteTextChar">
    <w:name w:val="Endnote Text Char"/>
    <w:basedOn w:val="DefaultParagraphFont"/>
    <w:link w:val="EndnoteText"/>
    <w:uiPriority w:val="99"/>
    <w:semiHidden/>
    <w:rsid w:val="00F809D9"/>
    <w:rPr>
      <w:rFonts w:ascii="Times New Roman" w:hAnsi="Times New Roman"/>
      <w:sz w:val="20"/>
      <w:szCs w:val="20"/>
    </w:rPr>
  </w:style>
  <w:style w:type="character" w:styleId="EndnoteReference">
    <w:name w:val="endnote reference"/>
    <w:basedOn w:val="DefaultParagraphFont"/>
    <w:uiPriority w:val="99"/>
    <w:semiHidden/>
    <w:unhideWhenUsed/>
    <w:rsid w:val="00F809D9"/>
    <w:rPr>
      <w:vertAlign w:val="superscript"/>
    </w:rPr>
  </w:style>
  <w:style w:type="character" w:customStyle="1" w:styleId="st">
    <w:name w:val="st"/>
    <w:rsid w:val="006664BF"/>
  </w:style>
  <w:style w:type="character" w:styleId="Emphasis">
    <w:name w:val="Emphasis"/>
    <w:basedOn w:val="DefaultParagraphFont"/>
    <w:uiPriority w:val="20"/>
    <w:qFormat/>
    <w:rsid w:val="006664BF"/>
    <w:rPr>
      <w:i/>
      <w:iCs/>
    </w:rPr>
  </w:style>
  <w:style w:type="paragraph" w:customStyle="1" w:styleId="naiskr">
    <w:name w:val="naiskr"/>
    <w:basedOn w:val="Normal"/>
    <w:rsid w:val="00614474"/>
    <w:pPr>
      <w:spacing w:before="75" w:after="75"/>
    </w:pPr>
    <w:rPr>
      <w:rFonts w:eastAsia="Times New Roman" w:cs="Times New Roman"/>
      <w:szCs w:val="24"/>
      <w:lang w:eastAsia="lv-LV"/>
    </w:rPr>
  </w:style>
  <w:style w:type="character" w:customStyle="1" w:styleId="ListParagraphChar">
    <w:name w:val="List Paragraph Char"/>
    <w:aliases w:val="2 Char,Akapit z listą BS Char,H&amp;P List Paragraph Char,Strip Char"/>
    <w:link w:val="ListParagraph"/>
    <w:uiPriority w:val="34"/>
    <w:locked/>
    <w:rsid w:val="00614474"/>
    <w:rPr>
      <w:rFonts w:ascii="Times New Roman" w:hAnsi="Times New Roman"/>
      <w:sz w:val="24"/>
    </w:rPr>
  </w:style>
  <w:style w:type="character" w:customStyle="1" w:styleId="Heading1Char">
    <w:name w:val="Heading 1 Char"/>
    <w:basedOn w:val="DefaultParagraphFont"/>
    <w:link w:val="Heading1"/>
    <w:uiPriority w:val="9"/>
    <w:rsid w:val="003D53CA"/>
    <w:rPr>
      <w:rFonts w:ascii="Times New Roman" w:eastAsia="Times New Roman" w:hAnsi="Times New Roman" w:cs="Times New Roman"/>
      <w:b/>
      <w:bCs/>
      <w:sz w:val="32"/>
      <w:szCs w:val="28"/>
    </w:rPr>
  </w:style>
  <w:style w:type="character" w:customStyle="1" w:styleId="Heading3Char">
    <w:name w:val="Heading 3 Char"/>
    <w:basedOn w:val="DefaultParagraphFont"/>
    <w:link w:val="Heading3"/>
    <w:uiPriority w:val="9"/>
    <w:rsid w:val="003D53CA"/>
    <w:rPr>
      <w:rFonts w:ascii="Cambria" w:eastAsia="Times New Roman" w:hAnsi="Cambria" w:cs="Times New Roman"/>
      <w:b/>
      <w:bCs/>
      <w:sz w:val="26"/>
      <w:szCs w:val="26"/>
    </w:rPr>
  </w:style>
  <w:style w:type="character" w:customStyle="1" w:styleId="Heading5Char">
    <w:name w:val="Heading 5 Char"/>
    <w:basedOn w:val="DefaultParagraphFont"/>
    <w:link w:val="Heading5"/>
    <w:rsid w:val="003D53CA"/>
    <w:rPr>
      <w:rFonts w:ascii="Times New Roman" w:eastAsia="Times New Roman" w:hAnsi="Times New Roman" w:cs="Times New Roman"/>
      <w:b/>
      <w:bCs/>
      <w:i/>
      <w:iCs/>
      <w:kern w:val="1"/>
      <w:sz w:val="26"/>
      <w:szCs w:val="26"/>
      <w:lang w:eastAsia="ar-SA"/>
    </w:rPr>
  </w:style>
  <w:style w:type="numbering" w:customStyle="1" w:styleId="NoList1">
    <w:name w:val="No List1"/>
    <w:next w:val="NoList"/>
    <w:uiPriority w:val="99"/>
    <w:semiHidden/>
    <w:unhideWhenUsed/>
    <w:rsid w:val="003D53CA"/>
  </w:style>
  <w:style w:type="paragraph" w:customStyle="1" w:styleId="naisnod">
    <w:name w:val="naisnod"/>
    <w:basedOn w:val="Normal"/>
    <w:rsid w:val="003D53CA"/>
    <w:pPr>
      <w:spacing w:before="100" w:beforeAutospacing="1" w:after="100" w:afterAutospacing="1"/>
    </w:pPr>
    <w:rPr>
      <w:rFonts w:eastAsia="Times New Roman" w:cs="Times New Roman"/>
      <w:szCs w:val="24"/>
      <w:lang w:eastAsia="lv-LV"/>
    </w:rPr>
  </w:style>
  <w:style w:type="paragraph" w:customStyle="1" w:styleId="naisc">
    <w:name w:val="naisc"/>
    <w:basedOn w:val="Normal"/>
    <w:rsid w:val="003D53CA"/>
    <w:pPr>
      <w:spacing w:before="100" w:beforeAutospacing="1" w:after="100" w:afterAutospacing="1"/>
    </w:pPr>
    <w:rPr>
      <w:rFonts w:eastAsia="Times New Roman" w:cs="Times New Roman"/>
      <w:szCs w:val="24"/>
      <w:lang w:eastAsia="lv-LV"/>
    </w:rPr>
  </w:style>
  <w:style w:type="paragraph" w:customStyle="1" w:styleId="naislab">
    <w:name w:val="naislab"/>
    <w:basedOn w:val="Normal"/>
    <w:rsid w:val="003D53CA"/>
    <w:pPr>
      <w:spacing w:before="100" w:beforeAutospacing="1" w:after="100" w:afterAutospacing="1"/>
    </w:pPr>
    <w:rPr>
      <w:rFonts w:eastAsia="Times New Roman" w:cs="Times New Roman"/>
      <w:szCs w:val="24"/>
      <w:lang w:eastAsia="lv-LV"/>
    </w:rPr>
  </w:style>
  <w:style w:type="paragraph" w:customStyle="1" w:styleId="naisf">
    <w:name w:val="naisf"/>
    <w:basedOn w:val="Normal"/>
    <w:rsid w:val="003D53CA"/>
    <w:pPr>
      <w:spacing w:before="100" w:beforeAutospacing="1" w:after="100" w:afterAutospacing="1"/>
    </w:pPr>
    <w:rPr>
      <w:rFonts w:eastAsia="Times New Roman" w:cs="Times New Roman"/>
      <w:szCs w:val="24"/>
      <w:lang w:eastAsia="lv-LV"/>
    </w:rPr>
  </w:style>
  <w:style w:type="character" w:customStyle="1" w:styleId="spelle">
    <w:name w:val="spelle"/>
    <w:basedOn w:val="DefaultParagraphFont"/>
    <w:rsid w:val="003D53CA"/>
  </w:style>
  <w:style w:type="character" w:styleId="Strong">
    <w:name w:val="Strong"/>
    <w:uiPriority w:val="22"/>
    <w:qFormat/>
    <w:rsid w:val="003D53CA"/>
    <w:rPr>
      <w:b/>
      <w:bCs/>
    </w:rPr>
  </w:style>
  <w:style w:type="paragraph" w:customStyle="1" w:styleId="T">
    <w:name w:val="T"/>
    <w:basedOn w:val="Normal"/>
    <w:rsid w:val="003D53CA"/>
    <w:pPr>
      <w:jc w:val="center"/>
    </w:pPr>
    <w:rPr>
      <w:rFonts w:eastAsia="Times New Roman" w:cs="Times New Roman"/>
      <w:b/>
      <w:i/>
      <w:szCs w:val="20"/>
    </w:rPr>
  </w:style>
  <w:style w:type="paragraph" w:customStyle="1" w:styleId="Daaarnumuru">
    <w:name w:val="Daļa ar numuru"/>
    <w:basedOn w:val="Normal"/>
    <w:qFormat/>
    <w:rsid w:val="003D53CA"/>
    <w:pPr>
      <w:widowControl w:val="0"/>
      <w:numPr>
        <w:numId w:val="6"/>
      </w:numPr>
      <w:tabs>
        <w:tab w:val="left" w:pos="1072"/>
        <w:tab w:val="left" w:pos="1418"/>
      </w:tabs>
      <w:adjustRightInd w:val="0"/>
      <w:spacing w:before="120" w:after="120"/>
      <w:ind w:left="0" w:firstLine="720"/>
      <w:jc w:val="both"/>
      <w:textAlignment w:val="baseline"/>
    </w:pPr>
    <w:rPr>
      <w:rFonts w:eastAsia="Times New Roman" w:cs="Times New Roman"/>
      <w:sz w:val="28"/>
      <w:szCs w:val="28"/>
      <w:lang w:eastAsia="lv-LV"/>
    </w:rPr>
  </w:style>
  <w:style w:type="paragraph" w:customStyle="1" w:styleId="CM4">
    <w:name w:val="CM4"/>
    <w:basedOn w:val="Default"/>
    <w:next w:val="Default"/>
    <w:uiPriority w:val="99"/>
    <w:rsid w:val="003D53CA"/>
    <w:rPr>
      <w:rFonts w:ascii="EUAlbertina" w:eastAsia="Calibri" w:hAnsi="EUAlbertina"/>
      <w:color w:val="auto"/>
      <w:lang w:eastAsia="lv-LV"/>
    </w:rPr>
  </w:style>
  <w:style w:type="table" w:customStyle="1" w:styleId="TableGrid1">
    <w:name w:val="Table Grid1"/>
    <w:basedOn w:val="TableNormal"/>
    <w:next w:val="TableGrid"/>
    <w:uiPriority w:val="39"/>
    <w:rsid w:val="003D53CA"/>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rsid w:val="003D53CA"/>
    <w:pPr>
      <w:spacing w:before="100" w:beforeAutospacing="1" w:after="100" w:afterAutospacing="1"/>
    </w:pPr>
    <w:rPr>
      <w:rFonts w:eastAsia="Times New Roman" w:cs="Times New Roman"/>
      <w:color w:val="000000"/>
      <w:szCs w:val="24"/>
      <w:lang w:eastAsia="lv-LV"/>
    </w:rPr>
  </w:style>
  <w:style w:type="paragraph" w:customStyle="1" w:styleId="Daabeznumura">
    <w:name w:val="Daļa bez numura"/>
    <w:basedOn w:val="Normal"/>
    <w:qFormat/>
    <w:rsid w:val="003D53CA"/>
    <w:pPr>
      <w:widowControl w:val="0"/>
      <w:adjustRightInd w:val="0"/>
      <w:spacing w:before="120" w:after="120"/>
      <w:ind w:firstLine="720"/>
      <w:jc w:val="both"/>
      <w:textAlignment w:val="baseline"/>
    </w:pPr>
    <w:rPr>
      <w:rFonts w:eastAsia="Times New Roman" w:cs="Times New Roman"/>
      <w:sz w:val="28"/>
      <w:szCs w:val="28"/>
      <w:lang w:eastAsia="lv-LV"/>
    </w:rPr>
  </w:style>
  <w:style w:type="paragraph" w:customStyle="1" w:styleId="CharChar">
    <w:name w:val="Char Char"/>
    <w:basedOn w:val="Normal"/>
    <w:rsid w:val="003D53CA"/>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3D53CA"/>
    <w:rPr>
      <w:rFonts w:ascii="EUAlbertina" w:eastAsia="Times New Roman" w:hAnsi="EUAlbertina"/>
      <w:color w:val="auto"/>
      <w:lang w:eastAsia="lv-LV"/>
    </w:rPr>
  </w:style>
  <w:style w:type="character" w:customStyle="1" w:styleId="FontStyle26">
    <w:name w:val="Font Style26"/>
    <w:uiPriority w:val="99"/>
    <w:rsid w:val="003D53CA"/>
    <w:rPr>
      <w:rFonts w:ascii="Calibri" w:hAnsi="Calibri" w:cs="Calibri" w:hint="default"/>
      <w:b/>
      <w:bCs/>
      <w:sz w:val="22"/>
      <w:szCs w:val="22"/>
    </w:rPr>
  </w:style>
  <w:style w:type="paragraph" w:styleId="PlainText">
    <w:name w:val="Plain Text"/>
    <w:basedOn w:val="Normal"/>
    <w:link w:val="PlainTextChar"/>
    <w:uiPriority w:val="99"/>
    <w:unhideWhenUsed/>
    <w:rsid w:val="003D53CA"/>
    <w:rPr>
      <w:rFonts w:ascii="Calibri" w:eastAsia="Calibri" w:hAnsi="Calibri" w:cs="Calibri"/>
      <w:sz w:val="22"/>
      <w:lang w:eastAsia="lv-LV"/>
    </w:rPr>
  </w:style>
  <w:style w:type="character" w:customStyle="1" w:styleId="PlainTextChar">
    <w:name w:val="Plain Text Char"/>
    <w:basedOn w:val="DefaultParagraphFont"/>
    <w:link w:val="PlainText"/>
    <w:uiPriority w:val="99"/>
    <w:rsid w:val="003D53CA"/>
    <w:rPr>
      <w:rFonts w:ascii="Calibri" w:eastAsia="Calibri" w:hAnsi="Calibri" w:cs="Calibri"/>
      <w:lang w:eastAsia="lv-LV"/>
    </w:rPr>
  </w:style>
  <w:style w:type="paragraph" w:styleId="BodyText2">
    <w:name w:val="Body Text 2"/>
    <w:basedOn w:val="Normal"/>
    <w:link w:val="BodyText2Char"/>
    <w:uiPriority w:val="99"/>
    <w:semiHidden/>
    <w:unhideWhenUsed/>
    <w:rsid w:val="003D53CA"/>
    <w:pPr>
      <w:spacing w:after="120" w:line="480" w:lineRule="auto"/>
    </w:pPr>
    <w:rPr>
      <w:rFonts w:eastAsia="Calibri" w:cs="Times New Roman"/>
      <w:sz w:val="28"/>
    </w:rPr>
  </w:style>
  <w:style w:type="character" w:customStyle="1" w:styleId="BodyText2Char">
    <w:name w:val="Body Text 2 Char"/>
    <w:basedOn w:val="DefaultParagraphFont"/>
    <w:link w:val="BodyText2"/>
    <w:uiPriority w:val="99"/>
    <w:semiHidden/>
    <w:rsid w:val="003D53CA"/>
    <w:rPr>
      <w:rFonts w:ascii="Times New Roman" w:eastAsia="Calibri" w:hAnsi="Times New Roman" w:cs="Times New Roman"/>
      <w:sz w:val="28"/>
    </w:rPr>
  </w:style>
  <w:style w:type="paragraph" w:customStyle="1" w:styleId="Tiret0">
    <w:name w:val="Tiret 0"/>
    <w:basedOn w:val="Normal"/>
    <w:rsid w:val="003D53CA"/>
    <w:pPr>
      <w:numPr>
        <w:numId w:val="8"/>
      </w:numPr>
      <w:spacing w:before="120" w:after="120"/>
      <w:jc w:val="both"/>
    </w:pPr>
    <w:rPr>
      <w:rFonts w:cs="Times New Roman"/>
      <w:lang w:eastAsia="lv-LV" w:bidi="lv-LV"/>
    </w:rPr>
  </w:style>
  <w:style w:type="character" w:customStyle="1" w:styleId="tlid-translation">
    <w:name w:val="tlid-translation"/>
    <w:basedOn w:val="DefaultParagraphFont"/>
    <w:rsid w:val="003D5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7557">
      <w:bodyDiv w:val="1"/>
      <w:marLeft w:val="0"/>
      <w:marRight w:val="0"/>
      <w:marTop w:val="0"/>
      <w:marBottom w:val="0"/>
      <w:divBdr>
        <w:top w:val="none" w:sz="0" w:space="0" w:color="auto"/>
        <w:left w:val="none" w:sz="0" w:space="0" w:color="auto"/>
        <w:bottom w:val="none" w:sz="0" w:space="0" w:color="auto"/>
        <w:right w:val="none" w:sz="0" w:space="0" w:color="auto"/>
      </w:divBdr>
    </w:div>
    <w:div w:id="14956324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4924759">
      <w:bodyDiv w:val="1"/>
      <w:marLeft w:val="0"/>
      <w:marRight w:val="0"/>
      <w:marTop w:val="0"/>
      <w:marBottom w:val="0"/>
      <w:divBdr>
        <w:top w:val="none" w:sz="0" w:space="0" w:color="auto"/>
        <w:left w:val="none" w:sz="0" w:space="0" w:color="auto"/>
        <w:bottom w:val="none" w:sz="0" w:space="0" w:color="auto"/>
        <w:right w:val="none" w:sz="0" w:space="0" w:color="auto"/>
      </w:divBdr>
    </w:div>
    <w:div w:id="433549844">
      <w:bodyDiv w:val="1"/>
      <w:marLeft w:val="0"/>
      <w:marRight w:val="0"/>
      <w:marTop w:val="0"/>
      <w:marBottom w:val="0"/>
      <w:divBdr>
        <w:top w:val="none" w:sz="0" w:space="0" w:color="auto"/>
        <w:left w:val="none" w:sz="0" w:space="0" w:color="auto"/>
        <w:bottom w:val="none" w:sz="0" w:space="0" w:color="auto"/>
        <w:right w:val="none" w:sz="0" w:space="0" w:color="auto"/>
      </w:divBdr>
    </w:div>
    <w:div w:id="680814054">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844395394">
      <w:bodyDiv w:val="1"/>
      <w:marLeft w:val="0"/>
      <w:marRight w:val="0"/>
      <w:marTop w:val="0"/>
      <w:marBottom w:val="0"/>
      <w:divBdr>
        <w:top w:val="none" w:sz="0" w:space="0" w:color="auto"/>
        <w:left w:val="none" w:sz="0" w:space="0" w:color="auto"/>
        <w:bottom w:val="none" w:sz="0" w:space="0" w:color="auto"/>
        <w:right w:val="none" w:sz="0" w:space="0" w:color="auto"/>
      </w:divBdr>
    </w:div>
    <w:div w:id="851066111">
      <w:bodyDiv w:val="1"/>
      <w:marLeft w:val="0"/>
      <w:marRight w:val="0"/>
      <w:marTop w:val="0"/>
      <w:marBottom w:val="0"/>
      <w:divBdr>
        <w:top w:val="none" w:sz="0" w:space="0" w:color="auto"/>
        <w:left w:val="none" w:sz="0" w:space="0" w:color="auto"/>
        <w:bottom w:val="none" w:sz="0" w:space="0" w:color="auto"/>
        <w:right w:val="none" w:sz="0" w:space="0" w:color="auto"/>
      </w:divBdr>
    </w:div>
    <w:div w:id="138664104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6091711">
      <w:bodyDiv w:val="1"/>
      <w:marLeft w:val="0"/>
      <w:marRight w:val="0"/>
      <w:marTop w:val="0"/>
      <w:marBottom w:val="0"/>
      <w:divBdr>
        <w:top w:val="none" w:sz="0" w:space="0" w:color="auto"/>
        <w:left w:val="none" w:sz="0" w:space="0" w:color="auto"/>
        <w:bottom w:val="none" w:sz="0" w:space="0" w:color="auto"/>
        <w:right w:val="none" w:sz="0" w:space="0" w:color="auto"/>
      </w:divBdr>
    </w:div>
    <w:div w:id="1525825704">
      <w:bodyDiv w:val="1"/>
      <w:marLeft w:val="0"/>
      <w:marRight w:val="0"/>
      <w:marTop w:val="0"/>
      <w:marBottom w:val="0"/>
      <w:divBdr>
        <w:top w:val="none" w:sz="0" w:space="0" w:color="auto"/>
        <w:left w:val="none" w:sz="0" w:space="0" w:color="auto"/>
        <w:bottom w:val="none" w:sz="0" w:space="0" w:color="auto"/>
        <w:right w:val="none" w:sz="0" w:space="0" w:color="auto"/>
      </w:divBdr>
    </w:div>
    <w:div w:id="1851947217">
      <w:bodyDiv w:val="1"/>
      <w:marLeft w:val="0"/>
      <w:marRight w:val="0"/>
      <w:marTop w:val="0"/>
      <w:marBottom w:val="0"/>
      <w:divBdr>
        <w:top w:val="none" w:sz="0" w:space="0" w:color="auto"/>
        <w:left w:val="none" w:sz="0" w:space="0" w:color="auto"/>
        <w:bottom w:val="none" w:sz="0" w:space="0" w:color="auto"/>
        <w:right w:val="none" w:sz="0" w:space="0" w:color="auto"/>
      </w:divBdr>
    </w:div>
    <w:div w:id="21160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k.gov.lv/lv/ministru-kabineta-diskusiju-dokument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doc/2020_12/FMANOT_271120_DRN%5b1%5d.237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 Bogdanova (NASIPD)</Vad_x012b_t_x0101_js>
    <TAP xmlns="49b0bb89-35b3-4114-9b1c-a376ef2ba045">91</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65BC0B-2A53-4765-BF6B-D880DE4CAC7E}">
  <ds:schemaRefs>
    <ds:schemaRef ds:uri="http://schemas.openxmlformats.org/officeDocument/2006/bibliography"/>
  </ds:schemaRefs>
</ds:datastoreItem>
</file>

<file path=customXml/itemProps2.xml><?xml version="1.0" encoding="utf-8"?>
<ds:datastoreItem xmlns:ds="http://schemas.openxmlformats.org/officeDocument/2006/customXml" ds:itemID="{06356CD9-5F63-4E2E-8E07-DD66CFE39EA1}">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747164C1-4D2D-42A6-A6DA-35672DC3F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B4EA5-5F1F-4C5A-9F29-F1175C524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10026</Words>
  <Characters>5715</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2018.gada 30.oktobra noteikumos Nr.661 “Kārtība, kādā maksā nodokļus, nodevas, citus valsts noteiktos maksājumus un ar tiem saistītos maksājumus un novirza tos saistību segšanai”” sākotnējā</vt:lpstr>
      <vt:lpstr>likumprojekta "Grozījumi likumā "Par nodokļiem un nodevām"" sākotnējās ietekmes novērtējuma ziņojums (anotācija)</vt:lpstr>
    </vt:vector>
  </TitlesOfParts>
  <Company>Finanšu ministrija</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2018.gada 30.oktobra noteikumos Nr.661 “Kārtība, kādā maksā nodokļus, nodevas, citus valsts noteiktos maksājumus un ar tiem saistītos maksājumus un novirza tos saistību segšanai”” sākotnējās ietekmes novērtējuma ziņojums</dc:title>
  <dc:subject>Anotācija</dc:subject>
  <dc:creator>K. Voiniča (NASIPD)</dc:creator>
  <dc:description>67095567, kristine.voinica@fm.gov.lv</dc:description>
  <cp:lastModifiedBy>Ingūna Runča</cp:lastModifiedBy>
  <cp:revision>6</cp:revision>
  <cp:lastPrinted>2019-08-01T09:07:00Z</cp:lastPrinted>
  <dcterms:created xsi:type="dcterms:W3CDTF">2021-03-25T07:33:00Z</dcterms:created>
  <dcterms:modified xsi:type="dcterms:W3CDTF">2021-03-26T10:53:00Z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y fmtid="{D5CDD505-2E9C-101B-9397-08002B2CF9AE}" pid="3" name="_MarkAsFinal">
    <vt:bool>true</vt:bool>
  </property>
</Properties>
</file>