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7FC0" w14:textId="77777777" w:rsidR="00F85AD5" w:rsidRPr="00A82ACF" w:rsidRDefault="00F85AD5" w:rsidP="0064260C">
      <w:pPr>
        <w:ind w:right="282"/>
        <w:jc w:val="right"/>
        <w:rPr>
          <w:i/>
          <w:sz w:val="28"/>
          <w:szCs w:val="28"/>
        </w:rPr>
      </w:pPr>
      <w:r w:rsidRPr="00A82ACF">
        <w:rPr>
          <w:i/>
          <w:sz w:val="28"/>
          <w:szCs w:val="28"/>
        </w:rPr>
        <w:t>Projekts</w:t>
      </w:r>
    </w:p>
    <w:p w14:paraId="5BD9AD62" w14:textId="77777777" w:rsidR="00F85AD5" w:rsidRPr="00A82ACF" w:rsidRDefault="00F85AD5" w:rsidP="0064260C">
      <w:pPr>
        <w:ind w:right="282"/>
        <w:rPr>
          <w:b/>
          <w:sz w:val="28"/>
          <w:szCs w:val="28"/>
        </w:rPr>
      </w:pPr>
    </w:p>
    <w:p w14:paraId="48DD7120" w14:textId="77777777" w:rsidR="00F85AD5" w:rsidRPr="00A82ACF" w:rsidRDefault="00F85AD5" w:rsidP="0064260C">
      <w:pPr>
        <w:ind w:right="282"/>
        <w:jc w:val="center"/>
        <w:rPr>
          <w:b/>
          <w:sz w:val="28"/>
          <w:szCs w:val="28"/>
        </w:rPr>
      </w:pPr>
      <w:r w:rsidRPr="00A82ACF">
        <w:rPr>
          <w:b/>
          <w:sz w:val="28"/>
          <w:szCs w:val="28"/>
        </w:rPr>
        <w:t>MINISTRU KABINETA SĒDES PROTOKOLLĒMUMS</w:t>
      </w:r>
      <w:bookmarkStart w:id="0" w:name="_GoBack"/>
    </w:p>
    <w:p w14:paraId="7249C15F" w14:textId="77777777" w:rsidR="00F85AD5" w:rsidRPr="00A82ACF" w:rsidRDefault="00F85AD5" w:rsidP="0064260C">
      <w:pPr>
        <w:ind w:right="282"/>
        <w:rPr>
          <w:sz w:val="28"/>
          <w:szCs w:val="28"/>
        </w:rPr>
      </w:pPr>
    </w:p>
    <w:bookmarkEnd w:id="0"/>
    <w:p w14:paraId="128C572B" w14:textId="77777777" w:rsidR="00F85AD5" w:rsidRPr="00A82ACF" w:rsidRDefault="00F85AD5" w:rsidP="0064260C">
      <w:pPr>
        <w:ind w:right="282"/>
        <w:rPr>
          <w:sz w:val="28"/>
          <w:szCs w:val="28"/>
        </w:rPr>
      </w:pPr>
    </w:p>
    <w:tbl>
      <w:tblPr>
        <w:tblW w:w="0" w:type="auto"/>
        <w:tblLook w:val="01E0" w:firstRow="1" w:lastRow="1" w:firstColumn="1" w:lastColumn="1" w:noHBand="0" w:noVBand="0"/>
      </w:tblPr>
      <w:tblGrid>
        <w:gridCol w:w="3016"/>
        <w:gridCol w:w="3011"/>
        <w:gridCol w:w="3044"/>
      </w:tblGrid>
      <w:tr w:rsidR="00A82ACF" w:rsidRPr="00A82ACF" w14:paraId="1951E3C2" w14:textId="77777777" w:rsidTr="008C2A3A">
        <w:tc>
          <w:tcPr>
            <w:tcW w:w="3095" w:type="dxa"/>
            <w:hideMark/>
          </w:tcPr>
          <w:p w14:paraId="2CF8D7A0" w14:textId="77777777" w:rsidR="00F85AD5" w:rsidRPr="00A82ACF" w:rsidRDefault="00F85AD5" w:rsidP="0064260C">
            <w:pPr>
              <w:ind w:right="282"/>
              <w:rPr>
                <w:sz w:val="28"/>
                <w:szCs w:val="28"/>
              </w:rPr>
            </w:pPr>
            <w:r w:rsidRPr="00A82ACF">
              <w:rPr>
                <w:sz w:val="28"/>
                <w:szCs w:val="28"/>
              </w:rPr>
              <w:t>Rīgā</w:t>
            </w:r>
          </w:p>
        </w:tc>
        <w:tc>
          <w:tcPr>
            <w:tcW w:w="3096" w:type="dxa"/>
            <w:hideMark/>
          </w:tcPr>
          <w:p w14:paraId="6174E825" w14:textId="77777777" w:rsidR="00F85AD5" w:rsidRPr="00A82ACF" w:rsidRDefault="00F85AD5" w:rsidP="0064260C">
            <w:pPr>
              <w:ind w:right="282"/>
              <w:jc w:val="center"/>
              <w:rPr>
                <w:sz w:val="28"/>
                <w:szCs w:val="28"/>
              </w:rPr>
            </w:pPr>
            <w:r w:rsidRPr="00A82ACF">
              <w:rPr>
                <w:sz w:val="28"/>
                <w:szCs w:val="28"/>
              </w:rPr>
              <w:t>Nr.</w:t>
            </w:r>
          </w:p>
        </w:tc>
        <w:tc>
          <w:tcPr>
            <w:tcW w:w="3096" w:type="dxa"/>
            <w:hideMark/>
          </w:tcPr>
          <w:p w14:paraId="5CFAB72B" w14:textId="0F745956" w:rsidR="00F85AD5" w:rsidRPr="00A82ACF" w:rsidRDefault="00F85AD5" w:rsidP="0064260C">
            <w:pPr>
              <w:ind w:right="282"/>
              <w:jc w:val="right"/>
              <w:rPr>
                <w:sz w:val="28"/>
                <w:szCs w:val="28"/>
              </w:rPr>
            </w:pPr>
            <w:r w:rsidRPr="00A82ACF">
              <w:rPr>
                <w:sz w:val="28"/>
                <w:szCs w:val="28"/>
              </w:rPr>
              <w:t>202</w:t>
            </w:r>
            <w:r w:rsidR="00905FF1">
              <w:rPr>
                <w:sz w:val="28"/>
                <w:szCs w:val="28"/>
              </w:rPr>
              <w:t>1</w:t>
            </w:r>
            <w:r w:rsidRPr="00A82ACF">
              <w:rPr>
                <w:sz w:val="28"/>
                <w:szCs w:val="28"/>
              </w:rPr>
              <w:t>. gada __.______</w:t>
            </w:r>
          </w:p>
        </w:tc>
      </w:tr>
      <w:tr w:rsidR="00A82ACF" w:rsidRPr="00A82ACF" w14:paraId="6C59C04F" w14:textId="77777777" w:rsidTr="008C2A3A">
        <w:tc>
          <w:tcPr>
            <w:tcW w:w="3095" w:type="dxa"/>
          </w:tcPr>
          <w:p w14:paraId="759B5BF8" w14:textId="77777777" w:rsidR="00F85AD5" w:rsidRPr="00A82ACF" w:rsidRDefault="00F85AD5" w:rsidP="0064260C">
            <w:pPr>
              <w:ind w:right="282"/>
              <w:rPr>
                <w:sz w:val="28"/>
                <w:szCs w:val="28"/>
              </w:rPr>
            </w:pPr>
          </w:p>
        </w:tc>
        <w:tc>
          <w:tcPr>
            <w:tcW w:w="3096" w:type="dxa"/>
          </w:tcPr>
          <w:p w14:paraId="642438C5" w14:textId="77777777" w:rsidR="00F85AD5" w:rsidRPr="00A82ACF" w:rsidRDefault="00F85AD5" w:rsidP="0064260C">
            <w:pPr>
              <w:ind w:right="282"/>
              <w:jc w:val="center"/>
              <w:rPr>
                <w:sz w:val="28"/>
                <w:szCs w:val="28"/>
              </w:rPr>
            </w:pPr>
          </w:p>
        </w:tc>
        <w:tc>
          <w:tcPr>
            <w:tcW w:w="3096" w:type="dxa"/>
          </w:tcPr>
          <w:p w14:paraId="5CA2CB2F" w14:textId="77777777" w:rsidR="00F85AD5" w:rsidRPr="00A82ACF" w:rsidRDefault="00F85AD5" w:rsidP="0064260C">
            <w:pPr>
              <w:ind w:right="282"/>
              <w:jc w:val="right"/>
              <w:rPr>
                <w:sz w:val="28"/>
                <w:szCs w:val="28"/>
              </w:rPr>
            </w:pPr>
          </w:p>
        </w:tc>
      </w:tr>
    </w:tbl>
    <w:p w14:paraId="4A3388AA" w14:textId="77777777" w:rsidR="00F85AD5" w:rsidRPr="00A82ACF" w:rsidRDefault="00F85AD5" w:rsidP="0064260C">
      <w:pPr>
        <w:pStyle w:val="NormalWeb"/>
        <w:ind w:right="282"/>
        <w:jc w:val="center"/>
        <w:rPr>
          <w:rFonts w:ascii="Times New Roman" w:hAnsi="Times New Roman" w:cs="Times New Roman"/>
          <w:bCs/>
          <w:color w:val="auto"/>
          <w:sz w:val="28"/>
          <w:szCs w:val="28"/>
        </w:rPr>
      </w:pPr>
      <w:bookmarkStart w:id="1" w:name="1"/>
      <w:bookmarkEnd w:id="1"/>
      <w:r w:rsidRPr="00A82ACF">
        <w:rPr>
          <w:rFonts w:ascii="Times New Roman" w:hAnsi="Times New Roman" w:cs="Times New Roman"/>
          <w:bCs/>
          <w:color w:val="auto"/>
          <w:sz w:val="28"/>
          <w:szCs w:val="28"/>
        </w:rPr>
        <w:t>.§</w:t>
      </w:r>
    </w:p>
    <w:p w14:paraId="360EC63D" w14:textId="08D538B2" w:rsidR="00F85AD5" w:rsidRDefault="00CB60B5" w:rsidP="0064260C">
      <w:pPr>
        <w:ind w:right="282"/>
        <w:jc w:val="center"/>
        <w:rPr>
          <w:rFonts w:eastAsiaTheme="minorHAnsi" w:cstheme="minorBidi"/>
          <w:b/>
          <w:sz w:val="28"/>
          <w:szCs w:val="28"/>
        </w:rPr>
      </w:pPr>
      <w:r>
        <w:rPr>
          <w:b/>
          <w:sz w:val="28"/>
          <w:szCs w:val="28"/>
        </w:rPr>
        <w:t xml:space="preserve"> </w:t>
      </w:r>
      <w:r w:rsidR="00322E71" w:rsidRPr="00322E71">
        <w:rPr>
          <w:rFonts w:eastAsiaTheme="minorHAnsi" w:cstheme="minorBidi"/>
          <w:b/>
          <w:sz w:val="28"/>
          <w:szCs w:val="28"/>
        </w:rPr>
        <w:t>P</w:t>
      </w:r>
      <w:r w:rsidR="00A82ACF" w:rsidRPr="00322E71">
        <w:rPr>
          <w:rFonts w:eastAsiaTheme="minorHAnsi" w:cstheme="minorBidi"/>
          <w:b/>
          <w:sz w:val="28"/>
          <w:szCs w:val="28"/>
        </w:rPr>
        <w:t xml:space="preserve">ar </w:t>
      </w:r>
      <w:r w:rsidR="00322E71" w:rsidRPr="00322E71">
        <w:rPr>
          <w:b/>
          <w:sz w:val="28"/>
          <w:szCs w:val="28"/>
        </w:rPr>
        <w:t>Latvijas At</w:t>
      </w:r>
      <w:r w:rsidR="005F3704">
        <w:rPr>
          <w:b/>
          <w:sz w:val="28"/>
          <w:szCs w:val="28"/>
        </w:rPr>
        <w:t>veseļošanas</w:t>
      </w:r>
      <w:r w:rsidR="00322E71" w:rsidRPr="00322E71">
        <w:rPr>
          <w:b/>
          <w:sz w:val="28"/>
          <w:szCs w:val="28"/>
        </w:rPr>
        <w:t xml:space="preserve"> un noturības mehānisma </w:t>
      </w:r>
      <w:r w:rsidR="00905FF1" w:rsidRPr="00322E71">
        <w:rPr>
          <w:rFonts w:eastAsiaTheme="minorHAnsi" w:cstheme="minorBidi"/>
          <w:b/>
          <w:sz w:val="28"/>
          <w:szCs w:val="28"/>
        </w:rPr>
        <w:t>plān</w:t>
      </w:r>
      <w:r w:rsidR="005F3704">
        <w:rPr>
          <w:rFonts w:eastAsiaTheme="minorHAnsi" w:cstheme="minorBidi"/>
          <w:b/>
          <w:sz w:val="28"/>
          <w:szCs w:val="28"/>
        </w:rPr>
        <w:t>u</w:t>
      </w:r>
    </w:p>
    <w:p w14:paraId="4A123C10" w14:textId="77777777" w:rsidR="0064260C" w:rsidRPr="00A82ACF" w:rsidRDefault="0064260C" w:rsidP="0064260C">
      <w:pPr>
        <w:ind w:right="282"/>
        <w:jc w:val="center"/>
        <w:rPr>
          <w:b/>
          <w:sz w:val="28"/>
          <w:szCs w:val="28"/>
        </w:rPr>
      </w:pPr>
    </w:p>
    <w:p w14:paraId="6FD7DBE3" w14:textId="77777777" w:rsidR="00F85AD5" w:rsidRPr="00A82ACF" w:rsidRDefault="00F85AD5" w:rsidP="0064260C">
      <w:pPr>
        <w:ind w:right="282"/>
        <w:jc w:val="center"/>
        <w:rPr>
          <w:b/>
          <w:sz w:val="28"/>
          <w:szCs w:val="28"/>
        </w:rPr>
      </w:pPr>
    </w:p>
    <w:p w14:paraId="0675EA76" w14:textId="77777777" w:rsidR="00F85AD5" w:rsidRPr="00A82ACF" w:rsidRDefault="00F85AD5" w:rsidP="0064260C">
      <w:pPr>
        <w:ind w:right="282"/>
        <w:jc w:val="center"/>
        <w:rPr>
          <w:b/>
          <w:szCs w:val="28"/>
        </w:rPr>
      </w:pPr>
      <w:r w:rsidRPr="00A82ACF">
        <w:rPr>
          <w:b/>
          <w:szCs w:val="28"/>
        </w:rPr>
        <w:t>TA-____________________________________________________</w:t>
      </w:r>
    </w:p>
    <w:p w14:paraId="74B05BE0" w14:textId="77777777" w:rsidR="00F85AD5" w:rsidRPr="00A82ACF" w:rsidRDefault="00F85AD5" w:rsidP="0064260C">
      <w:pPr>
        <w:ind w:right="282"/>
        <w:jc w:val="center"/>
        <w:rPr>
          <w:szCs w:val="28"/>
        </w:rPr>
      </w:pPr>
      <w:r w:rsidRPr="00A82ACF">
        <w:rPr>
          <w:szCs w:val="28"/>
        </w:rPr>
        <w:t>( ... )</w:t>
      </w:r>
    </w:p>
    <w:p w14:paraId="16FB9067" w14:textId="154CFD9A" w:rsidR="00F85AD5" w:rsidRDefault="00F85AD5" w:rsidP="0064260C">
      <w:pPr>
        <w:tabs>
          <w:tab w:val="left" w:pos="284"/>
        </w:tabs>
        <w:ind w:right="282"/>
        <w:jc w:val="both"/>
        <w:rPr>
          <w:b/>
          <w:sz w:val="28"/>
          <w:szCs w:val="28"/>
        </w:rPr>
      </w:pPr>
    </w:p>
    <w:p w14:paraId="45A9BF7B" w14:textId="1C23B6EA" w:rsidR="0064260C" w:rsidRDefault="0064260C" w:rsidP="0064260C">
      <w:pPr>
        <w:tabs>
          <w:tab w:val="left" w:pos="284"/>
        </w:tabs>
        <w:ind w:right="282"/>
        <w:jc w:val="both"/>
        <w:rPr>
          <w:b/>
          <w:sz w:val="28"/>
          <w:szCs w:val="28"/>
        </w:rPr>
      </w:pPr>
    </w:p>
    <w:p w14:paraId="212CF1B2" w14:textId="77777777" w:rsidR="0064260C" w:rsidRPr="00A82ACF" w:rsidRDefault="0064260C" w:rsidP="0064260C">
      <w:pPr>
        <w:tabs>
          <w:tab w:val="left" w:pos="284"/>
        </w:tabs>
        <w:ind w:right="282"/>
        <w:jc w:val="both"/>
        <w:rPr>
          <w:b/>
          <w:sz w:val="28"/>
          <w:szCs w:val="28"/>
        </w:rPr>
      </w:pPr>
    </w:p>
    <w:p w14:paraId="02D1F1FA" w14:textId="32A1521D" w:rsidR="005F3704" w:rsidRPr="005F3704" w:rsidRDefault="005F3704" w:rsidP="00FC74DB">
      <w:pPr>
        <w:pStyle w:val="ListParagraph"/>
        <w:numPr>
          <w:ilvl w:val="0"/>
          <w:numId w:val="1"/>
        </w:numPr>
        <w:tabs>
          <w:tab w:val="left" w:pos="993"/>
        </w:tabs>
        <w:jc w:val="both"/>
        <w:rPr>
          <w:sz w:val="28"/>
          <w:szCs w:val="28"/>
        </w:rPr>
      </w:pPr>
      <w:r w:rsidRPr="005F3704">
        <w:rPr>
          <w:sz w:val="28"/>
          <w:szCs w:val="28"/>
        </w:rPr>
        <w:t>Pieņemt iesniegto rīkojuma projektu.</w:t>
      </w:r>
    </w:p>
    <w:p w14:paraId="164FDBC9" w14:textId="1F90B883" w:rsidR="00FC74DB" w:rsidRDefault="00FC74DB" w:rsidP="00FC74DB">
      <w:pPr>
        <w:pStyle w:val="ListParagraph"/>
        <w:numPr>
          <w:ilvl w:val="0"/>
          <w:numId w:val="1"/>
        </w:numPr>
        <w:tabs>
          <w:tab w:val="left" w:pos="993"/>
        </w:tabs>
        <w:jc w:val="both"/>
        <w:rPr>
          <w:sz w:val="28"/>
          <w:szCs w:val="28"/>
        </w:rPr>
      </w:pPr>
      <w:r>
        <w:rPr>
          <w:sz w:val="28"/>
          <w:szCs w:val="28"/>
        </w:rPr>
        <w:t xml:space="preserve">Finanšu ministrijai  </w:t>
      </w:r>
      <w:r w:rsidRPr="00FC74DB">
        <w:rPr>
          <w:sz w:val="28"/>
          <w:szCs w:val="28"/>
        </w:rPr>
        <w:t>līdz 2021.gada 30.aprīlim nodrošināt</w:t>
      </w:r>
      <w:r w:rsidRPr="00FD7314">
        <w:rPr>
          <w:sz w:val="28"/>
          <w:szCs w:val="28"/>
        </w:rPr>
        <w:t xml:space="preserve"> </w:t>
      </w:r>
      <w:r w:rsidR="005F3704">
        <w:rPr>
          <w:sz w:val="28"/>
          <w:szCs w:val="28"/>
        </w:rPr>
        <w:t xml:space="preserve">Latvijas Atveseļošanas un noturības mehānisma (turpmāk – </w:t>
      </w:r>
      <w:r>
        <w:rPr>
          <w:sz w:val="28"/>
          <w:szCs w:val="28"/>
        </w:rPr>
        <w:t>ANM</w:t>
      </w:r>
      <w:r w:rsidR="005F3704">
        <w:rPr>
          <w:sz w:val="28"/>
          <w:szCs w:val="28"/>
        </w:rPr>
        <w:t>)</w:t>
      </w:r>
      <w:r>
        <w:rPr>
          <w:sz w:val="28"/>
          <w:szCs w:val="28"/>
        </w:rPr>
        <w:t xml:space="preserve"> plāna iesniegšanu Eiropas Komisijai.</w:t>
      </w:r>
    </w:p>
    <w:p w14:paraId="15DD04E0" w14:textId="4E66101E" w:rsidR="0014014A" w:rsidRDefault="0014014A" w:rsidP="00FC74DB">
      <w:pPr>
        <w:pStyle w:val="ListParagraph"/>
        <w:numPr>
          <w:ilvl w:val="0"/>
          <w:numId w:val="1"/>
        </w:numPr>
        <w:tabs>
          <w:tab w:val="left" w:pos="993"/>
        </w:tabs>
        <w:jc w:val="both"/>
        <w:rPr>
          <w:sz w:val="28"/>
          <w:szCs w:val="28"/>
        </w:rPr>
      </w:pPr>
      <w:r>
        <w:rPr>
          <w:sz w:val="28"/>
          <w:szCs w:val="28"/>
        </w:rPr>
        <w:t xml:space="preserve">Ekonomikas ministrijai sadarbībā ar </w:t>
      </w:r>
      <w:r w:rsidRPr="0009590D">
        <w:rPr>
          <w:sz w:val="28"/>
          <w:szCs w:val="28"/>
        </w:rPr>
        <w:t xml:space="preserve">Latvijas Zinātņu akadēmiju </w:t>
      </w:r>
      <w:r w:rsidR="00DB6D2C" w:rsidRPr="0009590D">
        <w:rPr>
          <w:sz w:val="28"/>
          <w:szCs w:val="28"/>
        </w:rPr>
        <w:t>līdz 2021.gada 29.aprīlim sagatavot un iesniegt Finanšu ministrijā priekšlikumu par</w:t>
      </w:r>
      <w:r w:rsidR="0009590D" w:rsidRPr="0009590D">
        <w:rPr>
          <w:sz w:val="28"/>
          <w:szCs w:val="28"/>
        </w:rPr>
        <w:t xml:space="preserve"> inovāciju zinātniski tehnoloģiskās ekspertīzes kapacitātes stiprināšanu 1 milj. EUR apmērā,</w:t>
      </w:r>
      <w:r w:rsidR="0009590D" w:rsidRPr="0009590D">
        <w:rPr>
          <w:bCs/>
          <w:sz w:val="28"/>
          <w:szCs w:val="28"/>
        </w:rPr>
        <w:t xml:space="preserve"> plānojot to ekonomikas transformācijas</w:t>
      </w:r>
      <w:r w:rsidR="0009590D" w:rsidRPr="00DB6D2C">
        <w:rPr>
          <w:bCs/>
          <w:sz w:val="28"/>
          <w:szCs w:val="28"/>
        </w:rPr>
        <w:t xml:space="preserve"> komponentē </w:t>
      </w:r>
      <w:r w:rsidR="0009590D">
        <w:rPr>
          <w:bCs/>
          <w:sz w:val="28"/>
          <w:szCs w:val="28"/>
        </w:rPr>
        <w:t xml:space="preserve">Ekonomikas </w:t>
      </w:r>
      <w:r w:rsidR="0009590D" w:rsidRPr="00DB6D2C">
        <w:rPr>
          <w:bCs/>
          <w:sz w:val="28"/>
          <w:szCs w:val="28"/>
        </w:rPr>
        <w:t>ministrijai pieejamo finanšu resursu ietvaros</w:t>
      </w:r>
      <w:r w:rsidR="0009590D">
        <w:t>.</w:t>
      </w:r>
    </w:p>
    <w:p w14:paraId="5263131D" w14:textId="73D976A0" w:rsidR="0014014A" w:rsidRPr="00DB6D2C" w:rsidRDefault="0014014A" w:rsidP="00FC74DB">
      <w:pPr>
        <w:pStyle w:val="ListParagraph"/>
        <w:numPr>
          <w:ilvl w:val="0"/>
          <w:numId w:val="1"/>
        </w:numPr>
        <w:tabs>
          <w:tab w:val="left" w:pos="993"/>
        </w:tabs>
        <w:jc w:val="both"/>
        <w:rPr>
          <w:sz w:val="28"/>
          <w:szCs w:val="28"/>
        </w:rPr>
      </w:pPr>
      <w:r>
        <w:rPr>
          <w:sz w:val="28"/>
          <w:szCs w:val="28"/>
        </w:rPr>
        <w:t xml:space="preserve">Vides aizsardzības un reģionālās </w:t>
      </w:r>
      <w:r w:rsidRPr="00DB6D2C">
        <w:rPr>
          <w:sz w:val="28"/>
          <w:szCs w:val="28"/>
        </w:rPr>
        <w:t xml:space="preserve">attīstības ministrijai līdz 2021.gada 29.aprīlim sagatavot un iesniegt Finanšu ministrijā priekšlikumu par </w:t>
      </w:r>
      <w:proofErr w:type="spellStart"/>
      <w:r w:rsidRPr="00DB6D2C">
        <w:rPr>
          <w:bCs/>
          <w:sz w:val="28"/>
          <w:szCs w:val="28"/>
        </w:rPr>
        <w:t>bezizmešu</w:t>
      </w:r>
      <w:proofErr w:type="spellEnd"/>
      <w:r w:rsidRPr="00DB6D2C">
        <w:rPr>
          <w:bCs/>
          <w:sz w:val="28"/>
          <w:szCs w:val="28"/>
        </w:rPr>
        <w:t xml:space="preserve"> transportlīdzekļu iegādi</w:t>
      </w:r>
      <w:r w:rsidR="004146DE">
        <w:rPr>
          <w:bCs/>
          <w:sz w:val="28"/>
          <w:szCs w:val="28"/>
        </w:rPr>
        <w:t xml:space="preserve"> 10 milj. EUR apmērā</w:t>
      </w:r>
      <w:r w:rsidRPr="00DB6D2C">
        <w:rPr>
          <w:bCs/>
          <w:sz w:val="28"/>
          <w:szCs w:val="28"/>
        </w:rPr>
        <w:t xml:space="preserve">, plānojot to nevienlīdzības mazināšanas komponentē </w:t>
      </w:r>
      <w:r w:rsidR="0009590D">
        <w:rPr>
          <w:sz w:val="28"/>
          <w:szCs w:val="28"/>
        </w:rPr>
        <w:t xml:space="preserve">Vides aizsardzības un reģionālās </w:t>
      </w:r>
      <w:r w:rsidR="0009590D" w:rsidRPr="00DB6D2C">
        <w:rPr>
          <w:sz w:val="28"/>
          <w:szCs w:val="28"/>
        </w:rPr>
        <w:t xml:space="preserve">attīstības </w:t>
      </w:r>
      <w:r w:rsidRPr="00DB6D2C">
        <w:rPr>
          <w:bCs/>
          <w:sz w:val="28"/>
          <w:szCs w:val="28"/>
        </w:rPr>
        <w:t>ministrijai pieejamo finanšu resursu ietvaros</w:t>
      </w:r>
      <w:r w:rsidR="00DB6D2C">
        <w:rPr>
          <w:bCs/>
          <w:sz w:val="28"/>
          <w:szCs w:val="28"/>
        </w:rPr>
        <w:t>.</w:t>
      </w:r>
    </w:p>
    <w:p w14:paraId="55322BA7" w14:textId="56614348" w:rsidR="00AF7FC6" w:rsidRDefault="00AF7FC6" w:rsidP="00FC74DB">
      <w:pPr>
        <w:pStyle w:val="ListParagraph"/>
        <w:numPr>
          <w:ilvl w:val="0"/>
          <w:numId w:val="1"/>
        </w:numPr>
        <w:tabs>
          <w:tab w:val="left" w:pos="993"/>
        </w:tabs>
        <w:jc w:val="both"/>
        <w:rPr>
          <w:sz w:val="28"/>
          <w:szCs w:val="28"/>
        </w:rPr>
      </w:pPr>
      <w:r>
        <w:rPr>
          <w:sz w:val="28"/>
          <w:szCs w:val="28"/>
        </w:rPr>
        <w:t xml:space="preserve">Vides aizsardzības un reģionālās </w:t>
      </w:r>
      <w:r w:rsidRPr="00DB6D2C">
        <w:rPr>
          <w:sz w:val="28"/>
          <w:szCs w:val="28"/>
        </w:rPr>
        <w:t xml:space="preserve">attīstības ministrijai </w:t>
      </w:r>
      <w:r>
        <w:rPr>
          <w:sz w:val="28"/>
          <w:szCs w:val="28"/>
        </w:rPr>
        <w:t xml:space="preserve">sadarbībā ar Ekonomikas ministriju </w:t>
      </w:r>
      <w:r w:rsidRPr="00DB6D2C">
        <w:rPr>
          <w:sz w:val="28"/>
          <w:szCs w:val="28"/>
        </w:rPr>
        <w:t xml:space="preserve">līdz 2021.gada 29.aprīlim sagatavot un iesniegt Finanšu ministrijā priekšlikumu </w:t>
      </w:r>
      <w:r w:rsidRPr="00DB6D2C">
        <w:rPr>
          <w:bCs/>
          <w:sz w:val="28"/>
          <w:szCs w:val="28"/>
        </w:rPr>
        <w:t>nevienlīdzības mazināšanas komponent</w:t>
      </w:r>
      <w:r>
        <w:rPr>
          <w:bCs/>
          <w:sz w:val="28"/>
          <w:szCs w:val="28"/>
        </w:rPr>
        <w:t>es</w:t>
      </w:r>
      <w:r w:rsidRPr="00DB6D2C">
        <w:rPr>
          <w:bCs/>
          <w:sz w:val="28"/>
          <w:szCs w:val="28"/>
        </w:rPr>
        <w:t xml:space="preserve"> iet</w:t>
      </w:r>
      <w:r>
        <w:rPr>
          <w:bCs/>
          <w:sz w:val="28"/>
          <w:szCs w:val="28"/>
        </w:rPr>
        <w:t xml:space="preserve">varos </w:t>
      </w:r>
      <w:r>
        <w:rPr>
          <w:sz w:val="28"/>
          <w:szCs w:val="28"/>
        </w:rPr>
        <w:t>industriālo zonu finansējuma saņēmēju loku papildināt ar komersantiem</w:t>
      </w:r>
      <w:r>
        <w:rPr>
          <w:bCs/>
          <w:sz w:val="28"/>
          <w:szCs w:val="28"/>
        </w:rPr>
        <w:t>.</w:t>
      </w:r>
    </w:p>
    <w:p w14:paraId="10AF73A2" w14:textId="5AAA6003" w:rsidR="00FC74DB" w:rsidRDefault="00FC74DB" w:rsidP="00FC74DB">
      <w:pPr>
        <w:pStyle w:val="ListParagraph"/>
        <w:numPr>
          <w:ilvl w:val="0"/>
          <w:numId w:val="1"/>
        </w:numPr>
        <w:tabs>
          <w:tab w:val="left" w:pos="993"/>
        </w:tabs>
        <w:jc w:val="both"/>
        <w:rPr>
          <w:sz w:val="28"/>
          <w:szCs w:val="28"/>
        </w:rPr>
      </w:pPr>
      <w:r>
        <w:rPr>
          <w:sz w:val="28"/>
          <w:szCs w:val="28"/>
        </w:rPr>
        <w:t xml:space="preserve">Finanšu ministrijai </w:t>
      </w:r>
      <w:r w:rsidR="007135C1">
        <w:rPr>
          <w:sz w:val="28"/>
          <w:szCs w:val="28"/>
        </w:rPr>
        <w:t xml:space="preserve">sadarbībā ar nozaru ministrijām </w:t>
      </w:r>
      <w:r>
        <w:rPr>
          <w:sz w:val="28"/>
          <w:szCs w:val="28"/>
        </w:rPr>
        <w:t>nodrošināt ANM plāna precizēšanu atbilstoši Eiropas Komisijas komentāriem. Ja komentāri skar kopējo finansējuma apjomu vai tā sadalījumu, kā arī ANM plāna ietekmi uz valsts budžeta veidošanas procesu,  Finanšu ministrijai atkārtoti iesniegt ANM plānu noteiktā kārtībā izskatīšanai Ministru kabinetā.</w:t>
      </w:r>
    </w:p>
    <w:p w14:paraId="1FA54CFD" w14:textId="1EF07293" w:rsidR="00322E71" w:rsidRPr="00322E71" w:rsidRDefault="00322E71" w:rsidP="00FC74DB">
      <w:pPr>
        <w:pStyle w:val="ListParagraph"/>
        <w:numPr>
          <w:ilvl w:val="0"/>
          <w:numId w:val="1"/>
        </w:numPr>
        <w:ind w:right="-1"/>
        <w:jc w:val="both"/>
        <w:rPr>
          <w:sz w:val="28"/>
          <w:szCs w:val="28"/>
        </w:rPr>
      </w:pPr>
      <w:r w:rsidRPr="00322E71">
        <w:rPr>
          <w:sz w:val="28"/>
          <w:szCs w:val="28"/>
          <w:shd w:val="clear" w:color="auto" w:fill="FFFFFF"/>
        </w:rPr>
        <w:lastRenderedPageBreak/>
        <w:t xml:space="preserve">Finanšu ministrijai sadarbībā ar nozaru ministrijām līdz 2021.gada 31.maijam veikt ANM plāna ieviešanas administratīvā sloga novērtējumu un sagatavot risinājumus papildu izmaksu segšanai, ņemot vērā Eiropas Komisijas norādes par </w:t>
      </w:r>
      <w:r>
        <w:rPr>
          <w:sz w:val="28"/>
          <w:szCs w:val="28"/>
          <w:shd w:val="clear" w:color="auto" w:fill="FFFFFF"/>
        </w:rPr>
        <w:t>tikai</w:t>
      </w:r>
      <w:r w:rsidRPr="00322E71">
        <w:rPr>
          <w:sz w:val="28"/>
          <w:szCs w:val="28"/>
        </w:rPr>
        <w:t xml:space="preserve"> terminētu darba līgumu </w:t>
      </w:r>
      <w:proofErr w:type="spellStart"/>
      <w:r>
        <w:rPr>
          <w:sz w:val="28"/>
          <w:szCs w:val="28"/>
        </w:rPr>
        <w:t>attiecināmību</w:t>
      </w:r>
      <w:proofErr w:type="spellEnd"/>
      <w:r>
        <w:rPr>
          <w:sz w:val="28"/>
          <w:szCs w:val="28"/>
        </w:rPr>
        <w:t xml:space="preserve"> </w:t>
      </w:r>
      <w:r w:rsidRPr="00322E71">
        <w:rPr>
          <w:sz w:val="28"/>
          <w:szCs w:val="28"/>
        </w:rPr>
        <w:t xml:space="preserve">ANM plāna izmaksās. </w:t>
      </w:r>
    </w:p>
    <w:p w14:paraId="08BF3C02" w14:textId="7A8A11B7" w:rsidR="006D684E" w:rsidRPr="00322E71" w:rsidRDefault="006D684E" w:rsidP="00322E71">
      <w:pPr>
        <w:ind w:right="282"/>
        <w:jc w:val="both"/>
        <w:rPr>
          <w:sz w:val="28"/>
          <w:szCs w:val="28"/>
        </w:rPr>
      </w:pPr>
    </w:p>
    <w:p w14:paraId="46086571" w14:textId="33DB13A5" w:rsidR="006328F2" w:rsidRDefault="006328F2" w:rsidP="0064260C">
      <w:pPr>
        <w:ind w:right="282"/>
        <w:jc w:val="both"/>
        <w:rPr>
          <w:rFonts w:eastAsia="Calibri"/>
          <w:sz w:val="28"/>
          <w:szCs w:val="28"/>
        </w:rPr>
      </w:pPr>
    </w:p>
    <w:p w14:paraId="2B2F6982" w14:textId="59C2CF75" w:rsidR="006328F2" w:rsidRPr="0032453D" w:rsidRDefault="006328F2" w:rsidP="0064260C">
      <w:pPr>
        <w:ind w:right="282"/>
        <w:jc w:val="both"/>
        <w:rPr>
          <w:sz w:val="28"/>
          <w:szCs w:val="28"/>
        </w:rPr>
      </w:pPr>
    </w:p>
    <w:p w14:paraId="09C840EF" w14:textId="77777777" w:rsidR="00F85AD5" w:rsidRPr="00A82ACF" w:rsidRDefault="00F85AD5" w:rsidP="0064260C">
      <w:pPr>
        <w:pStyle w:val="NormalWeb"/>
        <w:tabs>
          <w:tab w:val="left" w:pos="6237"/>
        </w:tabs>
        <w:spacing w:before="240" w:beforeAutospacing="0" w:after="0" w:afterAutospacing="0"/>
        <w:ind w:right="282"/>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Ministru prezidents</w:t>
      </w:r>
      <w:r w:rsidRPr="00A82ACF">
        <w:rPr>
          <w:rFonts w:ascii="Times New Roman" w:hAnsi="Times New Roman" w:cs="Times New Roman"/>
          <w:color w:val="auto"/>
          <w:sz w:val="28"/>
          <w:szCs w:val="28"/>
          <w:lang w:eastAsia="en-US"/>
        </w:rPr>
        <w:tab/>
        <w:t>A.K. Kariņš</w:t>
      </w:r>
    </w:p>
    <w:p w14:paraId="626FD382" w14:textId="77777777" w:rsidR="00F85AD5" w:rsidRPr="00A82ACF" w:rsidRDefault="00F85AD5" w:rsidP="0064260C">
      <w:pPr>
        <w:pStyle w:val="NormalWeb"/>
        <w:tabs>
          <w:tab w:val="left" w:pos="6237"/>
        </w:tabs>
        <w:spacing w:before="240" w:beforeAutospacing="0" w:after="0" w:afterAutospacing="0"/>
        <w:ind w:right="282"/>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Valsts kancelejas direktors</w:t>
      </w:r>
      <w:r w:rsidRPr="00A82ACF">
        <w:rPr>
          <w:rFonts w:ascii="Times New Roman" w:hAnsi="Times New Roman" w:cs="Times New Roman"/>
          <w:color w:val="auto"/>
          <w:sz w:val="28"/>
          <w:szCs w:val="28"/>
          <w:lang w:eastAsia="en-US"/>
        </w:rPr>
        <w:tab/>
        <w:t>J. Citskovskis</w:t>
      </w:r>
    </w:p>
    <w:p w14:paraId="77121563" w14:textId="77777777" w:rsidR="00F85AD5" w:rsidRPr="00A82ACF" w:rsidRDefault="00F85AD5" w:rsidP="0064260C">
      <w:pPr>
        <w:pStyle w:val="NormalWeb"/>
        <w:tabs>
          <w:tab w:val="left" w:pos="6237"/>
        </w:tabs>
        <w:spacing w:before="240" w:beforeAutospacing="0" w:after="0" w:afterAutospacing="0"/>
        <w:ind w:right="282"/>
        <w:rPr>
          <w:rFonts w:ascii="Times New Roman" w:hAnsi="Times New Roman" w:cs="Times New Roman"/>
          <w:color w:val="auto"/>
          <w:sz w:val="28"/>
          <w:szCs w:val="28"/>
          <w:lang w:eastAsia="en-US"/>
        </w:rPr>
      </w:pPr>
      <w:r w:rsidRPr="00A82ACF">
        <w:rPr>
          <w:rFonts w:ascii="Times New Roman" w:hAnsi="Times New Roman" w:cs="Times New Roman"/>
          <w:color w:val="auto"/>
          <w:sz w:val="28"/>
          <w:szCs w:val="28"/>
          <w:lang w:eastAsia="en-US"/>
        </w:rPr>
        <w:t xml:space="preserve">Finanšu ministrs </w:t>
      </w:r>
      <w:r w:rsidRPr="00A82ACF">
        <w:rPr>
          <w:rFonts w:ascii="Times New Roman" w:hAnsi="Times New Roman" w:cs="Times New Roman"/>
          <w:color w:val="auto"/>
          <w:sz w:val="28"/>
          <w:szCs w:val="28"/>
          <w:lang w:eastAsia="en-US"/>
        </w:rPr>
        <w:tab/>
      </w:r>
      <w:proofErr w:type="spellStart"/>
      <w:r w:rsidRPr="00A82ACF">
        <w:rPr>
          <w:rFonts w:ascii="Times New Roman" w:hAnsi="Times New Roman" w:cs="Times New Roman"/>
          <w:color w:val="auto"/>
          <w:sz w:val="28"/>
          <w:szCs w:val="28"/>
          <w:lang w:eastAsia="en-US"/>
        </w:rPr>
        <w:t>J.Reirs</w:t>
      </w:r>
      <w:proofErr w:type="spellEnd"/>
    </w:p>
    <w:p w14:paraId="0BCB7E24" w14:textId="77777777" w:rsidR="00F85AD5" w:rsidRPr="00A82ACF" w:rsidRDefault="00F85AD5" w:rsidP="0064260C">
      <w:pPr>
        <w:ind w:right="282"/>
      </w:pPr>
    </w:p>
    <w:p w14:paraId="5F4E2FE7" w14:textId="77777777" w:rsidR="006328F2" w:rsidRDefault="006328F2" w:rsidP="0064260C">
      <w:pPr>
        <w:pStyle w:val="NoSpacing"/>
        <w:ind w:right="282"/>
        <w:rPr>
          <w:sz w:val="18"/>
          <w:szCs w:val="18"/>
        </w:rPr>
      </w:pPr>
    </w:p>
    <w:p w14:paraId="64975C17" w14:textId="77777777" w:rsidR="006328F2" w:rsidRDefault="006328F2" w:rsidP="0064260C">
      <w:pPr>
        <w:pStyle w:val="NoSpacing"/>
        <w:ind w:right="282"/>
        <w:rPr>
          <w:sz w:val="18"/>
          <w:szCs w:val="18"/>
        </w:rPr>
      </w:pPr>
    </w:p>
    <w:p w14:paraId="60A5E083" w14:textId="77777777" w:rsidR="006328F2" w:rsidRDefault="006328F2" w:rsidP="0064260C">
      <w:pPr>
        <w:pStyle w:val="NoSpacing"/>
        <w:ind w:right="282"/>
        <w:rPr>
          <w:sz w:val="18"/>
          <w:szCs w:val="18"/>
        </w:rPr>
      </w:pPr>
    </w:p>
    <w:p w14:paraId="4845DB36" w14:textId="77777777" w:rsidR="006328F2" w:rsidRDefault="006328F2" w:rsidP="0064260C">
      <w:pPr>
        <w:pStyle w:val="NoSpacing"/>
        <w:ind w:right="282"/>
        <w:rPr>
          <w:sz w:val="18"/>
          <w:szCs w:val="18"/>
        </w:rPr>
      </w:pPr>
    </w:p>
    <w:p w14:paraId="18B2D245" w14:textId="39C22AEB" w:rsidR="00F85AD5" w:rsidRPr="00A82ACF" w:rsidRDefault="00F85AD5" w:rsidP="0064260C">
      <w:pPr>
        <w:ind w:right="282"/>
        <w:rPr>
          <w:sz w:val="16"/>
        </w:rPr>
      </w:pPr>
    </w:p>
    <w:sectPr w:rsidR="00F85AD5" w:rsidRPr="00A82ACF" w:rsidSect="0064260C">
      <w:footerReference w:type="default" r:id="rId8"/>
      <w:footerReference w:type="first" r:id="rId9"/>
      <w:pgSz w:w="11906" w:h="16838"/>
      <w:pgMar w:top="1702" w:right="1134"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150E" w14:textId="77777777" w:rsidR="00681095" w:rsidRDefault="00681095" w:rsidP="00446834">
      <w:r>
        <w:separator/>
      </w:r>
    </w:p>
  </w:endnote>
  <w:endnote w:type="continuationSeparator" w:id="0">
    <w:p w14:paraId="0CAA2985" w14:textId="77777777" w:rsidR="00681095" w:rsidRDefault="00681095" w:rsidP="004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1DC5DE7A" w14:textId="1CA210AD" w:rsidR="00212C43" w:rsidRDefault="00730333">
        <w:pPr>
          <w:pStyle w:val="Footer"/>
          <w:jc w:val="center"/>
        </w:pPr>
        <w:r>
          <w:fldChar w:fldCharType="begin"/>
        </w:r>
        <w:r w:rsidR="002F69BD">
          <w:instrText xml:space="preserve"> PAGE   \* MERGEFORMAT </w:instrText>
        </w:r>
        <w:r>
          <w:fldChar w:fldCharType="separate"/>
        </w:r>
        <w:r w:rsidR="004227B6">
          <w:rPr>
            <w:noProof/>
          </w:rPr>
          <w:t>2</w:t>
        </w:r>
        <w:r>
          <w:rPr>
            <w:noProof/>
          </w:rPr>
          <w:fldChar w:fldCharType="end"/>
        </w:r>
      </w:p>
    </w:sdtContent>
  </w:sdt>
  <w:p w14:paraId="4AF4BFEB" w14:textId="31500D12" w:rsidR="00636D63" w:rsidRPr="00F618B8" w:rsidRDefault="00F618B8" w:rsidP="00797EF8">
    <w:pPr>
      <w:pStyle w:val="Footer"/>
      <w:rPr>
        <w:sz w:val="20"/>
        <w:szCs w:val="20"/>
      </w:rPr>
    </w:pPr>
    <w:r>
      <w:rPr>
        <w:sz w:val="20"/>
        <w:szCs w:val="20"/>
      </w:rPr>
      <w:t>MKp</w:t>
    </w:r>
    <w:r w:rsidRPr="00E172F4">
      <w:rPr>
        <w:sz w:val="20"/>
        <w:szCs w:val="20"/>
      </w:rPr>
      <w:t>rot_</w:t>
    </w:r>
    <w:r>
      <w:rPr>
        <w:sz w:val="20"/>
        <w:szCs w:val="20"/>
      </w:rPr>
      <w:t>ANM_26042021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7A18" w14:textId="3DD45F42" w:rsidR="004C0EC0" w:rsidRPr="00E172F4" w:rsidRDefault="000B3DF9" w:rsidP="004A53D6">
    <w:pPr>
      <w:pStyle w:val="Footer"/>
      <w:rPr>
        <w:sz w:val="20"/>
        <w:szCs w:val="20"/>
      </w:rPr>
    </w:pPr>
    <w:r>
      <w:rPr>
        <w:sz w:val="20"/>
        <w:szCs w:val="20"/>
      </w:rPr>
      <w:t>MK</w:t>
    </w:r>
    <w:r w:rsidR="00797EF8">
      <w:rPr>
        <w:sz w:val="20"/>
        <w:szCs w:val="20"/>
      </w:rPr>
      <w:t>p</w:t>
    </w:r>
    <w:r w:rsidR="002F69BD" w:rsidRPr="00E172F4">
      <w:rPr>
        <w:sz w:val="20"/>
        <w:szCs w:val="20"/>
      </w:rPr>
      <w:t>rot_</w:t>
    </w:r>
    <w:r w:rsidR="00921FB1">
      <w:rPr>
        <w:sz w:val="20"/>
        <w:szCs w:val="20"/>
      </w:rPr>
      <w:t>ANM</w:t>
    </w:r>
    <w:r w:rsidR="00322E71">
      <w:rPr>
        <w:sz w:val="20"/>
        <w:szCs w:val="20"/>
      </w:rPr>
      <w:t>_26042021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3763" w14:textId="77777777" w:rsidR="00681095" w:rsidRDefault="00681095" w:rsidP="00446834">
      <w:r>
        <w:separator/>
      </w:r>
    </w:p>
  </w:footnote>
  <w:footnote w:type="continuationSeparator" w:id="0">
    <w:p w14:paraId="19243A87" w14:textId="77777777" w:rsidR="00681095" w:rsidRDefault="00681095" w:rsidP="0044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1CB5794"/>
    <w:multiLevelType w:val="hybridMultilevel"/>
    <w:tmpl w:val="23B66C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D3E22"/>
    <w:multiLevelType w:val="hybridMultilevel"/>
    <w:tmpl w:val="91B2FA46"/>
    <w:lvl w:ilvl="0" w:tplc="1786C90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813344A"/>
    <w:multiLevelType w:val="hybridMultilevel"/>
    <w:tmpl w:val="141CC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CC53907"/>
    <w:multiLevelType w:val="hybridMultilevel"/>
    <w:tmpl w:val="FC7224EE"/>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D5"/>
    <w:rsid w:val="00003EED"/>
    <w:rsid w:val="00006915"/>
    <w:rsid w:val="00011B30"/>
    <w:rsid w:val="00014ABA"/>
    <w:rsid w:val="00014D96"/>
    <w:rsid w:val="000219B0"/>
    <w:rsid w:val="00021F90"/>
    <w:rsid w:val="0003518A"/>
    <w:rsid w:val="0009590D"/>
    <w:rsid w:val="000B3DF9"/>
    <w:rsid w:val="000C4785"/>
    <w:rsid w:val="000D7D98"/>
    <w:rsid w:val="000E0DF6"/>
    <w:rsid w:val="000E62BE"/>
    <w:rsid w:val="000F133D"/>
    <w:rsid w:val="00112B6B"/>
    <w:rsid w:val="00126A52"/>
    <w:rsid w:val="001300A4"/>
    <w:rsid w:val="00135FF7"/>
    <w:rsid w:val="0014014A"/>
    <w:rsid w:val="0016522A"/>
    <w:rsid w:val="00176587"/>
    <w:rsid w:val="00187CD7"/>
    <w:rsid w:val="001C35FA"/>
    <w:rsid w:val="001F3ED4"/>
    <w:rsid w:val="002030FE"/>
    <w:rsid w:val="00205827"/>
    <w:rsid w:val="00216554"/>
    <w:rsid w:val="00221C26"/>
    <w:rsid w:val="00244D64"/>
    <w:rsid w:val="00287612"/>
    <w:rsid w:val="002A3875"/>
    <w:rsid w:val="002C4F6B"/>
    <w:rsid w:val="002D4D1E"/>
    <w:rsid w:val="002D635C"/>
    <w:rsid w:val="002D795B"/>
    <w:rsid w:val="002F2766"/>
    <w:rsid w:val="002F69BD"/>
    <w:rsid w:val="00300C71"/>
    <w:rsid w:val="00301F1A"/>
    <w:rsid w:val="00322E71"/>
    <w:rsid w:val="0032453D"/>
    <w:rsid w:val="00331463"/>
    <w:rsid w:val="003605D5"/>
    <w:rsid w:val="00374B4C"/>
    <w:rsid w:val="00377B53"/>
    <w:rsid w:val="003A273B"/>
    <w:rsid w:val="003B29E3"/>
    <w:rsid w:val="003C3388"/>
    <w:rsid w:val="003D4F6E"/>
    <w:rsid w:val="003F176D"/>
    <w:rsid w:val="00401B7D"/>
    <w:rsid w:val="0041331E"/>
    <w:rsid w:val="004146DE"/>
    <w:rsid w:val="004227B6"/>
    <w:rsid w:val="00446834"/>
    <w:rsid w:val="00463DFD"/>
    <w:rsid w:val="00486FB9"/>
    <w:rsid w:val="004D508D"/>
    <w:rsid w:val="004D72C7"/>
    <w:rsid w:val="0051640D"/>
    <w:rsid w:val="00542E72"/>
    <w:rsid w:val="00550060"/>
    <w:rsid w:val="00552AA8"/>
    <w:rsid w:val="00561238"/>
    <w:rsid w:val="005653C0"/>
    <w:rsid w:val="005677E9"/>
    <w:rsid w:val="005C2506"/>
    <w:rsid w:val="005E2B48"/>
    <w:rsid w:val="005F3704"/>
    <w:rsid w:val="005F77AC"/>
    <w:rsid w:val="006215E4"/>
    <w:rsid w:val="0062416F"/>
    <w:rsid w:val="006328F2"/>
    <w:rsid w:val="0064260C"/>
    <w:rsid w:val="00666CB3"/>
    <w:rsid w:val="00670D47"/>
    <w:rsid w:val="00671D29"/>
    <w:rsid w:val="00681095"/>
    <w:rsid w:val="00686515"/>
    <w:rsid w:val="00694448"/>
    <w:rsid w:val="006B68DE"/>
    <w:rsid w:val="006D26FB"/>
    <w:rsid w:val="006D684E"/>
    <w:rsid w:val="006F6FBC"/>
    <w:rsid w:val="00700EC2"/>
    <w:rsid w:val="007135C1"/>
    <w:rsid w:val="00730333"/>
    <w:rsid w:val="007357E3"/>
    <w:rsid w:val="007649E6"/>
    <w:rsid w:val="007741CC"/>
    <w:rsid w:val="00790588"/>
    <w:rsid w:val="0079209B"/>
    <w:rsid w:val="00797EF8"/>
    <w:rsid w:val="007B7A98"/>
    <w:rsid w:val="007C76D6"/>
    <w:rsid w:val="007D0E3D"/>
    <w:rsid w:val="007F3EB5"/>
    <w:rsid w:val="0080668B"/>
    <w:rsid w:val="008A5EFB"/>
    <w:rsid w:val="008F571A"/>
    <w:rsid w:val="00905FF1"/>
    <w:rsid w:val="009135D3"/>
    <w:rsid w:val="00921FB1"/>
    <w:rsid w:val="009342F0"/>
    <w:rsid w:val="00972BB7"/>
    <w:rsid w:val="009A63DA"/>
    <w:rsid w:val="009B409E"/>
    <w:rsid w:val="009B4CFF"/>
    <w:rsid w:val="009D1B1E"/>
    <w:rsid w:val="009F127A"/>
    <w:rsid w:val="00A0099C"/>
    <w:rsid w:val="00A02B02"/>
    <w:rsid w:val="00A07D23"/>
    <w:rsid w:val="00A42B4D"/>
    <w:rsid w:val="00A82ACF"/>
    <w:rsid w:val="00A97F8A"/>
    <w:rsid w:val="00AB3C5D"/>
    <w:rsid w:val="00AC7F34"/>
    <w:rsid w:val="00AE0F42"/>
    <w:rsid w:val="00AE3940"/>
    <w:rsid w:val="00AE395C"/>
    <w:rsid w:val="00AF7FC6"/>
    <w:rsid w:val="00B24AF3"/>
    <w:rsid w:val="00B53DB6"/>
    <w:rsid w:val="00B9624F"/>
    <w:rsid w:val="00BF411D"/>
    <w:rsid w:val="00C373D7"/>
    <w:rsid w:val="00C479F5"/>
    <w:rsid w:val="00C73CB2"/>
    <w:rsid w:val="00C80EAF"/>
    <w:rsid w:val="00CA3465"/>
    <w:rsid w:val="00CB1608"/>
    <w:rsid w:val="00CB60B5"/>
    <w:rsid w:val="00CD0D42"/>
    <w:rsid w:val="00CD2CC8"/>
    <w:rsid w:val="00CD7716"/>
    <w:rsid w:val="00CF4504"/>
    <w:rsid w:val="00DB5926"/>
    <w:rsid w:val="00DB6D2C"/>
    <w:rsid w:val="00E05E0F"/>
    <w:rsid w:val="00E16302"/>
    <w:rsid w:val="00E172F4"/>
    <w:rsid w:val="00E20BBB"/>
    <w:rsid w:val="00E31F7A"/>
    <w:rsid w:val="00E442DF"/>
    <w:rsid w:val="00E5296D"/>
    <w:rsid w:val="00E74809"/>
    <w:rsid w:val="00E872D5"/>
    <w:rsid w:val="00EB034A"/>
    <w:rsid w:val="00EB6015"/>
    <w:rsid w:val="00EC361A"/>
    <w:rsid w:val="00F618B8"/>
    <w:rsid w:val="00F85AD5"/>
    <w:rsid w:val="00FA3038"/>
    <w:rsid w:val="00FB12A0"/>
    <w:rsid w:val="00FC17DF"/>
    <w:rsid w:val="00FC74DB"/>
    <w:rsid w:val="00FD584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EFD9"/>
  <w15:docId w15:val="{7ADD162E-252A-415F-8BC9-9209E007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D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AD5"/>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F85AD5"/>
    <w:pPr>
      <w:ind w:left="720"/>
      <w:contextualSpacing/>
    </w:pPr>
  </w:style>
  <w:style w:type="paragraph" w:styleId="Header">
    <w:name w:val="header"/>
    <w:basedOn w:val="Normal"/>
    <w:link w:val="HeaderChar"/>
    <w:uiPriority w:val="99"/>
    <w:unhideWhenUsed/>
    <w:rsid w:val="00F85AD5"/>
    <w:pPr>
      <w:tabs>
        <w:tab w:val="center" w:pos="4513"/>
        <w:tab w:val="right" w:pos="9026"/>
      </w:tabs>
    </w:pPr>
  </w:style>
  <w:style w:type="character" w:customStyle="1" w:styleId="HeaderChar">
    <w:name w:val="Header Char"/>
    <w:basedOn w:val="DefaultParagraphFont"/>
    <w:link w:val="Header"/>
    <w:uiPriority w:val="99"/>
    <w:rsid w:val="00F85AD5"/>
    <w:rPr>
      <w:rFonts w:eastAsia="Times New Roman" w:cs="Times New Roman"/>
      <w:szCs w:val="24"/>
    </w:rPr>
  </w:style>
  <w:style w:type="paragraph" w:styleId="Footer">
    <w:name w:val="footer"/>
    <w:basedOn w:val="Normal"/>
    <w:link w:val="FooterChar"/>
    <w:uiPriority w:val="99"/>
    <w:unhideWhenUsed/>
    <w:rsid w:val="00F85AD5"/>
    <w:pPr>
      <w:tabs>
        <w:tab w:val="center" w:pos="4513"/>
        <w:tab w:val="right" w:pos="9026"/>
      </w:tabs>
    </w:pPr>
  </w:style>
  <w:style w:type="character" w:customStyle="1" w:styleId="FooterChar">
    <w:name w:val="Footer Char"/>
    <w:basedOn w:val="DefaultParagraphFont"/>
    <w:link w:val="Footer"/>
    <w:uiPriority w:val="99"/>
    <w:rsid w:val="00F85AD5"/>
    <w:rPr>
      <w:rFonts w:eastAsia="Times New Roman" w:cs="Times New Roman"/>
      <w:szCs w:val="24"/>
    </w:rPr>
  </w:style>
  <w:style w:type="character" w:styleId="CommentReference">
    <w:name w:val="annotation reference"/>
    <w:basedOn w:val="DefaultParagraphFont"/>
    <w:uiPriority w:val="99"/>
    <w:semiHidden/>
    <w:unhideWhenUsed/>
    <w:rsid w:val="00F85AD5"/>
    <w:rPr>
      <w:sz w:val="16"/>
      <w:szCs w:val="16"/>
    </w:rPr>
  </w:style>
  <w:style w:type="paragraph" w:styleId="CommentText">
    <w:name w:val="annotation text"/>
    <w:basedOn w:val="Normal"/>
    <w:link w:val="CommentTextChar"/>
    <w:uiPriority w:val="99"/>
    <w:unhideWhenUsed/>
    <w:rsid w:val="00F85AD5"/>
    <w:rPr>
      <w:sz w:val="20"/>
      <w:szCs w:val="20"/>
    </w:rPr>
  </w:style>
  <w:style w:type="character" w:customStyle="1" w:styleId="CommentTextChar">
    <w:name w:val="Comment Text Char"/>
    <w:basedOn w:val="DefaultParagraphFont"/>
    <w:link w:val="CommentText"/>
    <w:uiPriority w:val="99"/>
    <w:rsid w:val="00F85AD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AD5"/>
    <w:rPr>
      <w:b/>
      <w:bCs/>
    </w:rPr>
  </w:style>
  <w:style w:type="character" w:customStyle="1" w:styleId="CommentSubjectChar">
    <w:name w:val="Comment Subject Char"/>
    <w:basedOn w:val="CommentTextChar"/>
    <w:link w:val="CommentSubject"/>
    <w:uiPriority w:val="99"/>
    <w:semiHidden/>
    <w:rsid w:val="00F85AD5"/>
    <w:rPr>
      <w:rFonts w:eastAsia="Times New Roman" w:cs="Times New Roman"/>
      <w:b/>
      <w:bCs/>
      <w:sz w:val="20"/>
      <w:szCs w:val="20"/>
    </w:rPr>
  </w:style>
  <w:style w:type="paragraph" w:styleId="BalloonText">
    <w:name w:val="Balloon Text"/>
    <w:basedOn w:val="Normal"/>
    <w:link w:val="BalloonTextChar"/>
    <w:uiPriority w:val="99"/>
    <w:semiHidden/>
    <w:unhideWhenUsed/>
    <w:rsid w:val="00F85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D5"/>
    <w:rPr>
      <w:rFonts w:ascii="Segoe UI" w:eastAsia="Times New Roman" w:hAnsi="Segoe UI" w:cs="Segoe UI"/>
      <w:sz w:val="18"/>
      <w:szCs w:val="18"/>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F85AD5"/>
    <w:rPr>
      <w:rFonts w:eastAsia="Times New Roman" w:cs="Times New Roman"/>
      <w:szCs w:val="24"/>
    </w:rPr>
  </w:style>
  <w:style w:type="paragraph" w:customStyle="1" w:styleId="Style2">
    <w:name w:val="Style2"/>
    <w:basedOn w:val="Normal"/>
    <w:link w:val="Style2Char"/>
    <w:qFormat/>
    <w:rsid w:val="007D0E3D"/>
    <w:pPr>
      <w:keepNext/>
      <w:keepLines/>
      <w:spacing w:before="360" w:after="240"/>
      <w:jc w:val="center"/>
      <w:outlineLvl w:val="1"/>
    </w:pPr>
    <w:rPr>
      <w:rFonts w:eastAsia="SimSun"/>
      <w:b/>
      <w:sz w:val="28"/>
      <w:lang w:eastAsia="ja-JP"/>
    </w:rPr>
  </w:style>
  <w:style w:type="character" w:customStyle="1" w:styleId="Style2Char">
    <w:name w:val="Style2 Char"/>
    <w:link w:val="Style2"/>
    <w:rsid w:val="007D0E3D"/>
    <w:rPr>
      <w:rFonts w:eastAsia="SimSun" w:cs="Times New Roman"/>
      <w:b/>
      <w:sz w:val="28"/>
      <w:szCs w:val="24"/>
      <w:lang w:eastAsia="ja-JP"/>
    </w:rPr>
  </w:style>
  <w:style w:type="character" w:styleId="Hyperlink">
    <w:name w:val="Hyperlink"/>
    <w:basedOn w:val="DefaultParagraphFont"/>
    <w:uiPriority w:val="99"/>
    <w:unhideWhenUsed/>
    <w:rsid w:val="00550060"/>
    <w:rPr>
      <w:color w:val="0563C1" w:themeColor="hyperlink"/>
      <w:u w:val="single"/>
    </w:rPr>
  </w:style>
  <w:style w:type="paragraph" w:styleId="NoSpacing">
    <w:name w:val="No Spacing"/>
    <w:uiPriority w:val="1"/>
    <w:qFormat/>
    <w:rsid w:val="00550060"/>
  </w:style>
  <w:style w:type="paragraph" w:customStyle="1" w:styleId="Default">
    <w:name w:val="Default"/>
    <w:rsid w:val="00E05E0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034">
      <w:bodyDiv w:val="1"/>
      <w:marLeft w:val="0"/>
      <w:marRight w:val="0"/>
      <w:marTop w:val="0"/>
      <w:marBottom w:val="0"/>
      <w:divBdr>
        <w:top w:val="none" w:sz="0" w:space="0" w:color="auto"/>
        <w:left w:val="none" w:sz="0" w:space="0" w:color="auto"/>
        <w:bottom w:val="none" w:sz="0" w:space="0" w:color="auto"/>
        <w:right w:val="none" w:sz="0" w:space="0" w:color="auto"/>
      </w:divBdr>
    </w:div>
    <w:div w:id="147092995">
      <w:bodyDiv w:val="1"/>
      <w:marLeft w:val="0"/>
      <w:marRight w:val="0"/>
      <w:marTop w:val="0"/>
      <w:marBottom w:val="0"/>
      <w:divBdr>
        <w:top w:val="none" w:sz="0" w:space="0" w:color="auto"/>
        <w:left w:val="none" w:sz="0" w:space="0" w:color="auto"/>
        <w:bottom w:val="none" w:sz="0" w:space="0" w:color="auto"/>
        <w:right w:val="none" w:sz="0" w:space="0" w:color="auto"/>
      </w:divBdr>
    </w:div>
    <w:div w:id="196937885">
      <w:bodyDiv w:val="1"/>
      <w:marLeft w:val="0"/>
      <w:marRight w:val="0"/>
      <w:marTop w:val="0"/>
      <w:marBottom w:val="0"/>
      <w:divBdr>
        <w:top w:val="none" w:sz="0" w:space="0" w:color="auto"/>
        <w:left w:val="none" w:sz="0" w:space="0" w:color="auto"/>
        <w:bottom w:val="none" w:sz="0" w:space="0" w:color="auto"/>
        <w:right w:val="none" w:sz="0" w:space="0" w:color="auto"/>
      </w:divBdr>
    </w:div>
    <w:div w:id="205332234">
      <w:bodyDiv w:val="1"/>
      <w:marLeft w:val="0"/>
      <w:marRight w:val="0"/>
      <w:marTop w:val="0"/>
      <w:marBottom w:val="0"/>
      <w:divBdr>
        <w:top w:val="none" w:sz="0" w:space="0" w:color="auto"/>
        <w:left w:val="none" w:sz="0" w:space="0" w:color="auto"/>
        <w:bottom w:val="none" w:sz="0" w:space="0" w:color="auto"/>
        <w:right w:val="none" w:sz="0" w:space="0" w:color="auto"/>
      </w:divBdr>
    </w:div>
    <w:div w:id="240725643">
      <w:bodyDiv w:val="1"/>
      <w:marLeft w:val="0"/>
      <w:marRight w:val="0"/>
      <w:marTop w:val="0"/>
      <w:marBottom w:val="0"/>
      <w:divBdr>
        <w:top w:val="none" w:sz="0" w:space="0" w:color="auto"/>
        <w:left w:val="none" w:sz="0" w:space="0" w:color="auto"/>
        <w:bottom w:val="none" w:sz="0" w:space="0" w:color="auto"/>
        <w:right w:val="none" w:sz="0" w:space="0" w:color="auto"/>
      </w:divBdr>
    </w:div>
    <w:div w:id="274288244">
      <w:bodyDiv w:val="1"/>
      <w:marLeft w:val="0"/>
      <w:marRight w:val="0"/>
      <w:marTop w:val="0"/>
      <w:marBottom w:val="0"/>
      <w:divBdr>
        <w:top w:val="none" w:sz="0" w:space="0" w:color="auto"/>
        <w:left w:val="none" w:sz="0" w:space="0" w:color="auto"/>
        <w:bottom w:val="none" w:sz="0" w:space="0" w:color="auto"/>
        <w:right w:val="none" w:sz="0" w:space="0" w:color="auto"/>
      </w:divBdr>
    </w:div>
    <w:div w:id="430319956">
      <w:bodyDiv w:val="1"/>
      <w:marLeft w:val="0"/>
      <w:marRight w:val="0"/>
      <w:marTop w:val="0"/>
      <w:marBottom w:val="0"/>
      <w:divBdr>
        <w:top w:val="none" w:sz="0" w:space="0" w:color="auto"/>
        <w:left w:val="none" w:sz="0" w:space="0" w:color="auto"/>
        <w:bottom w:val="none" w:sz="0" w:space="0" w:color="auto"/>
        <w:right w:val="none" w:sz="0" w:space="0" w:color="auto"/>
      </w:divBdr>
    </w:div>
    <w:div w:id="591402298">
      <w:bodyDiv w:val="1"/>
      <w:marLeft w:val="0"/>
      <w:marRight w:val="0"/>
      <w:marTop w:val="0"/>
      <w:marBottom w:val="0"/>
      <w:divBdr>
        <w:top w:val="none" w:sz="0" w:space="0" w:color="auto"/>
        <w:left w:val="none" w:sz="0" w:space="0" w:color="auto"/>
        <w:bottom w:val="none" w:sz="0" w:space="0" w:color="auto"/>
        <w:right w:val="none" w:sz="0" w:space="0" w:color="auto"/>
      </w:divBdr>
    </w:div>
    <w:div w:id="671419466">
      <w:bodyDiv w:val="1"/>
      <w:marLeft w:val="0"/>
      <w:marRight w:val="0"/>
      <w:marTop w:val="0"/>
      <w:marBottom w:val="0"/>
      <w:divBdr>
        <w:top w:val="none" w:sz="0" w:space="0" w:color="auto"/>
        <w:left w:val="none" w:sz="0" w:space="0" w:color="auto"/>
        <w:bottom w:val="none" w:sz="0" w:space="0" w:color="auto"/>
        <w:right w:val="none" w:sz="0" w:space="0" w:color="auto"/>
      </w:divBdr>
    </w:div>
    <w:div w:id="748161780">
      <w:bodyDiv w:val="1"/>
      <w:marLeft w:val="0"/>
      <w:marRight w:val="0"/>
      <w:marTop w:val="0"/>
      <w:marBottom w:val="0"/>
      <w:divBdr>
        <w:top w:val="none" w:sz="0" w:space="0" w:color="auto"/>
        <w:left w:val="none" w:sz="0" w:space="0" w:color="auto"/>
        <w:bottom w:val="none" w:sz="0" w:space="0" w:color="auto"/>
        <w:right w:val="none" w:sz="0" w:space="0" w:color="auto"/>
      </w:divBdr>
    </w:div>
    <w:div w:id="964198208">
      <w:bodyDiv w:val="1"/>
      <w:marLeft w:val="0"/>
      <w:marRight w:val="0"/>
      <w:marTop w:val="0"/>
      <w:marBottom w:val="0"/>
      <w:divBdr>
        <w:top w:val="none" w:sz="0" w:space="0" w:color="auto"/>
        <w:left w:val="none" w:sz="0" w:space="0" w:color="auto"/>
        <w:bottom w:val="none" w:sz="0" w:space="0" w:color="auto"/>
        <w:right w:val="none" w:sz="0" w:space="0" w:color="auto"/>
      </w:divBdr>
    </w:div>
    <w:div w:id="1111124418">
      <w:bodyDiv w:val="1"/>
      <w:marLeft w:val="0"/>
      <w:marRight w:val="0"/>
      <w:marTop w:val="0"/>
      <w:marBottom w:val="0"/>
      <w:divBdr>
        <w:top w:val="none" w:sz="0" w:space="0" w:color="auto"/>
        <w:left w:val="none" w:sz="0" w:space="0" w:color="auto"/>
        <w:bottom w:val="none" w:sz="0" w:space="0" w:color="auto"/>
        <w:right w:val="none" w:sz="0" w:space="0" w:color="auto"/>
      </w:divBdr>
    </w:div>
    <w:div w:id="1162545707">
      <w:bodyDiv w:val="1"/>
      <w:marLeft w:val="0"/>
      <w:marRight w:val="0"/>
      <w:marTop w:val="0"/>
      <w:marBottom w:val="0"/>
      <w:divBdr>
        <w:top w:val="none" w:sz="0" w:space="0" w:color="auto"/>
        <w:left w:val="none" w:sz="0" w:space="0" w:color="auto"/>
        <w:bottom w:val="none" w:sz="0" w:space="0" w:color="auto"/>
        <w:right w:val="none" w:sz="0" w:space="0" w:color="auto"/>
      </w:divBdr>
    </w:div>
    <w:div w:id="1201212063">
      <w:bodyDiv w:val="1"/>
      <w:marLeft w:val="0"/>
      <w:marRight w:val="0"/>
      <w:marTop w:val="0"/>
      <w:marBottom w:val="0"/>
      <w:divBdr>
        <w:top w:val="none" w:sz="0" w:space="0" w:color="auto"/>
        <w:left w:val="none" w:sz="0" w:space="0" w:color="auto"/>
        <w:bottom w:val="none" w:sz="0" w:space="0" w:color="auto"/>
        <w:right w:val="none" w:sz="0" w:space="0" w:color="auto"/>
      </w:divBdr>
    </w:div>
    <w:div w:id="1211192385">
      <w:bodyDiv w:val="1"/>
      <w:marLeft w:val="0"/>
      <w:marRight w:val="0"/>
      <w:marTop w:val="0"/>
      <w:marBottom w:val="0"/>
      <w:divBdr>
        <w:top w:val="none" w:sz="0" w:space="0" w:color="auto"/>
        <w:left w:val="none" w:sz="0" w:space="0" w:color="auto"/>
        <w:bottom w:val="none" w:sz="0" w:space="0" w:color="auto"/>
        <w:right w:val="none" w:sz="0" w:space="0" w:color="auto"/>
      </w:divBdr>
    </w:div>
    <w:div w:id="1328944939">
      <w:bodyDiv w:val="1"/>
      <w:marLeft w:val="0"/>
      <w:marRight w:val="0"/>
      <w:marTop w:val="0"/>
      <w:marBottom w:val="0"/>
      <w:divBdr>
        <w:top w:val="none" w:sz="0" w:space="0" w:color="auto"/>
        <w:left w:val="none" w:sz="0" w:space="0" w:color="auto"/>
        <w:bottom w:val="none" w:sz="0" w:space="0" w:color="auto"/>
        <w:right w:val="none" w:sz="0" w:space="0" w:color="auto"/>
      </w:divBdr>
    </w:div>
    <w:div w:id="1341203105">
      <w:bodyDiv w:val="1"/>
      <w:marLeft w:val="0"/>
      <w:marRight w:val="0"/>
      <w:marTop w:val="0"/>
      <w:marBottom w:val="0"/>
      <w:divBdr>
        <w:top w:val="none" w:sz="0" w:space="0" w:color="auto"/>
        <w:left w:val="none" w:sz="0" w:space="0" w:color="auto"/>
        <w:bottom w:val="none" w:sz="0" w:space="0" w:color="auto"/>
        <w:right w:val="none" w:sz="0" w:space="0" w:color="auto"/>
      </w:divBdr>
    </w:div>
    <w:div w:id="1343118464">
      <w:bodyDiv w:val="1"/>
      <w:marLeft w:val="0"/>
      <w:marRight w:val="0"/>
      <w:marTop w:val="0"/>
      <w:marBottom w:val="0"/>
      <w:divBdr>
        <w:top w:val="none" w:sz="0" w:space="0" w:color="auto"/>
        <w:left w:val="none" w:sz="0" w:space="0" w:color="auto"/>
        <w:bottom w:val="none" w:sz="0" w:space="0" w:color="auto"/>
        <w:right w:val="none" w:sz="0" w:space="0" w:color="auto"/>
      </w:divBdr>
    </w:div>
    <w:div w:id="1345673357">
      <w:bodyDiv w:val="1"/>
      <w:marLeft w:val="0"/>
      <w:marRight w:val="0"/>
      <w:marTop w:val="0"/>
      <w:marBottom w:val="0"/>
      <w:divBdr>
        <w:top w:val="none" w:sz="0" w:space="0" w:color="auto"/>
        <w:left w:val="none" w:sz="0" w:space="0" w:color="auto"/>
        <w:bottom w:val="none" w:sz="0" w:space="0" w:color="auto"/>
        <w:right w:val="none" w:sz="0" w:space="0" w:color="auto"/>
      </w:divBdr>
    </w:div>
    <w:div w:id="1522278664">
      <w:bodyDiv w:val="1"/>
      <w:marLeft w:val="0"/>
      <w:marRight w:val="0"/>
      <w:marTop w:val="0"/>
      <w:marBottom w:val="0"/>
      <w:divBdr>
        <w:top w:val="none" w:sz="0" w:space="0" w:color="auto"/>
        <w:left w:val="none" w:sz="0" w:space="0" w:color="auto"/>
        <w:bottom w:val="none" w:sz="0" w:space="0" w:color="auto"/>
        <w:right w:val="none" w:sz="0" w:space="0" w:color="auto"/>
      </w:divBdr>
    </w:div>
    <w:div w:id="1738741632">
      <w:bodyDiv w:val="1"/>
      <w:marLeft w:val="0"/>
      <w:marRight w:val="0"/>
      <w:marTop w:val="0"/>
      <w:marBottom w:val="0"/>
      <w:divBdr>
        <w:top w:val="none" w:sz="0" w:space="0" w:color="auto"/>
        <w:left w:val="none" w:sz="0" w:space="0" w:color="auto"/>
        <w:bottom w:val="none" w:sz="0" w:space="0" w:color="auto"/>
        <w:right w:val="none" w:sz="0" w:space="0" w:color="auto"/>
      </w:divBdr>
    </w:div>
    <w:div w:id="19204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B1B0-28D7-485B-BC4F-0119C2A3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1361</Words>
  <Characters>777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Informatīvais ziņojums par Eiropas Savienības Atveseļošanas un noturības mehānisma plāna projektu</vt:lpstr>
    </vt:vector>
  </TitlesOfParts>
  <Company>Finanšu ministrija</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MK Protokollēmums</dc:subject>
  <dc:creator>inese.otzule@fm.gov.lv</dc:creator>
  <dc:description>t. 67095482, kristine.ancane@fm.gov.lv</dc:description>
  <cp:lastModifiedBy>FM</cp:lastModifiedBy>
  <cp:revision>3</cp:revision>
  <dcterms:created xsi:type="dcterms:W3CDTF">2021-04-26T14:58:00Z</dcterms:created>
  <dcterms:modified xsi:type="dcterms:W3CDTF">2021-04-26T15:24:00Z</dcterms:modified>
</cp:coreProperties>
</file>