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A02DD8" w:rsidRDefault="007356B4" w:rsidP="00C4242D">
      <w:pPr>
        <w:pStyle w:val="naisnod"/>
        <w:spacing w:before="60" w:after="60"/>
      </w:pPr>
      <w:bookmarkStart w:id="0" w:name="_GoBack"/>
      <w:bookmarkEnd w:id="0"/>
      <w:r w:rsidRPr="00A02DD8">
        <w:t xml:space="preserve">Izziņa par atzinumos sniegtajiem iebildumiem par Ministru kabineta noteikumu projektu </w:t>
      </w:r>
      <w:bookmarkStart w:id="1" w:name="OLE_LINK3"/>
      <w:bookmarkStart w:id="2" w:name="OLE_LINK4"/>
      <w:bookmarkStart w:id="3" w:name="OLE_LINK7"/>
    </w:p>
    <w:bookmarkEnd w:id="1"/>
    <w:bookmarkEnd w:id="2"/>
    <w:bookmarkEnd w:id="3"/>
    <w:p w14:paraId="65D7861F" w14:textId="668039DB" w:rsidR="007356B4" w:rsidRPr="00A02DD8" w:rsidRDefault="00B357A2" w:rsidP="00C4242D">
      <w:pPr>
        <w:pStyle w:val="naisnod"/>
        <w:spacing w:before="60" w:after="60"/>
      </w:pPr>
      <w:r w:rsidRPr="00B357A2">
        <w:t>„Grozījumi Ministru kabineta 2016. gada 19. aprīļa noteikumos Nr. 249 „Darbības programmas „Izaugsme un nodarbinātība” 8.1.3. specifiskā atbalsta mērķa „Palielināt modernizēto profesionālās izglītības iestāžu skaitu” īstenošanas noteikumi””</w:t>
      </w:r>
    </w:p>
    <w:p w14:paraId="30BD6108" w14:textId="77777777" w:rsidR="0023626A" w:rsidRPr="00A02DD8" w:rsidRDefault="0023626A" w:rsidP="00C4242D">
      <w:pPr>
        <w:pStyle w:val="naisf"/>
        <w:spacing w:before="60" w:after="60"/>
        <w:rPr>
          <w:b/>
        </w:rPr>
      </w:pPr>
      <w:r w:rsidRPr="00A02DD8">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F83B42" w:rsidRPr="00A02DD8" w14:paraId="67AB741B" w14:textId="77777777" w:rsidTr="00C4242D">
        <w:trPr>
          <w:trHeight w:val="1230"/>
        </w:trPr>
        <w:tc>
          <w:tcPr>
            <w:tcW w:w="234" w:type="pct"/>
            <w:vAlign w:val="center"/>
          </w:tcPr>
          <w:p w14:paraId="6C404E3D" w14:textId="77777777" w:rsidR="0023626A" w:rsidRPr="00A02DD8" w:rsidRDefault="0023626A" w:rsidP="00C4242D">
            <w:pPr>
              <w:pStyle w:val="naisc"/>
              <w:spacing w:before="60" w:after="60"/>
              <w:jc w:val="both"/>
            </w:pPr>
            <w:r w:rsidRPr="00A02DD8">
              <w:t>Nr.</w:t>
            </w:r>
            <w:r w:rsidR="0050794A" w:rsidRPr="00A02DD8">
              <w:t xml:space="preserve"> </w:t>
            </w:r>
            <w:r w:rsidRPr="00A02DD8">
              <w:t>p.k.</w:t>
            </w:r>
          </w:p>
        </w:tc>
        <w:tc>
          <w:tcPr>
            <w:tcW w:w="1048" w:type="pct"/>
            <w:vAlign w:val="center"/>
          </w:tcPr>
          <w:p w14:paraId="7A066E4C" w14:textId="77777777" w:rsidR="0023626A" w:rsidRPr="00A02DD8" w:rsidRDefault="0023626A" w:rsidP="00C4242D">
            <w:pPr>
              <w:pStyle w:val="naisc"/>
              <w:spacing w:before="60" w:after="60"/>
              <w:jc w:val="both"/>
            </w:pPr>
            <w:r w:rsidRPr="00A02DD8">
              <w:t>Saskaņošanai nosūtītā projekta redakcija (konkrēta vērtēšanas kritērija redakcija)</w:t>
            </w:r>
          </w:p>
        </w:tc>
        <w:tc>
          <w:tcPr>
            <w:tcW w:w="943" w:type="pct"/>
            <w:vAlign w:val="center"/>
          </w:tcPr>
          <w:p w14:paraId="63C2486D" w14:textId="77777777" w:rsidR="0023626A" w:rsidRPr="00A02DD8" w:rsidRDefault="0023626A"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A02DD8" w:rsidRDefault="0023626A" w:rsidP="00C4242D">
            <w:pPr>
              <w:pStyle w:val="naisc"/>
              <w:spacing w:before="60" w:after="60"/>
              <w:jc w:val="both"/>
            </w:pPr>
            <w:r w:rsidRPr="00A02DD8">
              <w:t>Atbildīgās ministrijas pamatojums iebilduma noraidījumam</w:t>
            </w:r>
          </w:p>
        </w:tc>
        <w:tc>
          <w:tcPr>
            <w:tcW w:w="584" w:type="pct"/>
          </w:tcPr>
          <w:p w14:paraId="481E8A6C" w14:textId="77777777" w:rsidR="0023626A" w:rsidRPr="00A02DD8" w:rsidRDefault="0023626A" w:rsidP="00C4242D">
            <w:pPr>
              <w:pStyle w:val="naisc"/>
              <w:spacing w:before="60" w:after="60"/>
              <w:jc w:val="both"/>
            </w:pPr>
            <w:r w:rsidRPr="00A02DD8">
              <w:t>Atzinuma sniedzēja uzturētais iebildums, ja tas atšķiras no atzinumā norādītā iebilduma pamatojuma</w:t>
            </w:r>
          </w:p>
        </w:tc>
        <w:tc>
          <w:tcPr>
            <w:tcW w:w="1099" w:type="pct"/>
            <w:vAlign w:val="center"/>
          </w:tcPr>
          <w:p w14:paraId="56B13783" w14:textId="77777777" w:rsidR="0023626A" w:rsidRPr="00A02DD8" w:rsidRDefault="0023626A" w:rsidP="00C4242D">
            <w:pPr>
              <w:pStyle w:val="naisc"/>
              <w:spacing w:before="60" w:after="60"/>
              <w:jc w:val="both"/>
            </w:pPr>
            <w:r w:rsidRPr="00A02DD8">
              <w:t>Projekta attiecīgā punkta (panta) galīgā redakcija</w:t>
            </w:r>
          </w:p>
        </w:tc>
      </w:tr>
      <w:tr w:rsidR="00F83B42" w:rsidRPr="00A02DD8" w14:paraId="05F33605" w14:textId="77777777" w:rsidTr="00C4242D">
        <w:trPr>
          <w:trHeight w:val="285"/>
        </w:trPr>
        <w:tc>
          <w:tcPr>
            <w:tcW w:w="234" w:type="pct"/>
            <w:shd w:val="clear" w:color="auto" w:fill="auto"/>
            <w:vAlign w:val="center"/>
          </w:tcPr>
          <w:p w14:paraId="37920FA5" w14:textId="77777777" w:rsidR="0023626A" w:rsidRPr="00A02DD8" w:rsidRDefault="0023626A" w:rsidP="00C4242D">
            <w:pPr>
              <w:pStyle w:val="naisc"/>
              <w:spacing w:before="60" w:after="60"/>
            </w:pPr>
            <w:r w:rsidRPr="00A02DD8">
              <w:t>1.</w:t>
            </w:r>
          </w:p>
        </w:tc>
        <w:tc>
          <w:tcPr>
            <w:tcW w:w="1048" w:type="pct"/>
            <w:shd w:val="clear" w:color="auto" w:fill="auto"/>
            <w:vAlign w:val="center"/>
          </w:tcPr>
          <w:p w14:paraId="796EECA1" w14:textId="77777777" w:rsidR="0023626A" w:rsidRPr="00A02DD8" w:rsidRDefault="0023626A" w:rsidP="00C4242D">
            <w:pPr>
              <w:pStyle w:val="naisc"/>
              <w:spacing w:before="60" w:after="60"/>
            </w:pPr>
            <w:r w:rsidRPr="00A02DD8">
              <w:t>2.</w:t>
            </w:r>
          </w:p>
        </w:tc>
        <w:tc>
          <w:tcPr>
            <w:tcW w:w="943" w:type="pct"/>
            <w:shd w:val="clear" w:color="auto" w:fill="auto"/>
            <w:vAlign w:val="center"/>
          </w:tcPr>
          <w:p w14:paraId="2F78C577" w14:textId="77777777" w:rsidR="0023626A" w:rsidRPr="00A02DD8" w:rsidRDefault="0023626A" w:rsidP="00C4242D">
            <w:pPr>
              <w:pStyle w:val="naisc"/>
              <w:spacing w:before="60" w:after="60"/>
            </w:pPr>
            <w:r w:rsidRPr="00A02DD8">
              <w:t>3.</w:t>
            </w:r>
          </w:p>
        </w:tc>
        <w:tc>
          <w:tcPr>
            <w:tcW w:w="1092" w:type="pct"/>
            <w:shd w:val="clear" w:color="auto" w:fill="auto"/>
            <w:vAlign w:val="center"/>
          </w:tcPr>
          <w:p w14:paraId="473C2C23" w14:textId="77777777" w:rsidR="0023626A" w:rsidRPr="00A02DD8" w:rsidRDefault="0023626A" w:rsidP="00C4242D">
            <w:pPr>
              <w:pStyle w:val="naisc"/>
              <w:spacing w:before="60" w:after="60"/>
            </w:pPr>
            <w:r w:rsidRPr="00A02DD8">
              <w:t>4.</w:t>
            </w:r>
          </w:p>
        </w:tc>
        <w:tc>
          <w:tcPr>
            <w:tcW w:w="584" w:type="pct"/>
            <w:shd w:val="clear" w:color="auto" w:fill="auto"/>
          </w:tcPr>
          <w:p w14:paraId="6A76269C" w14:textId="77777777" w:rsidR="0023626A" w:rsidRPr="00A02DD8" w:rsidRDefault="0023626A" w:rsidP="00C4242D">
            <w:pPr>
              <w:pStyle w:val="naisc"/>
              <w:spacing w:before="60" w:after="60"/>
            </w:pPr>
            <w:r w:rsidRPr="00A02DD8">
              <w:t>5.</w:t>
            </w:r>
          </w:p>
        </w:tc>
        <w:tc>
          <w:tcPr>
            <w:tcW w:w="1099" w:type="pct"/>
            <w:shd w:val="clear" w:color="auto" w:fill="auto"/>
            <w:vAlign w:val="center"/>
          </w:tcPr>
          <w:p w14:paraId="51B41E17" w14:textId="77777777" w:rsidR="0023626A" w:rsidRPr="00A02DD8" w:rsidRDefault="0023626A" w:rsidP="00C4242D">
            <w:pPr>
              <w:pStyle w:val="naisc"/>
              <w:spacing w:before="60" w:after="60"/>
            </w:pPr>
            <w:r w:rsidRPr="00A02DD8">
              <w:t>6.</w:t>
            </w:r>
          </w:p>
        </w:tc>
      </w:tr>
      <w:tr w:rsidR="00F83B42" w:rsidRPr="00A02DD8" w14:paraId="75CC7CC9" w14:textId="77777777" w:rsidTr="00C4242D">
        <w:trPr>
          <w:trHeight w:val="212"/>
        </w:trPr>
        <w:tc>
          <w:tcPr>
            <w:tcW w:w="234" w:type="pct"/>
          </w:tcPr>
          <w:p w14:paraId="5E6C133D" w14:textId="77777777" w:rsidR="00441CD7" w:rsidRPr="00A02DD8" w:rsidRDefault="00441CD7" w:rsidP="00C4242D">
            <w:pPr>
              <w:pStyle w:val="naisc"/>
              <w:spacing w:before="60" w:after="60"/>
              <w:jc w:val="both"/>
            </w:pPr>
          </w:p>
        </w:tc>
        <w:tc>
          <w:tcPr>
            <w:tcW w:w="1048" w:type="pct"/>
          </w:tcPr>
          <w:p w14:paraId="732AF88D" w14:textId="77777777" w:rsidR="00441CD7" w:rsidRPr="00A02DD8" w:rsidRDefault="00441CD7" w:rsidP="00C4242D">
            <w:pPr>
              <w:tabs>
                <w:tab w:val="left" w:pos="993"/>
                <w:tab w:val="left" w:pos="1418"/>
              </w:tabs>
              <w:spacing w:before="60" w:after="60"/>
              <w:jc w:val="both"/>
              <w:rPr>
                <w:bCs/>
              </w:rPr>
            </w:pPr>
          </w:p>
        </w:tc>
        <w:tc>
          <w:tcPr>
            <w:tcW w:w="943" w:type="pct"/>
          </w:tcPr>
          <w:p w14:paraId="528E40EB" w14:textId="7A7B0E4E" w:rsidR="001B3824" w:rsidRPr="00A02DD8" w:rsidRDefault="001B3824" w:rsidP="00C4242D">
            <w:pPr>
              <w:spacing w:before="60" w:after="60"/>
              <w:jc w:val="both"/>
              <w:rPr>
                <w:i/>
              </w:rPr>
            </w:pPr>
          </w:p>
        </w:tc>
        <w:tc>
          <w:tcPr>
            <w:tcW w:w="1092" w:type="pct"/>
          </w:tcPr>
          <w:p w14:paraId="365D4F6A" w14:textId="77777777" w:rsidR="00441CD7" w:rsidRPr="00A02DD8" w:rsidRDefault="00441CD7" w:rsidP="00C4242D">
            <w:pPr>
              <w:pStyle w:val="ListParagraph"/>
              <w:spacing w:before="60" w:after="60"/>
              <w:ind w:left="0"/>
              <w:jc w:val="both"/>
              <w:rPr>
                <w:rFonts w:ascii="Times New Roman" w:hAnsi="Times New Roman"/>
                <w:sz w:val="24"/>
                <w:szCs w:val="24"/>
              </w:rPr>
            </w:pPr>
          </w:p>
        </w:tc>
        <w:tc>
          <w:tcPr>
            <w:tcW w:w="584" w:type="pct"/>
          </w:tcPr>
          <w:p w14:paraId="34BC5965" w14:textId="77777777" w:rsidR="00441CD7" w:rsidRPr="00A02DD8" w:rsidRDefault="00441CD7" w:rsidP="00C4242D">
            <w:pPr>
              <w:tabs>
                <w:tab w:val="left" w:pos="284"/>
              </w:tabs>
              <w:spacing w:before="60" w:after="60"/>
              <w:contextualSpacing/>
              <w:jc w:val="both"/>
            </w:pPr>
          </w:p>
        </w:tc>
        <w:tc>
          <w:tcPr>
            <w:tcW w:w="1099" w:type="pct"/>
          </w:tcPr>
          <w:p w14:paraId="38BE40E6" w14:textId="77777777" w:rsidR="00441CD7" w:rsidRPr="00A02DD8" w:rsidRDefault="00441CD7" w:rsidP="00C4242D">
            <w:pPr>
              <w:spacing w:before="60" w:after="60"/>
              <w:jc w:val="both"/>
            </w:pPr>
          </w:p>
        </w:tc>
      </w:tr>
    </w:tbl>
    <w:p w14:paraId="40DC24EE" w14:textId="2505F37C" w:rsidR="0023626A" w:rsidRPr="00A02DD8" w:rsidRDefault="0023626A" w:rsidP="00C4242D">
      <w:pPr>
        <w:pStyle w:val="naisf"/>
        <w:spacing w:before="60" w:after="60"/>
        <w:rPr>
          <w:b/>
        </w:rPr>
      </w:pPr>
    </w:p>
    <w:p w14:paraId="58818651" w14:textId="77777777" w:rsidR="0023626A" w:rsidRPr="00A02DD8" w:rsidRDefault="0023626A" w:rsidP="00C4242D">
      <w:pPr>
        <w:pStyle w:val="naisf"/>
        <w:spacing w:before="60" w:after="60"/>
        <w:rPr>
          <w:b/>
        </w:rPr>
      </w:pPr>
      <w:r w:rsidRPr="00A02DD8">
        <w:rPr>
          <w:b/>
        </w:rPr>
        <w:t xml:space="preserve">Informācija par starpministriju (starpinstitūciju) sanāksmi vai </w:t>
      </w:r>
      <w:r w:rsidRPr="00A02DD8">
        <w:rPr>
          <w:b/>
          <w:u w:val="single"/>
        </w:rPr>
        <w:t>elektronisko saskaņošanu</w:t>
      </w:r>
    </w:p>
    <w:p w14:paraId="7C0AB2AE" w14:textId="77777777" w:rsidR="00796743" w:rsidRPr="00A02DD8"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A02DD8" w14:paraId="37C197E0" w14:textId="77777777" w:rsidTr="00C4242D">
        <w:trPr>
          <w:trHeight w:val="201"/>
        </w:trPr>
        <w:tc>
          <w:tcPr>
            <w:tcW w:w="7371" w:type="dxa"/>
          </w:tcPr>
          <w:p w14:paraId="4175B492" w14:textId="7F54864E" w:rsidR="0023626A" w:rsidRPr="00A02DD8" w:rsidRDefault="0023626A" w:rsidP="0086344B">
            <w:pPr>
              <w:pStyle w:val="naisf"/>
              <w:spacing w:before="60" w:after="60"/>
            </w:pPr>
            <w:r w:rsidRPr="00A02DD8">
              <w:t>Datums</w:t>
            </w:r>
            <w:r w:rsidR="00B12E7E" w:rsidRPr="00A02DD8">
              <w:t xml:space="preserve"> </w:t>
            </w:r>
            <w:r w:rsidR="0086344B">
              <w:t>04.03</w:t>
            </w:r>
            <w:r w:rsidR="00B357A2">
              <w:t>.2021</w:t>
            </w:r>
            <w:r w:rsidR="00032BE2" w:rsidRPr="00A02DD8">
              <w:t>.</w:t>
            </w:r>
            <w:r w:rsidR="006B22CC">
              <w:t xml:space="preserve"> un 15.03.2021.</w:t>
            </w:r>
          </w:p>
        </w:tc>
        <w:tc>
          <w:tcPr>
            <w:tcW w:w="7230" w:type="dxa"/>
            <w:gridSpan w:val="2"/>
            <w:tcBorders>
              <w:bottom w:val="single" w:sz="4" w:space="0" w:color="auto"/>
            </w:tcBorders>
          </w:tcPr>
          <w:p w14:paraId="5B9D2C84" w14:textId="77777777" w:rsidR="0023626A" w:rsidRPr="00A02DD8" w:rsidRDefault="0023626A" w:rsidP="00C4242D">
            <w:pPr>
              <w:pStyle w:val="NormalWeb"/>
              <w:spacing w:before="60" w:beforeAutospacing="0" w:after="60" w:afterAutospacing="0"/>
              <w:jc w:val="both"/>
            </w:pPr>
          </w:p>
        </w:tc>
      </w:tr>
      <w:tr w:rsidR="00F83B42" w:rsidRPr="00A02DD8" w14:paraId="3E00288C" w14:textId="77777777" w:rsidTr="00C4242D">
        <w:trPr>
          <w:trHeight w:val="201"/>
        </w:trPr>
        <w:tc>
          <w:tcPr>
            <w:tcW w:w="7371" w:type="dxa"/>
          </w:tcPr>
          <w:p w14:paraId="18EC30A3" w14:textId="77777777" w:rsidR="0023626A" w:rsidRPr="00A02DD8"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A02DD8" w:rsidRDefault="0023626A" w:rsidP="00C4242D">
            <w:pPr>
              <w:pStyle w:val="NormalWeb"/>
              <w:spacing w:before="60" w:beforeAutospacing="0" w:after="60" w:afterAutospacing="0"/>
              <w:ind w:firstLine="720"/>
              <w:jc w:val="both"/>
            </w:pPr>
          </w:p>
        </w:tc>
      </w:tr>
      <w:tr w:rsidR="00F83B42" w:rsidRPr="00A02DD8" w14:paraId="310014DE" w14:textId="77777777" w:rsidTr="00C4242D">
        <w:trPr>
          <w:trHeight w:val="201"/>
        </w:trPr>
        <w:tc>
          <w:tcPr>
            <w:tcW w:w="7371" w:type="dxa"/>
          </w:tcPr>
          <w:p w14:paraId="27205848" w14:textId="77777777" w:rsidR="0023626A" w:rsidRPr="00A02DD8" w:rsidRDefault="0023626A" w:rsidP="00C4242D">
            <w:pPr>
              <w:pStyle w:val="naiskr"/>
              <w:spacing w:before="60" w:after="60"/>
              <w:jc w:val="both"/>
            </w:pPr>
            <w:r w:rsidRPr="00A02DD8">
              <w:t>Saskaņošanas dalībnieki</w:t>
            </w:r>
            <w:r w:rsidR="00DF26D2" w:rsidRPr="00A02DD8">
              <w:t xml:space="preserve"> </w:t>
            </w:r>
          </w:p>
        </w:tc>
        <w:tc>
          <w:tcPr>
            <w:tcW w:w="7230" w:type="dxa"/>
            <w:gridSpan w:val="2"/>
            <w:tcBorders>
              <w:bottom w:val="single" w:sz="4" w:space="0" w:color="auto"/>
            </w:tcBorders>
          </w:tcPr>
          <w:p w14:paraId="1EE77855" w14:textId="2DEF579D" w:rsidR="00B14A57" w:rsidRPr="00A02DD8" w:rsidRDefault="0008799E" w:rsidP="00C4242D">
            <w:pPr>
              <w:pStyle w:val="naiskr"/>
              <w:spacing w:before="60" w:after="60"/>
              <w:jc w:val="both"/>
            </w:pPr>
            <w:r w:rsidRPr="00A02DD8">
              <w:t xml:space="preserve">Finanšu ministrija </w:t>
            </w:r>
          </w:p>
        </w:tc>
      </w:tr>
      <w:tr w:rsidR="00F83B42" w:rsidRPr="00A02DD8" w14:paraId="38843C9D" w14:textId="77777777" w:rsidTr="00C4242D">
        <w:trPr>
          <w:trHeight w:val="210"/>
        </w:trPr>
        <w:tc>
          <w:tcPr>
            <w:tcW w:w="7371" w:type="dxa"/>
          </w:tcPr>
          <w:p w14:paraId="6B2D6721" w14:textId="77777777" w:rsidR="0023626A" w:rsidRPr="00A02DD8" w:rsidRDefault="0023626A" w:rsidP="00C4242D">
            <w:pPr>
              <w:pStyle w:val="naiskr"/>
              <w:spacing w:before="60" w:after="60"/>
              <w:jc w:val="both"/>
            </w:pPr>
          </w:p>
        </w:tc>
        <w:tc>
          <w:tcPr>
            <w:tcW w:w="282" w:type="dxa"/>
          </w:tcPr>
          <w:p w14:paraId="47DA5F10" w14:textId="77777777" w:rsidR="0023626A" w:rsidRPr="00A02DD8" w:rsidRDefault="0023626A" w:rsidP="00C4242D">
            <w:pPr>
              <w:pStyle w:val="naiskr"/>
              <w:spacing w:before="60" w:after="60"/>
              <w:ind w:firstLine="720"/>
              <w:jc w:val="both"/>
            </w:pPr>
          </w:p>
        </w:tc>
        <w:tc>
          <w:tcPr>
            <w:tcW w:w="6948" w:type="dxa"/>
          </w:tcPr>
          <w:p w14:paraId="1F7DCF3E" w14:textId="77777777" w:rsidR="0023626A" w:rsidRPr="00A02DD8" w:rsidRDefault="0023626A" w:rsidP="00C4242D">
            <w:pPr>
              <w:pStyle w:val="naiskr"/>
              <w:spacing w:before="60" w:after="60"/>
              <w:ind w:firstLine="12"/>
              <w:jc w:val="both"/>
            </w:pPr>
          </w:p>
        </w:tc>
      </w:tr>
      <w:tr w:rsidR="00F83B42" w:rsidRPr="00A02DD8" w14:paraId="1759B5E5" w14:textId="77777777" w:rsidTr="00C4242D">
        <w:trPr>
          <w:trHeight w:val="210"/>
        </w:trPr>
        <w:tc>
          <w:tcPr>
            <w:tcW w:w="7371" w:type="dxa"/>
          </w:tcPr>
          <w:p w14:paraId="44162AA0" w14:textId="77777777" w:rsidR="0023626A" w:rsidRPr="00A02DD8" w:rsidRDefault="0023626A" w:rsidP="00C4242D">
            <w:pPr>
              <w:pStyle w:val="naiskr"/>
              <w:spacing w:before="60" w:after="60"/>
              <w:jc w:val="both"/>
            </w:pPr>
            <w:r w:rsidRPr="00A02DD8">
              <w:br w:type="page"/>
              <w:t>Saskaņošanas dalībnieki izskatīja šādu ministriju (citu institūciju) iebildumus</w:t>
            </w:r>
          </w:p>
        </w:tc>
        <w:tc>
          <w:tcPr>
            <w:tcW w:w="282" w:type="dxa"/>
            <w:tcBorders>
              <w:bottom w:val="single" w:sz="4" w:space="0" w:color="auto"/>
            </w:tcBorders>
          </w:tcPr>
          <w:p w14:paraId="216E22EE" w14:textId="77777777" w:rsidR="0023626A" w:rsidRPr="00A02DD8"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4697B662" w:rsidR="00FF1A42" w:rsidRPr="00A02DD8" w:rsidRDefault="006D0FEC" w:rsidP="00C4242D">
            <w:pPr>
              <w:pStyle w:val="naiskr"/>
              <w:spacing w:before="60" w:after="60"/>
              <w:jc w:val="both"/>
            </w:pPr>
            <w:r w:rsidRPr="00A02DD8">
              <w:t>Finanšu ministrija</w:t>
            </w:r>
            <w:r w:rsidR="00EA4C95" w:rsidRPr="00A02DD8">
              <w:t xml:space="preserve"> </w:t>
            </w:r>
          </w:p>
        </w:tc>
      </w:tr>
      <w:tr w:rsidR="00F83B42" w:rsidRPr="00A02DD8" w14:paraId="131C2931" w14:textId="77777777" w:rsidTr="00C4242D">
        <w:trPr>
          <w:trHeight w:val="343"/>
        </w:trPr>
        <w:tc>
          <w:tcPr>
            <w:tcW w:w="14601" w:type="dxa"/>
            <w:gridSpan w:val="3"/>
          </w:tcPr>
          <w:p w14:paraId="67A3D480" w14:textId="77777777" w:rsidR="0023626A" w:rsidRPr="00A02DD8" w:rsidRDefault="0023626A" w:rsidP="00C4242D">
            <w:pPr>
              <w:pStyle w:val="naisc"/>
              <w:spacing w:before="60" w:after="60"/>
              <w:jc w:val="both"/>
            </w:pPr>
          </w:p>
        </w:tc>
      </w:tr>
      <w:tr w:rsidR="00F83B42" w:rsidRPr="00A02DD8" w14:paraId="54D70F5D" w14:textId="77777777" w:rsidTr="00C4242D">
        <w:trPr>
          <w:trHeight w:val="612"/>
        </w:trPr>
        <w:tc>
          <w:tcPr>
            <w:tcW w:w="7371" w:type="dxa"/>
          </w:tcPr>
          <w:p w14:paraId="3A64E57D" w14:textId="3C34E7AA" w:rsidR="003B4845" w:rsidRDefault="0023626A" w:rsidP="00C4242D">
            <w:pPr>
              <w:pStyle w:val="naiskr"/>
              <w:spacing w:before="60" w:after="60"/>
              <w:jc w:val="both"/>
            </w:pPr>
            <w:r w:rsidRPr="00A02DD8">
              <w:t>Ministrijas (citas institūcijas), kuras nav ieradušās uz sanāksmi vai kuras nav atbildējušas uz uzaicinājumu piedalīties elektroniskajā saskaņošanā</w:t>
            </w:r>
          </w:p>
          <w:p w14:paraId="54A82A71" w14:textId="77777777" w:rsidR="0023626A" w:rsidRPr="003B4845" w:rsidRDefault="0023626A" w:rsidP="003B4845">
            <w:pPr>
              <w:ind w:firstLine="720"/>
            </w:pPr>
          </w:p>
        </w:tc>
        <w:tc>
          <w:tcPr>
            <w:tcW w:w="7230" w:type="dxa"/>
            <w:gridSpan w:val="2"/>
            <w:vAlign w:val="bottom"/>
          </w:tcPr>
          <w:p w14:paraId="4BC4B816" w14:textId="5C569F5B" w:rsidR="0023626A" w:rsidRPr="00A02DD8" w:rsidRDefault="0023626A" w:rsidP="00C4242D">
            <w:pPr>
              <w:pStyle w:val="naiskr"/>
              <w:spacing w:before="60" w:after="60"/>
              <w:jc w:val="both"/>
            </w:pPr>
          </w:p>
        </w:tc>
      </w:tr>
      <w:tr w:rsidR="00F83B42" w:rsidRPr="00A02DD8" w14:paraId="2AFEE836" w14:textId="77777777" w:rsidTr="00C4242D">
        <w:trPr>
          <w:trHeight w:val="210"/>
        </w:trPr>
        <w:tc>
          <w:tcPr>
            <w:tcW w:w="7371" w:type="dxa"/>
          </w:tcPr>
          <w:p w14:paraId="597547CA" w14:textId="77777777" w:rsidR="0023626A" w:rsidRPr="00A02DD8" w:rsidRDefault="0023626A" w:rsidP="00C4242D">
            <w:pPr>
              <w:pStyle w:val="naiskr"/>
              <w:spacing w:before="60" w:after="60"/>
              <w:ind w:firstLine="720"/>
              <w:jc w:val="both"/>
            </w:pPr>
            <w:r w:rsidRPr="00A02DD8">
              <w:lastRenderedPageBreak/>
              <w:t>  </w:t>
            </w:r>
          </w:p>
        </w:tc>
        <w:tc>
          <w:tcPr>
            <w:tcW w:w="7230" w:type="dxa"/>
            <w:gridSpan w:val="2"/>
            <w:tcBorders>
              <w:top w:val="single" w:sz="6" w:space="0" w:color="000000"/>
              <w:bottom w:val="single" w:sz="6" w:space="0" w:color="000000"/>
            </w:tcBorders>
          </w:tcPr>
          <w:p w14:paraId="034FE488" w14:textId="77777777" w:rsidR="0023626A" w:rsidRPr="00A02DD8" w:rsidRDefault="0023626A" w:rsidP="00C4242D">
            <w:pPr>
              <w:pStyle w:val="naiskr"/>
              <w:spacing w:before="60" w:after="60"/>
              <w:ind w:firstLine="720"/>
              <w:jc w:val="both"/>
            </w:pPr>
          </w:p>
        </w:tc>
      </w:tr>
      <w:tr w:rsidR="00F83B42" w:rsidRPr="00A02DD8" w14:paraId="5CCC2DFD" w14:textId="77777777" w:rsidTr="00C4242D">
        <w:trPr>
          <w:trHeight w:val="210"/>
        </w:trPr>
        <w:tc>
          <w:tcPr>
            <w:tcW w:w="7371" w:type="dxa"/>
          </w:tcPr>
          <w:p w14:paraId="101F18F1" w14:textId="24C38EC0" w:rsidR="00237834" w:rsidRPr="00A02DD8" w:rsidRDefault="00237834" w:rsidP="00C4242D">
            <w:pPr>
              <w:pStyle w:val="naiskr"/>
              <w:spacing w:before="60" w:after="60"/>
              <w:ind w:firstLine="720"/>
              <w:jc w:val="both"/>
            </w:pPr>
          </w:p>
          <w:p w14:paraId="72E75A52" w14:textId="77777777" w:rsidR="00237834" w:rsidRPr="00A02DD8" w:rsidRDefault="00237834" w:rsidP="00C4242D">
            <w:pPr>
              <w:pStyle w:val="naiskr"/>
              <w:spacing w:before="60" w:after="60"/>
              <w:ind w:firstLine="720"/>
              <w:jc w:val="both"/>
            </w:pPr>
          </w:p>
        </w:tc>
        <w:tc>
          <w:tcPr>
            <w:tcW w:w="7230" w:type="dxa"/>
            <w:gridSpan w:val="2"/>
          </w:tcPr>
          <w:p w14:paraId="3080EB35" w14:textId="77777777" w:rsidR="00237834" w:rsidRPr="00A02DD8" w:rsidRDefault="00237834" w:rsidP="00C4242D">
            <w:pPr>
              <w:pStyle w:val="naiskr"/>
              <w:spacing w:before="60" w:after="60"/>
              <w:ind w:firstLine="720"/>
              <w:jc w:val="both"/>
            </w:pPr>
          </w:p>
        </w:tc>
      </w:tr>
    </w:tbl>
    <w:p w14:paraId="200D25AB" w14:textId="77777777" w:rsidR="007B4C0F" w:rsidRPr="00A02DD8" w:rsidRDefault="007B4C0F" w:rsidP="00C4242D">
      <w:pPr>
        <w:pStyle w:val="naisf"/>
        <w:spacing w:before="60" w:after="60"/>
        <w:ind w:firstLine="0"/>
        <w:rPr>
          <w:b/>
        </w:rPr>
      </w:pPr>
      <w:r w:rsidRPr="00A02DD8">
        <w:rPr>
          <w:b/>
        </w:rPr>
        <w:t>II. </w:t>
      </w:r>
      <w:r w:rsidR="00134188" w:rsidRPr="00A02DD8">
        <w:rPr>
          <w:b/>
        </w:rPr>
        <w:t>Jautājumi, par kuriem saskaņošanā vienošan</w:t>
      </w:r>
      <w:r w:rsidR="00144622" w:rsidRPr="00A02DD8">
        <w:rPr>
          <w:b/>
        </w:rPr>
        <w:t>ā</w:t>
      </w:r>
      <w:r w:rsidR="00134188" w:rsidRPr="00A02DD8">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67"/>
        <w:gridCol w:w="3827"/>
        <w:gridCol w:w="2787"/>
        <w:gridCol w:w="4039"/>
        <w:gridCol w:w="102"/>
      </w:tblGrid>
      <w:tr w:rsidR="008E2CD9" w:rsidRPr="00A02DD8" w14:paraId="1AE1E91F" w14:textId="77777777" w:rsidTr="006B22CC">
        <w:trPr>
          <w:gridAfter w:val="1"/>
          <w:wAfter w:w="102" w:type="dxa"/>
          <w:trHeight w:val="148"/>
        </w:trPr>
        <w:tc>
          <w:tcPr>
            <w:tcW w:w="644" w:type="dxa"/>
            <w:shd w:val="clear" w:color="auto" w:fill="FFFFFF" w:themeFill="background1"/>
            <w:vAlign w:val="center"/>
          </w:tcPr>
          <w:p w14:paraId="336AD408" w14:textId="77777777" w:rsidR="00134188" w:rsidRPr="00A02DD8" w:rsidRDefault="003903CE" w:rsidP="00C4242D">
            <w:pPr>
              <w:pStyle w:val="naisc"/>
              <w:spacing w:before="60" w:after="60"/>
              <w:jc w:val="both"/>
            </w:pPr>
            <w:r w:rsidRPr="00A02DD8">
              <w:t>Nr.</w:t>
            </w:r>
            <w:r w:rsidR="00690E99" w:rsidRPr="00A02DD8">
              <w:t xml:space="preserve"> </w:t>
            </w:r>
            <w:r w:rsidR="00134188" w:rsidRPr="00A02DD8">
              <w:t>p.k.</w:t>
            </w:r>
          </w:p>
        </w:tc>
        <w:tc>
          <w:tcPr>
            <w:tcW w:w="3467" w:type="dxa"/>
            <w:vAlign w:val="center"/>
          </w:tcPr>
          <w:p w14:paraId="2455189D" w14:textId="77777777" w:rsidR="00134188" w:rsidRPr="00A02DD8" w:rsidRDefault="00134188" w:rsidP="00C4242D">
            <w:pPr>
              <w:pStyle w:val="naisc"/>
              <w:spacing w:before="60" w:after="60"/>
              <w:ind w:firstLine="12"/>
              <w:jc w:val="both"/>
            </w:pPr>
            <w:r w:rsidRPr="00A02DD8">
              <w:t>Saskaņošanai nosūtītā projekta redakcija (konkrēta punkta (panta) redakcija)</w:t>
            </w:r>
          </w:p>
        </w:tc>
        <w:tc>
          <w:tcPr>
            <w:tcW w:w="3827" w:type="dxa"/>
            <w:vAlign w:val="center"/>
          </w:tcPr>
          <w:p w14:paraId="6F9E137A" w14:textId="77777777" w:rsidR="00134188" w:rsidRPr="00A02DD8" w:rsidRDefault="00134188"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2787" w:type="dxa"/>
            <w:vAlign w:val="center"/>
          </w:tcPr>
          <w:p w14:paraId="1E5E245C" w14:textId="77777777" w:rsidR="00134188" w:rsidRPr="00A02DD8" w:rsidRDefault="00134188" w:rsidP="00C4242D">
            <w:pPr>
              <w:pStyle w:val="naisc"/>
              <w:spacing w:before="60" w:after="60"/>
              <w:ind w:firstLine="21"/>
              <w:jc w:val="both"/>
            </w:pPr>
            <w:r w:rsidRPr="00A02DD8">
              <w:t>Atbildīgās ministrijas norāde</w:t>
            </w:r>
            <w:r w:rsidR="006C1C48" w:rsidRPr="00A02DD8">
              <w:t xml:space="preserve"> par to, ka </w:t>
            </w:r>
            <w:r w:rsidRPr="00A02DD8">
              <w:t>iebildums ir ņemts vērā</w:t>
            </w:r>
            <w:r w:rsidR="006455E7" w:rsidRPr="00A02DD8">
              <w:t>,</w:t>
            </w:r>
            <w:r w:rsidRPr="00A02DD8">
              <w:t xml:space="preserve"> vai </w:t>
            </w:r>
            <w:r w:rsidR="006C1C48" w:rsidRPr="00A02DD8">
              <w:t xml:space="preserve">informācija par saskaņošanā </w:t>
            </w:r>
            <w:r w:rsidR="00022B0F" w:rsidRPr="00A02DD8">
              <w:t>panākto alternatīvo risinājumu</w:t>
            </w:r>
          </w:p>
        </w:tc>
        <w:tc>
          <w:tcPr>
            <w:tcW w:w="4039" w:type="dxa"/>
            <w:vAlign w:val="center"/>
          </w:tcPr>
          <w:p w14:paraId="1CA5ACC6" w14:textId="77777777" w:rsidR="00134188" w:rsidRPr="00A02DD8" w:rsidRDefault="00134188" w:rsidP="00C4242D">
            <w:pPr>
              <w:spacing w:before="60" w:after="60"/>
              <w:jc w:val="both"/>
            </w:pPr>
            <w:r w:rsidRPr="00A02DD8">
              <w:t>Projekta attiecīgā punkta (panta) galīgā redakcija</w:t>
            </w:r>
          </w:p>
        </w:tc>
      </w:tr>
      <w:tr w:rsidR="008E2CD9" w:rsidRPr="00A02DD8" w14:paraId="270351AB" w14:textId="77777777" w:rsidTr="006B22CC">
        <w:trPr>
          <w:gridAfter w:val="1"/>
          <w:wAfter w:w="102" w:type="dxa"/>
          <w:trHeight w:val="283"/>
        </w:trPr>
        <w:tc>
          <w:tcPr>
            <w:tcW w:w="644" w:type="dxa"/>
            <w:shd w:val="clear" w:color="auto" w:fill="FFFFFF" w:themeFill="background1"/>
          </w:tcPr>
          <w:p w14:paraId="67B8FEC9" w14:textId="77777777" w:rsidR="00134188" w:rsidRPr="00A02DD8" w:rsidRDefault="003B71E0" w:rsidP="00C4242D">
            <w:pPr>
              <w:pStyle w:val="naisc"/>
              <w:spacing w:before="60" w:after="60"/>
            </w:pPr>
            <w:r w:rsidRPr="00A02DD8">
              <w:t>1</w:t>
            </w:r>
          </w:p>
        </w:tc>
        <w:tc>
          <w:tcPr>
            <w:tcW w:w="3467" w:type="dxa"/>
          </w:tcPr>
          <w:p w14:paraId="3F134B86" w14:textId="77777777" w:rsidR="00134188" w:rsidRPr="00A02DD8" w:rsidRDefault="00F34AAB" w:rsidP="00C4242D">
            <w:pPr>
              <w:pStyle w:val="naisc"/>
              <w:spacing w:before="60" w:after="60"/>
              <w:ind w:firstLine="720"/>
            </w:pPr>
            <w:r w:rsidRPr="00A02DD8">
              <w:t>2</w:t>
            </w:r>
          </w:p>
        </w:tc>
        <w:tc>
          <w:tcPr>
            <w:tcW w:w="3827" w:type="dxa"/>
          </w:tcPr>
          <w:p w14:paraId="624519BC" w14:textId="77777777" w:rsidR="00134188" w:rsidRPr="00A02DD8" w:rsidRDefault="003B71E0" w:rsidP="00C4242D">
            <w:pPr>
              <w:pStyle w:val="naisc"/>
              <w:spacing w:before="60" w:after="60"/>
              <w:ind w:firstLine="720"/>
            </w:pPr>
            <w:r w:rsidRPr="00A02DD8">
              <w:t>3</w:t>
            </w:r>
          </w:p>
        </w:tc>
        <w:tc>
          <w:tcPr>
            <w:tcW w:w="2787" w:type="dxa"/>
          </w:tcPr>
          <w:p w14:paraId="0FF93B22" w14:textId="77777777" w:rsidR="00134188" w:rsidRPr="00A02DD8" w:rsidRDefault="003B71E0" w:rsidP="00C4242D">
            <w:pPr>
              <w:pStyle w:val="naisc"/>
              <w:spacing w:before="60" w:after="60"/>
            </w:pPr>
            <w:r w:rsidRPr="00A02DD8">
              <w:t>4</w:t>
            </w:r>
          </w:p>
        </w:tc>
        <w:tc>
          <w:tcPr>
            <w:tcW w:w="4039" w:type="dxa"/>
          </w:tcPr>
          <w:p w14:paraId="675E482A" w14:textId="77777777" w:rsidR="00134188" w:rsidRPr="00A02DD8" w:rsidRDefault="003B71E0" w:rsidP="00C4242D">
            <w:pPr>
              <w:spacing w:before="60" w:after="60"/>
              <w:jc w:val="center"/>
            </w:pPr>
            <w:r w:rsidRPr="00A02DD8">
              <w:t>5</w:t>
            </w:r>
          </w:p>
        </w:tc>
      </w:tr>
      <w:tr w:rsidR="00F83B42" w:rsidRPr="00A02DD8" w14:paraId="30C5C5D6" w14:textId="77777777" w:rsidTr="006B22CC">
        <w:trPr>
          <w:gridAfter w:val="1"/>
          <w:wAfter w:w="102" w:type="dxa"/>
          <w:trHeight w:val="583"/>
        </w:trPr>
        <w:tc>
          <w:tcPr>
            <w:tcW w:w="14764" w:type="dxa"/>
            <w:gridSpan w:val="5"/>
            <w:shd w:val="clear" w:color="auto" w:fill="FFFFFF" w:themeFill="background1"/>
            <w:vAlign w:val="center"/>
          </w:tcPr>
          <w:p w14:paraId="4560E1DD" w14:textId="1A5A39AE" w:rsidR="0066159A" w:rsidRPr="00A02DD8" w:rsidRDefault="005807A2" w:rsidP="00C4242D">
            <w:pPr>
              <w:spacing w:before="60" w:after="60"/>
              <w:jc w:val="center"/>
            </w:pPr>
            <w:r w:rsidRPr="00A02DD8">
              <w:rPr>
                <w:b/>
              </w:rPr>
              <w:t>Iebildumi par</w:t>
            </w:r>
            <w:r w:rsidR="0066159A" w:rsidRPr="00A02DD8">
              <w:rPr>
                <w:b/>
              </w:rPr>
              <w:t xml:space="preserve"> </w:t>
            </w:r>
            <w:r w:rsidR="002E1E81" w:rsidRPr="00A02DD8">
              <w:rPr>
                <w:b/>
              </w:rPr>
              <w:t>Ministru kabineta noteikumu</w:t>
            </w:r>
            <w:r w:rsidR="0066159A" w:rsidRPr="00A02DD8">
              <w:rPr>
                <w:b/>
              </w:rPr>
              <w:t xml:space="preserve"> projektu</w:t>
            </w:r>
          </w:p>
        </w:tc>
      </w:tr>
      <w:tr w:rsidR="00B357A2" w:rsidRPr="00A02DD8" w14:paraId="665EC225" w14:textId="77777777" w:rsidTr="006B22CC">
        <w:trPr>
          <w:gridAfter w:val="1"/>
          <w:wAfter w:w="102" w:type="dxa"/>
          <w:trHeight w:val="274"/>
        </w:trPr>
        <w:tc>
          <w:tcPr>
            <w:tcW w:w="644" w:type="dxa"/>
            <w:shd w:val="clear" w:color="auto" w:fill="FFFFFF" w:themeFill="background1"/>
          </w:tcPr>
          <w:p w14:paraId="0F42A9AE" w14:textId="77777777" w:rsidR="00B357A2" w:rsidRPr="00A02DD8" w:rsidRDefault="00B357A2" w:rsidP="003D52E8">
            <w:pPr>
              <w:numPr>
                <w:ilvl w:val="0"/>
                <w:numId w:val="1"/>
              </w:numPr>
              <w:tabs>
                <w:tab w:val="center" w:pos="284"/>
              </w:tabs>
              <w:spacing w:before="60" w:after="60"/>
              <w:ind w:left="0" w:firstLine="0"/>
            </w:pPr>
          </w:p>
        </w:tc>
        <w:tc>
          <w:tcPr>
            <w:tcW w:w="3467" w:type="dxa"/>
            <w:shd w:val="clear" w:color="auto" w:fill="auto"/>
          </w:tcPr>
          <w:p w14:paraId="0B743CB3" w14:textId="4AA5DD5F" w:rsidR="00B357A2" w:rsidRPr="00A02DD8" w:rsidRDefault="00B357A2" w:rsidP="003D52E8">
            <w:pPr>
              <w:spacing w:before="60" w:after="60"/>
              <w:jc w:val="both"/>
            </w:pPr>
            <w:r>
              <w:t>Vispārīgs iebildums.</w:t>
            </w:r>
          </w:p>
        </w:tc>
        <w:tc>
          <w:tcPr>
            <w:tcW w:w="3827" w:type="dxa"/>
            <w:shd w:val="clear" w:color="auto" w:fill="auto"/>
          </w:tcPr>
          <w:p w14:paraId="54F84A3F" w14:textId="384A0D32" w:rsidR="00B357A2" w:rsidRDefault="00B357A2" w:rsidP="003D52E8">
            <w:pPr>
              <w:jc w:val="both"/>
              <w:rPr>
                <w:b/>
              </w:rPr>
            </w:pPr>
            <w:r>
              <w:rPr>
                <w:b/>
              </w:rPr>
              <w:t>Finanšu ministrija</w:t>
            </w:r>
          </w:p>
          <w:p w14:paraId="05495342" w14:textId="2189ADBA" w:rsidR="00B357A2" w:rsidRPr="006137CA" w:rsidRDefault="00B357A2" w:rsidP="003D52E8">
            <w:pPr>
              <w:numPr>
                <w:ilvl w:val="0"/>
                <w:numId w:val="5"/>
              </w:numPr>
              <w:ind w:left="34" w:right="12" w:firstLine="326"/>
              <w:jc w:val="both"/>
              <w:rPr>
                <w:rFonts w:eastAsiaTheme="minorHAnsi" w:cs="Calibri"/>
              </w:rPr>
            </w:pPr>
            <w:r>
              <w:rPr>
                <w:rFonts w:eastAsiaTheme="minorHAnsi" w:cs="Calibri"/>
              </w:rPr>
              <w:t>V</w:t>
            </w:r>
            <w:r w:rsidRPr="00994751">
              <w:rPr>
                <w:rFonts w:eastAsiaTheme="minorHAnsi" w:cs="Calibri"/>
              </w:rPr>
              <w:t xml:space="preserve">ēršam uzmanību, ka noteikumu projekta tālākā virzība ir atbalstāma tikai pēc </w:t>
            </w:r>
            <w:r>
              <w:rPr>
                <w:rFonts w:eastAsiaTheme="minorHAnsi" w:cs="Calibri"/>
              </w:rPr>
              <w:t xml:space="preserve">vai vienlaicīgi ar </w:t>
            </w:r>
            <w:r w:rsidRPr="00994751">
              <w:rPr>
                <w:rFonts w:eastAsiaTheme="minorHAnsi" w:cs="Calibri"/>
              </w:rPr>
              <w:t xml:space="preserve">attiecīgu grozījumu veikšanas </w:t>
            </w:r>
            <w:r>
              <w:rPr>
                <w:rFonts w:eastAsiaTheme="minorHAnsi" w:cs="Calibri"/>
              </w:rPr>
              <w:t>MK noteikumos Nr.323</w:t>
            </w:r>
            <w:r>
              <w:rPr>
                <w:rStyle w:val="FootnoteReference"/>
                <w:rFonts w:eastAsiaTheme="minorHAnsi" w:cs="Calibri"/>
              </w:rPr>
              <w:footnoteReference w:id="1"/>
            </w:r>
            <w:r>
              <w:rPr>
                <w:rFonts w:eastAsiaTheme="minorHAnsi" w:cs="Calibri"/>
              </w:rPr>
              <w:t xml:space="preserve">, lai vispirms atbrīvotu pārdalāmo finansējumu un veiktu noteikumu projektā rosinātās finansējuma pārdales, t.sk. </w:t>
            </w:r>
            <w:r w:rsidRPr="00C4762D">
              <w:rPr>
                <w:rFonts w:eastAsiaTheme="minorHAnsi" w:cs="Calibri"/>
              </w:rPr>
              <w:t xml:space="preserve">IZM sadarbībā ar CFLA </w:t>
            </w:r>
            <w:r>
              <w:rPr>
                <w:rFonts w:eastAsiaTheme="minorHAnsi" w:cs="Calibri"/>
              </w:rPr>
              <w:t>veicot</w:t>
            </w:r>
            <w:r w:rsidRPr="00C4762D">
              <w:rPr>
                <w:rFonts w:eastAsiaTheme="minorHAnsi" w:cs="Calibri"/>
              </w:rPr>
              <w:t xml:space="preserve"> grozījumus </w:t>
            </w:r>
            <w:r>
              <w:rPr>
                <w:rFonts w:eastAsiaTheme="minorHAnsi" w:cs="Calibri"/>
              </w:rPr>
              <w:t xml:space="preserve">noslēgtajās vienošanās </w:t>
            </w:r>
            <w:r w:rsidRPr="00C4762D">
              <w:rPr>
                <w:rFonts w:eastAsiaTheme="minorHAnsi" w:cs="Calibri"/>
              </w:rPr>
              <w:t>par projekta īstenošanu, lai atbilstoši noteikumu projekta norādītajām finansējuma pārdalēm</w:t>
            </w:r>
            <w:r>
              <w:rPr>
                <w:rFonts w:eastAsiaTheme="minorHAnsi" w:cs="Calibri"/>
              </w:rPr>
              <w:t>,</w:t>
            </w:r>
            <w:r w:rsidRPr="00C4762D">
              <w:rPr>
                <w:rFonts w:eastAsiaTheme="minorHAnsi" w:cs="Calibri"/>
              </w:rPr>
              <w:t xml:space="preserve"> nodr</w:t>
            </w:r>
            <w:r>
              <w:rPr>
                <w:rFonts w:eastAsiaTheme="minorHAnsi" w:cs="Calibri"/>
              </w:rPr>
              <w:t>ošinātu finansējuma atbrīvošanu</w:t>
            </w:r>
            <w:r w:rsidRPr="00994751">
              <w:rPr>
                <w:rFonts w:eastAsiaTheme="minorHAnsi" w:cs="Calibri"/>
              </w:rPr>
              <w:t>.</w:t>
            </w:r>
          </w:p>
        </w:tc>
        <w:tc>
          <w:tcPr>
            <w:tcW w:w="2787" w:type="dxa"/>
            <w:shd w:val="clear" w:color="auto" w:fill="auto"/>
          </w:tcPr>
          <w:p w14:paraId="79F039A1" w14:textId="77777777" w:rsidR="00B357A2" w:rsidRDefault="00B357A2" w:rsidP="003D52E8">
            <w:pPr>
              <w:spacing w:before="60" w:after="60"/>
              <w:jc w:val="both"/>
            </w:pPr>
            <w:r w:rsidRPr="006137CA">
              <w:t>Ņemts vērā</w:t>
            </w:r>
            <w:r w:rsidR="006137CA">
              <w:t>.</w:t>
            </w:r>
          </w:p>
          <w:p w14:paraId="7958ED0F" w14:textId="77777777" w:rsidR="006137CA" w:rsidRDefault="006137CA" w:rsidP="003D52E8">
            <w:pPr>
              <w:spacing w:before="60" w:after="60"/>
              <w:jc w:val="both"/>
            </w:pPr>
          </w:p>
          <w:p w14:paraId="751F619D" w14:textId="77777777" w:rsidR="006137CA" w:rsidRDefault="006137CA" w:rsidP="003D52E8">
            <w:pPr>
              <w:spacing w:before="60" w:after="60"/>
              <w:jc w:val="both"/>
            </w:pPr>
          </w:p>
          <w:p w14:paraId="4FF0C429" w14:textId="77777777" w:rsidR="006137CA" w:rsidRDefault="006137CA" w:rsidP="003D52E8">
            <w:pPr>
              <w:spacing w:before="60" w:after="60"/>
              <w:jc w:val="both"/>
            </w:pPr>
          </w:p>
          <w:p w14:paraId="62A24A1C" w14:textId="77777777" w:rsidR="006137CA" w:rsidRDefault="006137CA" w:rsidP="003D52E8">
            <w:pPr>
              <w:spacing w:before="60" w:after="60"/>
              <w:jc w:val="both"/>
            </w:pPr>
          </w:p>
          <w:p w14:paraId="0701FF9F" w14:textId="77777777" w:rsidR="006137CA" w:rsidRDefault="006137CA" w:rsidP="003D52E8">
            <w:pPr>
              <w:spacing w:before="60" w:after="60"/>
              <w:jc w:val="both"/>
            </w:pPr>
          </w:p>
          <w:p w14:paraId="72B83C5E" w14:textId="77777777" w:rsidR="006137CA" w:rsidRDefault="006137CA" w:rsidP="003D52E8">
            <w:pPr>
              <w:spacing w:before="60" w:after="60"/>
              <w:jc w:val="both"/>
            </w:pPr>
          </w:p>
          <w:p w14:paraId="20F0D88A" w14:textId="77777777" w:rsidR="006137CA" w:rsidRDefault="006137CA" w:rsidP="003D52E8">
            <w:pPr>
              <w:spacing w:before="60" w:after="60"/>
              <w:jc w:val="both"/>
            </w:pPr>
          </w:p>
          <w:p w14:paraId="52AFD94F" w14:textId="77777777" w:rsidR="006137CA" w:rsidRDefault="006137CA" w:rsidP="003D52E8">
            <w:pPr>
              <w:spacing w:before="60" w:after="60"/>
              <w:jc w:val="both"/>
            </w:pPr>
          </w:p>
          <w:p w14:paraId="3F3087DD" w14:textId="77777777" w:rsidR="006137CA" w:rsidRDefault="006137CA" w:rsidP="003D52E8">
            <w:pPr>
              <w:spacing w:before="60" w:after="60"/>
              <w:jc w:val="both"/>
            </w:pPr>
          </w:p>
          <w:p w14:paraId="1D29DEED" w14:textId="77777777" w:rsidR="006137CA" w:rsidRPr="006137CA" w:rsidRDefault="006137CA" w:rsidP="003D52E8">
            <w:pPr>
              <w:spacing w:before="60" w:after="60"/>
              <w:jc w:val="both"/>
            </w:pPr>
          </w:p>
          <w:p w14:paraId="690BAF3D" w14:textId="5824E1AE" w:rsidR="00B357A2" w:rsidRPr="00A02DD8" w:rsidRDefault="00B357A2" w:rsidP="003D52E8">
            <w:pPr>
              <w:spacing w:before="60" w:after="60"/>
              <w:jc w:val="both"/>
              <w:rPr>
                <w:b/>
              </w:rPr>
            </w:pPr>
          </w:p>
        </w:tc>
        <w:tc>
          <w:tcPr>
            <w:tcW w:w="4039" w:type="dxa"/>
            <w:shd w:val="clear" w:color="auto" w:fill="auto"/>
          </w:tcPr>
          <w:p w14:paraId="0FDFC210" w14:textId="0E10FDE4" w:rsidR="00B357A2" w:rsidRPr="00994751" w:rsidRDefault="00B357A2" w:rsidP="00B357A2">
            <w:pPr>
              <w:ind w:right="12"/>
              <w:jc w:val="both"/>
              <w:rPr>
                <w:rFonts w:eastAsiaTheme="minorHAnsi" w:cs="Calibri"/>
              </w:rPr>
            </w:pPr>
            <w:r>
              <w:rPr>
                <w:rFonts w:eastAsiaTheme="minorHAnsi" w:cs="Calibri"/>
              </w:rPr>
              <w:t>N</w:t>
            </w:r>
            <w:r w:rsidRPr="00994751">
              <w:rPr>
                <w:rFonts w:eastAsiaTheme="minorHAnsi" w:cs="Calibri"/>
              </w:rPr>
              <w:t xml:space="preserve">oteikumu projekta tālākā virzība </w:t>
            </w:r>
            <w:r>
              <w:rPr>
                <w:rFonts w:eastAsiaTheme="minorHAnsi" w:cs="Calibri"/>
              </w:rPr>
              <w:t xml:space="preserve">notiks vienlaicīgi ar </w:t>
            </w:r>
            <w:r w:rsidRPr="00994751">
              <w:rPr>
                <w:rFonts w:eastAsiaTheme="minorHAnsi" w:cs="Calibri"/>
              </w:rPr>
              <w:t xml:space="preserve">attiecīgu grozījumu veikšanas </w:t>
            </w:r>
            <w:r>
              <w:rPr>
                <w:rFonts w:eastAsiaTheme="minorHAnsi" w:cs="Calibri"/>
              </w:rPr>
              <w:t>MK noteikumos Nr.323, lai vispirms atbrīvotu pārdalāmo finansējumu un veiktu noteikumu projektā rosinātās finansējuma pārdales</w:t>
            </w:r>
            <w:r w:rsidR="006675AF">
              <w:rPr>
                <w:rFonts w:eastAsiaTheme="minorHAnsi" w:cs="Calibri"/>
              </w:rPr>
              <w:t>.</w:t>
            </w:r>
          </w:p>
          <w:p w14:paraId="004EB412" w14:textId="77777777" w:rsidR="00B357A2" w:rsidRPr="00A02DD8" w:rsidRDefault="00B357A2" w:rsidP="003D52E8">
            <w:pPr>
              <w:spacing w:before="60" w:after="60"/>
              <w:jc w:val="both"/>
            </w:pPr>
          </w:p>
        </w:tc>
      </w:tr>
      <w:tr w:rsidR="00B357A2" w:rsidRPr="00A02DD8" w14:paraId="74D2A653" w14:textId="77777777" w:rsidTr="006B22CC">
        <w:trPr>
          <w:gridAfter w:val="1"/>
          <w:wAfter w:w="102" w:type="dxa"/>
          <w:trHeight w:val="274"/>
        </w:trPr>
        <w:tc>
          <w:tcPr>
            <w:tcW w:w="644" w:type="dxa"/>
            <w:shd w:val="clear" w:color="auto" w:fill="FFFFFF" w:themeFill="background1"/>
          </w:tcPr>
          <w:p w14:paraId="477B49F7" w14:textId="638B6144" w:rsidR="00B357A2" w:rsidRPr="00A02DD8" w:rsidRDefault="00B357A2" w:rsidP="003D52E8">
            <w:pPr>
              <w:numPr>
                <w:ilvl w:val="0"/>
                <w:numId w:val="1"/>
              </w:numPr>
              <w:tabs>
                <w:tab w:val="center" w:pos="284"/>
              </w:tabs>
              <w:spacing w:before="60" w:after="60"/>
              <w:ind w:left="0" w:firstLine="0"/>
            </w:pPr>
          </w:p>
        </w:tc>
        <w:tc>
          <w:tcPr>
            <w:tcW w:w="3467" w:type="dxa"/>
            <w:shd w:val="clear" w:color="auto" w:fill="auto"/>
          </w:tcPr>
          <w:p w14:paraId="0B000E5F" w14:textId="77777777" w:rsidR="007E189B" w:rsidRDefault="0081616B" w:rsidP="003D52E8">
            <w:pPr>
              <w:spacing w:before="60" w:after="60"/>
              <w:jc w:val="both"/>
            </w:pPr>
            <w:r>
              <w:t>Noteikumu projekta 8.punkts:</w:t>
            </w:r>
          </w:p>
          <w:p w14:paraId="15910D29" w14:textId="606160EA" w:rsidR="0081616B" w:rsidRPr="00A57840" w:rsidRDefault="0081616B" w:rsidP="00A57840">
            <w:pPr>
              <w:pStyle w:val="ListParagraph"/>
              <w:numPr>
                <w:ilvl w:val="0"/>
                <w:numId w:val="13"/>
              </w:numPr>
              <w:ind w:left="0" w:firstLine="0"/>
              <w:jc w:val="both"/>
              <w:rPr>
                <w:rFonts w:ascii="Times New Roman" w:eastAsiaTheme="minorHAnsi" w:hAnsi="Times New Roman" w:cs="Calibri"/>
                <w:sz w:val="24"/>
                <w:szCs w:val="24"/>
                <w:lang w:eastAsia="lv-LV"/>
              </w:rPr>
            </w:pPr>
            <w:r w:rsidRPr="00A57840">
              <w:rPr>
                <w:rFonts w:ascii="Times New Roman" w:eastAsiaTheme="minorHAnsi" w:hAnsi="Times New Roman" w:cs="Calibri"/>
                <w:sz w:val="24"/>
                <w:szCs w:val="24"/>
                <w:lang w:eastAsia="lv-LV"/>
              </w:rPr>
              <w:t>Papildināt noteikumus ar 38.</w:t>
            </w:r>
            <w:r w:rsidRPr="00A57840">
              <w:rPr>
                <w:rFonts w:ascii="Times New Roman" w:eastAsiaTheme="minorHAnsi" w:hAnsi="Times New Roman" w:cs="Calibri"/>
                <w:sz w:val="24"/>
                <w:szCs w:val="24"/>
                <w:vertAlign w:val="superscript"/>
                <w:lang w:eastAsia="lv-LV"/>
              </w:rPr>
              <w:t>2</w:t>
            </w:r>
            <w:r w:rsidRPr="00A57840">
              <w:rPr>
                <w:rFonts w:ascii="Times New Roman" w:eastAsiaTheme="minorHAnsi" w:hAnsi="Times New Roman" w:cs="Calibri"/>
                <w:sz w:val="24"/>
                <w:szCs w:val="24"/>
                <w:lang w:eastAsia="lv-LV"/>
              </w:rPr>
              <w:t xml:space="preserve"> punktu šādā redakcijā:</w:t>
            </w:r>
          </w:p>
          <w:p w14:paraId="78B28CF2" w14:textId="654BA1C3" w:rsidR="0081616B" w:rsidRPr="0081616B" w:rsidRDefault="00F4139E" w:rsidP="006137CA">
            <w:pPr>
              <w:ind w:firstLine="99"/>
              <w:jc w:val="both"/>
              <w:rPr>
                <w:rFonts w:eastAsiaTheme="minorHAnsi" w:cs="Calibri"/>
              </w:rPr>
            </w:pPr>
            <w:r>
              <w:rPr>
                <w:rFonts w:eastAsiaTheme="minorHAnsi" w:cs="Calibri"/>
              </w:rPr>
              <w:t>„</w:t>
            </w:r>
            <w:r w:rsidR="006137CA" w:rsidRPr="00A57840">
              <w:rPr>
                <w:rFonts w:eastAsiaTheme="minorHAnsi" w:cs="Calibri"/>
              </w:rPr>
              <w:t>38.</w:t>
            </w:r>
            <w:r w:rsidR="006137CA" w:rsidRPr="00A57840">
              <w:rPr>
                <w:rFonts w:eastAsiaTheme="minorHAnsi" w:cs="Calibri"/>
                <w:vertAlign w:val="superscript"/>
              </w:rPr>
              <w:t>2</w:t>
            </w:r>
            <w:r w:rsidR="006137CA" w:rsidRPr="00A57840">
              <w:rPr>
                <w:rFonts w:eastAsiaTheme="minorHAnsi" w:cs="Calibri"/>
              </w:rPr>
              <w:t xml:space="preserve"> </w:t>
            </w:r>
            <w:r w:rsidR="0081616B" w:rsidRPr="0081616B">
              <w:rPr>
                <w:rFonts w:eastAsiaTheme="minorHAnsi" w:cs="Calibri"/>
              </w:rPr>
              <w:t>Veikto investīciju atbilstības uzraudzību šo noteikumu 38.1 punkta nosacījumiem reizi gadā projekta īstenošanas laikā un projekta pēcuzraudzības periodā nodrošina sadarbības iestāde.</w:t>
            </w:r>
            <w:r>
              <w:rPr>
                <w:rFonts w:eastAsiaTheme="minorHAnsi" w:cs="Calibri"/>
              </w:rPr>
              <w:t>”</w:t>
            </w:r>
            <w:r w:rsidR="0081616B" w:rsidRPr="0081616B">
              <w:rPr>
                <w:rFonts w:eastAsiaTheme="minorHAnsi" w:cs="Calibri"/>
              </w:rPr>
              <w:t>.</w:t>
            </w:r>
          </w:p>
          <w:p w14:paraId="5FD16E55" w14:textId="4EBFABEF" w:rsidR="0081616B" w:rsidRPr="00A02DD8" w:rsidRDefault="0081616B" w:rsidP="003D52E8">
            <w:pPr>
              <w:spacing w:before="60" w:after="60"/>
              <w:jc w:val="both"/>
            </w:pPr>
          </w:p>
        </w:tc>
        <w:tc>
          <w:tcPr>
            <w:tcW w:w="3827" w:type="dxa"/>
            <w:shd w:val="clear" w:color="auto" w:fill="auto"/>
          </w:tcPr>
          <w:p w14:paraId="00829869" w14:textId="0F07B0A6" w:rsidR="00B357A2" w:rsidRPr="00A02DD8" w:rsidRDefault="006026C0" w:rsidP="006026C0">
            <w:pPr>
              <w:numPr>
                <w:ilvl w:val="0"/>
                <w:numId w:val="5"/>
              </w:numPr>
              <w:ind w:left="34" w:right="12" w:firstLine="326"/>
              <w:jc w:val="both"/>
              <w:rPr>
                <w:b/>
              </w:rPr>
            </w:pPr>
            <w:r w:rsidRPr="006026C0">
              <w:rPr>
                <w:rFonts w:eastAsiaTheme="minorHAnsi" w:cs="Calibri"/>
              </w:rPr>
              <w:t>Ņemot vērā noteikumu projekta 8.punktā ietverto MK noteikumu Nr.249 38.2 punktu, lūdzam precizēt noteikumu projektā periodu, kurā nodrošināma uzraudzība. Vēršam uzmanību, ka uzraudzības periodam būtu jābūt sasaistītam ar infrastruktūras lietderīgās lietošanas laiku. Piemēram, 8.1.1.specifiskajam atbalsta mērķim “"Palielināt modernizēto STEM, tajā skaitā medicīnas un radošās industrijas, studiju programmu skaitu” tika noteikta uzraudzība visu amortizācijas periodu, pamatojoties uz 2017.gada 28.jūlija Eiropas Komisijas Konkurences ģenerāldirektorāts e-State Aid WIKI sistēmā sniegto skaidrojumu.</w:t>
            </w:r>
          </w:p>
        </w:tc>
        <w:tc>
          <w:tcPr>
            <w:tcW w:w="2787" w:type="dxa"/>
            <w:shd w:val="clear" w:color="auto" w:fill="auto"/>
          </w:tcPr>
          <w:p w14:paraId="629D6998" w14:textId="133BD5DE" w:rsidR="00B357A2" w:rsidRPr="006137CA" w:rsidRDefault="0081616B" w:rsidP="003D52E8">
            <w:pPr>
              <w:spacing w:before="60" w:after="60"/>
              <w:jc w:val="both"/>
            </w:pPr>
            <w:r w:rsidRPr="006137CA">
              <w:t>Ņemts vērā</w:t>
            </w:r>
            <w:r w:rsidR="00E324AA">
              <w:t>.</w:t>
            </w:r>
          </w:p>
          <w:p w14:paraId="2D1DAC58" w14:textId="60424F58" w:rsidR="00A229CF" w:rsidRPr="00A229CF" w:rsidRDefault="00513382" w:rsidP="00513382">
            <w:pPr>
              <w:spacing w:before="60" w:after="60"/>
              <w:jc w:val="both"/>
            </w:pPr>
            <w:r>
              <w:t>N</w:t>
            </w:r>
            <w:r w:rsidR="00A229CF" w:rsidRPr="00A229CF">
              <w:t xml:space="preserve">oteikumu </w:t>
            </w:r>
            <w:r w:rsidR="00A229CF">
              <w:t xml:space="preserve">projekta </w:t>
            </w:r>
            <w:r>
              <w:t xml:space="preserve">8.punkta precizēta </w:t>
            </w:r>
            <w:r w:rsidR="00A57840">
              <w:t>38.</w:t>
            </w:r>
            <w:r w:rsidR="00A57840" w:rsidRPr="00641089">
              <w:rPr>
                <w:vertAlign w:val="superscript"/>
              </w:rPr>
              <w:t xml:space="preserve">2 </w:t>
            </w:r>
            <w:r w:rsidR="00A57840">
              <w:t>punkt</w:t>
            </w:r>
            <w:r>
              <w:t>a redakcija</w:t>
            </w:r>
            <w:r w:rsidR="00641089">
              <w:t xml:space="preserve">, norādot </w:t>
            </w:r>
            <w:r w:rsidR="00641089" w:rsidRPr="006026C0">
              <w:rPr>
                <w:rFonts w:eastAsiaTheme="minorHAnsi" w:cs="Calibri"/>
              </w:rPr>
              <w:t xml:space="preserve">  periodu, kurā nodrošināma uzraudzība</w:t>
            </w:r>
            <w:r w:rsidR="00641089">
              <w:rPr>
                <w:rFonts w:eastAsiaTheme="minorHAnsi" w:cs="Calibri"/>
              </w:rPr>
              <w:t xml:space="preserve">. Anotācijas </w:t>
            </w:r>
            <w:r w:rsidR="00A57840">
              <w:t xml:space="preserve"> I sadaļas 2.punktā (8.lpp.) sniegts </w:t>
            </w:r>
            <w:r w:rsidR="00641089" w:rsidRPr="00641089">
              <w:t>Infra</w:t>
            </w:r>
            <w:r w:rsidR="00A57840">
              <w:t>struktūras amortizācijas perioda</w:t>
            </w:r>
            <w:r w:rsidR="00641089" w:rsidRPr="00641089">
              <w:t xml:space="preserve"> un  </w:t>
            </w:r>
            <w:r w:rsidR="00A57840">
              <w:t>Projekta dzīves cikla definīciju skaidrojums.</w:t>
            </w:r>
          </w:p>
        </w:tc>
        <w:tc>
          <w:tcPr>
            <w:tcW w:w="4039" w:type="dxa"/>
            <w:shd w:val="clear" w:color="auto" w:fill="auto"/>
          </w:tcPr>
          <w:p w14:paraId="25068DDF" w14:textId="3E92E65B" w:rsidR="0081616B" w:rsidRPr="0081616B" w:rsidRDefault="0081616B" w:rsidP="00513382">
            <w:pPr>
              <w:spacing w:before="60" w:after="60"/>
              <w:jc w:val="both"/>
              <w:rPr>
                <w:rFonts w:eastAsiaTheme="minorHAnsi" w:cs="Calibri"/>
              </w:rPr>
            </w:pPr>
            <w:r>
              <w:t>N</w:t>
            </w:r>
            <w:r w:rsidR="00513382">
              <w:t xml:space="preserve">oteikumu projekta 8.punkta </w:t>
            </w:r>
            <w:r w:rsidRPr="0081616B">
              <w:rPr>
                <w:rFonts w:eastAsiaTheme="minorHAnsi" w:cs="Calibri"/>
              </w:rPr>
              <w:t>38.</w:t>
            </w:r>
            <w:r w:rsidRPr="0081616B">
              <w:rPr>
                <w:rFonts w:eastAsiaTheme="minorHAnsi" w:cs="Calibri"/>
                <w:vertAlign w:val="superscript"/>
              </w:rPr>
              <w:t>2</w:t>
            </w:r>
            <w:r w:rsidRPr="0081616B">
              <w:rPr>
                <w:rFonts w:eastAsiaTheme="minorHAnsi" w:cs="Calibri"/>
              </w:rPr>
              <w:t xml:space="preserve"> </w:t>
            </w:r>
            <w:r w:rsidR="00513382">
              <w:rPr>
                <w:rFonts w:eastAsiaTheme="minorHAnsi" w:cs="Calibri"/>
              </w:rPr>
              <w:t xml:space="preserve"> punkts izteikts</w:t>
            </w:r>
            <w:r w:rsidRPr="0081616B">
              <w:rPr>
                <w:rFonts w:eastAsiaTheme="minorHAnsi" w:cs="Calibri"/>
              </w:rPr>
              <w:t xml:space="preserve"> šādā redakcijā:</w:t>
            </w:r>
          </w:p>
          <w:p w14:paraId="077D58D7" w14:textId="18F488F6" w:rsidR="0081616B" w:rsidRPr="0081616B" w:rsidRDefault="0081616B" w:rsidP="0081616B">
            <w:pPr>
              <w:jc w:val="both"/>
              <w:rPr>
                <w:rFonts w:eastAsiaTheme="minorHAnsi" w:cs="Calibri"/>
              </w:rPr>
            </w:pPr>
            <w:r>
              <w:rPr>
                <w:rFonts w:eastAsiaTheme="minorHAnsi" w:cs="Calibri"/>
              </w:rPr>
              <w:t>„</w:t>
            </w:r>
            <w:r w:rsidRPr="0081616B">
              <w:rPr>
                <w:rFonts w:eastAsiaTheme="minorHAnsi" w:cs="Calibri"/>
              </w:rPr>
              <w:t>38.</w:t>
            </w:r>
            <w:r w:rsidRPr="0081616B">
              <w:rPr>
                <w:rFonts w:eastAsiaTheme="minorHAnsi" w:cs="Calibri"/>
                <w:vertAlign w:val="superscript"/>
              </w:rPr>
              <w:t>2</w:t>
            </w:r>
            <w:r w:rsidRPr="0081616B">
              <w:rPr>
                <w:rFonts w:eastAsiaTheme="minorHAnsi" w:cs="Calibri"/>
              </w:rPr>
              <w:t xml:space="preserve"> Veikto investīciju atbilstības uzraudzību šo noteikumu 38.1 punkta nosacījumiem reizi gadā projekta īstenošanas laikā un projekta infrastruktūras amortizācijas periodā nodrošina sadarbības iestāde.</w:t>
            </w:r>
            <w:r>
              <w:rPr>
                <w:rFonts w:eastAsiaTheme="minorHAnsi" w:cs="Calibri"/>
              </w:rPr>
              <w:t>”</w:t>
            </w:r>
          </w:p>
          <w:p w14:paraId="66696849" w14:textId="3E8282EC" w:rsidR="0081616B" w:rsidRPr="00A02DD8" w:rsidRDefault="0081616B" w:rsidP="007E189B">
            <w:pPr>
              <w:spacing w:before="60" w:after="60"/>
              <w:jc w:val="both"/>
            </w:pPr>
          </w:p>
        </w:tc>
      </w:tr>
      <w:tr w:rsidR="00B357A2" w:rsidRPr="00A02DD8" w14:paraId="5F3DECE2" w14:textId="77777777" w:rsidTr="006B22CC">
        <w:trPr>
          <w:gridAfter w:val="1"/>
          <w:wAfter w:w="102" w:type="dxa"/>
          <w:trHeight w:val="274"/>
        </w:trPr>
        <w:tc>
          <w:tcPr>
            <w:tcW w:w="644" w:type="dxa"/>
            <w:shd w:val="clear" w:color="auto" w:fill="FFFFFF" w:themeFill="background1"/>
          </w:tcPr>
          <w:p w14:paraId="4285F2A5" w14:textId="7DB8234D" w:rsidR="00B357A2" w:rsidRPr="00A02DD8" w:rsidRDefault="005D5AAF" w:rsidP="005D5AAF">
            <w:pPr>
              <w:tabs>
                <w:tab w:val="center" w:pos="284"/>
              </w:tabs>
              <w:spacing w:before="60" w:after="60"/>
              <w:ind w:left="142"/>
            </w:pPr>
            <w:r>
              <w:t xml:space="preserve">3. </w:t>
            </w:r>
          </w:p>
        </w:tc>
        <w:tc>
          <w:tcPr>
            <w:tcW w:w="3467" w:type="dxa"/>
            <w:shd w:val="clear" w:color="auto" w:fill="auto"/>
          </w:tcPr>
          <w:p w14:paraId="27BA7EFB" w14:textId="7836FE29" w:rsidR="00B357A2" w:rsidRPr="00A02DD8" w:rsidRDefault="0081616B" w:rsidP="003D52E8">
            <w:pPr>
              <w:spacing w:before="60" w:after="60"/>
              <w:jc w:val="both"/>
            </w:pPr>
            <w:r>
              <w:t>Noteikumu projekts.</w:t>
            </w:r>
          </w:p>
        </w:tc>
        <w:tc>
          <w:tcPr>
            <w:tcW w:w="3827" w:type="dxa"/>
            <w:shd w:val="clear" w:color="auto" w:fill="auto"/>
          </w:tcPr>
          <w:p w14:paraId="38A63142" w14:textId="71B9B86C" w:rsidR="00B357A2" w:rsidRPr="006137CA" w:rsidRDefault="001A7B97" w:rsidP="003D52E8">
            <w:pPr>
              <w:numPr>
                <w:ilvl w:val="0"/>
                <w:numId w:val="5"/>
              </w:numPr>
              <w:ind w:left="34" w:right="12" w:firstLine="326"/>
              <w:jc w:val="both"/>
              <w:rPr>
                <w:rFonts w:eastAsia="Calibri" w:cs="Calibri"/>
                <w:szCs w:val="20"/>
                <w:lang w:eastAsia="en-US"/>
              </w:rPr>
            </w:pPr>
            <w:r w:rsidRPr="0081616B">
              <w:rPr>
                <w:rFonts w:eastAsia="Calibri" w:cs="Calibri"/>
                <w:szCs w:val="20"/>
                <w:lang w:eastAsia="en-US"/>
              </w:rPr>
              <w:t>Lūdzam papildināt noteikumu projektu, nosakot, kādas sekas iestāsies, kā arī kas un kādas darbības veiks gadījumā, ja netiks ievērots MK noteikumu Nr.249</w:t>
            </w:r>
            <w:r w:rsidRPr="001A7B97">
              <w:rPr>
                <w:rFonts w:eastAsia="Calibri"/>
                <w:vertAlign w:val="superscript"/>
              </w:rPr>
              <w:footnoteReference w:id="2"/>
            </w:r>
            <w:r w:rsidRPr="0081616B">
              <w:rPr>
                <w:rFonts w:eastAsia="Calibri" w:cs="Calibri"/>
                <w:szCs w:val="20"/>
                <w:lang w:eastAsia="en-US"/>
              </w:rPr>
              <w:t xml:space="preserve"> 38.</w:t>
            </w:r>
            <w:r w:rsidRPr="0081616B">
              <w:rPr>
                <w:rFonts w:eastAsia="Calibri" w:cs="Calibri"/>
                <w:szCs w:val="20"/>
                <w:vertAlign w:val="superscript"/>
                <w:lang w:eastAsia="en-US"/>
              </w:rPr>
              <w:t>1</w:t>
            </w:r>
            <w:r w:rsidRPr="0081616B">
              <w:rPr>
                <w:rFonts w:eastAsia="Calibri" w:cs="Calibri"/>
                <w:szCs w:val="20"/>
                <w:lang w:eastAsia="en-US"/>
              </w:rPr>
              <w:t xml:space="preserve"> punktā noteiktais un papildinošas saimnieciskas darbības pārsniegs vairāk kā 20% no infrastruktūras gada jaudas platības, laika vai finanšu izteiksmē. Vēršam uzmanību, ka, ņemot vērā aktuālāko Eiropas Savienības tiesas judikatūru </w:t>
            </w:r>
            <w:r w:rsidRPr="0081616B">
              <w:rPr>
                <w:rFonts w:eastAsia="Calibri" w:cs="Calibri"/>
                <w:szCs w:val="20"/>
                <w:lang w:eastAsia="en-US"/>
              </w:rPr>
              <w:lastRenderedPageBreak/>
              <w:t>komercdarbības atbalsta atgūšanas nodrošināšanai (sk. Eiropas Savienības Tiesas 2019.gada 5.marta spriedumu lietā Nr.C-349/17 (ECLI:EU:C:2019:172)), atbalsta sniedzējam pēc savas iniciatīvas ir jānodrošina nelikumīga komercdarbības atbalsta atgūšana. Attiecīgi būtu ietverama norma, ja infrastruktūras amortizācijas periodā konstatē, ka nav ievēroti 38.</w:t>
            </w:r>
            <w:r w:rsidRPr="0081616B">
              <w:rPr>
                <w:rFonts w:eastAsia="Calibri" w:cs="Calibri"/>
                <w:szCs w:val="20"/>
                <w:vertAlign w:val="superscript"/>
                <w:lang w:eastAsia="en-US"/>
              </w:rPr>
              <w:t>1</w:t>
            </w:r>
            <w:r w:rsidRPr="0081616B">
              <w:rPr>
                <w:rFonts w:eastAsia="Calibri" w:cs="Calibri"/>
                <w:szCs w:val="20"/>
                <w:lang w:eastAsia="en-US"/>
              </w:rPr>
              <w:t xml:space="preserve"> punktā minētie nosacījumi, finansējuma saņēmējam ir pienākums atmaksāt sadarbības iestādei visu projekta ietvaros saņemto nelikumīgo komercdarbības atbalstu kopā ar procentiem, kuru likmi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 Attiecībā uz šo paraugam </w:t>
            </w:r>
            <w:r w:rsidRPr="0081616B">
              <w:rPr>
                <w:rFonts w:eastAsia="Calibri" w:cs="Calibri"/>
                <w:szCs w:val="20"/>
                <w:lang w:eastAsia="en-US"/>
              </w:rPr>
              <w:lastRenderedPageBreak/>
              <w:t>aicinām skatīt arī MK noteikumus Nr.13</w:t>
            </w:r>
            <w:r w:rsidRPr="001A7B97">
              <w:rPr>
                <w:rFonts w:eastAsia="Calibri"/>
                <w:vertAlign w:val="superscript"/>
              </w:rPr>
              <w:footnoteReference w:id="3"/>
            </w:r>
            <w:r w:rsidRPr="0081616B">
              <w:rPr>
                <w:rFonts w:eastAsia="Calibri" w:cs="Calibri"/>
                <w:szCs w:val="20"/>
                <w:lang w:eastAsia="en-US"/>
              </w:rPr>
              <w:t>, jo īpaši to 35.</w:t>
            </w:r>
            <w:r w:rsidRPr="0081616B">
              <w:rPr>
                <w:rFonts w:eastAsia="Calibri" w:cs="Calibri"/>
                <w:szCs w:val="20"/>
                <w:vertAlign w:val="superscript"/>
                <w:lang w:eastAsia="en-US"/>
              </w:rPr>
              <w:t>1</w:t>
            </w:r>
            <w:r w:rsidRPr="0081616B">
              <w:rPr>
                <w:rFonts w:eastAsia="Calibri" w:cs="Calibri"/>
                <w:szCs w:val="20"/>
                <w:lang w:eastAsia="en-US"/>
              </w:rPr>
              <w:t xml:space="preserve"> punktu. Vienlaikus lūdzam papildināt arī anotāciju ar attiecīgu skaidrojumu.</w:t>
            </w:r>
          </w:p>
        </w:tc>
        <w:tc>
          <w:tcPr>
            <w:tcW w:w="2787" w:type="dxa"/>
            <w:shd w:val="clear" w:color="auto" w:fill="auto"/>
          </w:tcPr>
          <w:p w14:paraId="465B2B76" w14:textId="77777777" w:rsidR="00B357A2" w:rsidRPr="006137CA" w:rsidRDefault="0081616B" w:rsidP="003D52E8">
            <w:pPr>
              <w:spacing w:before="60" w:after="60"/>
              <w:jc w:val="both"/>
            </w:pPr>
            <w:r w:rsidRPr="006137CA">
              <w:lastRenderedPageBreak/>
              <w:t>Ņemts vērā.</w:t>
            </w:r>
          </w:p>
          <w:p w14:paraId="39D48265" w14:textId="2436CBAE" w:rsidR="00513382" w:rsidRDefault="005D5AAF" w:rsidP="003D52E8">
            <w:pPr>
              <w:spacing w:before="60" w:after="60"/>
              <w:jc w:val="both"/>
              <w:rPr>
                <w:b/>
              </w:rPr>
            </w:pPr>
            <w:r>
              <w:t xml:space="preserve">Noteikumu projekta 8.punkts papildināts ar  </w:t>
            </w:r>
            <w:r w:rsidRPr="0081616B">
              <w:rPr>
                <w:rFonts w:eastAsiaTheme="minorHAnsi" w:cs="Calibri"/>
              </w:rPr>
              <w:t>38.</w:t>
            </w:r>
            <w:r>
              <w:rPr>
                <w:rFonts w:eastAsiaTheme="minorHAnsi" w:cs="Calibri"/>
                <w:vertAlign w:val="superscript"/>
              </w:rPr>
              <w:t>3</w:t>
            </w:r>
            <w:r w:rsidRPr="0081616B">
              <w:rPr>
                <w:rFonts w:eastAsiaTheme="minorHAnsi" w:cs="Calibri"/>
              </w:rPr>
              <w:t xml:space="preserve"> </w:t>
            </w:r>
            <w:r>
              <w:rPr>
                <w:rFonts w:eastAsiaTheme="minorHAnsi" w:cs="Calibri"/>
              </w:rPr>
              <w:t xml:space="preserve"> punktu un a</w:t>
            </w:r>
            <w:r w:rsidR="00513382">
              <w:rPr>
                <w:rFonts w:eastAsiaTheme="minorHAnsi" w:cs="Calibri"/>
              </w:rPr>
              <w:t xml:space="preserve">notācijas </w:t>
            </w:r>
            <w:r w:rsidR="00513382">
              <w:t xml:space="preserve"> I sadaļas 2.punkt</w:t>
            </w:r>
            <w:r>
              <w:t>s</w:t>
            </w:r>
            <w:r w:rsidR="00513382">
              <w:t xml:space="preserve"> (</w:t>
            </w:r>
            <w:r>
              <w:t>9</w:t>
            </w:r>
            <w:r w:rsidR="00513382">
              <w:t xml:space="preserve">.lpp.) </w:t>
            </w:r>
            <w:r>
              <w:t>papildināts ar attiecīgu skaidrojumu</w:t>
            </w:r>
            <w:r w:rsidR="0086344B">
              <w:t xml:space="preserve"> un V sadaļu</w:t>
            </w:r>
            <w:r>
              <w:t>.</w:t>
            </w:r>
          </w:p>
          <w:p w14:paraId="5ABC9528" w14:textId="0C293D12" w:rsidR="00513382" w:rsidRPr="00A02DD8" w:rsidRDefault="00513382" w:rsidP="00513382">
            <w:pPr>
              <w:spacing w:before="60" w:after="60"/>
              <w:jc w:val="both"/>
              <w:rPr>
                <w:b/>
              </w:rPr>
            </w:pPr>
          </w:p>
        </w:tc>
        <w:tc>
          <w:tcPr>
            <w:tcW w:w="4039" w:type="dxa"/>
            <w:shd w:val="clear" w:color="auto" w:fill="auto"/>
          </w:tcPr>
          <w:p w14:paraId="1BAA9E4B" w14:textId="36418F75" w:rsidR="00513382" w:rsidRPr="0081616B" w:rsidRDefault="00513382" w:rsidP="00513382">
            <w:pPr>
              <w:spacing w:before="60" w:after="60"/>
              <w:jc w:val="both"/>
              <w:rPr>
                <w:rFonts w:eastAsiaTheme="minorHAnsi" w:cs="Calibri"/>
              </w:rPr>
            </w:pPr>
            <w:r>
              <w:t xml:space="preserve">Noteikumu projekta 8.punkts papildināts ar  </w:t>
            </w:r>
            <w:r w:rsidRPr="0081616B">
              <w:rPr>
                <w:rFonts w:eastAsiaTheme="minorHAnsi" w:cs="Calibri"/>
              </w:rPr>
              <w:t>38.</w:t>
            </w:r>
            <w:r>
              <w:rPr>
                <w:rFonts w:eastAsiaTheme="minorHAnsi" w:cs="Calibri"/>
                <w:vertAlign w:val="superscript"/>
              </w:rPr>
              <w:t>3</w:t>
            </w:r>
            <w:r w:rsidRPr="0081616B">
              <w:rPr>
                <w:rFonts w:eastAsiaTheme="minorHAnsi" w:cs="Calibri"/>
              </w:rPr>
              <w:t xml:space="preserve"> </w:t>
            </w:r>
            <w:r>
              <w:rPr>
                <w:rFonts w:eastAsiaTheme="minorHAnsi" w:cs="Calibri"/>
              </w:rPr>
              <w:t xml:space="preserve"> punktu</w:t>
            </w:r>
            <w:r w:rsidRPr="0081616B">
              <w:rPr>
                <w:rFonts w:eastAsiaTheme="minorHAnsi" w:cs="Calibri"/>
              </w:rPr>
              <w:t xml:space="preserve"> šādā redakcijā:</w:t>
            </w:r>
          </w:p>
          <w:p w14:paraId="049B392E" w14:textId="02CB3FDD" w:rsidR="00B357A2" w:rsidRDefault="00F55180" w:rsidP="003D52E8">
            <w:pPr>
              <w:spacing w:before="60" w:after="60"/>
              <w:jc w:val="both"/>
              <w:rPr>
                <w:rFonts w:eastAsia="Calibri" w:cs="Calibri"/>
                <w:szCs w:val="20"/>
                <w:lang w:eastAsia="en-US"/>
              </w:rPr>
            </w:pPr>
            <w:r>
              <w:rPr>
                <w:rFonts w:eastAsia="Calibri" w:cs="Calibri"/>
                <w:szCs w:val="20"/>
                <w:lang w:eastAsia="en-US"/>
              </w:rPr>
              <w:t>„</w:t>
            </w:r>
            <w:r w:rsidR="00C16F3C" w:rsidRPr="00C16F3C">
              <w:rPr>
                <w:rFonts w:eastAsia="Calibri" w:cs="Calibri"/>
                <w:szCs w:val="20"/>
                <w:lang w:eastAsia="en-US"/>
              </w:rPr>
              <w:t>3</w:t>
            </w:r>
            <w:r w:rsidR="007E189B">
              <w:rPr>
                <w:rFonts w:eastAsia="Calibri" w:cs="Calibri"/>
                <w:szCs w:val="20"/>
                <w:lang w:eastAsia="en-US"/>
              </w:rPr>
              <w:t>8</w:t>
            </w:r>
            <w:r w:rsidR="00C16F3C" w:rsidRPr="00C16F3C">
              <w:rPr>
                <w:rFonts w:eastAsia="Calibri" w:cs="Calibri"/>
                <w:szCs w:val="20"/>
                <w:lang w:eastAsia="en-US"/>
              </w:rPr>
              <w:t>.</w:t>
            </w:r>
            <w:r w:rsidR="00A30566">
              <w:rPr>
                <w:rFonts w:eastAsia="Calibri" w:cs="Calibri"/>
                <w:szCs w:val="20"/>
                <w:vertAlign w:val="superscript"/>
                <w:lang w:eastAsia="en-US"/>
              </w:rPr>
              <w:t>3</w:t>
            </w:r>
            <w:r w:rsidR="007E189B">
              <w:rPr>
                <w:rFonts w:eastAsia="Calibri" w:cs="Calibri"/>
                <w:szCs w:val="20"/>
                <w:lang w:eastAsia="en-US"/>
              </w:rPr>
              <w:t xml:space="preserve"> </w:t>
            </w:r>
            <w:r w:rsidR="00C16F3C" w:rsidRPr="00C16F3C">
              <w:rPr>
                <w:rFonts w:eastAsia="Calibri" w:cs="Calibri"/>
                <w:szCs w:val="20"/>
                <w:lang w:eastAsia="en-US"/>
              </w:rPr>
              <w:t xml:space="preserve">Ja </w:t>
            </w:r>
            <w:r w:rsidR="00C16F3C" w:rsidRPr="0081616B">
              <w:rPr>
                <w:rFonts w:eastAsia="Calibri" w:cs="Calibri"/>
                <w:szCs w:val="20"/>
                <w:lang w:eastAsia="en-US"/>
              </w:rPr>
              <w:t>sadarbības iestāde konstatē,</w:t>
            </w:r>
            <w:r w:rsidR="00C16F3C" w:rsidRPr="00C16F3C">
              <w:rPr>
                <w:rFonts w:eastAsia="Calibri" w:cs="Calibri"/>
                <w:szCs w:val="20"/>
                <w:lang w:eastAsia="en-US"/>
              </w:rPr>
              <w:t xml:space="preserve"> ka piešķirtais atbalsts kvalificējams kā nelikumīgs komercdarbības atbalsts, atbalsta saņēmējam ir pienākums atmaksāt sadarbības iestādei saņemto nelikumīgo komercdarbības atbalstu kopā ar procentiem, kuru likmi publicē Eiropas Komisija saskaņā ar Komisijas </w:t>
            </w:r>
            <w:r w:rsidR="00C16F3C" w:rsidRPr="00C16F3C">
              <w:rPr>
                <w:rFonts w:eastAsia="Calibri" w:cs="Calibri"/>
                <w:szCs w:val="20"/>
                <w:lang w:eastAsia="en-US"/>
              </w:rPr>
              <w:lastRenderedPageBreak/>
              <w:t>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atbalsts tika izmaksāts finansējuma saņēmējam, līdz tā atgūšanas dienai, ievērojot Komisijas regulas Nr. 794/2004 11. pantā noteikto procentu likmes piemērošanas metodi.</w:t>
            </w:r>
            <w:r w:rsidR="002A22AA">
              <w:rPr>
                <w:rFonts w:eastAsia="Calibri" w:cs="Calibri"/>
                <w:szCs w:val="20"/>
                <w:lang w:eastAsia="en-US"/>
              </w:rPr>
              <w:t>”</w:t>
            </w:r>
          </w:p>
          <w:p w14:paraId="51ED4D30" w14:textId="77777777" w:rsidR="00C16F3C" w:rsidRDefault="00C16F3C" w:rsidP="003D52E8">
            <w:pPr>
              <w:spacing w:before="60" w:after="60"/>
              <w:jc w:val="both"/>
              <w:rPr>
                <w:rFonts w:eastAsia="Calibri" w:cs="Calibri"/>
                <w:szCs w:val="20"/>
                <w:lang w:eastAsia="en-US"/>
              </w:rPr>
            </w:pPr>
          </w:p>
          <w:p w14:paraId="0FB2F3C1" w14:textId="578EAC87" w:rsidR="00C16F3C" w:rsidRPr="00A02DD8" w:rsidRDefault="00C16F3C" w:rsidP="003D52E8">
            <w:pPr>
              <w:spacing w:before="60" w:after="60"/>
              <w:jc w:val="both"/>
            </w:pPr>
          </w:p>
        </w:tc>
      </w:tr>
      <w:tr w:rsidR="005D5AAF" w:rsidRPr="00A02DD8" w14:paraId="272257CB" w14:textId="77777777" w:rsidTr="006B22CC">
        <w:trPr>
          <w:gridAfter w:val="1"/>
          <w:wAfter w:w="102" w:type="dxa"/>
          <w:trHeight w:val="274"/>
        </w:trPr>
        <w:tc>
          <w:tcPr>
            <w:tcW w:w="14764" w:type="dxa"/>
            <w:gridSpan w:val="5"/>
            <w:shd w:val="clear" w:color="auto" w:fill="FFFFFF" w:themeFill="background1"/>
          </w:tcPr>
          <w:p w14:paraId="0F78C4CB" w14:textId="159A61F5" w:rsidR="005D5AAF" w:rsidRPr="00A02DD8" w:rsidRDefault="005D5AAF" w:rsidP="005D5AAF">
            <w:pPr>
              <w:spacing w:before="60" w:after="60"/>
              <w:jc w:val="center"/>
            </w:pPr>
            <w:r w:rsidRPr="00A02DD8">
              <w:rPr>
                <w:b/>
              </w:rPr>
              <w:lastRenderedPageBreak/>
              <w:t>Iebildumi par Ministru kabineta noteikumu</w:t>
            </w:r>
            <w:r>
              <w:rPr>
                <w:b/>
              </w:rPr>
              <w:t xml:space="preserve"> projekta anotāc</w:t>
            </w:r>
            <w:r w:rsidR="006137CA">
              <w:rPr>
                <w:b/>
              </w:rPr>
              <w:t>i</w:t>
            </w:r>
            <w:r>
              <w:rPr>
                <w:b/>
              </w:rPr>
              <w:t>ju</w:t>
            </w:r>
          </w:p>
        </w:tc>
      </w:tr>
      <w:tr w:rsidR="006675AF" w:rsidRPr="00A02DD8" w14:paraId="1E8C3F1F" w14:textId="77777777" w:rsidTr="006B22CC">
        <w:trPr>
          <w:gridAfter w:val="1"/>
          <w:wAfter w:w="102" w:type="dxa"/>
          <w:trHeight w:val="274"/>
        </w:trPr>
        <w:tc>
          <w:tcPr>
            <w:tcW w:w="644" w:type="dxa"/>
            <w:shd w:val="clear" w:color="auto" w:fill="FFFFFF" w:themeFill="background1"/>
          </w:tcPr>
          <w:p w14:paraId="4CA0EA07" w14:textId="4AC9489C" w:rsidR="006675AF" w:rsidRPr="00A02DD8" w:rsidRDefault="005D5AAF" w:rsidP="005D5AAF">
            <w:pPr>
              <w:tabs>
                <w:tab w:val="center" w:pos="284"/>
              </w:tabs>
              <w:spacing w:before="60" w:after="60"/>
              <w:ind w:left="142"/>
            </w:pPr>
            <w:r>
              <w:t>4.</w:t>
            </w:r>
          </w:p>
        </w:tc>
        <w:tc>
          <w:tcPr>
            <w:tcW w:w="3467" w:type="dxa"/>
            <w:shd w:val="clear" w:color="auto" w:fill="auto"/>
          </w:tcPr>
          <w:p w14:paraId="3F5873A9" w14:textId="4E829682" w:rsidR="006675AF" w:rsidRPr="00E324AA" w:rsidRDefault="006675AF" w:rsidP="006675AF">
            <w:pPr>
              <w:spacing w:before="60" w:after="60"/>
              <w:jc w:val="both"/>
            </w:pPr>
            <w:r w:rsidRPr="00E324AA">
              <w:t>Anotācijas I sadaļas 2.punkts (6.lpp.):</w:t>
            </w:r>
          </w:p>
          <w:p w14:paraId="3F5A0372" w14:textId="77777777" w:rsidR="006675AF" w:rsidRPr="00E324AA" w:rsidRDefault="006675AF" w:rsidP="006675AF">
            <w:pPr>
              <w:spacing w:before="60" w:after="60"/>
              <w:jc w:val="both"/>
              <w:rPr>
                <w:rFonts w:eastAsiaTheme="minorHAnsi" w:cs="Calibri"/>
              </w:rPr>
            </w:pPr>
            <w:r w:rsidRPr="00E324AA">
              <w:rPr>
                <w:rFonts w:eastAsiaTheme="minorHAnsi" w:cs="Calibri"/>
              </w:rPr>
              <w:t>(…) daļu atbrīvotā finansējuma 321 764 euro apmērā (tai skaitā ERAF finansējums – 273 499 euro un nacionālais publiskais līdzfinansējums – 48 265 euro) no 8.1.2.SAM</w:t>
            </w:r>
          </w:p>
          <w:p w14:paraId="543ED9D8" w14:textId="77777777" w:rsidR="006675AF" w:rsidRPr="00E324AA" w:rsidRDefault="006675AF" w:rsidP="006675AF">
            <w:pPr>
              <w:spacing w:before="60" w:after="60"/>
              <w:jc w:val="both"/>
            </w:pPr>
          </w:p>
        </w:tc>
        <w:tc>
          <w:tcPr>
            <w:tcW w:w="3827" w:type="dxa"/>
            <w:shd w:val="clear" w:color="auto" w:fill="auto"/>
          </w:tcPr>
          <w:p w14:paraId="7B42F936" w14:textId="7CE4FB85" w:rsidR="006675AF" w:rsidRPr="00B357A2" w:rsidRDefault="005D5AAF" w:rsidP="005D5AAF">
            <w:pPr>
              <w:ind w:left="142" w:right="12"/>
              <w:jc w:val="both"/>
              <w:rPr>
                <w:rFonts w:eastAsiaTheme="minorHAnsi" w:cs="Calibri"/>
              </w:rPr>
            </w:pPr>
            <w:r w:rsidRPr="0086344B">
              <w:rPr>
                <w:rFonts w:eastAsiaTheme="minorHAnsi" w:cs="Calibri"/>
                <w:color w:val="000000" w:themeColor="text1"/>
              </w:rPr>
              <w:t xml:space="preserve">4. </w:t>
            </w:r>
            <w:r w:rsidR="006675AF" w:rsidRPr="0086344B">
              <w:rPr>
                <w:rFonts w:eastAsiaTheme="minorHAnsi" w:cs="Calibri"/>
                <w:color w:val="000000" w:themeColor="text1"/>
              </w:rPr>
              <w:t xml:space="preserve">Lūdzam </w:t>
            </w:r>
            <w:r w:rsidR="006675AF" w:rsidRPr="00B357A2">
              <w:rPr>
                <w:rFonts w:eastAsiaTheme="minorHAnsi" w:cs="Calibri"/>
              </w:rPr>
              <w:t xml:space="preserve">salāgot noteikumu projekta 1.punktā un anotācijas I sadaļas “Tiesību akta projekta izstrādes nepieciešamība” (turpmāk – I sadaļa) 2.punktā “Pašreizējā situācija un problēmas, kuru risināšanai tiesību akta projekts izstrādāts, tiesiskā regulējuma mērķis un būtība” (turpmāk –2.punkts) norādīto pārdalāmā finansējuma apmēru no 8.1.2.specifiskā atbalsta mērķa “Uzlabot vispārējās izglītības iestāžu mācību vidi” sadalījumā pa finansējuma avotiem. </w:t>
            </w:r>
          </w:p>
          <w:p w14:paraId="0A38225E" w14:textId="77777777" w:rsidR="006675AF" w:rsidRPr="006675AF" w:rsidRDefault="006675AF" w:rsidP="006675AF">
            <w:pPr>
              <w:ind w:left="34"/>
              <w:jc w:val="both"/>
              <w:rPr>
                <w:rFonts w:cs="Calibri"/>
                <w:szCs w:val="20"/>
              </w:rPr>
            </w:pPr>
          </w:p>
        </w:tc>
        <w:tc>
          <w:tcPr>
            <w:tcW w:w="2787" w:type="dxa"/>
            <w:shd w:val="clear" w:color="auto" w:fill="auto"/>
          </w:tcPr>
          <w:p w14:paraId="268B1D08" w14:textId="535F93C9" w:rsidR="006675AF" w:rsidRPr="006137CA" w:rsidRDefault="006675AF" w:rsidP="006675AF">
            <w:pPr>
              <w:spacing w:before="60" w:after="60"/>
              <w:jc w:val="both"/>
            </w:pPr>
            <w:r w:rsidRPr="006137CA">
              <w:t>Ņemts vērā.</w:t>
            </w:r>
          </w:p>
        </w:tc>
        <w:tc>
          <w:tcPr>
            <w:tcW w:w="4039" w:type="dxa"/>
            <w:shd w:val="clear" w:color="auto" w:fill="auto"/>
          </w:tcPr>
          <w:p w14:paraId="70AA2160" w14:textId="7988718C" w:rsidR="006137CA" w:rsidRDefault="006137CA" w:rsidP="006137CA">
            <w:pPr>
              <w:spacing w:before="60" w:after="60"/>
              <w:jc w:val="both"/>
            </w:pPr>
            <w:r>
              <w:t>Skat. precizējumu a</w:t>
            </w:r>
            <w:r w:rsidR="006675AF">
              <w:t xml:space="preserve">notācijas </w:t>
            </w:r>
            <w:r>
              <w:t>I sadaļas 2.punkta</w:t>
            </w:r>
            <w:r w:rsidR="00E324AA">
              <w:t xml:space="preserve"> </w:t>
            </w:r>
            <w:r>
              <w:t>6.lpp.:</w:t>
            </w:r>
          </w:p>
          <w:p w14:paraId="41E58E2D" w14:textId="33C54FAA" w:rsidR="006675AF" w:rsidRPr="00A02DD8" w:rsidRDefault="006675AF" w:rsidP="006137CA">
            <w:pPr>
              <w:spacing w:before="60" w:after="60"/>
              <w:jc w:val="both"/>
            </w:pPr>
            <w:r>
              <w:rPr>
                <w:rFonts w:eastAsiaTheme="minorHAnsi" w:cs="Calibri"/>
              </w:rPr>
              <w:t xml:space="preserve">(…) </w:t>
            </w:r>
            <w:r w:rsidRPr="007E189B">
              <w:rPr>
                <w:rFonts w:eastAsiaTheme="minorHAnsi" w:cs="Calibri"/>
              </w:rPr>
              <w:t>daļu atbrīvotā finansējuma 321 764 euro apmērā (tai skaitā ERAF finansējums – 273 49</w:t>
            </w:r>
            <w:r>
              <w:rPr>
                <w:rFonts w:eastAsiaTheme="minorHAnsi" w:cs="Calibri"/>
              </w:rPr>
              <w:t>8</w:t>
            </w:r>
            <w:r w:rsidRPr="007E189B">
              <w:rPr>
                <w:rFonts w:eastAsiaTheme="minorHAnsi" w:cs="Calibri"/>
              </w:rPr>
              <w:t> euro un nacionālais publiskais līdzfinansējums – 48 26</w:t>
            </w:r>
            <w:r>
              <w:rPr>
                <w:rFonts w:eastAsiaTheme="minorHAnsi" w:cs="Calibri"/>
              </w:rPr>
              <w:t>6</w:t>
            </w:r>
            <w:r w:rsidRPr="007E189B">
              <w:rPr>
                <w:rFonts w:eastAsiaTheme="minorHAnsi" w:cs="Calibri"/>
              </w:rPr>
              <w:t xml:space="preserve"> euro) no 8.1.2.SAM</w:t>
            </w:r>
            <w:r w:rsidR="006137CA">
              <w:rPr>
                <w:rFonts w:eastAsiaTheme="minorHAnsi" w:cs="Calibri"/>
              </w:rPr>
              <w:t>.</w:t>
            </w:r>
          </w:p>
        </w:tc>
      </w:tr>
      <w:tr w:rsidR="006675AF" w:rsidRPr="00A02DD8" w14:paraId="3F76CDB3" w14:textId="77777777" w:rsidTr="006B22CC">
        <w:trPr>
          <w:gridAfter w:val="1"/>
          <w:wAfter w:w="102" w:type="dxa"/>
          <w:trHeight w:val="274"/>
        </w:trPr>
        <w:tc>
          <w:tcPr>
            <w:tcW w:w="644" w:type="dxa"/>
            <w:shd w:val="clear" w:color="auto" w:fill="FFFFFF" w:themeFill="background1"/>
          </w:tcPr>
          <w:p w14:paraId="2C52D18B" w14:textId="726ECCBC" w:rsidR="006675AF" w:rsidRPr="00A02DD8" w:rsidRDefault="005D5AAF" w:rsidP="005D5AAF">
            <w:pPr>
              <w:tabs>
                <w:tab w:val="center" w:pos="284"/>
              </w:tabs>
              <w:spacing w:before="60" w:after="60"/>
              <w:ind w:left="142"/>
            </w:pPr>
            <w:r>
              <w:t>5.</w:t>
            </w:r>
          </w:p>
        </w:tc>
        <w:tc>
          <w:tcPr>
            <w:tcW w:w="3467" w:type="dxa"/>
            <w:shd w:val="clear" w:color="auto" w:fill="auto"/>
          </w:tcPr>
          <w:p w14:paraId="14BFF76C" w14:textId="77777777" w:rsidR="006675AF" w:rsidRPr="00E324AA" w:rsidRDefault="006675AF" w:rsidP="006675AF">
            <w:pPr>
              <w:spacing w:before="60" w:after="60"/>
              <w:jc w:val="both"/>
            </w:pPr>
            <w:r w:rsidRPr="00E324AA">
              <w:t>Anotācijas I sadaļas 2.punkts (6.lpp.):</w:t>
            </w:r>
          </w:p>
          <w:p w14:paraId="003D99D7" w14:textId="77777777" w:rsidR="006675AF" w:rsidRPr="00E324AA" w:rsidRDefault="006675AF" w:rsidP="006675AF">
            <w:pPr>
              <w:spacing w:before="60" w:after="60"/>
              <w:jc w:val="both"/>
            </w:pPr>
          </w:p>
        </w:tc>
        <w:tc>
          <w:tcPr>
            <w:tcW w:w="3827" w:type="dxa"/>
            <w:shd w:val="clear" w:color="auto" w:fill="auto"/>
          </w:tcPr>
          <w:p w14:paraId="56438680" w14:textId="6B51D9C8" w:rsidR="006675AF" w:rsidRPr="0086344B" w:rsidRDefault="00513382" w:rsidP="006137CA">
            <w:pPr>
              <w:jc w:val="both"/>
              <w:rPr>
                <w:rFonts w:cs="Calibri"/>
                <w:color w:val="000000" w:themeColor="text1"/>
                <w:szCs w:val="20"/>
              </w:rPr>
            </w:pPr>
            <w:r w:rsidRPr="0086344B">
              <w:rPr>
                <w:rFonts w:cs="Calibri"/>
                <w:color w:val="000000" w:themeColor="text1"/>
                <w:szCs w:val="20"/>
              </w:rPr>
              <w:t>5.</w:t>
            </w:r>
            <w:r w:rsidR="006675AF" w:rsidRPr="0086344B">
              <w:rPr>
                <w:rFonts w:cs="Calibri"/>
                <w:color w:val="000000" w:themeColor="text1"/>
                <w:szCs w:val="20"/>
              </w:rPr>
              <w:t>Lūdzam precizēt anotācijas I sadaļas 2.punktu, sniedzot informāciju par uzraudzību infrastruktūras lietderīgās lietošanas laikā. Vienlaikus lūdzam anotācijā norādīt, ka metodiku uzraudzības veikšanai izstrādās atbildīgā iestāde – IZM.</w:t>
            </w:r>
          </w:p>
        </w:tc>
        <w:tc>
          <w:tcPr>
            <w:tcW w:w="2787" w:type="dxa"/>
            <w:shd w:val="clear" w:color="auto" w:fill="auto"/>
          </w:tcPr>
          <w:p w14:paraId="778BBB95" w14:textId="7117C815" w:rsidR="006675AF" w:rsidRPr="006137CA" w:rsidRDefault="006675AF" w:rsidP="006675AF">
            <w:pPr>
              <w:spacing w:before="60" w:after="60"/>
              <w:jc w:val="both"/>
            </w:pPr>
            <w:r w:rsidRPr="006137CA">
              <w:t>Ņemts vērā.</w:t>
            </w:r>
          </w:p>
        </w:tc>
        <w:tc>
          <w:tcPr>
            <w:tcW w:w="4039" w:type="dxa"/>
            <w:shd w:val="clear" w:color="auto" w:fill="auto"/>
          </w:tcPr>
          <w:p w14:paraId="46A83E9C" w14:textId="6F1945E9" w:rsidR="006675AF" w:rsidRPr="00A02DD8" w:rsidRDefault="005D5AAF" w:rsidP="006675AF">
            <w:pPr>
              <w:spacing w:before="60" w:after="60"/>
              <w:jc w:val="both"/>
            </w:pPr>
            <w:r>
              <w:t>Skat. skaidrojumu pie 3.iebilduma.</w:t>
            </w:r>
          </w:p>
        </w:tc>
      </w:tr>
      <w:tr w:rsidR="006675AF" w:rsidRPr="00A02DD8" w14:paraId="2E08C875" w14:textId="77777777" w:rsidTr="006B22CC">
        <w:trPr>
          <w:gridAfter w:val="1"/>
          <w:wAfter w:w="102" w:type="dxa"/>
          <w:trHeight w:val="274"/>
        </w:trPr>
        <w:tc>
          <w:tcPr>
            <w:tcW w:w="644" w:type="dxa"/>
            <w:shd w:val="clear" w:color="auto" w:fill="FFFFFF" w:themeFill="background1"/>
          </w:tcPr>
          <w:p w14:paraId="31092391" w14:textId="626044EF" w:rsidR="006675AF" w:rsidRPr="00A02DD8" w:rsidRDefault="006137CA" w:rsidP="006137CA">
            <w:pPr>
              <w:tabs>
                <w:tab w:val="center" w:pos="284"/>
              </w:tabs>
              <w:spacing w:before="60" w:after="60"/>
              <w:ind w:left="142"/>
            </w:pPr>
            <w:r>
              <w:t>6.</w:t>
            </w:r>
          </w:p>
        </w:tc>
        <w:tc>
          <w:tcPr>
            <w:tcW w:w="3467" w:type="dxa"/>
            <w:shd w:val="clear" w:color="auto" w:fill="auto"/>
          </w:tcPr>
          <w:p w14:paraId="43FA9069" w14:textId="77777777" w:rsidR="006675AF" w:rsidRPr="00E324AA" w:rsidRDefault="006675AF" w:rsidP="006675AF">
            <w:pPr>
              <w:spacing w:before="60" w:after="60"/>
              <w:jc w:val="both"/>
            </w:pPr>
            <w:r w:rsidRPr="00E324AA">
              <w:t>Anotācijas I sadaļas 2.punkts (6.lpp.):</w:t>
            </w:r>
          </w:p>
          <w:p w14:paraId="370C2D42" w14:textId="7E82F0D8" w:rsidR="006675AF" w:rsidRPr="00E324AA" w:rsidRDefault="006675AF" w:rsidP="006675AF">
            <w:pPr>
              <w:contextualSpacing/>
              <w:jc w:val="both"/>
              <w:rPr>
                <w:rFonts w:cs="Calibri"/>
                <w:szCs w:val="20"/>
              </w:rPr>
            </w:pPr>
            <w:r w:rsidRPr="00E324AA">
              <w:rPr>
                <w:rFonts w:cs="Calibri"/>
                <w:szCs w:val="20"/>
              </w:rPr>
              <w:lastRenderedPageBreak/>
              <w:t xml:space="preserve"> (…)PIKC „Rīgas Valsts tehnikums” projektam Nr. 8.1.3.0/16/I/015 – 38 132 euro;</w:t>
            </w:r>
          </w:p>
          <w:p w14:paraId="46A646DF" w14:textId="77777777" w:rsidR="006675AF" w:rsidRPr="00E324AA" w:rsidRDefault="006675AF" w:rsidP="006675AF">
            <w:pPr>
              <w:spacing w:before="60" w:after="60"/>
              <w:jc w:val="both"/>
            </w:pPr>
          </w:p>
        </w:tc>
        <w:tc>
          <w:tcPr>
            <w:tcW w:w="3827" w:type="dxa"/>
            <w:shd w:val="clear" w:color="auto" w:fill="auto"/>
          </w:tcPr>
          <w:p w14:paraId="73F9A0A4" w14:textId="11FB5D4F" w:rsidR="006675AF" w:rsidRPr="0086344B" w:rsidRDefault="006137CA" w:rsidP="006675AF">
            <w:pPr>
              <w:jc w:val="both"/>
              <w:rPr>
                <w:b/>
                <w:color w:val="000000" w:themeColor="text1"/>
              </w:rPr>
            </w:pPr>
            <w:r w:rsidRPr="0086344B">
              <w:rPr>
                <w:rFonts w:cs="Calibri"/>
                <w:color w:val="000000" w:themeColor="text1"/>
                <w:szCs w:val="20"/>
              </w:rPr>
              <w:lastRenderedPageBreak/>
              <w:t xml:space="preserve"> </w:t>
            </w:r>
            <w:r w:rsidR="00513382" w:rsidRPr="0086344B">
              <w:rPr>
                <w:rFonts w:cs="Calibri"/>
                <w:color w:val="000000" w:themeColor="text1"/>
                <w:szCs w:val="20"/>
              </w:rPr>
              <w:t>6.</w:t>
            </w:r>
            <w:r w:rsidRPr="0086344B">
              <w:rPr>
                <w:rFonts w:cs="Calibri"/>
                <w:color w:val="000000" w:themeColor="text1"/>
                <w:szCs w:val="20"/>
              </w:rPr>
              <w:t xml:space="preserve"> </w:t>
            </w:r>
            <w:r w:rsidR="006675AF" w:rsidRPr="0086344B">
              <w:rPr>
                <w:rFonts w:cs="Calibri"/>
                <w:color w:val="000000" w:themeColor="text1"/>
                <w:szCs w:val="20"/>
              </w:rPr>
              <w:t xml:space="preserve">Lūdzam precizēt anotācijas I sadaļas 2.punktā norādītā </w:t>
            </w:r>
            <w:r w:rsidR="006675AF" w:rsidRPr="0086344B">
              <w:rPr>
                <w:rFonts w:cs="Calibri"/>
                <w:color w:val="000000" w:themeColor="text1"/>
                <w:szCs w:val="20"/>
              </w:rPr>
              <w:lastRenderedPageBreak/>
              <w:t xml:space="preserve">8.1.3.specifiskā atbalsta mērķa “Palielināt modernizēto profesionālās izglītības iestāžu skaitu” (turpmāk – 8.1.3.SAM) pirmās projektu iesniegumu atlases kārtas PIKC “Rīgas Valsts tehnikums” projekta Nr.8.1.3.0/16/I/015 pārdalāmā finansējuma apmēru. Vēršam uzmanību, ka pārdalāmā finansējuma apmērs noteikumu projekta 2.punktā veido </w:t>
            </w:r>
            <w:r w:rsidR="0086344B" w:rsidRPr="0086344B">
              <w:rPr>
                <w:rFonts w:cs="Calibri"/>
                <w:color w:val="000000" w:themeColor="text1"/>
                <w:szCs w:val="20"/>
              </w:rPr>
              <w:t>38 119 euro, nevis 38 132 euro.</w:t>
            </w:r>
          </w:p>
        </w:tc>
        <w:tc>
          <w:tcPr>
            <w:tcW w:w="2787" w:type="dxa"/>
            <w:shd w:val="clear" w:color="auto" w:fill="auto"/>
          </w:tcPr>
          <w:p w14:paraId="4A94A64B" w14:textId="79358774" w:rsidR="006675AF" w:rsidRPr="006137CA" w:rsidRDefault="006137CA" w:rsidP="006675AF">
            <w:pPr>
              <w:spacing w:before="60" w:after="60"/>
              <w:jc w:val="both"/>
            </w:pPr>
            <w:r w:rsidRPr="006137CA">
              <w:lastRenderedPageBreak/>
              <w:t>Ņemts vērā.</w:t>
            </w:r>
          </w:p>
        </w:tc>
        <w:tc>
          <w:tcPr>
            <w:tcW w:w="4039" w:type="dxa"/>
            <w:shd w:val="clear" w:color="auto" w:fill="auto"/>
          </w:tcPr>
          <w:p w14:paraId="6C58950F" w14:textId="36272A72" w:rsidR="006675AF" w:rsidRPr="00A337CE" w:rsidRDefault="006137CA" w:rsidP="006675AF">
            <w:pPr>
              <w:contextualSpacing/>
              <w:jc w:val="both"/>
              <w:rPr>
                <w:rFonts w:ascii="Calibri" w:hAnsi="Calibri"/>
                <w:bCs/>
                <w:sz w:val="28"/>
                <w:szCs w:val="28"/>
              </w:rPr>
            </w:pPr>
            <w:r>
              <w:rPr>
                <w:rFonts w:cs="Calibri"/>
                <w:szCs w:val="20"/>
              </w:rPr>
              <w:t>Skat. skaidrojumu a</w:t>
            </w:r>
            <w:r w:rsidR="006675AF" w:rsidRPr="00A337CE">
              <w:rPr>
                <w:rFonts w:cs="Calibri"/>
                <w:szCs w:val="20"/>
              </w:rPr>
              <w:t xml:space="preserve">notācijas </w:t>
            </w:r>
            <w:r w:rsidR="00F7265E">
              <w:rPr>
                <w:rFonts w:cs="Calibri"/>
                <w:szCs w:val="20"/>
              </w:rPr>
              <w:t>I sadaļas 2.punktā 7.lpp.:</w:t>
            </w:r>
          </w:p>
          <w:p w14:paraId="45CC6A1E" w14:textId="4880CEC2" w:rsidR="006675AF" w:rsidRPr="00A337CE" w:rsidRDefault="006675AF" w:rsidP="006675AF">
            <w:pPr>
              <w:contextualSpacing/>
              <w:jc w:val="both"/>
              <w:rPr>
                <w:bCs/>
                <w:sz w:val="28"/>
                <w:szCs w:val="28"/>
              </w:rPr>
            </w:pPr>
            <w:r>
              <w:rPr>
                <w:rFonts w:cs="Calibri"/>
                <w:szCs w:val="20"/>
              </w:rPr>
              <w:lastRenderedPageBreak/>
              <w:t>P</w:t>
            </w:r>
            <w:r w:rsidRPr="00A337CE">
              <w:rPr>
                <w:rFonts w:cs="Calibri"/>
                <w:szCs w:val="20"/>
              </w:rPr>
              <w:t>IKC „Rīgas Valsts tehnikums” projektam Nr. 8.1.3.0/16/I/015 – 38 132 euro (tai skaitā papildus finansējums 38 119 euro un neizmantotais atlikums projektā 13 euro);</w:t>
            </w:r>
          </w:p>
          <w:p w14:paraId="43BC68AF" w14:textId="77777777" w:rsidR="006675AF" w:rsidRPr="00A02DD8" w:rsidRDefault="006675AF" w:rsidP="006675AF">
            <w:pPr>
              <w:spacing w:before="60" w:after="60"/>
              <w:jc w:val="both"/>
            </w:pPr>
          </w:p>
        </w:tc>
      </w:tr>
      <w:tr w:rsidR="006675AF" w:rsidRPr="00A02DD8" w14:paraId="0897581B" w14:textId="77777777" w:rsidTr="006B22CC">
        <w:trPr>
          <w:gridAfter w:val="1"/>
          <w:wAfter w:w="102" w:type="dxa"/>
          <w:trHeight w:val="274"/>
        </w:trPr>
        <w:tc>
          <w:tcPr>
            <w:tcW w:w="644" w:type="dxa"/>
            <w:shd w:val="clear" w:color="auto" w:fill="FFFFFF" w:themeFill="background1"/>
          </w:tcPr>
          <w:p w14:paraId="22886032" w14:textId="22417F42" w:rsidR="006675AF" w:rsidRPr="00A02DD8" w:rsidRDefault="006137CA" w:rsidP="006137CA">
            <w:pPr>
              <w:tabs>
                <w:tab w:val="center" w:pos="284"/>
              </w:tabs>
              <w:spacing w:before="60" w:after="60"/>
              <w:ind w:left="142"/>
            </w:pPr>
            <w:r>
              <w:lastRenderedPageBreak/>
              <w:t>7.</w:t>
            </w:r>
          </w:p>
        </w:tc>
        <w:tc>
          <w:tcPr>
            <w:tcW w:w="3467" w:type="dxa"/>
            <w:shd w:val="clear" w:color="auto" w:fill="auto"/>
          </w:tcPr>
          <w:p w14:paraId="64DF0FEA" w14:textId="68E5793D" w:rsidR="006675AF" w:rsidRPr="0086344B" w:rsidRDefault="006026C0" w:rsidP="006675AF">
            <w:pPr>
              <w:jc w:val="both"/>
              <w:rPr>
                <w:rFonts w:cs="Calibri"/>
                <w:color w:val="000000" w:themeColor="text1"/>
                <w:szCs w:val="20"/>
              </w:rPr>
            </w:pPr>
            <w:r w:rsidRPr="0086344B">
              <w:rPr>
                <w:rFonts w:cs="Calibri"/>
                <w:color w:val="000000" w:themeColor="text1"/>
                <w:szCs w:val="20"/>
              </w:rPr>
              <w:t>Anotācijas III sadaļa</w:t>
            </w:r>
          </w:p>
        </w:tc>
        <w:tc>
          <w:tcPr>
            <w:tcW w:w="3827" w:type="dxa"/>
            <w:shd w:val="clear" w:color="auto" w:fill="auto"/>
          </w:tcPr>
          <w:p w14:paraId="4F80EF6F" w14:textId="3695DB2F" w:rsidR="006675AF" w:rsidRPr="0086344B" w:rsidRDefault="00513382" w:rsidP="006137CA">
            <w:pPr>
              <w:jc w:val="both"/>
              <w:rPr>
                <w:color w:val="000000" w:themeColor="text1"/>
              </w:rPr>
            </w:pPr>
            <w:r w:rsidRPr="0086344B">
              <w:rPr>
                <w:color w:val="000000" w:themeColor="text1"/>
              </w:rPr>
              <w:t>7.</w:t>
            </w:r>
            <w:r w:rsidR="00F7265E" w:rsidRPr="0086344B">
              <w:rPr>
                <w:color w:val="000000" w:themeColor="text1"/>
              </w:rPr>
              <w:t xml:space="preserve"> </w:t>
            </w:r>
            <w:r w:rsidR="006675AF" w:rsidRPr="0086344B">
              <w:rPr>
                <w:color w:val="000000" w:themeColor="text1"/>
              </w:rPr>
              <w:t>Ņemot vērā, ka noteikumu projekts paredz palielināt kopējo 8.1.3.SAM finansējuma apmēru, lūdzam korekti aizpildīt anotācijas III sadaļu “Tiesību akta projekta ietekme uz valsts budžetu un pašvaldību budžetiem”, atbilstoši MK instrukcijas Nr.19</w:t>
            </w:r>
            <w:r w:rsidR="006675AF" w:rsidRPr="0086344B">
              <w:rPr>
                <w:color w:val="000000" w:themeColor="text1"/>
              </w:rPr>
              <w:footnoteReference w:id="4"/>
            </w:r>
            <w:r w:rsidR="006675AF" w:rsidRPr="0086344B">
              <w:rPr>
                <w:color w:val="000000" w:themeColor="text1"/>
              </w:rPr>
              <w:t xml:space="preserve"> noteiktajam, norādot noteikumu projekta finansiālo ietekmi sadalījumā pa gadiem un finansējuma avotiem. </w:t>
            </w:r>
          </w:p>
          <w:p w14:paraId="5C727539" w14:textId="77777777" w:rsidR="006675AF" w:rsidRPr="0086344B" w:rsidRDefault="006675AF" w:rsidP="006675AF">
            <w:pPr>
              <w:ind w:left="34"/>
              <w:jc w:val="both"/>
              <w:rPr>
                <w:rFonts w:cs="Calibri"/>
                <w:color w:val="000000" w:themeColor="text1"/>
                <w:szCs w:val="20"/>
              </w:rPr>
            </w:pPr>
          </w:p>
        </w:tc>
        <w:tc>
          <w:tcPr>
            <w:tcW w:w="2787" w:type="dxa"/>
            <w:shd w:val="clear" w:color="auto" w:fill="auto"/>
          </w:tcPr>
          <w:p w14:paraId="678131CC" w14:textId="77777777" w:rsidR="006675AF" w:rsidRPr="006137CA" w:rsidRDefault="006026C0" w:rsidP="006675AF">
            <w:pPr>
              <w:spacing w:before="60" w:after="60"/>
              <w:jc w:val="both"/>
            </w:pPr>
            <w:r w:rsidRPr="006137CA">
              <w:t>Ņemts vērā.</w:t>
            </w:r>
          </w:p>
          <w:p w14:paraId="2E07F728" w14:textId="2389C791" w:rsidR="006137CA" w:rsidRPr="00A02DD8" w:rsidRDefault="006137CA" w:rsidP="006675AF">
            <w:pPr>
              <w:spacing w:before="60" w:after="60"/>
              <w:jc w:val="both"/>
              <w:rPr>
                <w:b/>
              </w:rPr>
            </w:pPr>
          </w:p>
        </w:tc>
        <w:tc>
          <w:tcPr>
            <w:tcW w:w="4039" w:type="dxa"/>
            <w:shd w:val="clear" w:color="auto" w:fill="auto"/>
          </w:tcPr>
          <w:p w14:paraId="02A17F25" w14:textId="4BADD996" w:rsidR="006675AF" w:rsidRPr="00A02DD8" w:rsidRDefault="006137CA" w:rsidP="006675AF">
            <w:pPr>
              <w:spacing w:before="60" w:after="60"/>
              <w:jc w:val="both"/>
            </w:pPr>
            <w:r>
              <w:t>Skat. Anotācijas III sadaļu.</w:t>
            </w:r>
          </w:p>
        </w:tc>
      </w:tr>
      <w:tr w:rsidR="006B22CC" w:rsidRPr="00A02DD8" w14:paraId="07217500" w14:textId="77777777" w:rsidTr="006B22CC">
        <w:trPr>
          <w:gridAfter w:val="1"/>
          <w:wAfter w:w="102" w:type="dxa"/>
          <w:trHeight w:val="274"/>
        </w:trPr>
        <w:tc>
          <w:tcPr>
            <w:tcW w:w="14764" w:type="dxa"/>
            <w:gridSpan w:val="5"/>
            <w:shd w:val="clear" w:color="auto" w:fill="FFFFFF" w:themeFill="background1"/>
          </w:tcPr>
          <w:p w14:paraId="22147D8E" w14:textId="76D96595" w:rsidR="006B22CC" w:rsidRDefault="006B22CC" w:rsidP="003B4845">
            <w:pPr>
              <w:spacing w:before="60" w:after="60"/>
              <w:jc w:val="both"/>
            </w:pPr>
            <w:r>
              <w:rPr>
                <w:b/>
              </w:rPr>
              <w:t>Atkārtotā elektroniskā saskaņošanā</w:t>
            </w:r>
            <w:r w:rsidR="003B4845">
              <w:rPr>
                <w:b/>
              </w:rPr>
              <w:t xml:space="preserve"> (04.03.2021.)</w:t>
            </w:r>
            <w:r>
              <w:rPr>
                <w:b/>
              </w:rPr>
              <w:t xml:space="preserve"> Finanšu ministrijas iebildums par </w:t>
            </w:r>
            <w:r w:rsidRPr="00A02DD8">
              <w:rPr>
                <w:b/>
              </w:rPr>
              <w:t>Ministru kabineta noteikumu</w:t>
            </w:r>
            <w:r>
              <w:rPr>
                <w:b/>
              </w:rPr>
              <w:t xml:space="preserve"> projekta anotāciju</w:t>
            </w:r>
          </w:p>
        </w:tc>
      </w:tr>
      <w:tr w:rsidR="006B22CC" w:rsidRPr="00A02DD8" w14:paraId="60D59ABC" w14:textId="77777777" w:rsidTr="006B22CC">
        <w:trPr>
          <w:gridAfter w:val="1"/>
          <w:wAfter w:w="102" w:type="dxa"/>
          <w:trHeight w:val="274"/>
        </w:trPr>
        <w:tc>
          <w:tcPr>
            <w:tcW w:w="644" w:type="dxa"/>
            <w:shd w:val="clear" w:color="auto" w:fill="FFFFFF" w:themeFill="background1"/>
          </w:tcPr>
          <w:p w14:paraId="640470B7" w14:textId="77777777" w:rsidR="006B22CC" w:rsidRDefault="006B22CC" w:rsidP="006137CA">
            <w:pPr>
              <w:tabs>
                <w:tab w:val="center" w:pos="284"/>
              </w:tabs>
              <w:spacing w:before="60" w:after="60"/>
              <w:ind w:left="142"/>
            </w:pPr>
          </w:p>
        </w:tc>
        <w:tc>
          <w:tcPr>
            <w:tcW w:w="3467" w:type="dxa"/>
            <w:shd w:val="clear" w:color="auto" w:fill="auto"/>
          </w:tcPr>
          <w:p w14:paraId="1964FB6B" w14:textId="0CEBBE06" w:rsidR="006B22CC" w:rsidRPr="006B22CC" w:rsidRDefault="006B22CC" w:rsidP="006675AF">
            <w:pPr>
              <w:jc w:val="both"/>
              <w:rPr>
                <w:color w:val="000000" w:themeColor="text1"/>
              </w:rPr>
            </w:pPr>
            <w:r w:rsidRPr="006B22CC">
              <w:rPr>
                <w:color w:val="000000" w:themeColor="text1"/>
              </w:rPr>
              <w:t>II. Tiesību akta projekta ietekme uz sabiedrību, tautsaimniecības attīstību un administratīvo slogu</w:t>
            </w:r>
          </w:p>
        </w:tc>
        <w:tc>
          <w:tcPr>
            <w:tcW w:w="3827" w:type="dxa"/>
            <w:shd w:val="clear" w:color="auto" w:fill="auto"/>
          </w:tcPr>
          <w:p w14:paraId="02879B68" w14:textId="0D1AF3CD" w:rsidR="006B22CC" w:rsidRPr="00EC05D7" w:rsidRDefault="006B22CC" w:rsidP="006B22CC">
            <w:pPr>
              <w:jc w:val="both"/>
              <w:rPr>
                <w:rFonts w:eastAsiaTheme="minorHAnsi" w:cs="Calibri"/>
              </w:rPr>
            </w:pPr>
            <w:r w:rsidRPr="00EC05D7">
              <w:rPr>
                <w:rFonts w:eastAsiaTheme="minorHAnsi" w:cs="Calibri"/>
              </w:rPr>
              <w:t>Lūdzam papildināt anotāciju ar administratīvo izmaksu monetāro novērtējumu, ņemot vērā, ka noteikumu projekts paredz sadarbības iestādes pienākumu veikt papildinošās saimnieciskās dar</w:t>
            </w:r>
            <w:r w:rsidR="003B4845">
              <w:rPr>
                <w:rFonts w:eastAsiaTheme="minorHAnsi" w:cs="Calibri"/>
              </w:rPr>
              <w:t>b</w:t>
            </w:r>
            <w:r w:rsidRPr="00EC05D7">
              <w:rPr>
                <w:rFonts w:eastAsiaTheme="minorHAnsi" w:cs="Calibri"/>
              </w:rPr>
              <w:t xml:space="preserve">ības uzraudzību visā modernizētās infrastruktūras amortizācijas periodā, </w:t>
            </w:r>
            <w:r w:rsidRPr="00EC05D7">
              <w:rPr>
                <w:rFonts w:eastAsiaTheme="minorHAnsi" w:cs="Calibri"/>
              </w:rPr>
              <w:lastRenderedPageBreak/>
              <w:t xml:space="preserve">kas pārsniedz pašlaik noteikto projektu pēcuzraudzības periodu. Vēršam uzmanību, ka uzraudzības perioda termiņa pagarinājumam ir tieša ietekme uz sadarbības iestādes administratīvajām izmaksām. </w:t>
            </w:r>
          </w:p>
          <w:p w14:paraId="276189B9" w14:textId="77777777" w:rsidR="006B22CC" w:rsidRDefault="006B22CC" w:rsidP="006B22CC">
            <w:pPr>
              <w:ind w:firstLine="720"/>
              <w:jc w:val="both"/>
            </w:pPr>
          </w:p>
          <w:p w14:paraId="520DF0AA" w14:textId="77777777" w:rsidR="006B22CC" w:rsidRPr="0086344B" w:rsidRDefault="006B22CC" w:rsidP="006137CA">
            <w:pPr>
              <w:jc w:val="both"/>
              <w:rPr>
                <w:color w:val="000000" w:themeColor="text1"/>
              </w:rPr>
            </w:pPr>
          </w:p>
        </w:tc>
        <w:tc>
          <w:tcPr>
            <w:tcW w:w="2787" w:type="dxa"/>
            <w:shd w:val="clear" w:color="auto" w:fill="auto"/>
          </w:tcPr>
          <w:p w14:paraId="7BD69DD2" w14:textId="3FCA6FA3" w:rsidR="006B22CC" w:rsidRPr="006137CA" w:rsidRDefault="003B4845" w:rsidP="006675AF">
            <w:pPr>
              <w:spacing w:before="60" w:after="60"/>
              <w:jc w:val="both"/>
            </w:pPr>
            <w:r>
              <w:lastRenderedPageBreak/>
              <w:t>Ņemts vērā.</w:t>
            </w:r>
          </w:p>
        </w:tc>
        <w:tc>
          <w:tcPr>
            <w:tcW w:w="4039" w:type="dxa"/>
            <w:shd w:val="clear" w:color="auto" w:fill="auto"/>
          </w:tcPr>
          <w:p w14:paraId="737168FD" w14:textId="414E3961" w:rsidR="006B22CC" w:rsidRDefault="003B4845" w:rsidP="006675AF">
            <w:pPr>
              <w:spacing w:before="60" w:after="60"/>
              <w:jc w:val="both"/>
            </w:pPr>
            <w:r>
              <w:t xml:space="preserve">Skat. Anotācijas II sadaļu un datni  </w:t>
            </w:r>
            <w:r w:rsidRPr="003B4845">
              <w:t>IZMAnot_p_150321_813</w:t>
            </w:r>
            <w:r>
              <w:t>.</w:t>
            </w:r>
          </w:p>
        </w:tc>
      </w:tr>
      <w:tr w:rsidR="006675AF" w:rsidRPr="00C4242D" w14:paraId="710ACB66" w14:textId="77777777" w:rsidTr="006B22CC">
        <w:trPr>
          <w:trHeight w:val="699"/>
        </w:trPr>
        <w:tc>
          <w:tcPr>
            <w:tcW w:w="14866" w:type="dxa"/>
            <w:gridSpan w:val="6"/>
            <w:tcBorders>
              <w:left w:val="nil"/>
              <w:bottom w:val="nil"/>
              <w:right w:val="nil"/>
            </w:tcBorders>
            <w:shd w:val="clear" w:color="auto" w:fill="FFFFFF" w:themeFill="background1"/>
          </w:tcPr>
          <w:p w14:paraId="20B25BE7" w14:textId="63AEFB65" w:rsidR="006675AF" w:rsidRPr="00A02DD8" w:rsidRDefault="006675AF" w:rsidP="006675AF">
            <w:pPr>
              <w:tabs>
                <w:tab w:val="center" w:pos="284"/>
              </w:tabs>
              <w:spacing w:before="60" w:after="60"/>
            </w:pPr>
          </w:p>
          <w:p w14:paraId="6D281CF9" w14:textId="77777777" w:rsidR="006675AF" w:rsidRPr="00A02DD8" w:rsidRDefault="006675AF" w:rsidP="006675AF">
            <w:pPr>
              <w:tabs>
                <w:tab w:val="center" w:pos="284"/>
              </w:tabs>
              <w:spacing w:before="60" w:after="60"/>
            </w:pPr>
          </w:p>
          <w:p w14:paraId="60464F45" w14:textId="14A8A380" w:rsidR="006675AF" w:rsidRPr="00A02DD8" w:rsidRDefault="006026C0" w:rsidP="006675AF">
            <w:pPr>
              <w:spacing w:before="60" w:after="60"/>
              <w:rPr>
                <w:sz w:val="22"/>
                <w:szCs w:val="22"/>
              </w:rPr>
            </w:pPr>
            <w:r>
              <w:rPr>
                <w:sz w:val="22"/>
                <w:szCs w:val="22"/>
              </w:rPr>
              <w:t>Z. Iļķēna</w:t>
            </w:r>
            <w:r w:rsidR="006675AF" w:rsidRPr="00A02DD8">
              <w:rPr>
                <w:sz w:val="22"/>
                <w:szCs w:val="22"/>
              </w:rPr>
              <w:t xml:space="preserve"> 67047</w:t>
            </w:r>
            <w:r>
              <w:rPr>
                <w:sz w:val="22"/>
                <w:szCs w:val="22"/>
              </w:rPr>
              <w:t>793</w:t>
            </w:r>
          </w:p>
          <w:p w14:paraId="04F2C8B7" w14:textId="3F680585" w:rsidR="006675AF" w:rsidRPr="00C4242D" w:rsidRDefault="00D05F9F" w:rsidP="006026C0">
            <w:pPr>
              <w:tabs>
                <w:tab w:val="left" w:pos="2340"/>
                <w:tab w:val="center" w:pos="4153"/>
                <w:tab w:val="right" w:pos="8306"/>
              </w:tabs>
              <w:spacing w:before="60" w:after="60"/>
            </w:pPr>
            <w:hyperlink r:id="rId8" w:history="1">
              <w:r w:rsidR="006026C0" w:rsidRPr="008C0359">
                <w:rPr>
                  <w:rStyle w:val="Hyperlink"/>
                  <w:sz w:val="22"/>
                  <w:szCs w:val="22"/>
                </w:rPr>
                <w:t>zenta.ilkena@izm.gov.lv</w:t>
              </w:r>
            </w:hyperlink>
            <w:r w:rsidR="006026C0">
              <w:rPr>
                <w:sz w:val="22"/>
                <w:szCs w:val="22"/>
              </w:rPr>
              <w:t xml:space="preserve"> </w:t>
            </w:r>
          </w:p>
        </w:tc>
      </w:tr>
    </w:tbl>
    <w:p w14:paraId="0BA0FB95" w14:textId="028F99F9" w:rsidR="006A46C5" w:rsidRPr="00C4242D" w:rsidRDefault="006A46C5" w:rsidP="00C4242D">
      <w:pPr>
        <w:spacing w:before="60" w:after="60"/>
      </w:pPr>
    </w:p>
    <w:p w14:paraId="17831BA2" w14:textId="4E2EF6F2" w:rsidR="00CF649C" w:rsidRPr="00C4242D" w:rsidRDefault="00CF649C" w:rsidP="00C4242D">
      <w:pPr>
        <w:pStyle w:val="Header"/>
        <w:tabs>
          <w:tab w:val="left" w:pos="2340"/>
        </w:tabs>
        <w:spacing w:before="60" w:after="60"/>
        <w:jc w:val="both"/>
      </w:pPr>
    </w:p>
    <w:sectPr w:rsidR="00CF649C" w:rsidRPr="00C4242D"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9A78" w14:textId="77777777" w:rsidR="00D05F9F" w:rsidRDefault="00D05F9F">
      <w:r>
        <w:separator/>
      </w:r>
    </w:p>
  </w:endnote>
  <w:endnote w:type="continuationSeparator" w:id="0">
    <w:p w14:paraId="56BE1518" w14:textId="77777777" w:rsidR="00D05F9F" w:rsidRDefault="00D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3F852CEC" w:rsidR="005C489B" w:rsidRPr="005351B4" w:rsidRDefault="005C489B"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3B4845">
      <w:rPr>
        <w:noProof/>
        <w:color w:val="000000" w:themeColor="text1"/>
        <w:sz w:val="18"/>
        <w:szCs w:val="18"/>
      </w:rPr>
      <w:t>IZMIzz_15</w:t>
    </w:r>
    <w:r w:rsidR="0086344B">
      <w:rPr>
        <w:noProof/>
        <w:color w:val="000000" w:themeColor="text1"/>
        <w:sz w:val="18"/>
        <w:szCs w:val="18"/>
      </w:rPr>
      <w:t>03</w:t>
    </w:r>
    <w:r w:rsidR="00E324AA">
      <w:rPr>
        <w:noProof/>
        <w:color w:val="000000" w:themeColor="text1"/>
        <w:sz w:val="18"/>
        <w:szCs w:val="18"/>
      </w:rPr>
      <w:t>21</w:t>
    </w:r>
    <w:r w:rsidR="001C5A97">
      <w:rPr>
        <w:noProof/>
        <w:color w:val="000000" w:themeColor="text1"/>
        <w:sz w:val="18"/>
        <w:szCs w:val="18"/>
      </w:rPr>
      <w:t>_81</w:t>
    </w:r>
    <w:r w:rsidR="00E324AA">
      <w:rPr>
        <w:noProof/>
        <w:color w:val="000000" w:themeColor="text1"/>
        <w:sz w:val="18"/>
        <w:szCs w:val="18"/>
      </w:rPr>
      <w:t>3</w:t>
    </w:r>
    <w:r w:rsidRPr="005351B4">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0C3F" w14:textId="3FCC8BB7" w:rsidR="00E324AA" w:rsidRPr="005351B4" w:rsidRDefault="00E324AA" w:rsidP="00E324AA">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3B4845">
      <w:rPr>
        <w:noProof/>
        <w:color w:val="000000" w:themeColor="text1"/>
        <w:sz w:val="18"/>
        <w:szCs w:val="18"/>
      </w:rPr>
      <w:t>IZMIzz_1503</w:t>
    </w:r>
    <w:r>
      <w:rPr>
        <w:noProof/>
        <w:color w:val="000000" w:themeColor="text1"/>
        <w:sz w:val="18"/>
        <w:szCs w:val="18"/>
      </w:rPr>
      <w:t>21_813</w:t>
    </w:r>
    <w:r w:rsidRPr="005351B4">
      <w:rPr>
        <w:noProof/>
        <w:color w:val="000000" w:themeColor="text1"/>
        <w:sz w:val="18"/>
        <w:szCs w:val="18"/>
      </w:rPr>
      <w:fldChar w:fldCharType="end"/>
    </w:r>
  </w:p>
  <w:p w14:paraId="3430B9DC" w14:textId="4852CAD4" w:rsidR="005C489B" w:rsidRPr="00E324AA" w:rsidRDefault="005C489B" w:rsidP="00E3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2044" w14:textId="77777777" w:rsidR="00D05F9F" w:rsidRDefault="00D05F9F">
      <w:r>
        <w:separator/>
      </w:r>
    </w:p>
  </w:footnote>
  <w:footnote w:type="continuationSeparator" w:id="0">
    <w:p w14:paraId="41DDAF9D" w14:textId="77777777" w:rsidR="00D05F9F" w:rsidRDefault="00D05F9F">
      <w:r>
        <w:continuationSeparator/>
      </w:r>
    </w:p>
  </w:footnote>
  <w:footnote w:id="1">
    <w:p w14:paraId="076C22F8" w14:textId="77777777" w:rsidR="00B357A2" w:rsidRPr="00D47701" w:rsidRDefault="00B357A2" w:rsidP="00B357A2">
      <w:pPr>
        <w:pStyle w:val="FootnoteText"/>
      </w:pPr>
      <w:r w:rsidRPr="00D47701">
        <w:rPr>
          <w:rStyle w:val="FootnoteReference"/>
        </w:rPr>
        <w:footnoteRef/>
      </w:r>
      <w:r w:rsidRPr="00D47701">
        <w:t xml:space="preserve"> </w:t>
      </w:r>
      <w:r>
        <w:t>MK</w:t>
      </w:r>
      <w:r w:rsidRPr="00D47701">
        <w:t xml:space="preserve"> 2016.gada 24.maija noteikum</w:t>
      </w:r>
      <w:r>
        <w:t>i</w:t>
      </w:r>
      <w:r w:rsidRPr="00D47701">
        <w:t xml:space="preserve"> Nr.323 “Darbības programmas “Izaugsme un nodarbinātība” 8.1.2.specifiskā atbalsta mērķa “Uzlabot vispārējās izglītības iestāžu mācību vidi” īstenošanas noteikumi</w:t>
      </w:r>
      <w:r>
        <w:t>”</w:t>
      </w:r>
    </w:p>
  </w:footnote>
  <w:footnote w:id="2">
    <w:p w14:paraId="12C9CF17" w14:textId="77777777" w:rsidR="001A7B97" w:rsidRPr="00055F81" w:rsidRDefault="001A7B97" w:rsidP="001A7B97">
      <w:pPr>
        <w:pStyle w:val="FootnoteText"/>
      </w:pPr>
      <w:r>
        <w:rPr>
          <w:rStyle w:val="FootnoteReference"/>
        </w:rPr>
        <w:footnoteRef/>
      </w:r>
      <w:r>
        <w:t xml:space="preserve"> </w:t>
      </w:r>
      <w:r w:rsidRPr="00055F81">
        <w:t xml:space="preserve">MK 2016.gada 19.aprīļa noteikumi Nr.249 </w:t>
      </w:r>
      <w:r>
        <w:t>“</w:t>
      </w:r>
      <w:r w:rsidRPr="00055F81">
        <w:t xml:space="preserve">Darbības programmas </w:t>
      </w:r>
      <w:r>
        <w:t>“</w:t>
      </w:r>
      <w:r w:rsidRPr="00055F81">
        <w:t>Izaugsme un nodarbinātība</w:t>
      </w:r>
      <w:r>
        <w:t>”</w:t>
      </w:r>
      <w:r w:rsidRPr="00055F81">
        <w:t xml:space="preserve"> 8.1.3. specifiskā atbalsta mērķa </w:t>
      </w:r>
      <w:r>
        <w:t>“</w:t>
      </w:r>
      <w:r w:rsidRPr="00055F81">
        <w:t>Palielināt modernizēto profesionālās izglītības iestāžu skaitu" īstenošanas noteikumi</w:t>
      </w:r>
      <w:r>
        <w:t>”</w:t>
      </w:r>
    </w:p>
  </w:footnote>
  <w:footnote w:id="3">
    <w:p w14:paraId="631A71B5" w14:textId="77777777" w:rsidR="001A7B97" w:rsidRPr="00055F81" w:rsidRDefault="001A7B97" w:rsidP="001A7B97">
      <w:pPr>
        <w:pStyle w:val="FootnoteText"/>
      </w:pPr>
      <w:r>
        <w:rPr>
          <w:rStyle w:val="FootnoteReference"/>
        </w:rPr>
        <w:footnoteRef/>
      </w:r>
      <w:r>
        <w:t xml:space="preserve"> </w:t>
      </w:r>
      <w:r w:rsidRPr="00055F81">
        <w:t xml:space="preserve">MK 2018.gada 4.janvāra noteikumi Nr.13 </w:t>
      </w:r>
      <w:r>
        <w:t>“</w:t>
      </w:r>
      <w:r w:rsidRPr="00055F81">
        <w:t xml:space="preserve">Darbības programmas </w:t>
      </w:r>
      <w:r>
        <w:t>“</w:t>
      </w:r>
      <w:r w:rsidRPr="00055F81">
        <w:t>Izaugsme un nodarbinātība</w:t>
      </w:r>
      <w:r>
        <w:t>”</w:t>
      </w:r>
      <w:r w:rsidRPr="00055F81">
        <w:t xml:space="preserve"> 4.2.1.specifiskā atbalsta mērķa </w:t>
      </w:r>
      <w:r>
        <w:t>“</w:t>
      </w:r>
      <w:r w:rsidRPr="00055F81">
        <w:t>Veicināt energoefektivitātes paaugstināšanu valsts un dzīvojamās ēkās</w:t>
      </w:r>
      <w:r>
        <w:t>” 4.2.1.2.pasākuma “Veicināt energoefektivitātes paaugstināšanu valsts ēkās” otrās projektu iesniegumu atlases kārtas īstenošanas noteikumi”</w:t>
      </w:r>
    </w:p>
  </w:footnote>
  <w:footnote w:id="4">
    <w:p w14:paraId="206E4294" w14:textId="77777777" w:rsidR="006675AF" w:rsidRDefault="006675AF" w:rsidP="001A7B97">
      <w:pPr>
        <w:pStyle w:val="FootnoteText"/>
      </w:pPr>
      <w:r>
        <w:rPr>
          <w:rStyle w:val="FootnoteReference"/>
        </w:rPr>
        <w:footnoteRef/>
      </w:r>
      <w:r>
        <w:t xml:space="preserve"> </w:t>
      </w:r>
      <w:r w:rsidRPr="00C75186">
        <w:t>MK 20</w:t>
      </w:r>
      <w:r>
        <w:t>09.gada 15.decembra instrukcija</w:t>
      </w:r>
      <w:r w:rsidRPr="00C75186">
        <w:t xml:space="preserve"> Nr.19 “Tiesību akta projekta sākotnējās ietekmes izvērtēšanas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5C489B" w:rsidRDefault="005C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3EB">
      <w:rPr>
        <w:rStyle w:val="PageNumber"/>
        <w:noProof/>
      </w:rPr>
      <w:t>2</w:t>
    </w:r>
    <w:r>
      <w:rPr>
        <w:rStyle w:val="PageNumber"/>
      </w:rPr>
      <w:fldChar w:fldCharType="end"/>
    </w:r>
  </w:p>
  <w:p w14:paraId="1F87B2A5" w14:textId="77777777" w:rsidR="005C489B" w:rsidRDefault="005C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5C489B" w:rsidRPr="006C4AF5" w:rsidRDefault="005C489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DC9"/>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F2696"/>
    <w:multiLevelType w:val="hybridMultilevel"/>
    <w:tmpl w:val="E81C29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4D2B"/>
    <w:multiLevelType w:val="hybridMultilevel"/>
    <w:tmpl w:val="CEA8B782"/>
    <w:lvl w:ilvl="0" w:tplc="4AD0A454">
      <w:start w:val="8"/>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5E094D"/>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F36C46"/>
    <w:multiLevelType w:val="hybridMultilevel"/>
    <w:tmpl w:val="1AEC4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849BB"/>
    <w:multiLevelType w:val="hybridMultilevel"/>
    <w:tmpl w:val="2F5C512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2CA73654"/>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445810"/>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C4102"/>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AD12DE"/>
    <w:multiLevelType w:val="hybridMultilevel"/>
    <w:tmpl w:val="ED44DD26"/>
    <w:lvl w:ilvl="0" w:tplc="79C4CFE8">
      <w:start w:val="1"/>
      <w:numFmt w:val="decimal"/>
      <w:lvlText w:val="%1."/>
      <w:lvlJc w:val="left"/>
      <w:pPr>
        <w:ind w:left="786"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E5C76"/>
    <w:multiLevelType w:val="hybridMultilevel"/>
    <w:tmpl w:val="FEEE9C8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9"/>
  </w:num>
  <w:num w:numId="8">
    <w:abstractNumId w:val="10"/>
  </w:num>
  <w:num w:numId="9">
    <w:abstractNumId w:val="2"/>
  </w:num>
  <w:num w:numId="10">
    <w:abstractNumId w:val="8"/>
  </w:num>
  <w:num w:numId="11">
    <w:abstractNumId w:val="4"/>
  </w:num>
  <w:num w:numId="12">
    <w:abstractNumId w:val="1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89F"/>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65FA"/>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0E35"/>
    <w:rsid w:val="000B15E5"/>
    <w:rsid w:val="000B1BD7"/>
    <w:rsid w:val="000B2094"/>
    <w:rsid w:val="000B237D"/>
    <w:rsid w:val="000B2382"/>
    <w:rsid w:val="000B24E5"/>
    <w:rsid w:val="000B2FF1"/>
    <w:rsid w:val="000B3171"/>
    <w:rsid w:val="000B34A5"/>
    <w:rsid w:val="000B3739"/>
    <w:rsid w:val="000B3A96"/>
    <w:rsid w:val="000B46BE"/>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3EB"/>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53B"/>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BB6"/>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20"/>
    <w:rsid w:val="00122740"/>
    <w:rsid w:val="00123224"/>
    <w:rsid w:val="001233D5"/>
    <w:rsid w:val="0012406A"/>
    <w:rsid w:val="001253A0"/>
    <w:rsid w:val="001255E6"/>
    <w:rsid w:val="00125C9B"/>
    <w:rsid w:val="00125E6F"/>
    <w:rsid w:val="00126F8A"/>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6F64"/>
    <w:rsid w:val="0014702D"/>
    <w:rsid w:val="00147177"/>
    <w:rsid w:val="001473D3"/>
    <w:rsid w:val="0014748B"/>
    <w:rsid w:val="00147596"/>
    <w:rsid w:val="001478F3"/>
    <w:rsid w:val="00147E2E"/>
    <w:rsid w:val="00147F08"/>
    <w:rsid w:val="00150624"/>
    <w:rsid w:val="001508D5"/>
    <w:rsid w:val="001516AB"/>
    <w:rsid w:val="001516BD"/>
    <w:rsid w:val="00151E17"/>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1C44"/>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7"/>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0B0"/>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03D"/>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B97"/>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A97"/>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1C"/>
    <w:rsid w:val="001D2FD0"/>
    <w:rsid w:val="001D3830"/>
    <w:rsid w:val="001D39B3"/>
    <w:rsid w:val="001D3A53"/>
    <w:rsid w:val="001D3BA6"/>
    <w:rsid w:val="001D4F43"/>
    <w:rsid w:val="001D4F79"/>
    <w:rsid w:val="001D4FEC"/>
    <w:rsid w:val="001D503F"/>
    <w:rsid w:val="001D5564"/>
    <w:rsid w:val="001D56EF"/>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10F"/>
    <w:rsid w:val="001E4450"/>
    <w:rsid w:val="001E4456"/>
    <w:rsid w:val="001E480E"/>
    <w:rsid w:val="001E4DDC"/>
    <w:rsid w:val="001E58C0"/>
    <w:rsid w:val="001E5EAA"/>
    <w:rsid w:val="001E62BC"/>
    <w:rsid w:val="001E6BFD"/>
    <w:rsid w:val="001E73AA"/>
    <w:rsid w:val="001E7716"/>
    <w:rsid w:val="001E774F"/>
    <w:rsid w:val="001E78AC"/>
    <w:rsid w:val="001E7C1D"/>
    <w:rsid w:val="001E7C73"/>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8FB"/>
    <w:rsid w:val="00210B53"/>
    <w:rsid w:val="00211273"/>
    <w:rsid w:val="002114BA"/>
    <w:rsid w:val="00211548"/>
    <w:rsid w:val="00211698"/>
    <w:rsid w:val="00211793"/>
    <w:rsid w:val="002117BD"/>
    <w:rsid w:val="0021187E"/>
    <w:rsid w:val="002119B2"/>
    <w:rsid w:val="00211C11"/>
    <w:rsid w:val="00212345"/>
    <w:rsid w:val="002129DC"/>
    <w:rsid w:val="00212AF4"/>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783"/>
    <w:rsid w:val="00232D9A"/>
    <w:rsid w:val="00232DD8"/>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576"/>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55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2AA"/>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7EF"/>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170"/>
    <w:rsid w:val="003178A5"/>
    <w:rsid w:val="00317DC7"/>
    <w:rsid w:val="003200F9"/>
    <w:rsid w:val="003202E0"/>
    <w:rsid w:val="00320CEB"/>
    <w:rsid w:val="00320F38"/>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268"/>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79D"/>
    <w:rsid w:val="00371B54"/>
    <w:rsid w:val="00372221"/>
    <w:rsid w:val="003729E8"/>
    <w:rsid w:val="00372CF2"/>
    <w:rsid w:val="00373068"/>
    <w:rsid w:val="00373368"/>
    <w:rsid w:val="00373A53"/>
    <w:rsid w:val="00374726"/>
    <w:rsid w:val="0037479D"/>
    <w:rsid w:val="003749F1"/>
    <w:rsid w:val="00374ADE"/>
    <w:rsid w:val="00374C7E"/>
    <w:rsid w:val="00374F80"/>
    <w:rsid w:val="003761C7"/>
    <w:rsid w:val="003761FE"/>
    <w:rsid w:val="0037639F"/>
    <w:rsid w:val="00377353"/>
    <w:rsid w:val="0037736B"/>
    <w:rsid w:val="0037798B"/>
    <w:rsid w:val="00377B8B"/>
    <w:rsid w:val="003803C5"/>
    <w:rsid w:val="003809F9"/>
    <w:rsid w:val="00381921"/>
    <w:rsid w:val="00381BDA"/>
    <w:rsid w:val="00381F57"/>
    <w:rsid w:val="0038216E"/>
    <w:rsid w:val="003822E5"/>
    <w:rsid w:val="00382376"/>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368"/>
    <w:rsid w:val="00391EF8"/>
    <w:rsid w:val="003921AE"/>
    <w:rsid w:val="00392447"/>
    <w:rsid w:val="00392FBD"/>
    <w:rsid w:val="00393B5B"/>
    <w:rsid w:val="00393BC8"/>
    <w:rsid w:val="00394EAB"/>
    <w:rsid w:val="00394FAD"/>
    <w:rsid w:val="00397458"/>
    <w:rsid w:val="003974B5"/>
    <w:rsid w:val="00397982"/>
    <w:rsid w:val="00397A96"/>
    <w:rsid w:val="003A0263"/>
    <w:rsid w:val="003A02EE"/>
    <w:rsid w:val="003A04A5"/>
    <w:rsid w:val="003A0546"/>
    <w:rsid w:val="003A09C4"/>
    <w:rsid w:val="003A157A"/>
    <w:rsid w:val="003A18CC"/>
    <w:rsid w:val="003A23AC"/>
    <w:rsid w:val="003A2634"/>
    <w:rsid w:val="003A283F"/>
    <w:rsid w:val="003A2A16"/>
    <w:rsid w:val="003A2B4C"/>
    <w:rsid w:val="003A2FDD"/>
    <w:rsid w:val="003A38FE"/>
    <w:rsid w:val="003A3AFD"/>
    <w:rsid w:val="003A3C43"/>
    <w:rsid w:val="003A422B"/>
    <w:rsid w:val="003A4285"/>
    <w:rsid w:val="003A4367"/>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84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2E8"/>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391"/>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B15"/>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0CD1"/>
    <w:rsid w:val="004B17F2"/>
    <w:rsid w:val="004B1F07"/>
    <w:rsid w:val="004B22F8"/>
    <w:rsid w:val="004B2B2A"/>
    <w:rsid w:val="004B2CAD"/>
    <w:rsid w:val="004B3AC8"/>
    <w:rsid w:val="004B3E61"/>
    <w:rsid w:val="004B3EC7"/>
    <w:rsid w:val="004B4216"/>
    <w:rsid w:val="004B5664"/>
    <w:rsid w:val="004B592C"/>
    <w:rsid w:val="004B5FE4"/>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382"/>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637"/>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C77"/>
    <w:rsid w:val="00587E13"/>
    <w:rsid w:val="00587F51"/>
    <w:rsid w:val="005901E1"/>
    <w:rsid w:val="005906DD"/>
    <w:rsid w:val="00590D4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CFB"/>
    <w:rsid w:val="005C0E8C"/>
    <w:rsid w:val="005C17A4"/>
    <w:rsid w:val="005C1929"/>
    <w:rsid w:val="005C19DC"/>
    <w:rsid w:val="005C1A33"/>
    <w:rsid w:val="005C2373"/>
    <w:rsid w:val="005C2775"/>
    <w:rsid w:val="005C27CC"/>
    <w:rsid w:val="005C2D8F"/>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AAF"/>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6D7C"/>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8B5"/>
    <w:rsid w:val="005F399D"/>
    <w:rsid w:val="005F3E49"/>
    <w:rsid w:val="005F4869"/>
    <w:rsid w:val="005F4B4F"/>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6C0"/>
    <w:rsid w:val="00602872"/>
    <w:rsid w:val="006029DD"/>
    <w:rsid w:val="00602C6A"/>
    <w:rsid w:val="00602D82"/>
    <w:rsid w:val="00603014"/>
    <w:rsid w:val="00603AF5"/>
    <w:rsid w:val="006041C2"/>
    <w:rsid w:val="00604C54"/>
    <w:rsid w:val="00604DD7"/>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7CA"/>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08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41C"/>
    <w:rsid w:val="00646872"/>
    <w:rsid w:val="00646DAC"/>
    <w:rsid w:val="006471A3"/>
    <w:rsid w:val="00647422"/>
    <w:rsid w:val="00647B6A"/>
    <w:rsid w:val="00647E6B"/>
    <w:rsid w:val="00650E84"/>
    <w:rsid w:val="0065198B"/>
    <w:rsid w:val="006523CE"/>
    <w:rsid w:val="006525AF"/>
    <w:rsid w:val="0065266A"/>
    <w:rsid w:val="00652EF8"/>
    <w:rsid w:val="00652F8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5AF"/>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329"/>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41"/>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2CC"/>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0A9"/>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03"/>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00"/>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D05"/>
    <w:rsid w:val="00782058"/>
    <w:rsid w:val="00782806"/>
    <w:rsid w:val="00782AB1"/>
    <w:rsid w:val="00782BBD"/>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89B"/>
    <w:rsid w:val="007E19EC"/>
    <w:rsid w:val="007E19FE"/>
    <w:rsid w:val="007E1AAC"/>
    <w:rsid w:val="007E1D15"/>
    <w:rsid w:val="007E2C7E"/>
    <w:rsid w:val="007E3B9C"/>
    <w:rsid w:val="007E3E25"/>
    <w:rsid w:val="007E4A2F"/>
    <w:rsid w:val="007E4F4E"/>
    <w:rsid w:val="007E53BD"/>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CA9"/>
    <w:rsid w:val="007F0DFB"/>
    <w:rsid w:val="007F0E99"/>
    <w:rsid w:val="007F16E8"/>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628"/>
    <w:rsid w:val="00802A4F"/>
    <w:rsid w:val="008041B8"/>
    <w:rsid w:val="0080424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16B"/>
    <w:rsid w:val="008166DB"/>
    <w:rsid w:val="0081688E"/>
    <w:rsid w:val="008172A7"/>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594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44B"/>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0E55"/>
    <w:rsid w:val="00871262"/>
    <w:rsid w:val="0087133B"/>
    <w:rsid w:val="00871474"/>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4B0"/>
    <w:rsid w:val="008B7E4C"/>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43C"/>
    <w:rsid w:val="008F526D"/>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43C"/>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5EA3"/>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903"/>
    <w:rsid w:val="00993E3A"/>
    <w:rsid w:val="009943AD"/>
    <w:rsid w:val="009948ED"/>
    <w:rsid w:val="00994987"/>
    <w:rsid w:val="00994A29"/>
    <w:rsid w:val="00994BFC"/>
    <w:rsid w:val="00994CA5"/>
    <w:rsid w:val="009952B4"/>
    <w:rsid w:val="00995861"/>
    <w:rsid w:val="00995ADA"/>
    <w:rsid w:val="009962C4"/>
    <w:rsid w:val="0099643A"/>
    <w:rsid w:val="00996719"/>
    <w:rsid w:val="00997431"/>
    <w:rsid w:val="009974CB"/>
    <w:rsid w:val="0099780E"/>
    <w:rsid w:val="00997959"/>
    <w:rsid w:val="009979F2"/>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2C81"/>
    <w:rsid w:val="009A351B"/>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CE2"/>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DD8"/>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68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CF"/>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66"/>
    <w:rsid w:val="00A305AE"/>
    <w:rsid w:val="00A309EC"/>
    <w:rsid w:val="00A30F6A"/>
    <w:rsid w:val="00A3184D"/>
    <w:rsid w:val="00A32AEA"/>
    <w:rsid w:val="00A32D36"/>
    <w:rsid w:val="00A32F32"/>
    <w:rsid w:val="00A335A9"/>
    <w:rsid w:val="00A337CE"/>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960"/>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4DCF"/>
    <w:rsid w:val="00A555B2"/>
    <w:rsid w:val="00A55921"/>
    <w:rsid w:val="00A560E3"/>
    <w:rsid w:val="00A5617E"/>
    <w:rsid w:val="00A56225"/>
    <w:rsid w:val="00A5628F"/>
    <w:rsid w:val="00A564AF"/>
    <w:rsid w:val="00A566A8"/>
    <w:rsid w:val="00A56D0B"/>
    <w:rsid w:val="00A5775C"/>
    <w:rsid w:val="00A57840"/>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448"/>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A33"/>
    <w:rsid w:val="00AC7B06"/>
    <w:rsid w:val="00AD0328"/>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51C0"/>
    <w:rsid w:val="00AF5230"/>
    <w:rsid w:val="00AF5C0B"/>
    <w:rsid w:val="00AF66BA"/>
    <w:rsid w:val="00AF687C"/>
    <w:rsid w:val="00AF75F5"/>
    <w:rsid w:val="00AF7A6C"/>
    <w:rsid w:val="00B0076F"/>
    <w:rsid w:val="00B009A9"/>
    <w:rsid w:val="00B00C24"/>
    <w:rsid w:val="00B00DB3"/>
    <w:rsid w:val="00B00F93"/>
    <w:rsid w:val="00B013C3"/>
    <w:rsid w:val="00B01555"/>
    <w:rsid w:val="00B01BBE"/>
    <w:rsid w:val="00B02368"/>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7A2"/>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3C0"/>
    <w:rsid w:val="00B63528"/>
    <w:rsid w:val="00B63922"/>
    <w:rsid w:val="00B63C3F"/>
    <w:rsid w:val="00B63D38"/>
    <w:rsid w:val="00B63DAF"/>
    <w:rsid w:val="00B63E98"/>
    <w:rsid w:val="00B6405E"/>
    <w:rsid w:val="00B6409C"/>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2E82"/>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E34"/>
    <w:rsid w:val="00BC1F79"/>
    <w:rsid w:val="00BC21A9"/>
    <w:rsid w:val="00BC2201"/>
    <w:rsid w:val="00BC244A"/>
    <w:rsid w:val="00BC2C4E"/>
    <w:rsid w:val="00BC3930"/>
    <w:rsid w:val="00BC3C7A"/>
    <w:rsid w:val="00BC49BC"/>
    <w:rsid w:val="00BC4BB8"/>
    <w:rsid w:val="00BC4CBE"/>
    <w:rsid w:val="00BC5748"/>
    <w:rsid w:val="00BC713C"/>
    <w:rsid w:val="00BC7A0C"/>
    <w:rsid w:val="00BC7DC6"/>
    <w:rsid w:val="00BC7E5E"/>
    <w:rsid w:val="00BD0B25"/>
    <w:rsid w:val="00BD1039"/>
    <w:rsid w:val="00BD129A"/>
    <w:rsid w:val="00BD13B5"/>
    <w:rsid w:val="00BD15E7"/>
    <w:rsid w:val="00BD1F70"/>
    <w:rsid w:val="00BD270B"/>
    <w:rsid w:val="00BD2BC8"/>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B23"/>
    <w:rsid w:val="00C15BEA"/>
    <w:rsid w:val="00C15BF3"/>
    <w:rsid w:val="00C15C63"/>
    <w:rsid w:val="00C16118"/>
    <w:rsid w:val="00C16209"/>
    <w:rsid w:val="00C162A8"/>
    <w:rsid w:val="00C168D4"/>
    <w:rsid w:val="00C16BE0"/>
    <w:rsid w:val="00C16F3C"/>
    <w:rsid w:val="00C2041D"/>
    <w:rsid w:val="00C2073A"/>
    <w:rsid w:val="00C20BCF"/>
    <w:rsid w:val="00C21161"/>
    <w:rsid w:val="00C215F4"/>
    <w:rsid w:val="00C216A3"/>
    <w:rsid w:val="00C21733"/>
    <w:rsid w:val="00C21C39"/>
    <w:rsid w:val="00C22685"/>
    <w:rsid w:val="00C229CF"/>
    <w:rsid w:val="00C22A91"/>
    <w:rsid w:val="00C22E85"/>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9C"/>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212A"/>
    <w:rsid w:val="00C4242D"/>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577FD"/>
    <w:rsid w:val="00C60330"/>
    <w:rsid w:val="00C60E5E"/>
    <w:rsid w:val="00C610A7"/>
    <w:rsid w:val="00C615A2"/>
    <w:rsid w:val="00C61E88"/>
    <w:rsid w:val="00C61F3A"/>
    <w:rsid w:val="00C61FDF"/>
    <w:rsid w:val="00C629CB"/>
    <w:rsid w:val="00C62B75"/>
    <w:rsid w:val="00C639FA"/>
    <w:rsid w:val="00C63AD4"/>
    <w:rsid w:val="00C64530"/>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5AE"/>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B35"/>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5C06"/>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03"/>
    <w:rsid w:val="00D03708"/>
    <w:rsid w:val="00D0391A"/>
    <w:rsid w:val="00D03B14"/>
    <w:rsid w:val="00D04A20"/>
    <w:rsid w:val="00D04DA4"/>
    <w:rsid w:val="00D051D3"/>
    <w:rsid w:val="00D05F9F"/>
    <w:rsid w:val="00D06776"/>
    <w:rsid w:val="00D06E46"/>
    <w:rsid w:val="00D06F95"/>
    <w:rsid w:val="00D07012"/>
    <w:rsid w:val="00D07357"/>
    <w:rsid w:val="00D07FC6"/>
    <w:rsid w:val="00D104C7"/>
    <w:rsid w:val="00D10DF3"/>
    <w:rsid w:val="00D1158C"/>
    <w:rsid w:val="00D11600"/>
    <w:rsid w:val="00D118C1"/>
    <w:rsid w:val="00D118E6"/>
    <w:rsid w:val="00D119A2"/>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83C"/>
    <w:rsid w:val="00D2258A"/>
    <w:rsid w:val="00D2260B"/>
    <w:rsid w:val="00D22CF0"/>
    <w:rsid w:val="00D22D49"/>
    <w:rsid w:val="00D23264"/>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7AD"/>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B68"/>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57C"/>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393"/>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2ED"/>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4EAE"/>
    <w:rsid w:val="00DA5BD2"/>
    <w:rsid w:val="00DA5C96"/>
    <w:rsid w:val="00DA5FAD"/>
    <w:rsid w:val="00DA6463"/>
    <w:rsid w:val="00DA6877"/>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22A"/>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031"/>
    <w:rsid w:val="00DF039A"/>
    <w:rsid w:val="00DF0ABC"/>
    <w:rsid w:val="00DF0EA5"/>
    <w:rsid w:val="00DF133D"/>
    <w:rsid w:val="00DF187A"/>
    <w:rsid w:val="00DF1F1D"/>
    <w:rsid w:val="00DF23A5"/>
    <w:rsid w:val="00DF23BA"/>
    <w:rsid w:val="00DF26D2"/>
    <w:rsid w:val="00DF2F90"/>
    <w:rsid w:val="00DF321F"/>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5DF"/>
    <w:rsid w:val="00E16640"/>
    <w:rsid w:val="00E16B19"/>
    <w:rsid w:val="00E16CE8"/>
    <w:rsid w:val="00E1740F"/>
    <w:rsid w:val="00E200CF"/>
    <w:rsid w:val="00E20954"/>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4AA"/>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0E4"/>
    <w:rsid w:val="00E372F7"/>
    <w:rsid w:val="00E37533"/>
    <w:rsid w:val="00E37638"/>
    <w:rsid w:val="00E37B8D"/>
    <w:rsid w:val="00E37E9D"/>
    <w:rsid w:val="00E37EE3"/>
    <w:rsid w:val="00E4032F"/>
    <w:rsid w:val="00E40361"/>
    <w:rsid w:val="00E40442"/>
    <w:rsid w:val="00E40918"/>
    <w:rsid w:val="00E40C99"/>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B32"/>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68A"/>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D7"/>
    <w:rsid w:val="00ED440A"/>
    <w:rsid w:val="00ED460D"/>
    <w:rsid w:val="00ED4F54"/>
    <w:rsid w:val="00ED50EA"/>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39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180"/>
    <w:rsid w:val="00F55358"/>
    <w:rsid w:val="00F55B5B"/>
    <w:rsid w:val="00F56017"/>
    <w:rsid w:val="00F5603C"/>
    <w:rsid w:val="00F5605C"/>
    <w:rsid w:val="00F564B9"/>
    <w:rsid w:val="00F564D8"/>
    <w:rsid w:val="00F57522"/>
    <w:rsid w:val="00F57905"/>
    <w:rsid w:val="00F57909"/>
    <w:rsid w:val="00F57B94"/>
    <w:rsid w:val="00F6050E"/>
    <w:rsid w:val="00F609C0"/>
    <w:rsid w:val="00F6106F"/>
    <w:rsid w:val="00F612D6"/>
    <w:rsid w:val="00F61D27"/>
    <w:rsid w:val="00F6272A"/>
    <w:rsid w:val="00F6329E"/>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65E"/>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515E"/>
    <w:rsid w:val="00F959E2"/>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C4"/>
    <w:rsid w:val="00FA6FDC"/>
    <w:rsid w:val="00FA7126"/>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030"/>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EB5"/>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Normal bullet 2 Char,Bullet list Char,List Paragraph1 Char,Bullet 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Normal bullet 2,Bullet list,List Paragraph1,Bullet 1,Bullet Points,Dot pt,F5 List Paragraph,Indicator Text"/>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7883-175C-4E64-8D1E-3FBAF6C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6354</Words>
  <Characters>3623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19. aprīļa noteikumos Nr. 249 „Darbības programmas „Izaugsme un nodarbinātība” 8.1.3. specifiskā atbalsta mērķa „Palielināt moder</vt:lpstr>
    </vt:vector>
  </TitlesOfParts>
  <Company>IZM</Company>
  <LinksUpToDate>false</LinksUpToDate>
  <CharactersWithSpaces>9958</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19. aprīļa noteikumos Nr. 249 „Darbības programmas „Izaugsme un nodarbinātība” 8.1.3. specifiskā atbalsta mērķa „Palielināt modernizēto profesionālās izglītības iestāžu skaitu” īstenošanas noteikumi””</dc:title>
  <dc:subject>Izziņa</dc:subject>
  <dc:creator>Zenta Iļķēna</dc:creator>
  <cp:keywords>IZMIzz_040321_813</cp:keywords>
  <dc:description>zenta.ilkena@izm.gov.lv, 67047794</dc:description>
  <cp:lastModifiedBy>Sandra Obodova</cp:lastModifiedBy>
  <cp:revision>2</cp:revision>
  <cp:lastPrinted>2019-03-29T08:40:00Z</cp:lastPrinted>
  <dcterms:created xsi:type="dcterms:W3CDTF">2021-03-18T14:47:00Z</dcterms:created>
  <dcterms:modified xsi:type="dcterms:W3CDTF">2021-03-18T14:47:00Z</dcterms:modified>
  <cp:category>Izglītības un zinātnes  ministrija</cp:category>
</cp:coreProperties>
</file>