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B941" w14:textId="77777777" w:rsidR="00D63CA8" w:rsidRPr="00676E06" w:rsidRDefault="00D63CA8" w:rsidP="0027578E">
      <w:pPr>
        <w:shd w:val="clear" w:color="auto" w:fill="FFFFFF"/>
        <w:jc w:val="center"/>
        <w:rPr>
          <w:b/>
          <w:bCs/>
          <w:sz w:val="28"/>
        </w:rPr>
      </w:pPr>
    </w:p>
    <w:p w14:paraId="5A5B2710" w14:textId="4A07910F" w:rsidR="0027578E" w:rsidRPr="00676E06" w:rsidRDefault="0027578E" w:rsidP="0027578E">
      <w:pPr>
        <w:shd w:val="clear" w:color="auto" w:fill="FFFFFF"/>
        <w:jc w:val="center"/>
        <w:rPr>
          <w:b/>
          <w:bCs/>
          <w:sz w:val="28"/>
        </w:rPr>
      </w:pPr>
      <w:r w:rsidRPr="00676E06">
        <w:rPr>
          <w:b/>
          <w:bCs/>
          <w:sz w:val="28"/>
        </w:rPr>
        <w:t>Ministru kabineta rīkojuma projekta “</w:t>
      </w:r>
      <w:r w:rsidR="002F5D99" w:rsidRPr="00676E06">
        <w:rPr>
          <w:b/>
          <w:bCs/>
          <w:sz w:val="28"/>
        </w:rPr>
        <w:t xml:space="preserve">Grozījums </w:t>
      </w:r>
      <w:r w:rsidRPr="00676E06">
        <w:rPr>
          <w:b/>
          <w:bCs/>
          <w:sz w:val="28"/>
        </w:rPr>
        <w:t xml:space="preserve">Ministru kabineta 2021.gada 11.janvāra rīkojumā Nr.15 “Par finanšu līdzekļu piešķiršanu no valsts budžeta programmas </w:t>
      </w:r>
    </w:p>
    <w:p w14:paraId="75F665A1" w14:textId="77777777" w:rsidR="0027578E" w:rsidRPr="00676E06" w:rsidRDefault="0027578E" w:rsidP="0027578E">
      <w:pPr>
        <w:shd w:val="clear" w:color="auto" w:fill="FFFFFF"/>
        <w:jc w:val="center"/>
        <w:rPr>
          <w:b/>
          <w:bCs/>
          <w:sz w:val="28"/>
        </w:rPr>
      </w:pPr>
      <w:r w:rsidRPr="00676E06">
        <w:rPr>
          <w:b/>
          <w:bCs/>
          <w:sz w:val="28"/>
        </w:rPr>
        <w:t xml:space="preserve">“Līdzekļi neparedzētiem gadījumiem””” sākotnējās ietekmes </w:t>
      </w:r>
    </w:p>
    <w:p w14:paraId="08A5C302" w14:textId="62F1371B" w:rsidR="0027578E" w:rsidRPr="00676E06" w:rsidRDefault="0027578E" w:rsidP="0027578E">
      <w:pPr>
        <w:shd w:val="clear" w:color="auto" w:fill="FFFFFF"/>
        <w:jc w:val="center"/>
        <w:rPr>
          <w:b/>
          <w:bCs/>
          <w:sz w:val="28"/>
        </w:rPr>
      </w:pPr>
      <w:r w:rsidRPr="00676E06">
        <w:rPr>
          <w:b/>
          <w:bCs/>
          <w:sz w:val="28"/>
        </w:rPr>
        <w:t>novērtējuma ziņojums (anotācija)</w:t>
      </w:r>
    </w:p>
    <w:p w14:paraId="5ADBE66B" w14:textId="77777777" w:rsidR="00D63CA8" w:rsidRPr="00676E06" w:rsidRDefault="00D63CA8" w:rsidP="0027578E">
      <w:pPr>
        <w:shd w:val="clear" w:color="auto" w:fill="FFFFFF"/>
        <w:jc w:val="center"/>
        <w:rPr>
          <w:b/>
          <w:bCs/>
          <w:sz w:val="28"/>
        </w:rPr>
      </w:pPr>
    </w:p>
    <w:p w14:paraId="5D559B11" w14:textId="77777777" w:rsidR="00EC6E12" w:rsidRPr="00676E06" w:rsidRDefault="00EC6E12" w:rsidP="00EC6E12">
      <w:pPr>
        <w:pStyle w:val="NoSpacing"/>
        <w:jc w:val="center"/>
        <w:rPr>
          <w:rFonts w:ascii="Times New Roman" w:hAnsi="Times New Roman" w:cs="Times New Roman"/>
          <w:sz w:val="24"/>
          <w:szCs w:val="24"/>
          <w:lang w:eastAsia="lv-LV"/>
        </w:rPr>
      </w:pPr>
    </w:p>
    <w:tbl>
      <w:tblPr>
        <w:tblW w:w="5253"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82"/>
        <w:gridCol w:w="6333"/>
      </w:tblGrid>
      <w:tr w:rsidR="00676E06" w:rsidRPr="00676E06" w14:paraId="58CB537F" w14:textId="77777777" w:rsidTr="00D63CA8">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76E06" w:rsidRDefault="006F193F" w:rsidP="006F193F">
            <w:pPr>
              <w:spacing w:before="100" w:beforeAutospacing="1" w:after="100" w:afterAutospacing="1" w:line="293" w:lineRule="atLeast"/>
              <w:jc w:val="center"/>
              <w:rPr>
                <w:b/>
                <w:bCs/>
              </w:rPr>
            </w:pPr>
            <w:r w:rsidRPr="00676E06">
              <w:rPr>
                <w:b/>
                <w:bCs/>
              </w:rPr>
              <w:t>Tiesību akta projekta anotācijas kopsavilkums</w:t>
            </w:r>
          </w:p>
        </w:tc>
      </w:tr>
      <w:tr w:rsidR="00676E06" w:rsidRPr="00676E06" w14:paraId="32B6BEEF" w14:textId="77777777" w:rsidTr="00D63CA8">
        <w:trPr>
          <w:trHeight w:val="324"/>
        </w:trPr>
        <w:tc>
          <w:tcPr>
            <w:tcW w:w="1564"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676E06" w:rsidRDefault="00FD5BD8" w:rsidP="00FD5BD8">
            <w:pPr>
              <w:spacing w:before="100" w:beforeAutospacing="1" w:after="100" w:afterAutospacing="1" w:line="293" w:lineRule="atLeast"/>
              <w:rPr>
                <w:iCs/>
              </w:rPr>
            </w:pPr>
            <w:r w:rsidRPr="00676E06">
              <w:rPr>
                <w:iCs/>
              </w:rPr>
              <w:t>Mērķis, risinājums un projekta spēkā stāšanās laiks (500 zīmes bez atstarpēm)</w:t>
            </w:r>
          </w:p>
        </w:tc>
        <w:tc>
          <w:tcPr>
            <w:tcW w:w="3436" w:type="pct"/>
            <w:tcBorders>
              <w:top w:val="outset" w:sz="6" w:space="0" w:color="414142"/>
              <w:left w:val="outset" w:sz="6" w:space="0" w:color="414142"/>
              <w:bottom w:val="outset" w:sz="6" w:space="0" w:color="414142"/>
              <w:right w:val="outset" w:sz="6" w:space="0" w:color="414142"/>
            </w:tcBorders>
          </w:tcPr>
          <w:p w14:paraId="72BC091E" w14:textId="4B735243" w:rsidR="00FD5BD8" w:rsidRPr="00676E06" w:rsidRDefault="00FD5BD8" w:rsidP="00FD5BD8">
            <w:pPr>
              <w:pStyle w:val="tv213"/>
              <w:tabs>
                <w:tab w:val="left" w:pos="0"/>
              </w:tabs>
              <w:spacing w:before="0" w:beforeAutospacing="0" w:after="0" w:afterAutospacing="0"/>
              <w:ind w:left="57"/>
              <w:jc w:val="both"/>
              <w:rPr>
                <w:iCs/>
              </w:rPr>
            </w:pPr>
            <w:r w:rsidRPr="00676E06">
              <w:rPr>
                <w:iCs/>
              </w:rPr>
              <w:t>Saskaņā ar Ministru kabineta 2009. gada 15. decembra instrukcijas Nr. 19 "Tiesību akta projekta sākotnējās ietekmes izvērtēšanas kārtība" 5.1 apakšpunktu anotācijas kopsavilkums nav aizpildāms.</w:t>
            </w:r>
          </w:p>
        </w:tc>
      </w:tr>
    </w:tbl>
    <w:p w14:paraId="3623E784" w14:textId="77777777" w:rsidR="003027A9" w:rsidRPr="00676E06" w:rsidRDefault="003027A9" w:rsidP="006F193F">
      <w:pPr>
        <w:pStyle w:val="NoSpacing"/>
        <w:rPr>
          <w:rFonts w:ascii="Times New Roman" w:hAnsi="Times New Roman" w:cs="Times New Roman"/>
          <w:sz w:val="24"/>
          <w:szCs w:val="24"/>
          <w:lang w:eastAsia="lv-LV"/>
        </w:rPr>
      </w:pPr>
    </w:p>
    <w:tbl>
      <w:tblPr>
        <w:tblStyle w:val="TableGrid"/>
        <w:tblW w:w="9216" w:type="dxa"/>
        <w:tblInd w:w="-147" w:type="dxa"/>
        <w:tblLayout w:type="fixed"/>
        <w:tblLook w:val="04A0" w:firstRow="1" w:lastRow="0" w:firstColumn="1" w:lastColumn="0" w:noHBand="0" w:noVBand="1"/>
      </w:tblPr>
      <w:tblGrid>
        <w:gridCol w:w="568"/>
        <w:gridCol w:w="2409"/>
        <w:gridCol w:w="6239"/>
      </w:tblGrid>
      <w:tr w:rsidR="00676E06" w:rsidRPr="00676E06" w14:paraId="6F5C95E5" w14:textId="77777777" w:rsidTr="00CB6F03">
        <w:tc>
          <w:tcPr>
            <w:tcW w:w="9216" w:type="dxa"/>
            <w:gridSpan w:val="3"/>
          </w:tcPr>
          <w:p w14:paraId="2E8CEC93" w14:textId="77777777" w:rsidR="00EC6E12" w:rsidRPr="00676E06" w:rsidRDefault="00EC6E12" w:rsidP="00EC6E12">
            <w:pPr>
              <w:pStyle w:val="NoSpacing"/>
              <w:jc w:val="center"/>
              <w:rPr>
                <w:rFonts w:ascii="Times New Roman" w:hAnsi="Times New Roman" w:cs="Times New Roman"/>
                <w:b/>
                <w:sz w:val="24"/>
                <w:szCs w:val="24"/>
                <w:lang w:eastAsia="lv-LV"/>
              </w:rPr>
            </w:pPr>
            <w:r w:rsidRPr="00676E06">
              <w:rPr>
                <w:rFonts w:ascii="Times New Roman" w:hAnsi="Times New Roman" w:cs="Times New Roman"/>
                <w:b/>
                <w:iCs/>
                <w:sz w:val="24"/>
                <w:szCs w:val="24"/>
                <w:lang w:eastAsia="lv-LV"/>
              </w:rPr>
              <w:t>I. Tiesību akta projekta izstrādes nepieciešamība</w:t>
            </w:r>
          </w:p>
        </w:tc>
      </w:tr>
      <w:tr w:rsidR="00676E06" w:rsidRPr="00676E06" w14:paraId="31440490" w14:textId="77777777" w:rsidTr="00A96852">
        <w:tc>
          <w:tcPr>
            <w:tcW w:w="568" w:type="dxa"/>
          </w:tcPr>
          <w:p w14:paraId="4DEF71DE" w14:textId="77777777" w:rsidR="003B1DA8" w:rsidRPr="00676E06" w:rsidRDefault="003B1DA8" w:rsidP="003B1DA8">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1.</w:t>
            </w:r>
          </w:p>
        </w:tc>
        <w:tc>
          <w:tcPr>
            <w:tcW w:w="2409" w:type="dxa"/>
          </w:tcPr>
          <w:p w14:paraId="75F03F44" w14:textId="77777777" w:rsidR="003B1DA8" w:rsidRPr="00676E06" w:rsidRDefault="003B1DA8" w:rsidP="003B1DA8">
            <w:pPr>
              <w:pStyle w:val="NoSpacing"/>
              <w:jc w:val="both"/>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Pamatoju</w:t>
            </w:r>
            <w:bookmarkStart w:id="0" w:name="_GoBack"/>
            <w:bookmarkEnd w:id="0"/>
            <w:r w:rsidRPr="00676E06">
              <w:rPr>
                <w:rFonts w:ascii="Times New Roman" w:hAnsi="Times New Roman" w:cs="Times New Roman"/>
                <w:iCs/>
                <w:sz w:val="24"/>
                <w:szCs w:val="24"/>
                <w:lang w:eastAsia="lv-LV"/>
              </w:rPr>
              <w:t>ms</w:t>
            </w:r>
          </w:p>
        </w:tc>
        <w:tc>
          <w:tcPr>
            <w:tcW w:w="6239" w:type="dxa"/>
          </w:tcPr>
          <w:p w14:paraId="5BE7AF87" w14:textId="204024F1" w:rsidR="005A770B" w:rsidRPr="00676E06" w:rsidRDefault="00BB79B1" w:rsidP="003B1DA8">
            <w:pPr>
              <w:pStyle w:val="NoSpacing"/>
              <w:ind w:left="33"/>
              <w:jc w:val="both"/>
              <w:rPr>
                <w:rFonts w:ascii="Times New Roman" w:hAnsi="Times New Roman" w:cs="Times New Roman"/>
                <w:bCs/>
                <w:sz w:val="24"/>
                <w:szCs w:val="24"/>
                <w:shd w:val="clear" w:color="auto" w:fill="FFFFFF"/>
              </w:rPr>
            </w:pPr>
            <w:r w:rsidRPr="00676E06">
              <w:rPr>
                <w:rFonts w:ascii="Times New Roman" w:hAnsi="Times New Roman" w:cs="Times New Roman"/>
                <w:bCs/>
                <w:sz w:val="24"/>
                <w:szCs w:val="24"/>
                <w:shd w:val="clear" w:color="auto" w:fill="FFFFFF"/>
              </w:rPr>
              <w:t>Covid-19 infekcijas izplatības seku pārvarēšanas likuma 24.</w:t>
            </w:r>
            <w:r w:rsidR="005A770B" w:rsidRPr="00676E06">
              <w:rPr>
                <w:rFonts w:ascii="Times New Roman" w:hAnsi="Times New Roman" w:cs="Times New Roman"/>
                <w:bCs/>
                <w:sz w:val="24"/>
                <w:szCs w:val="24"/>
                <w:shd w:val="clear" w:color="auto" w:fill="FFFFFF"/>
              </w:rPr>
              <w:t xml:space="preserve"> un 25.pants.</w:t>
            </w:r>
            <w:r w:rsidRPr="00676E06">
              <w:rPr>
                <w:rFonts w:ascii="Times New Roman" w:hAnsi="Times New Roman" w:cs="Times New Roman"/>
                <w:bCs/>
                <w:sz w:val="24"/>
                <w:szCs w:val="24"/>
                <w:shd w:val="clear" w:color="auto" w:fill="FFFFFF"/>
              </w:rPr>
              <w:t xml:space="preserve"> </w:t>
            </w:r>
          </w:p>
          <w:p w14:paraId="03C4D5A0" w14:textId="6439A8C8" w:rsidR="003B1DA8" w:rsidRPr="00676E06" w:rsidRDefault="00BB79B1" w:rsidP="00ED555D">
            <w:pPr>
              <w:pStyle w:val="NoSpacing"/>
              <w:ind w:left="33"/>
              <w:jc w:val="both"/>
              <w:rPr>
                <w:rFonts w:ascii="Times New Roman" w:hAnsi="Times New Roman" w:cs="Times New Roman"/>
                <w:bCs/>
                <w:sz w:val="24"/>
                <w:szCs w:val="24"/>
                <w:shd w:val="clear" w:color="auto" w:fill="FFFFFF"/>
              </w:rPr>
            </w:pPr>
            <w:r w:rsidRPr="00676E06">
              <w:rPr>
                <w:rFonts w:ascii="Times New Roman" w:eastAsia="Times New Roman" w:hAnsi="Times New Roman" w:cs="Times New Roman"/>
                <w:iCs/>
                <w:sz w:val="24"/>
                <w:szCs w:val="24"/>
                <w:lang w:eastAsia="lv-LV"/>
              </w:rPr>
              <w:t xml:space="preserve">Ministru kabineta 2020.gada </w:t>
            </w:r>
            <w:r w:rsidR="002C1701" w:rsidRPr="00676E06">
              <w:rPr>
                <w:rFonts w:ascii="Times New Roman" w:eastAsia="Times New Roman" w:hAnsi="Times New Roman" w:cs="Times New Roman"/>
                <w:iCs/>
                <w:sz w:val="24"/>
                <w:szCs w:val="24"/>
                <w:lang w:eastAsia="lv-LV"/>
              </w:rPr>
              <w:t>24</w:t>
            </w:r>
            <w:r w:rsidRPr="00676E06">
              <w:rPr>
                <w:rFonts w:ascii="Times New Roman" w:eastAsia="Times New Roman" w:hAnsi="Times New Roman" w:cs="Times New Roman"/>
                <w:iCs/>
                <w:sz w:val="24"/>
                <w:szCs w:val="24"/>
                <w:lang w:eastAsia="lv-LV"/>
              </w:rPr>
              <w:t>.novembra noteikumi Nr.</w:t>
            </w:r>
            <w:r w:rsidR="002C1701" w:rsidRPr="00676E06">
              <w:rPr>
                <w:rFonts w:ascii="Times New Roman" w:eastAsia="Times New Roman" w:hAnsi="Times New Roman" w:cs="Times New Roman"/>
                <w:iCs/>
                <w:sz w:val="24"/>
                <w:szCs w:val="24"/>
                <w:lang w:eastAsia="lv-LV"/>
              </w:rPr>
              <w:t>709</w:t>
            </w:r>
            <w:r w:rsidRPr="00676E06">
              <w:rPr>
                <w:rFonts w:ascii="Times New Roman" w:eastAsia="Times New Roman" w:hAnsi="Times New Roman" w:cs="Times New Roman"/>
                <w:iCs/>
                <w:sz w:val="24"/>
                <w:szCs w:val="24"/>
                <w:lang w:eastAsia="lv-LV"/>
              </w:rPr>
              <w:t xml:space="preserve"> “</w:t>
            </w:r>
            <w:r w:rsidR="002C1701" w:rsidRPr="00676E06">
              <w:rPr>
                <w:rFonts w:ascii="Times New Roman" w:hAnsi="Times New Roman" w:cs="Times New Roman"/>
                <w:bCs/>
                <w:sz w:val="24"/>
                <w:szCs w:val="24"/>
                <w:shd w:val="clear" w:color="auto" w:fill="FFFFFF"/>
              </w:rPr>
              <w:t>Noteikumi par atbalstu par dīkstāvi nodokļu maksātājiem to darbības turpināšanai Covid-19 izraisītās krīzes apstākļos</w:t>
            </w:r>
            <w:r w:rsidR="00FF365B" w:rsidRPr="00676E06">
              <w:rPr>
                <w:rFonts w:ascii="Times New Roman" w:hAnsi="Times New Roman" w:cs="Times New Roman"/>
                <w:bCs/>
                <w:sz w:val="24"/>
                <w:szCs w:val="24"/>
                <w:shd w:val="clear" w:color="auto" w:fill="FFFFFF"/>
              </w:rPr>
              <w:t>”</w:t>
            </w:r>
            <w:r w:rsidR="00ED555D" w:rsidRPr="00676E06">
              <w:rPr>
                <w:rFonts w:ascii="Times New Roman" w:hAnsi="Times New Roman" w:cs="Times New Roman"/>
                <w:bCs/>
                <w:sz w:val="24"/>
                <w:szCs w:val="24"/>
                <w:shd w:val="clear" w:color="auto" w:fill="FFFFFF"/>
              </w:rPr>
              <w:t xml:space="preserve"> 11., 19. un 21</w:t>
            </w:r>
            <w:r w:rsidR="00ED555D" w:rsidRPr="00676E06">
              <w:rPr>
                <w:rFonts w:ascii="Times New Roman" w:hAnsi="Times New Roman" w:cs="Times New Roman"/>
                <w:bCs/>
                <w:sz w:val="24"/>
                <w:szCs w:val="24"/>
                <w:shd w:val="clear" w:color="auto" w:fill="FFFFFF"/>
                <w:vertAlign w:val="superscript"/>
              </w:rPr>
              <w:t>9</w:t>
            </w:r>
            <w:r w:rsidRPr="00676E06">
              <w:rPr>
                <w:rFonts w:ascii="Times New Roman" w:hAnsi="Times New Roman" w:cs="Times New Roman"/>
                <w:bCs/>
                <w:sz w:val="24"/>
                <w:szCs w:val="24"/>
                <w:shd w:val="clear" w:color="auto" w:fill="FFFFFF"/>
              </w:rPr>
              <w:t>.</w:t>
            </w:r>
            <w:r w:rsidR="00ED555D" w:rsidRPr="00676E06">
              <w:rPr>
                <w:rFonts w:ascii="Times New Roman" w:hAnsi="Times New Roman" w:cs="Times New Roman"/>
                <w:bCs/>
                <w:sz w:val="24"/>
                <w:szCs w:val="24"/>
                <w:shd w:val="clear" w:color="auto" w:fill="FFFFFF"/>
              </w:rPr>
              <w:t xml:space="preserve"> punkti.</w:t>
            </w:r>
          </w:p>
        </w:tc>
      </w:tr>
      <w:tr w:rsidR="00676E06" w:rsidRPr="00676E06" w14:paraId="69E5DBB5" w14:textId="77777777" w:rsidTr="00A96852">
        <w:tc>
          <w:tcPr>
            <w:tcW w:w="568" w:type="dxa"/>
          </w:tcPr>
          <w:p w14:paraId="196FCCF3" w14:textId="77777777" w:rsidR="003B1DA8" w:rsidRPr="00676E06" w:rsidRDefault="003B1DA8" w:rsidP="003B1DA8">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2.</w:t>
            </w:r>
          </w:p>
        </w:tc>
        <w:tc>
          <w:tcPr>
            <w:tcW w:w="2409" w:type="dxa"/>
          </w:tcPr>
          <w:p w14:paraId="71164870" w14:textId="77777777" w:rsidR="003B1DA8" w:rsidRPr="00676E06" w:rsidRDefault="003B1DA8" w:rsidP="003B1DA8">
            <w:pPr>
              <w:pStyle w:val="NoSpacing"/>
              <w:jc w:val="both"/>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676E06" w:rsidRDefault="003B1DA8" w:rsidP="003B1DA8">
            <w:pPr>
              <w:jc w:val="center"/>
            </w:pPr>
          </w:p>
          <w:p w14:paraId="07ABD973" w14:textId="77777777" w:rsidR="003B1DA8" w:rsidRPr="00676E06" w:rsidRDefault="003B1DA8" w:rsidP="003B1DA8"/>
        </w:tc>
        <w:tc>
          <w:tcPr>
            <w:tcW w:w="6239" w:type="dxa"/>
          </w:tcPr>
          <w:p w14:paraId="5FC00D8B" w14:textId="00B37AF3" w:rsidR="00ED555D" w:rsidRPr="00676E06" w:rsidRDefault="00ED555D" w:rsidP="00583ABD">
            <w:pPr>
              <w:pStyle w:val="tv213"/>
              <w:tabs>
                <w:tab w:val="left" w:pos="709"/>
              </w:tabs>
              <w:spacing w:before="0" w:beforeAutospacing="0" w:after="120" w:afterAutospacing="0"/>
              <w:jc w:val="both"/>
            </w:pPr>
            <w:r w:rsidRPr="00676E06">
              <w:rPr>
                <w:iCs/>
              </w:rPr>
              <w:t xml:space="preserve">Pamatojoties uz Ministru kabineta </w:t>
            </w:r>
            <w:r w:rsidRPr="00676E06">
              <w:rPr>
                <w:rFonts w:eastAsiaTheme="minorHAnsi"/>
                <w:iCs/>
                <w:lang w:eastAsia="en-US"/>
              </w:rPr>
              <w:t xml:space="preserve">2021.gada 11.janvāra rīkojumu Nr.15 “Par finanšu līdzekļu piešķiršanu no valsts budžeta programmas “Līdzekļi neparedzētiem gadījumiem”” </w:t>
            </w:r>
            <w:r w:rsidRPr="00676E06">
              <w:t xml:space="preserve">piemaksu pie dīkstāves </w:t>
            </w:r>
            <w:r w:rsidR="00C01C49" w:rsidRPr="00676E06">
              <w:t xml:space="preserve">atbalsta </w:t>
            </w:r>
            <w:r w:rsidRPr="00676E06">
              <w:t>50 </w:t>
            </w:r>
            <w:proofErr w:type="spellStart"/>
            <w:r w:rsidR="00E43E3C" w:rsidRPr="00676E06">
              <w:rPr>
                <w:i/>
              </w:rPr>
              <w:t>euro</w:t>
            </w:r>
            <w:proofErr w:type="spellEnd"/>
            <w:r w:rsidRPr="00676E06">
              <w:t xml:space="preserve"> apmērā par katru apgādībā esošu bērnu vecumā līdz 24 gadiem, par kuru darbiniekam tiek piemērots iedzīvotāju ienākuma nodokļa atvieglojums, izmaksai jau ir piešķirts finansējums, nepārsniedzot 1 </w:t>
            </w:r>
            <w:r w:rsidR="00583ABD" w:rsidRPr="00676E06">
              <w:t>350</w:t>
            </w:r>
            <w:r w:rsidRPr="00676E06">
              <w:t xml:space="preserve"> 000 </w:t>
            </w:r>
            <w:proofErr w:type="spellStart"/>
            <w:r w:rsidR="00E43E3C" w:rsidRPr="00676E06">
              <w:rPr>
                <w:i/>
              </w:rPr>
              <w:t>euro</w:t>
            </w:r>
            <w:proofErr w:type="spellEnd"/>
            <w:r w:rsidR="00DC76AE" w:rsidRPr="00676E06">
              <w:t xml:space="preserve">, sākotnēji piešķirot 675 000 </w:t>
            </w:r>
            <w:proofErr w:type="spellStart"/>
            <w:r w:rsidR="00E43E3C" w:rsidRPr="00676E06">
              <w:rPr>
                <w:i/>
              </w:rPr>
              <w:t>euro</w:t>
            </w:r>
            <w:proofErr w:type="spellEnd"/>
            <w:r w:rsidR="00DC76AE" w:rsidRPr="00676E06">
              <w:t>.</w:t>
            </w:r>
          </w:p>
          <w:p w14:paraId="495407C0" w14:textId="57E4EC76" w:rsidR="001D7963" w:rsidRPr="00676E06" w:rsidRDefault="001D7963" w:rsidP="00583ABD">
            <w:pPr>
              <w:pStyle w:val="tv213"/>
              <w:tabs>
                <w:tab w:val="left" w:pos="709"/>
              </w:tabs>
              <w:spacing w:before="0" w:beforeAutospacing="0" w:after="120" w:afterAutospacing="0"/>
              <w:jc w:val="both"/>
              <w:rPr>
                <w:sz w:val="28"/>
                <w:szCs w:val="28"/>
              </w:rPr>
            </w:pPr>
            <w:r w:rsidRPr="00676E06">
              <w:t xml:space="preserve">Saskaņā ar Finanšu ministrijas 2021.gada 14.janvāra rīkojumu Nr.18 “Par līdzekļu piešķiršanu”, Labklājības ministrijai sākotnēji piešķirts finansējums 675 000 </w:t>
            </w:r>
            <w:proofErr w:type="spellStart"/>
            <w:r w:rsidR="00E43E3C" w:rsidRPr="00676E06">
              <w:rPr>
                <w:i/>
              </w:rPr>
              <w:t>euro</w:t>
            </w:r>
            <w:proofErr w:type="spellEnd"/>
            <w:r w:rsidRPr="00676E06">
              <w:t xml:space="preserve"> apmērā, kā arī saskaņā ar Finanšu ministrijas 2021.gada 9.februāra rīkojumu Nr. 78 “Par līdzekļu piešķiršanu”, Labklājības ministrijai piešķirta plānotā finansējuma otra daļa 675 000 </w:t>
            </w:r>
            <w:proofErr w:type="spellStart"/>
            <w:r w:rsidR="00E43E3C" w:rsidRPr="00676E06">
              <w:rPr>
                <w:i/>
              </w:rPr>
              <w:t>euro</w:t>
            </w:r>
            <w:proofErr w:type="spellEnd"/>
            <w:r w:rsidRPr="00676E06">
              <w:t xml:space="preserve"> apmērā, līdz ar to Labklājības ministrijai piešķirts viss plānotais finansējums saskaņā ar Ministru kabineta 2021.gada 11.janvāra rīkojumu Nr.15.</w:t>
            </w:r>
          </w:p>
          <w:p w14:paraId="0BBF9C2F" w14:textId="17FF4C2A" w:rsidR="001E50AE" w:rsidRPr="00676E06" w:rsidRDefault="003440B2" w:rsidP="00583ABD">
            <w:pPr>
              <w:pStyle w:val="NormalWeb"/>
              <w:spacing w:before="0" w:beforeAutospacing="0" w:after="120" w:afterAutospacing="0"/>
              <w:jc w:val="both"/>
              <w:rPr>
                <w:rFonts w:eastAsiaTheme="minorHAnsi"/>
                <w:bCs/>
                <w:iCs/>
                <w:lang w:eastAsia="en-US"/>
              </w:rPr>
            </w:pPr>
            <w:r w:rsidRPr="00676E06">
              <w:rPr>
                <w:rFonts w:eastAsiaTheme="minorHAnsi"/>
                <w:iCs/>
                <w:lang w:eastAsia="en-US"/>
              </w:rPr>
              <w:t xml:space="preserve">Atbilstoši </w:t>
            </w:r>
            <w:r w:rsidR="001E50AE" w:rsidRPr="00676E06">
              <w:rPr>
                <w:rFonts w:eastAsiaTheme="minorHAnsi"/>
                <w:bCs/>
                <w:iCs/>
                <w:lang w:eastAsia="en-US"/>
              </w:rPr>
              <w:t xml:space="preserve">Ministru kabineta </w:t>
            </w:r>
            <w:r w:rsidRPr="00676E06">
              <w:rPr>
                <w:rFonts w:eastAsiaTheme="minorHAnsi"/>
                <w:bCs/>
                <w:iCs/>
                <w:lang w:eastAsia="en-US"/>
              </w:rPr>
              <w:t xml:space="preserve">2021.gada 12.janvāra </w:t>
            </w:r>
            <w:r w:rsidR="001E50AE" w:rsidRPr="00676E06">
              <w:rPr>
                <w:rFonts w:eastAsiaTheme="minorHAnsi"/>
                <w:bCs/>
                <w:iCs/>
                <w:lang w:eastAsia="en-US"/>
              </w:rPr>
              <w:t>noteikumi</w:t>
            </w:r>
            <w:r w:rsidRPr="00676E06">
              <w:rPr>
                <w:rFonts w:eastAsiaTheme="minorHAnsi"/>
                <w:bCs/>
                <w:iCs/>
                <w:lang w:eastAsia="en-US"/>
              </w:rPr>
              <w:t>em</w:t>
            </w:r>
            <w:r w:rsidR="001E50AE" w:rsidRPr="00676E06">
              <w:rPr>
                <w:rFonts w:eastAsiaTheme="minorHAnsi"/>
                <w:bCs/>
                <w:iCs/>
                <w:lang w:eastAsia="en-US"/>
              </w:rPr>
              <w:t xml:space="preserve"> Nr. </w:t>
            </w:r>
            <w:r w:rsidRPr="00676E06">
              <w:rPr>
                <w:rFonts w:eastAsiaTheme="minorHAnsi"/>
                <w:bCs/>
                <w:iCs/>
                <w:lang w:eastAsia="en-US"/>
              </w:rPr>
              <w:t xml:space="preserve">29 “Grozījumi Ministru kabineta 2020. gada 24. novembra noteikumos Nr. 709 </w:t>
            </w:r>
            <w:r w:rsidR="001D7963" w:rsidRPr="00676E06">
              <w:rPr>
                <w:rFonts w:eastAsiaTheme="minorHAnsi"/>
                <w:bCs/>
                <w:iCs/>
                <w:lang w:eastAsia="en-US"/>
              </w:rPr>
              <w:t>”</w:t>
            </w:r>
            <w:hyperlink r:id="rId8" w:tgtFrame="_blank" w:history="1">
              <w:r w:rsidRPr="00676E06">
                <w:rPr>
                  <w:rStyle w:val="Hyperlink"/>
                  <w:rFonts w:eastAsiaTheme="minorHAnsi"/>
                  <w:bCs/>
                  <w:iCs/>
                  <w:color w:val="auto"/>
                  <w:u w:val="none"/>
                  <w:lang w:eastAsia="en-US"/>
                </w:rPr>
                <w:t>Noteikumi par atbalstu par dīkstāvi nodokļu maksātājiem to darbības turpināšanai Covid-19 izraisītās krīzes apstākļos</w:t>
              </w:r>
            </w:hyperlink>
            <w:r w:rsidR="001D7963" w:rsidRPr="00676E06">
              <w:rPr>
                <w:rFonts w:eastAsiaTheme="minorHAnsi"/>
                <w:bCs/>
                <w:iCs/>
                <w:lang w:eastAsia="en-US"/>
              </w:rPr>
              <w:t>”</w:t>
            </w:r>
            <w:r w:rsidRPr="00676E06">
              <w:rPr>
                <w:rFonts w:eastAsiaTheme="minorHAnsi"/>
                <w:bCs/>
                <w:iCs/>
                <w:lang w:eastAsia="en-US"/>
              </w:rPr>
              <w:t xml:space="preserve">” </w:t>
            </w:r>
            <w:r w:rsidRPr="00676E06">
              <w:rPr>
                <w:shd w:val="clear" w:color="auto" w:fill="FFFFFF" w:themeFill="background1"/>
              </w:rPr>
              <w:t>ir pagarināts dīkstāves atbalsta saņemšanas periods līdz 2021.gada 30.jūnijam</w:t>
            </w:r>
            <w:r w:rsidR="009C3DCD" w:rsidRPr="00676E06">
              <w:rPr>
                <w:shd w:val="clear" w:color="auto" w:fill="FFFFFF" w:themeFill="background1"/>
              </w:rPr>
              <w:t xml:space="preserve">, līdz ar to pagarinot arī </w:t>
            </w:r>
            <w:r w:rsidR="00DC76AE" w:rsidRPr="00676E06">
              <w:rPr>
                <w:shd w:val="clear" w:color="auto" w:fill="FFFFFF" w:themeFill="background1"/>
              </w:rPr>
              <w:t>periodu, par kādu tiks izmaksāta</w:t>
            </w:r>
            <w:r w:rsidR="00DC76AE" w:rsidRPr="00676E06">
              <w:t xml:space="preserve"> piemaksa pie dīkstāves </w:t>
            </w:r>
            <w:r w:rsidR="00C01C49" w:rsidRPr="00676E06">
              <w:t xml:space="preserve">atbalsta </w:t>
            </w:r>
            <w:r w:rsidR="00DC76AE" w:rsidRPr="00676E06">
              <w:t>50 </w:t>
            </w:r>
            <w:proofErr w:type="spellStart"/>
            <w:r w:rsidR="00E43E3C" w:rsidRPr="00676E06">
              <w:rPr>
                <w:i/>
              </w:rPr>
              <w:t>euro</w:t>
            </w:r>
            <w:proofErr w:type="spellEnd"/>
            <w:r w:rsidR="00DC76AE" w:rsidRPr="00676E06">
              <w:t xml:space="preserve"> apmērā par katru apgādībā esošu </w:t>
            </w:r>
            <w:r w:rsidR="00DC76AE" w:rsidRPr="00676E06">
              <w:lastRenderedPageBreak/>
              <w:t>bērnu vecumā līdz 24 gadiem, par kuru darbiniekam tiek piemērots iedzīvotāju ienākuma nodokļa atvieglojums</w:t>
            </w:r>
            <w:r w:rsidR="00F94BEC" w:rsidRPr="00676E06">
              <w:t>.</w:t>
            </w:r>
          </w:p>
          <w:p w14:paraId="36CFCFDB" w14:textId="798556A9" w:rsidR="00701622" w:rsidRPr="00676E06" w:rsidRDefault="00ED555D" w:rsidP="00583ABD">
            <w:pPr>
              <w:pStyle w:val="NormalWeb"/>
              <w:shd w:val="clear" w:color="auto" w:fill="FFFFFF"/>
              <w:spacing w:before="0" w:beforeAutospacing="0" w:after="120" w:afterAutospacing="0"/>
              <w:jc w:val="both"/>
            </w:pPr>
            <w:bookmarkStart w:id="1" w:name="p19"/>
            <w:bookmarkStart w:id="2" w:name="p-757799"/>
            <w:bookmarkEnd w:id="1"/>
            <w:bookmarkEnd w:id="2"/>
            <w:r w:rsidRPr="00676E06">
              <w:t xml:space="preserve">Atbilstoši faktiskajiem izpildes datiem uz 2021.gada </w:t>
            </w:r>
            <w:r w:rsidR="00EF18F7" w:rsidRPr="00676E06">
              <w:t>21</w:t>
            </w:r>
            <w:r w:rsidR="00583ABD" w:rsidRPr="00676E06">
              <w:t>.martu</w:t>
            </w:r>
            <w:r w:rsidRPr="00676E06">
              <w:t xml:space="preserve">, izdevumi </w:t>
            </w:r>
            <w:r w:rsidR="00DC76AE" w:rsidRPr="00676E06">
              <w:t>piemaksu</w:t>
            </w:r>
            <w:r w:rsidRPr="00676E06">
              <w:t xml:space="preserve"> izmaksai izlietoti </w:t>
            </w:r>
            <w:r w:rsidR="00EF18F7" w:rsidRPr="00676E06">
              <w:t xml:space="preserve">1 595 839 </w:t>
            </w:r>
            <w:proofErr w:type="spellStart"/>
            <w:r w:rsidR="00EF18F7" w:rsidRPr="00676E06">
              <w:rPr>
                <w:i/>
              </w:rPr>
              <w:t>euro</w:t>
            </w:r>
            <w:proofErr w:type="spellEnd"/>
            <w:r w:rsidRPr="00676E06">
              <w:rPr>
                <w:i/>
              </w:rPr>
              <w:t xml:space="preserve">, </w:t>
            </w:r>
            <w:r w:rsidRPr="00676E06">
              <w:t>kas ir</w:t>
            </w:r>
            <w:r w:rsidRPr="00676E06">
              <w:rPr>
                <w:i/>
              </w:rPr>
              <w:t xml:space="preserve"> </w:t>
            </w:r>
            <w:r w:rsidR="00727B8B" w:rsidRPr="00676E06">
              <w:t>118,2</w:t>
            </w:r>
            <w:r w:rsidR="00611D32" w:rsidRPr="00676E06">
              <w:t xml:space="preserve">% </w:t>
            </w:r>
            <w:r w:rsidRPr="00676E06">
              <w:t>no ar Ministru kabineta 2021.gada 1</w:t>
            </w:r>
            <w:r w:rsidR="008E381A" w:rsidRPr="00676E06">
              <w:t>1</w:t>
            </w:r>
            <w:r w:rsidRPr="00676E06">
              <w:t>.janvāra rīkojumu Nr.1</w:t>
            </w:r>
            <w:r w:rsidR="00DC76AE" w:rsidRPr="00676E06">
              <w:t>5</w:t>
            </w:r>
            <w:r w:rsidRPr="00676E06">
              <w:t xml:space="preserve"> </w:t>
            </w:r>
            <w:r w:rsidR="00DC76AE" w:rsidRPr="00676E06">
              <w:t xml:space="preserve">sākotnēji </w:t>
            </w:r>
            <w:r w:rsidRPr="00676E06">
              <w:t>piešķirtā finansējuma</w:t>
            </w:r>
            <w:r w:rsidR="00CF7FD9" w:rsidRPr="00676E06">
              <w:t>.</w:t>
            </w:r>
            <w:r w:rsidR="00DC76AE" w:rsidRPr="00676E06">
              <w:t xml:space="preserve"> </w:t>
            </w:r>
            <w:r w:rsidR="00701622" w:rsidRPr="00676E06">
              <w:t xml:space="preserve">Lai nodrošinātu piemaksas izmaksas nepārtrauktību, 245 839 </w:t>
            </w:r>
            <w:proofErr w:type="spellStart"/>
            <w:r w:rsidR="00701622" w:rsidRPr="00676E06">
              <w:rPr>
                <w:i/>
              </w:rPr>
              <w:t>euro</w:t>
            </w:r>
            <w:proofErr w:type="spellEnd"/>
            <w:r w:rsidR="00701622" w:rsidRPr="00676E06">
              <w:t xml:space="preserve"> ir veikti no Labklājības ministrijas pamatbudžeta apakšprogrammas 20.01.00 “Valsts sociālie pabalsti”.  Pēc apropriācijas palielināšanas faktiski veiktie izdevumi minētās apakšprogrammas </w:t>
            </w:r>
            <w:r w:rsidR="00786FCC" w:rsidRPr="00676E06">
              <w:t xml:space="preserve">ietvaros </w:t>
            </w:r>
            <w:r w:rsidR="00701622" w:rsidRPr="00676E06">
              <w:t>tiks atgriezti šajā apakšprogrammā.</w:t>
            </w:r>
          </w:p>
          <w:p w14:paraId="24E50C74" w14:textId="7098F3D9" w:rsidR="00ED555D" w:rsidRPr="00676E06" w:rsidRDefault="00DC76AE" w:rsidP="00583ABD">
            <w:pPr>
              <w:pStyle w:val="NormalWeb"/>
              <w:shd w:val="clear" w:color="auto" w:fill="FFFFFF"/>
              <w:spacing w:before="0" w:beforeAutospacing="0" w:after="120" w:afterAutospacing="0"/>
              <w:jc w:val="both"/>
            </w:pPr>
            <w:r w:rsidRPr="00676E06">
              <w:t>I</w:t>
            </w:r>
            <w:r w:rsidR="00ED555D" w:rsidRPr="00676E06">
              <w:t xml:space="preserve">evērojot </w:t>
            </w:r>
            <w:r w:rsidRPr="00676E06">
              <w:t>piemaksas</w:t>
            </w:r>
            <w:r w:rsidR="00ED555D" w:rsidRPr="00676E06">
              <w:t xml:space="preserve"> saņēmēju dinamiku 2020.gada beigās un uz 2021.gada </w:t>
            </w:r>
            <w:r w:rsidR="00CF7FD9" w:rsidRPr="00676E06">
              <w:t>14</w:t>
            </w:r>
            <w:r w:rsidR="00583ABD" w:rsidRPr="00676E06">
              <w:t>.martu</w:t>
            </w:r>
            <w:r w:rsidR="00ED555D" w:rsidRPr="00676E06">
              <w:t xml:space="preserve">, plānotais </w:t>
            </w:r>
            <w:r w:rsidRPr="00676E06">
              <w:t>piemaksu</w:t>
            </w:r>
            <w:r w:rsidR="00ED555D" w:rsidRPr="00676E06">
              <w:t xml:space="preserve"> saņēmēju skaits līdz 2021.gada </w:t>
            </w:r>
            <w:r w:rsidRPr="00676E06">
              <w:t>30.jūnijam</w:t>
            </w:r>
            <w:r w:rsidR="00ED555D" w:rsidRPr="00676E06">
              <w:t xml:space="preserve"> tiek prognozēts</w:t>
            </w:r>
            <w:r w:rsidR="008D5D4E" w:rsidRPr="00676E06">
              <w:t xml:space="preserve"> </w:t>
            </w:r>
            <w:r w:rsidR="00CF7FD9" w:rsidRPr="00676E06">
              <w:t>7 tūkst.</w:t>
            </w:r>
            <w:r w:rsidR="009E1DED" w:rsidRPr="00676E06">
              <w:t xml:space="preserve"> </w:t>
            </w:r>
            <w:r w:rsidR="00ED555D" w:rsidRPr="00676E06">
              <w:t>personas vidēji mēnesī</w:t>
            </w:r>
            <w:r w:rsidR="00CF7FD9" w:rsidRPr="00676E06">
              <w:t>, kuras saņems piemaksu par 10 032 bērniem vidēji mēnesī</w:t>
            </w:r>
            <w:r w:rsidR="00ED555D" w:rsidRPr="00676E06">
              <w:t>.</w:t>
            </w:r>
          </w:p>
          <w:p w14:paraId="021B79F0" w14:textId="5EDBA57C" w:rsidR="00DC76AE" w:rsidRPr="00676E06" w:rsidRDefault="00DC76AE" w:rsidP="00583ABD">
            <w:pPr>
              <w:shd w:val="clear" w:color="auto" w:fill="FFFFFF"/>
              <w:spacing w:after="120"/>
              <w:jc w:val="both"/>
            </w:pPr>
            <w:r w:rsidRPr="00676E06">
              <w:t>Līdz ar to, lai nodrošinātu piemaksas pie dīkstāves atbalsta izmaksu līdz 2021.gada 30.jūnijam ir izstrādāts projekts par papildu līdzekļu piešķiršanu Labklājības ministrijai piemaksu izmaksas turpināšanai.</w:t>
            </w:r>
          </w:p>
          <w:p w14:paraId="29FEE08A" w14:textId="02D49EFA" w:rsidR="00DC76AE" w:rsidRPr="00676E06" w:rsidRDefault="00DC76AE" w:rsidP="00583ABD">
            <w:pPr>
              <w:pStyle w:val="NormalWeb"/>
              <w:shd w:val="clear" w:color="auto" w:fill="FFFFFF"/>
              <w:spacing w:before="0" w:beforeAutospacing="0" w:after="120" w:afterAutospacing="0"/>
              <w:jc w:val="both"/>
              <w:rPr>
                <w:rFonts w:eastAsiaTheme="minorHAnsi"/>
              </w:rPr>
            </w:pPr>
            <w:r w:rsidRPr="00676E06">
              <w:t xml:space="preserve">Projekts paredz Finanšu ministrijai no 74. 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187676" w:rsidRPr="00676E06">
              <w:t xml:space="preserve">nepārsniedzot </w:t>
            </w:r>
            <w:r w:rsidR="00293B3D" w:rsidRPr="00676E06">
              <w:t xml:space="preserve">3 511 200 </w:t>
            </w:r>
            <w:proofErr w:type="spellStart"/>
            <w:r w:rsidR="00293B3D" w:rsidRPr="00676E06">
              <w:rPr>
                <w:i/>
              </w:rPr>
              <w:t>euro</w:t>
            </w:r>
            <w:proofErr w:type="spellEnd"/>
            <w:r w:rsidR="00187676" w:rsidRPr="00676E06">
              <w:t>,</w:t>
            </w:r>
            <w:r w:rsidR="00293B3D" w:rsidRPr="00676E06">
              <w:t xml:space="preserve"> t.i., par </w:t>
            </w:r>
            <w:r w:rsidR="00293B3D" w:rsidRPr="00676E06">
              <w:rPr>
                <w:iCs/>
              </w:rPr>
              <w:t xml:space="preserve">2 161 200 </w:t>
            </w:r>
            <w:proofErr w:type="spellStart"/>
            <w:r w:rsidR="00293B3D" w:rsidRPr="00676E06">
              <w:rPr>
                <w:bCs/>
                <w:i/>
              </w:rPr>
              <w:t>euro</w:t>
            </w:r>
            <w:proofErr w:type="spellEnd"/>
            <w:r w:rsidR="00293B3D" w:rsidRPr="00676E06">
              <w:rPr>
                <w:bCs/>
              </w:rPr>
              <w:t xml:space="preserve"> vairāk nekā apstiprināts </w:t>
            </w:r>
            <w:r w:rsidR="00293B3D" w:rsidRPr="00676E06">
              <w:t xml:space="preserve">ar MK 2021.gada 11.janvāra rīkojumu Nr.15, lai </w:t>
            </w:r>
            <w:r w:rsidRPr="00676E06">
              <w:rPr>
                <w:rFonts w:eastAsiaTheme="minorHAnsi"/>
              </w:rPr>
              <w:t xml:space="preserve">nodrošinātu </w:t>
            </w:r>
            <w:r w:rsidR="00221F1D" w:rsidRPr="00676E06">
              <w:t xml:space="preserve">piemaksas pie dīkstāves atbalsta </w:t>
            </w:r>
            <w:r w:rsidRPr="00676E06">
              <w:rPr>
                <w:rFonts w:eastAsiaTheme="minorHAnsi"/>
              </w:rPr>
              <w:t xml:space="preserve">izmaksu. </w:t>
            </w:r>
          </w:p>
          <w:p w14:paraId="5ED69A2F" w14:textId="6746295B" w:rsidR="008E20BE" w:rsidRPr="00676E06" w:rsidRDefault="008E20BE" w:rsidP="00583ABD">
            <w:pPr>
              <w:pStyle w:val="NormalWeb"/>
              <w:shd w:val="clear" w:color="auto" w:fill="FFFFFF"/>
              <w:spacing w:before="0" w:beforeAutospacing="0" w:after="120" w:afterAutospacing="0"/>
              <w:jc w:val="both"/>
              <w:rPr>
                <w:rFonts w:eastAsiaTheme="minorHAnsi"/>
                <w:iCs/>
                <w:lang w:eastAsia="en-US"/>
              </w:rPr>
            </w:pPr>
            <w:r w:rsidRPr="00676E06">
              <w:t xml:space="preserve">Projekts paredz </w:t>
            </w:r>
            <w:r w:rsidR="009D142F" w:rsidRPr="00676E06">
              <w:t xml:space="preserve">juridiskās skaidrības nodrošināšanai </w:t>
            </w:r>
            <w:r w:rsidRPr="00676E06">
              <w:t xml:space="preserve">izteikt </w:t>
            </w:r>
            <w:r w:rsidR="00BF0380" w:rsidRPr="00676E06">
              <w:rPr>
                <w:iCs/>
              </w:rPr>
              <w:t xml:space="preserve">Ministru kabineta </w:t>
            </w:r>
            <w:r w:rsidR="00BF0380" w:rsidRPr="00676E06">
              <w:rPr>
                <w:rFonts w:eastAsiaTheme="minorHAnsi"/>
                <w:iCs/>
                <w:lang w:eastAsia="en-US"/>
              </w:rPr>
              <w:t>2021.gada 11.janvāra rīkojumu Nr.15 “Par finanšu līdzekļu piešķiršanu no valsts budžeta programmas “Līdzekļi neparedzētiem gadījumiem”” 1.punktu jaunā redakcijā</w:t>
            </w:r>
            <w:r w:rsidR="009D142F" w:rsidRPr="00676E06">
              <w:rPr>
                <w:rFonts w:eastAsiaTheme="minorHAnsi"/>
                <w:iCs/>
                <w:lang w:eastAsia="en-US"/>
              </w:rPr>
              <w:t xml:space="preserve">, </w:t>
            </w:r>
            <w:r w:rsidR="002F5D99" w:rsidRPr="00676E06">
              <w:rPr>
                <w:rFonts w:eastAsiaTheme="minorHAnsi"/>
                <w:iCs/>
                <w:lang w:eastAsia="en-US"/>
              </w:rPr>
              <w:t xml:space="preserve">precizējot, ka finansējuma ietvaros nodrošināma piemaksa 50 </w:t>
            </w:r>
            <w:proofErr w:type="spellStart"/>
            <w:r w:rsidR="00E43E3C" w:rsidRPr="00676E06">
              <w:rPr>
                <w:rFonts w:eastAsiaTheme="minorHAnsi"/>
                <w:i/>
                <w:iCs/>
                <w:lang w:eastAsia="en-US"/>
              </w:rPr>
              <w:t>euro</w:t>
            </w:r>
            <w:proofErr w:type="spellEnd"/>
            <w:r w:rsidR="002F5D99" w:rsidRPr="00676E06">
              <w:rPr>
                <w:rFonts w:eastAsiaTheme="minorHAnsi"/>
                <w:iCs/>
                <w:lang w:eastAsia="en-US"/>
              </w:rPr>
              <w:t xml:space="preserve"> apmērā </w:t>
            </w:r>
            <w:r w:rsidR="002F5D99" w:rsidRPr="00676E06">
              <w:rPr>
                <w:shd w:val="clear" w:color="auto" w:fill="FFFFFF"/>
              </w:rPr>
              <w:t xml:space="preserve">pie dīkstāves </w:t>
            </w:r>
            <w:r w:rsidR="00C01C49" w:rsidRPr="00676E06">
              <w:rPr>
                <w:shd w:val="clear" w:color="auto" w:fill="FFFFFF"/>
              </w:rPr>
              <w:t>atbalsta</w:t>
            </w:r>
            <w:r w:rsidR="002F5D99" w:rsidRPr="00676E06">
              <w:rPr>
                <w:shd w:val="clear" w:color="auto" w:fill="FFFFFF"/>
              </w:rPr>
              <w:t xml:space="preserve"> par katru apgādībā esošu bērnu vecumā līdz 24 gadiem, par kuru darbiniekam, </w:t>
            </w:r>
            <w:proofErr w:type="spellStart"/>
            <w:r w:rsidR="002F5D99" w:rsidRPr="00676E06">
              <w:rPr>
                <w:shd w:val="clear" w:color="auto" w:fill="FFFFFF"/>
              </w:rPr>
              <w:t>pašnodarbinātai</w:t>
            </w:r>
            <w:proofErr w:type="spellEnd"/>
            <w:r w:rsidR="002F5D99" w:rsidRPr="00676E06">
              <w:rPr>
                <w:shd w:val="clear" w:color="auto" w:fill="FFFFFF"/>
              </w:rPr>
              <w:t xml:space="preserve"> personai, </w:t>
            </w:r>
            <w:proofErr w:type="spellStart"/>
            <w:r w:rsidR="002F5D99" w:rsidRPr="00676E06">
              <w:rPr>
                <w:shd w:val="clear" w:color="auto" w:fill="FFFFFF"/>
              </w:rPr>
              <w:t>patentmaksātājam</w:t>
            </w:r>
            <w:proofErr w:type="spellEnd"/>
            <w:r w:rsidR="002F5D99" w:rsidRPr="00676E06">
              <w:rPr>
                <w:shd w:val="clear" w:color="auto" w:fill="FFFFFF"/>
              </w:rPr>
              <w:t xml:space="preserve"> tiek piemērots iedzīvotāju ienākuma nodokļa atvieglojums (līdz šim rīkojumā bija norādīts tikai darbinieks). </w:t>
            </w:r>
          </w:p>
        </w:tc>
      </w:tr>
      <w:tr w:rsidR="00676E06" w:rsidRPr="00676E06" w14:paraId="78E6C159" w14:textId="77777777" w:rsidTr="00A96852">
        <w:tc>
          <w:tcPr>
            <w:tcW w:w="568" w:type="dxa"/>
          </w:tcPr>
          <w:p w14:paraId="322A9867" w14:textId="77777777" w:rsidR="00130487" w:rsidRPr="00676E06" w:rsidRDefault="00130487" w:rsidP="00130487">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lastRenderedPageBreak/>
              <w:t>3.</w:t>
            </w:r>
          </w:p>
        </w:tc>
        <w:tc>
          <w:tcPr>
            <w:tcW w:w="2409" w:type="dxa"/>
          </w:tcPr>
          <w:p w14:paraId="2725859B" w14:textId="77777777" w:rsidR="00130487" w:rsidRPr="00676E06" w:rsidRDefault="00130487" w:rsidP="00130487">
            <w:pPr>
              <w:pStyle w:val="NoSpacing"/>
              <w:jc w:val="both"/>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Projekta izstrādē iesaistītās institūcijas un publiskas personas kapitālsabiedrības</w:t>
            </w:r>
          </w:p>
        </w:tc>
        <w:tc>
          <w:tcPr>
            <w:tcW w:w="6239" w:type="dxa"/>
          </w:tcPr>
          <w:p w14:paraId="65834B25" w14:textId="6373D966" w:rsidR="00130487" w:rsidRPr="00676E06" w:rsidRDefault="00182F19" w:rsidP="006335C0">
            <w:pPr>
              <w:pStyle w:val="NoSpacing"/>
              <w:jc w:val="both"/>
              <w:rPr>
                <w:rFonts w:ascii="Times New Roman" w:hAnsi="Times New Roman" w:cs="Times New Roman"/>
                <w:sz w:val="24"/>
                <w:szCs w:val="24"/>
                <w:lang w:eastAsia="lv-LV"/>
              </w:rPr>
            </w:pPr>
            <w:r w:rsidRPr="00676E06">
              <w:rPr>
                <w:rFonts w:ascii="Times New Roman" w:eastAsia="Times New Roman" w:hAnsi="Times New Roman" w:cs="Times New Roman"/>
                <w:iCs/>
                <w:sz w:val="24"/>
                <w:szCs w:val="24"/>
                <w:lang w:eastAsia="lv-LV"/>
              </w:rPr>
              <w:t>LM, VSAA</w:t>
            </w:r>
          </w:p>
        </w:tc>
      </w:tr>
      <w:tr w:rsidR="00676E06" w:rsidRPr="00676E06" w14:paraId="760CA46E" w14:textId="77777777" w:rsidTr="00A96852">
        <w:tc>
          <w:tcPr>
            <w:tcW w:w="568" w:type="dxa"/>
          </w:tcPr>
          <w:p w14:paraId="47947DA6" w14:textId="77777777" w:rsidR="00130487" w:rsidRPr="00676E06" w:rsidRDefault="00130487" w:rsidP="00130487">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4.</w:t>
            </w:r>
          </w:p>
        </w:tc>
        <w:tc>
          <w:tcPr>
            <w:tcW w:w="2409" w:type="dxa"/>
          </w:tcPr>
          <w:p w14:paraId="26A52F22" w14:textId="77777777" w:rsidR="00130487" w:rsidRPr="00676E06" w:rsidRDefault="00130487" w:rsidP="00130487">
            <w:pPr>
              <w:pStyle w:val="NoSpacing"/>
              <w:jc w:val="both"/>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Cita informācija</w:t>
            </w:r>
          </w:p>
        </w:tc>
        <w:tc>
          <w:tcPr>
            <w:tcW w:w="6239" w:type="dxa"/>
          </w:tcPr>
          <w:p w14:paraId="2A0DFF6C" w14:textId="6EE0E914" w:rsidR="00DF2BB9" w:rsidRPr="00676E06" w:rsidRDefault="006335C0" w:rsidP="006335C0">
            <w:pPr>
              <w:pStyle w:val="NoSpacing"/>
              <w:jc w:val="both"/>
              <w:rPr>
                <w:rFonts w:ascii="Times New Roman" w:hAnsi="Times New Roman" w:cs="Times New Roman"/>
                <w:sz w:val="24"/>
                <w:szCs w:val="24"/>
                <w:lang w:eastAsia="lv-LV"/>
              </w:rPr>
            </w:pPr>
            <w:r w:rsidRPr="00676E06">
              <w:rPr>
                <w:rFonts w:ascii="Times New Roman" w:hAnsi="Times New Roman" w:cs="Times New Roman"/>
                <w:sz w:val="24"/>
                <w:szCs w:val="24"/>
                <w:lang w:eastAsia="lv-LV"/>
              </w:rPr>
              <w:t>Nav</w:t>
            </w:r>
            <w:r w:rsidR="00000931" w:rsidRPr="00676E06">
              <w:rPr>
                <w:rFonts w:ascii="Times New Roman" w:hAnsi="Times New Roman" w:cs="Times New Roman"/>
                <w:sz w:val="24"/>
                <w:szCs w:val="24"/>
                <w:lang w:eastAsia="lv-LV"/>
              </w:rPr>
              <w:t>.</w:t>
            </w:r>
          </w:p>
          <w:p w14:paraId="42665988" w14:textId="77777777" w:rsidR="00130487" w:rsidRPr="00676E06" w:rsidRDefault="00130487" w:rsidP="00DF2BB9"/>
        </w:tc>
      </w:tr>
    </w:tbl>
    <w:p w14:paraId="5E0CF3C4" w14:textId="41237F06" w:rsidR="00EC6E12" w:rsidRPr="00676E06" w:rsidRDefault="00EC6E12" w:rsidP="00EC6E12">
      <w:pPr>
        <w:pStyle w:val="NoSpacing"/>
        <w:jc w:val="center"/>
        <w:rPr>
          <w:rFonts w:ascii="Times New Roman" w:hAnsi="Times New Roman" w:cs="Times New Roman"/>
          <w:sz w:val="24"/>
          <w:szCs w:val="24"/>
          <w:lang w:eastAsia="lv-LV"/>
        </w:rPr>
      </w:pPr>
    </w:p>
    <w:p w14:paraId="09CCCF17" w14:textId="77777777" w:rsidR="00D63CA8" w:rsidRPr="00676E06" w:rsidRDefault="00D63CA8"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58"/>
        <w:gridCol w:w="2144"/>
        <w:gridCol w:w="6011"/>
      </w:tblGrid>
      <w:tr w:rsidR="00676E06" w:rsidRPr="00676E06" w14:paraId="6C588299" w14:textId="77777777" w:rsidTr="00A6642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676E06" w:rsidRDefault="00462D25" w:rsidP="00462D25">
            <w:pPr>
              <w:pStyle w:val="NoSpacing"/>
              <w:jc w:val="both"/>
              <w:rPr>
                <w:rFonts w:ascii="Times New Roman" w:hAnsi="Times New Roman" w:cs="Times New Roman"/>
                <w:b/>
                <w:sz w:val="24"/>
                <w:szCs w:val="24"/>
              </w:rPr>
            </w:pPr>
            <w:r w:rsidRPr="00676E06">
              <w:rPr>
                <w:rFonts w:ascii="Times New Roman" w:hAnsi="Times New Roman" w:cs="Times New Roman"/>
                <w:b/>
                <w:sz w:val="24"/>
                <w:szCs w:val="24"/>
              </w:rPr>
              <w:lastRenderedPageBreak/>
              <w:t>II. Tiesību akta projekta ietekme uz sabiedrību, tautsaimniecības attīstību un administratīvo slogu</w:t>
            </w:r>
          </w:p>
        </w:tc>
      </w:tr>
      <w:tr w:rsidR="00676E06" w:rsidRPr="00676E06" w14:paraId="654DA3E1" w14:textId="77777777" w:rsidTr="00A9685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971B59"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1.</w:t>
            </w:r>
          </w:p>
        </w:tc>
        <w:tc>
          <w:tcPr>
            <w:tcW w:w="1226"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Sabiedrības mērķgrupas, kuras tiesiskais regulējums ietekmē vai varētu ietekmēt</w:t>
            </w:r>
          </w:p>
        </w:tc>
        <w:tc>
          <w:tcPr>
            <w:tcW w:w="3414" w:type="pct"/>
            <w:tcBorders>
              <w:top w:val="outset" w:sz="6" w:space="0" w:color="auto"/>
              <w:left w:val="outset" w:sz="6" w:space="0" w:color="auto"/>
              <w:bottom w:val="outset" w:sz="6" w:space="0" w:color="auto"/>
              <w:right w:val="outset" w:sz="6" w:space="0" w:color="auto"/>
            </w:tcBorders>
            <w:hideMark/>
          </w:tcPr>
          <w:p w14:paraId="2472DB23" w14:textId="2D15F188" w:rsidR="00462D25" w:rsidRPr="00676E06" w:rsidRDefault="003027A9" w:rsidP="00C62EB6">
            <w:pPr>
              <w:pStyle w:val="NoSpacing"/>
              <w:jc w:val="both"/>
              <w:rPr>
                <w:rFonts w:ascii="Times New Roman" w:hAnsi="Times New Roman" w:cs="Times New Roman"/>
                <w:sz w:val="24"/>
                <w:szCs w:val="24"/>
              </w:rPr>
            </w:pPr>
            <w:r w:rsidRPr="00676E06">
              <w:rPr>
                <w:rFonts w:ascii="Times New Roman" w:hAnsi="Times New Roman" w:cs="Times New Roman"/>
                <w:sz w:val="24"/>
                <w:szCs w:val="24"/>
              </w:rPr>
              <w:t>Darbinieki</w:t>
            </w:r>
            <w:r w:rsidR="009D142F" w:rsidRPr="00676E06">
              <w:rPr>
                <w:rFonts w:ascii="Times New Roman" w:hAnsi="Times New Roman" w:cs="Times New Roman"/>
                <w:sz w:val="24"/>
                <w:szCs w:val="24"/>
              </w:rPr>
              <w:t>,</w:t>
            </w:r>
            <w:r w:rsidR="00D63CA8" w:rsidRPr="00676E06">
              <w:rPr>
                <w:rFonts w:ascii="Times New Roman" w:hAnsi="Times New Roman" w:cs="Times New Roman"/>
                <w:sz w:val="24"/>
                <w:szCs w:val="24"/>
              </w:rPr>
              <w:t xml:space="preserve"> </w:t>
            </w:r>
            <w:proofErr w:type="spellStart"/>
            <w:r w:rsidR="004D5CCE" w:rsidRPr="00676E06">
              <w:rPr>
                <w:rFonts w:ascii="Times New Roman" w:hAnsi="Times New Roman" w:cs="Times New Roman"/>
                <w:sz w:val="24"/>
                <w:szCs w:val="24"/>
              </w:rPr>
              <w:t>pašnodarbinātās</w:t>
            </w:r>
            <w:proofErr w:type="spellEnd"/>
            <w:r w:rsidR="004D5CCE" w:rsidRPr="00676E06">
              <w:rPr>
                <w:rFonts w:ascii="Times New Roman" w:hAnsi="Times New Roman" w:cs="Times New Roman"/>
                <w:sz w:val="24"/>
                <w:szCs w:val="24"/>
              </w:rPr>
              <w:t xml:space="preserve"> personas</w:t>
            </w:r>
            <w:r w:rsidR="009D142F" w:rsidRPr="00676E06">
              <w:rPr>
                <w:rFonts w:ascii="Times New Roman" w:hAnsi="Times New Roman" w:cs="Times New Roman"/>
                <w:sz w:val="24"/>
                <w:szCs w:val="24"/>
              </w:rPr>
              <w:t xml:space="preserve"> un </w:t>
            </w:r>
            <w:proofErr w:type="spellStart"/>
            <w:r w:rsidR="009D142F" w:rsidRPr="00676E06">
              <w:rPr>
                <w:rFonts w:ascii="Times New Roman" w:hAnsi="Times New Roman" w:cs="Times New Roman"/>
                <w:sz w:val="24"/>
                <w:szCs w:val="24"/>
              </w:rPr>
              <w:t>patentmaksātāji</w:t>
            </w:r>
            <w:proofErr w:type="spellEnd"/>
            <w:r w:rsidRPr="00676E06">
              <w:rPr>
                <w:rFonts w:ascii="Times New Roman" w:hAnsi="Times New Roman" w:cs="Times New Roman"/>
                <w:sz w:val="24"/>
                <w:szCs w:val="24"/>
              </w:rPr>
              <w:t>, kur</w:t>
            </w:r>
            <w:r w:rsidR="009D142F" w:rsidRPr="00676E06">
              <w:rPr>
                <w:rFonts w:ascii="Times New Roman" w:hAnsi="Times New Roman" w:cs="Times New Roman"/>
                <w:sz w:val="24"/>
                <w:szCs w:val="24"/>
              </w:rPr>
              <w:t>i</w:t>
            </w:r>
            <w:r w:rsidRPr="00676E06">
              <w:rPr>
                <w:rFonts w:ascii="Times New Roman" w:hAnsi="Times New Roman" w:cs="Times New Roman"/>
                <w:sz w:val="24"/>
                <w:szCs w:val="24"/>
              </w:rPr>
              <w:t xml:space="preserve"> saņem dīkstāves atbalstu un kuru </w:t>
            </w:r>
            <w:r w:rsidRPr="00676E06">
              <w:rPr>
                <w:rFonts w:ascii="Times New Roman" w:hAnsi="Times New Roman" w:cs="Times New Roman"/>
                <w:sz w:val="24"/>
                <w:szCs w:val="24"/>
                <w:shd w:val="clear" w:color="auto" w:fill="FFFFFF"/>
              </w:rPr>
              <w:t>apgādībā ir  bērni vecumā līdz 24 gadiem, par kuriem tiek piemērots iedzīvotāju ienākuma nodokļa atvieglojums.</w:t>
            </w:r>
          </w:p>
        </w:tc>
      </w:tr>
      <w:tr w:rsidR="00676E06" w:rsidRPr="00676E06" w14:paraId="423D8D0D"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2.</w:t>
            </w:r>
          </w:p>
        </w:tc>
        <w:tc>
          <w:tcPr>
            <w:tcW w:w="1209" w:type="pct"/>
            <w:tcBorders>
              <w:top w:val="outset" w:sz="6" w:space="0" w:color="auto"/>
              <w:left w:val="outset" w:sz="6" w:space="0" w:color="auto"/>
              <w:bottom w:val="outset" w:sz="6" w:space="0" w:color="auto"/>
              <w:right w:val="outset" w:sz="6" w:space="0" w:color="auto"/>
            </w:tcBorders>
            <w:hideMark/>
          </w:tcPr>
          <w:p w14:paraId="61F8ACB9"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Tiesiskā regulējuma ietekme uz tautsaimniecību un administratīvo slogu</w:t>
            </w:r>
          </w:p>
        </w:tc>
        <w:tc>
          <w:tcPr>
            <w:tcW w:w="3414" w:type="pct"/>
            <w:tcBorders>
              <w:top w:val="outset" w:sz="6" w:space="0" w:color="auto"/>
              <w:left w:val="outset" w:sz="6" w:space="0" w:color="auto"/>
              <w:bottom w:val="outset" w:sz="6" w:space="0" w:color="auto"/>
              <w:right w:val="outset" w:sz="6" w:space="0" w:color="auto"/>
            </w:tcBorders>
            <w:hideMark/>
          </w:tcPr>
          <w:p w14:paraId="1C071771"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Projektam nebūs būtiska ietekme uz tautsaimniecību, kā arī uz kopējo administratīvo slogu.</w:t>
            </w:r>
          </w:p>
          <w:p w14:paraId="571B028C" w14:textId="77777777" w:rsidR="00462D25" w:rsidRPr="00676E06" w:rsidRDefault="00462D25" w:rsidP="00462D25">
            <w:pPr>
              <w:pStyle w:val="NoSpacing"/>
              <w:rPr>
                <w:rFonts w:ascii="Times New Roman" w:hAnsi="Times New Roman" w:cs="Times New Roman"/>
                <w:sz w:val="24"/>
                <w:szCs w:val="24"/>
              </w:rPr>
            </w:pPr>
          </w:p>
        </w:tc>
      </w:tr>
      <w:tr w:rsidR="00676E06" w:rsidRPr="00676E06" w14:paraId="1D04C4DB"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3.</w:t>
            </w:r>
          </w:p>
        </w:tc>
        <w:tc>
          <w:tcPr>
            <w:tcW w:w="1209" w:type="pct"/>
            <w:tcBorders>
              <w:top w:val="outset" w:sz="6" w:space="0" w:color="auto"/>
              <w:left w:val="outset" w:sz="6" w:space="0" w:color="auto"/>
              <w:bottom w:val="outset" w:sz="6" w:space="0" w:color="auto"/>
              <w:right w:val="outset" w:sz="6" w:space="0" w:color="auto"/>
            </w:tcBorders>
            <w:hideMark/>
          </w:tcPr>
          <w:p w14:paraId="4703A4D2"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Administratīvo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71D6F8A2"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Projektam nebūs papildu administratīvās izmaksas.</w:t>
            </w:r>
          </w:p>
          <w:p w14:paraId="5F0D51B7" w14:textId="77777777" w:rsidR="00462D25" w:rsidRPr="00676E06" w:rsidRDefault="00462D25" w:rsidP="00462D25">
            <w:pPr>
              <w:pStyle w:val="NoSpacing"/>
              <w:rPr>
                <w:rFonts w:ascii="Times New Roman" w:hAnsi="Times New Roman" w:cs="Times New Roman"/>
                <w:sz w:val="24"/>
                <w:szCs w:val="24"/>
              </w:rPr>
            </w:pPr>
          </w:p>
        </w:tc>
      </w:tr>
      <w:tr w:rsidR="00676E06" w:rsidRPr="00676E06" w14:paraId="07958EFE"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4.</w:t>
            </w:r>
          </w:p>
        </w:tc>
        <w:tc>
          <w:tcPr>
            <w:tcW w:w="1209" w:type="pct"/>
            <w:tcBorders>
              <w:top w:val="outset" w:sz="6" w:space="0" w:color="auto"/>
              <w:left w:val="outset" w:sz="6" w:space="0" w:color="auto"/>
              <w:bottom w:val="outset" w:sz="6" w:space="0" w:color="auto"/>
              <w:right w:val="outset" w:sz="6" w:space="0" w:color="auto"/>
            </w:tcBorders>
            <w:hideMark/>
          </w:tcPr>
          <w:p w14:paraId="4773ACAC"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Atbilstības izmaksu monetārs novērtējums</w:t>
            </w:r>
          </w:p>
        </w:tc>
        <w:tc>
          <w:tcPr>
            <w:tcW w:w="3414" w:type="pct"/>
            <w:tcBorders>
              <w:top w:val="outset" w:sz="6" w:space="0" w:color="auto"/>
              <w:left w:val="outset" w:sz="6" w:space="0" w:color="auto"/>
              <w:bottom w:val="outset" w:sz="6" w:space="0" w:color="auto"/>
              <w:right w:val="outset" w:sz="6" w:space="0" w:color="auto"/>
            </w:tcBorders>
            <w:hideMark/>
          </w:tcPr>
          <w:p w14:paraId="3BB41BA6"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 xml:space="preserve">Projektā noteiktās izmaiņas neuzliek papildus pienākumus fiziskām vai juridiskām personām. </w:t>
            </w:r>
          </w:p>
        </w:tc>
      </w:tr>
      <w:tr w:rsidR="00502B81" w:rsidRPr="00676E06" w14:paraId="2FB8C7B0" w14:textId="77777777" w:rsidTr="00A96852">
        <w:trPr>
          <w:tblCellSpacing w:w="15" w:type="dxa"/>
        </w:trPr>
        <w:tc>
          <w:tcPr>
            <w:tcW w:w="310"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5.</w:t>
            </w:r>
          </w:p>
        </w:tc>
        <w:tc>
          <w:tcPr>
            <w:tcW w:w="1209" w:type="pct"/>
            <w:tcBorders>
              <w:top w:val="outset" w:sz="6" w:space="0" w:color="auto"/>
              <w:left w:val="outset" w:sz="6" w:space="0" w:color="auto"/>
              <w:bottom w:val="outset" w:sz="6" w:space="0" w:color="auto"/>
              <w:right w:val="outset" w:sz="6" w:space="0" w:color="auto"/>
            </w:tcBorders>
            <w:hideMark/>
          </w:tcPr>
          <w:p w14:paraId="558CCF65"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15FD4124" w14:textId="77777777" w:rsidR="00462D25" w:rsidRPr="00676E06" w:rsidRDefault="00462D25" w:rsidP="00462D25">
            <w:pPr>
              <w:pStyle w:val="NoSpacing"/>
              <w:rPr>
                <w:rFonts w:ascii="Times New Roman" w:hAnsi="Times New Roman" w:cs="Times New Roman"/>
                <w:sz w:val="24"/>
                <w:szCs w:val="24"/>
              </w:rPr>
            </w:pPr>
            <w:r w:rsidRPr="00676E06">
              <w:rPr>
                <w:rFonts w:ascii="Times New Roman" w:hAnsi="Times New Roman" w:cs="Times New Roman"/>
                <w:sz w:val="24"/>
                <w:szCs w:val="24"/>
              </w:rPr>
              <w:t>Nav</w:t>
            </w:r>
          </w:p>
        </w:tc>
      </w:tr>
    </w:tbl>
    <w:p w14:paraId="0FCCFF12" w14:textId="7BC97F38" w:rsidR="009B5D17" w:rsidRPr="00676E06" w:rsidRDefault="009B5D17" w:rsidP="00EC6E12">
      <w:pPr>
        <w:pStyle w:val="NoSpacing"/>
        <w:jc w:val="center"/>
        <w:rPr>
          <w:rFonts w:ascii="Times New Roman" w:hAnsi="Times New Roman" w:cs="Times New Roman"/>
          <w:sz w:val="24"/>
          <w:szCs w:val="24"/>
          <w:lang w:eastAsia="lv-LV"/>
        </w:rPr>
      </w:pPr>
    </w:p>
    <w:tbl>
      <w:tblPr>
        <w:tblpPr w:leftFromText="180" w:rightFromText="180" w:vertAnchor="text" w:tblpX="-459" w:tblpY="1"/>
        <w:tblOverlap w:val="never"/>
        <w:tblW w:w="10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88"/>
        <w:gridCol w:w="1454"/>
        <w:gridCol w:w="1161"/>
        <w:gridCol w:w="1218"/>
        <w:gridCol w:w="1020"/>
        <w:gridCol w:w="1105"/>
        <w:gridCol w:w="1318"/>
        <w:gridCol w:w="6"/>
      </w:tblGrid>
      <w:tr w:rsidR="00676E06" w:rsidRPr="00676E06" w14:paraId="686B08F3" w14:textId="77777777" w:rsidTr="00611D32">
        <w:tc>
          <w:tcPr>
            <w:tcW w:w="10248" w:type="dxa"/>
            <w:gridSpan w:val="9"/>
            <w:tcBorders>
              <w:top w:val="single" w:sz="4" w:space="0" w:color="auto"/>
              <w:left w:val="single" w:sz="4" w:space="0" w:color="auto"/>
              <w:bottom w:val="single" w:sz="4" w:space="0" w:color="auto"/>
              <w:right w:val="single" w:sz="4" w:space="0" w:color="auto"/>
            </w:tcBorders>
            <w:shd w:val="clear" w:color="auto" w:fill="auto"/>
          </w:tcPr>
          <w:p w14:paraId="226DC6A9" w14:textId="77777777" w:rsidR="007252DF" w:rsidRPr="00676E06" w:rsidRDefault="007252DF" w:rsidP="0022691D">
            <w:pPr>
              <w:pStyle w:val="ListParagraph"/>
              <w:tabs>
                <w:tab w:val="left" w:pos="317"/>
              </w:tabs>
              <w:ind w:left="0"/>
              <w:jc w:val="center"/>
              <w:rPr>
                <w:b/>
                <w:bCs/>
                <w:sz w:val="26"/>
                <w:szCs w:val="26"/>
                <w:lang w:eastAsia="ja-JP"/>
              </w:rPr>
            </w:pPr>
            <w:r w:rsidRPr="00676E06">
              <w:rPr>
                <w:b/>
                <w:bCs/>
                <w:sz w:val="26"/>
                <w:szCs w:val="26"/>
                <w:lang w:eastAsia="ja-JP"/>
              </w:rPr>
              <w:t>III. Tiesību akta projekta ietekme uz valsts budžetu un pašvaldību budžetiem</w:t>
            </w:r>
          </w:p>
        </w:tc>
      </w:tr>
      <w:tr w:rsidR="00676E06" w:rsidRPr="00676E06" w14:paraId="04C01D22" w14:textId="77777777" w:rsidTr="00611D32">
        <w:tc>
          <w:tcPr>
            <w:tcW w:w="1578" w:type="dxa"/>
            <w:vMerge w:val="restart"/>
            <w:tcBorders>
              <w:top w:val="single" w:sz="4" w:space="0" w:color="auto"/>
              <w:left w:val="single" w:sz="4" w:space="0" w:color="auto"/>
              <w:right w:val="single" w:sz="4" w:space="0" w:color="auto"/>
            </w:tcBorders>
            <w:shd w:val="clear" w:color="auto" w:fill="auto"/>
          </w:tcPr>
          <w:p w14:paraId="6D433E06" w14:textId="77777777" w:rsidR="007252DF" w:rsidRPr="00676E06" w:rsidRDefault="007252DF" w:rsidP="0022691D">
            <w:pPr>
              <w:jc w:val="center"/>
              <w:rPr>
                <w:b/>
                <w:bCs/>
                <w:sz w:val="22"/>
                <w:szCs w:val="22"/>
                <w:lang w:eastAsia="ja-JP"/>
              </w:rPr>
            </w:pPr>
          </w:p>
          <w:p w14:paraId="47AF4DA9" w14:textId="77777777" w:rsidR="007252DF" w:rsidRPr="00676E06" w:rsidRDefault="007252DF" w:rsidP="0022691D">
            <w:pPr>
              <w:jc w:val="center"/>
              <w:rPr>
                <w:b/>
                <w:bCs/>
                <w:sz w:val="22"/>
                <w:szCs w:val="22"/>
                <w:lang w:eastAsia="ja-JP"/>
              </w:rPr>
            </w:pPr>
          </w:p>
          <w:p w14:paraId="2B433260" w14:textId="77777777" w:rsidR="007252DF" w:rsidRPr="00676E06" w:rsidRDefault="007252DF" w:rsidP="0022691D">
            <w:pPr>
              <w:jc w:val="center"/>
              <w:rPr>
                <w:b/>
                <w:bCs/>
                <w:sz w:val="22"/>
                <w:szCs w:val="22"/>
                <w:lang w:eastAsia="ja-JP"/>
              </w:rPr>
            </w:pPr>
          </w:p>
          <w:p w14:paraId="4BF04884" w14:textId="77777777" w:rsidR="007252DF" w:rsidRPr="00676E06" w:rsidRDefault="007252DF" w:rsidP="0022691D">
            <w:pPr>
              <w:jc w:val="center"/>
              <w:rPr>
                <w:b/>
                <w:bCs/>
                <w:sz w:val="22"/>
                <w:szCs w:val="22"/>
                <w:lang w:eastAsia="ja-JP"/>
              </w:rPr>
            </w:pPr>
          </w:p>
          <w:p w14:paraId="5C1AE045" w14:textId="77777777" w:rsidR="007252DF" w:rsidRPr="00676E06" w:rsidRDefault="007252DF" w:rsidP="0022691D">
            <w:pPr>
              <w:jc w:val="center"/>
              <w:rPr>
                <w:b/>
                <w:bCs/>
                <w:sz w:val="22"/>
                <w:szCs w:val="22"/>
                <w:lang w:eastAsia="ja-JP"/>
              </w:rPr>
            </w:pPr>
          </w:p>
          <w:p w14:paraId="0E1A9BA0" w14:textId="77777777" w:rsidR="007252DF" w:rsidRPr="00676E06" w:rsidRDefault="007252DF" w:rsidP="0022691D">
            <w:pPr>
              <w:jc w:val="center"/>
              <w:rPr>
                <w:sz w:val="22"/>
                <w:szCs w:val="22"/>
              </w:rPr>
            </w:pPr>
            <w:r w:rsidRPr="00676E06">
              <w:rPr>
                <w:b/>
                <w:bCs/>
                <w:sz w:val="22"/>
                <w:szCs w:val="22"/>
                <w:lang w:eastAsia="ja-JP"/>
              </w:rPr>
              <w:t>Rādītāji</w:t>
            </w:r>
          </w:p>
        </w:tc>
        <w:tc>
          <w:tcPr>
            <w:tcW w:w="2842" w:type="dxa"/>
            <w:gridSpan w:val="2"/>
            <w:vMerge w:val="restart"/>
            <w:tcBorders>
              <w:top w:val="single" w:sz="4" w:space="0" w:color="auto"/>
              <w:left w:val="single" w:sz="4" w:space="0" w:color="auto"/>
              <w:right w:val="single" w:sz="4" w:space="0" w:color="auto"/>
            </w:tcBorders>
            <w:shd w:val="clear" w:color="auto" w:fill="auto"/>
          </w:tcPr>
          <w:p w14:paraId="2DD0F376" w14:textId="41479D1C" w:rsidR="007252DF" w:rsidRPr="00676E06" w:rsidRDefault="007252DF" w:rsidP="0022691D">
            <w:pPr>
              <w:pStyle w:val="ListParagraph"/>
              <w:tabs>
                <w:tab w:val="left" w:pos="317"/>
              </w:tabs>
              <w:ind w:left="34"/>
              <w:jc w:val="center"/>
              <w:rPr>
                <w:bCs/>
                <w:sz w:val="22"/>
                <w:szCs w:val="22"/>
              </w:rPr>
            </w:pPr>
            <w:r w:rsidRPr="00676E06">
              <w:rPr>
                <w:b/>
                <w:bCs/>
                <w:sz w:val="22"/>
                <w:szCs w:val="22"/>
                <w:lang w:eastAsia="ja-JP"/>
              </w:rPr>
              <w:t>202</w:t>
            </w:r>
            <w:r w:rsidR="005A770B" w:rsidRPr="00676E06">
              <w:rPr>
                <w:b/>
                <w:bCs/>
                <w:sz w:val="22"/>
                <w:szCs w:val="22"/>
                <w:lang w:eastAsia="ja-JP"/>
              </w:rPr>
              <w:t>1</w:t>
            </w:r>
            <w:r w:rsidRPr="00676E06">
              <w:rPr>
                <w:b/>
                <w:bCs/>
                <w:sz w:val="22"/>
                <w:szCs w:val="22"/>
                <w:lang w:eastAsia="ja-JP"/>
              </w:rPr>
              <w:t>.gads</w:t>
            </w:r>
          </w:p>
        </w:tc>
        <w:tc>
          <w:tcPr>
            <w:tcW w:w="5828" w:type="dxa"/>
            <w:gridSpan w:val="6"/>
            <w:tcBorders>
              <w:top w:val="single" w:sz="4" w:space="0" w:color="auto"/>
              <w:left w:val="single" w:sz="4" w:space="0" w:color="auto"/>
              <w:right w:val="single" w:sz="4" w:space="0" w:color="auto"/>
            </w:tcBorders>
            <w:shd w:val="clear" w:color="auto" w:fill="auto"/>
          </w:tcPr>
          <w:p w14:paraId="4418C165" w14:textId="2166BD4B" w:rsidR="007252DF" w:rsidRPr="00676E06" w:rsidRDefault="007252DF" w:rsidP="0022691D">
            <w:pPr>
              <w:jc w:val="center"/>
              <w:rPr>
                <w:sz w:val="22"/>
                <w:szCs w:val="22"/>
                <w:lang w:eastAsia="ja-JP"/>
              </w:rPr>
            </w:pPr>
            <w:r w:rsidRPr="00676E06">
              <w:rPr>
                <w:sz w:val="22"/>
                <w:szCs w:val="22"/>
                <w:lang w:eastAsia="ja-JP"/>
              </w:rPr>
              <w:t>Turpmākie trīs gadi (</w:t>
            </w:r>
            <w:proofErr w:type="spellStart"/>
            <w:r w:rsidR="00E43E3C" w:rsidRPr="00676E06">
              <w:rPr>
                <w:i/>
                <w:iCs/>
                <w:sz w:val="22"/>
                <w:szCs w:val="22"/>
                <w:lang w:eastAsia="ja-JP"/>
              </w:rPr>
              <w:t>euro</w:t>
            </w:r>
            <w:proofErr w:type="spellEnd"/>
            <w:r w:rsidRPr="00676E06">
              <w:rPr>
                <w:sz w:val="22"/>
                <w:szCs w:val="22"/>
                <w:lang w:eastAsia="ja-JP"/>
              </w:rPr>
              <w:t>)</w:t>
            </w:r>
          </w:p>
        </w:tc>
      </w:tr>
      <w:tr w:rsidR="00676E06" w:rsidRPr="00676E06" w14:paraId="6EE00DF0" w14:textId="77777777" w:rsidTr="00611D32">
        <w:trPr>
          <w:gridAfter w:val="1"/>
          <w:wAfter w:w="6" w:type="dxa"/>
        </w:trPr>
        <w:tc>
          <w:tcPr>
            <w:tcW w:w="1578" w:type="dxa"/>
            <w:vMerge/>
            <w:shd w:val="clear" w:color="auto" w:fill="auto"/>
          </w:tcPr>
          <w:p w14:paraId="592A41DF" w14:textId="77777777" w:rsidR="007252DF" w:rsidRPr="00676E06" w:rsidRDefault="007252DF" w:rsidP="0022691D">
            <w:pPr>
              <w:jc w:val="center"/>
              <w:rPr>
                <w:sz w:val="22"/>
                <w:szCs w:val="22"/>
              </w:rPr>
            </w:pPr>
          </w:p>
        </w:tc>
        <w:tc>
          <w:tcPr>
            <w:tcW w:w="2842" w:type="dxa"/>
            <w:gridSpan w:val="2"/>
            <w:vMerge/>
            <w:shd w:val="clear" w:color="auto" w:fill="auto"/>
          </w:tcPr>
          <w:p w14:paraId="452DDB68" w14:textId="77777777" w:rsidR="007252DF" w:rsidRPr="00676E06" w:rsidRDefault="007252DF" w:rsidP="0022691D">
            <w:pPr>
              <w:pStyle w:val="ListParagraph"/>
              <w:tabs>
                <w:tab w:val="left" w:pos="317"/>
              </w:tabs>
              <w:ind w:left="34"/>
              <w:jc w:val="center"/>
              <w:rPr>
                <w:bCs/>
                <w:sz w:val="22"/>
                <w:szCs w:val="22"/>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704FE" w14:textId="645775ED" w:rsidR="007252DF" w:rsidRPr="00676E06" w:rsidRDefault="007252DF" w:rsidP="0022691D">
            <w:pPr>
              <w:jc w:val="center"/>
              <w:rPr>
                <w:b/>
                <w:bCs/>
                <w:sz w:val="22"/>
                <w:szCs w:val="22"/>
                <w:lang w:eastAsia="ja-JP"/>
              </w:rPr>
            </w:pPr>
            <w:r w:rsidRPr="00676E06">
              <w:rPr>
                <w:b/>
                <w:bCs/>
                <w:sz w:val="22"/>
                <w:szCs w:val="22"/>
                <w:lang w:eastAsia="ja-JP"/>
              </w:rPr>
              <w:t>202</w:t>
            </w:r>
            <w:r w:rsidR="005A770B" w:rsidRPr="00676E06">
              <w:rPr>
                <w:b/>
                <w:bCs/>
                <w:sz w:val="22"/>
                <w:szCs w:val="22"/>
                <w:lang w:eastAsia="ja-JP"/>
              </w:rPr>
              <w:t>2</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74071" w14:textId="5090985B" w:rsidR="007252DF" w:rsidRPr="00676E06" w:rsidRDefault="007252DF" w:rsidP="0022691D">
            <w:pPr>
              <w:jc w:val="center"/>
              <w:rPr>
                <w:b/>
                <w:bCs/>
                <w:sz w:val="22"/>
                <w:szCs w:val="22"/>
                <w:lang w:eastAsia="ja-JP"/>
              </w:rPr>
            </w:pPr>
            <w:r w:rsidRPr="00676E06">
              <w:rPr>
                <w:b/>
                <w:bCs/>
                <w:sz w:val="22"/>
                <w:szCs w:val="22"/>
                <w:lang w:eastAsia="ja-JP"/>
              </w:rPr>
              <w:t>202</w:t>
            </w:r>
            <w:r w:rsidR="005A770B" w:rsidRPr="00676E06">
              <w:rPr>
                <w:b/>
                <w:bCs/>
                <w:sz w:val="22"/>
                <w:szCs w:val="22"/>
                <w:lang w:eastAsia="ja-JP"/>
              </w:rPr>
              <w:t>3</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4B90036B" w14:textId="4DAA9992" w:rsidR="007252DF" w:rsidRPr="00676E06" w:rsidRDefault="007252DF" w:rsidP="0022691D">
            <w:pPr>
              <w:jc w:val="center"/>
              <w:rPr>
                <w:b/>
                <w:bCs/>
                <w:sz w:val="22"/>
                <w:szCs w:val="22"/>
                <w:lang w:eastAsia="ja-JP"/>
              </w:rPr>
            </w:pPr>
            <w:r w:rsidRPr="00676E06">
              <w:rPr>
                <w:b/>
                <w:bCs/>
                <w:sz w:val="22"/>
                <w:szCs w:val="22"/>
                <w:lang w:eastAsia="ja-JP"/>
              </w:rPr>
              <w:t>202</w:t>
            </w:r>
            <w:r w:rsidR="005A770B" w:rsidRPr="00676E06">
              <w:rPr>
                <w:b/>
                <w:bCs/>
                <w:sz w:val="22"/>
                <w:szCs w:val="22"/>
                <w:lang w:eastAsia="ja-JP"/>
              </w:rPr>
              <w:t>4</w:t>
            </w:r>
          </w:p>
        </w:tc>
      </w:tr>
      <w:tr w:rsidR="00676E06" w:rsidRPr="00676E06" w14:paraId="3C025052" w14:textId="77777777" w:rsidTr="00611D32">
        <w:trPr>
          <w:gridAfter w:val="1"/>
          <w:wAfter w:w="6" w:type="dxa"/>
        </w:trPr>
        <w:tc>
          <w:tcPr>
            <w:tcW w:w="1578" w:type="dxa"/>
            <w:vMerge/>
            <w:shd w:val="clear" w:color="auto" w:fill="auto"/>
          </w:tcPr>
          <w:p w14:paraId="2483A9DF" w14:textId="77777777" w:rsidR="007252DF" w:rsidRPr="00676E06" w:rsidRDefault="007252DF" w:rsidP="0022691D">
            <w:pPr>
              <w:jc w:val="center"/>
              <w:rPr>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A18A940" w14:textId="736314DC" w:rsidR="007252DF" w:rsidRPr="00676E06" w:rsidRDefault="007252DF" w:rsidP="0022691D">
            <w:pPr>
              <w:jc w:val="center"/>
              <w:rPr>
                <w:sz w:val="22"/>
                <w:szCs w:val="22"/>
                <w:lang w:eastAsia="ja-JP"/>
              </w:rPr>
            </w:pPr>
            <w:r w:rsidRPr="00676E06">
              <w:rPr>
                <w:sz w:val="22"/>
                <w:szCs w:val="22"/>
                <w:lang w:eastAsia="ja-JP"/>
              </w:rPr>
              <w:t>saskaņā ar valsts budžetu kārtējam gadam</w:t>
            </w:r>
            <w:r w:rsidR="00786FCC" w:rsidRPr="00676E06">
              <w:rPr>
                <w:sz w:val="22"/>
                <w:szCs w:val="22"/>
                <w:lang w:eastAsia="ja-JP"/>
              </w:rPr>
              <w: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4F21E2E7" w14:textId="77777777" w:rsidR="007252DF" w:rsidRPr="00676E06" w:rsidRDefault="007252DF" w:rsidP="0022691D">
            <w:pPr>
              <w:jc w:val="center"/>
              <w:rPr>
                <w:sz w:val="22"/>
                <w:szCs w:val="22"/>
                <w:lang w:eastAsia="ja-JP"/>
              </w:rPr>
            </w:pPr>
            <w:r w:rsidRPr="00676E06">
              <w:rPr>
                <w:sz w:val="22"/>
                <w:szCs w:val="22"/>
                <w:lang w:eastAsia="ja-JP"/>
              </w:rPr>
              <w:t>izmaiņas kārtējā gadā, salīdzinot ar valsts budžetu kārtējam gadam</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620A8BE9" w14:textId="77777777" w:rsidR="007252DF" w:rsidRPr="00676E06" w:rsidRDefault="007252DF" w:rsidP="0022691D">
            <w:pPr>
              <w:jc w:val="center"/>
              <w:rPr>
                <w:sz w:val="22"/>
                <w:szCs w:val="22"/>
                <w:lang w:eastAsia="ja-JP"/>
              </w:rPr>
            </w:pPr>
            <w:r w:rsidRPr="00676E06">
              <w:rPr>
                <w:sz w:val="22"/>
                <w:szCs w:val="22"/>
                <w:lang w:eastAsia="ja-JP"/>
              </w:rPr>
              <w:t>saskaņā ar vidēja termiņa budžeta ietvaru</w:t>
            </w:r>
          </w:p>
          <w:p w14:paraId="49A65B3C" w14:textId="77777777" w:rsidR="007252DF" w:rsidRPr="00676E06" w:rsidRDefault="007252DF" w:rsidP="0022691D">
            <w:pPr>
              <w:jc w:val="center"/>
              <w:rPr>
                <w:sz w:val="22"/>
                <w:szCs w:val="22"/>
                <w:lang w:eastAsia="ja-JP"/>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E06F4BA" w14:textId="4C247278" w:rsidR="007252DF" w:rsidRPr="00676E06" w:rsidRDefault="007252DF" w:rsidP="0022691D">
            <w:pPr>
              <w:jc w:val="center"/>
              <w:rPr>
                <w:sz w:val="22"/>
                <w:szCs w:val="22"/>
                <w:lang w:eastAsia="ja-JP"/>
              </w:rPr>
            </w:pPr>
            <w:r w:rsidRPr="00676E06">
              <w:rPr>
                <w:sz w:val="22"/>
                <w:szCs w:val="22"/>
                <w:lang w:eastAsia="ja-JP"/>
              </w:rPr>
              <w:t>izmaiņas, salīdzinot ar vidēja termiņa budžeta ietvaru 202</w:t>
            </w:r>
            <w:r w:rsidR="002B020C" w:rsidRPr="00676E06">
              <w:rPr>
                <w:sz w:val="22"/>
                <w:szCs w:val="22"/>
                <w:lang w:eastAsia="ja-JP"/>
              </w:rPr>
              <w:t>2</w:t>
            </w:r>
            <w:r w:rsidRPr="00676E06">
              <w:rPr>
                <w:sz w:val="22"/>
                <w:szCs w:val="22"/>
                <w:lang w:eastAsia="ja-JP"/>
              </w:rPr>
              <w:t>. gadam</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BE73493" w14:textId="77777777" w:rsidR="007252DF" w:rsidRPr="00676E06" w:rsidRDefault="007252DF" w:rsidP="0022691D">
            <w:pPr>
              <w:jc w:val="center"/>
              <w:rPr>
                <w:sz w:val="22"/>
                <w:szCs w:val="22"/>
                <w:lang w:eastAsia="ja-JP"/>
              </w:rPr>
            </w:pPr>
            <w:r w:rsidRPr="00676E06">
              <w:rPr>
                <w:sz w:val="22"/>
                <w:szCs w:val="22"/>
                <w:lang w:eastAsia="ja-JP"/>
              </w:rPr>
              <w:t>saskaņā ar vidēja termiņa budžeta ietvaru</w:t>
            </w:r>
          </w:p>
          <w:p w14:paraId="2FD8BD4D" w14:textId="77777777" w:rsidR="007252DF" w:rsidRPr="00676E06" w:rsidRDefault="007252DF" w:rsidP="0022691D">
            <w:pPr>
              <w:jc w:val="center"/>
              <w:rPr>
                <w:sz w:val="22"/>
                <w:szCs w:val="22"/>
                <w:lang w:eastAsia="ja-JP"/>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8E2FAE8" w14:textId="49686378" w:rsidR="007252DF" w:rsidRPr="00676E06" w:rsidRDefault="007252DF" w:rsidP="0022691D">
            <w:pPr>
              <w:jc w:val="center"/>
              <w:rPr>
                <w:sz w:val="22"/>
                <w:szCs w:val="22"/>
                <w:lang w:eastAsia="ja-JP"/>
              </w:rPr>
            </w:pPr>
            <w:r w:rsidRPr="00676E06">
              <w:rPr>
                <w:sz w:val="22"/>
                <w:szCs w:val="22"/>
                <w:lang w:eastAsia="ja-JP"/>
              </w:rPr>
              <w:t>izmaiņas, salīdzinot ar vidēja termiņa budžeta ietvaru 202</w:t>
            </w:r>
            <w:r w:rsidR="002B020C" w:rsidRPr="00676E06">
              <w:rPr>
                <w:sz w:val="22"/>
                <w:szCs w:val="22"/>
                <w:lang w:eastAsia="ja-JP"/>
              </w:rPr>
              <w:t>3</w:t>
            </w:r>
            <w:r w:rsidRPr="00676E06">
              <w:rPr>
                <w:sz w:val="22"/>
                <w:szCs w:val="22"/>
                <w:lang w:eastAsia="ja-JP"/>
              </w:rPr>
              <w:t>. gadam</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26C05825" w14:textId="18A57F63" w:rsidR="007252DF" w:rsidRPr="00676E06" w:rsidRDefault="007252DF" w:rsidP="0022691D">
            <w:pPr>
              <w:jc w:val="center"/>
              <w:rPr>
                <w:sz w:val="22"/>
                <w:szCs w:val="22"/>
                <w:lang w:eastAsia="ja-JP"/>
              </w:rPr>
            </w:pPr>
            <w:r w:rsidRPr="00676E06">
              <w:rPr>
                <w:sz w:val="22"/>
                <w:szCs w:val="22"/>
                <w:lang w:eastAsia="ja-JP"/>
              </w:rPr>
              <w:t>izmaiņas, salīdzinot ar vidēja termiņa budžeta ietvaru 202</w:t>
            </w:r>
            <w:r w:rsidR="002B020C" w:rsidRPr="00676E06">
              <w:rPr>
                <w:sz w:val="22"/>
                <w:szCs w:val="22"/>
                <w:lang w:eastAsia="ja-JP"/>
              </w:rPr>
              <w:t>3</w:t>
            </w:r>
            <w:r w:rsidRPr="00676E06">
              <w:rPr>
                <w:sz w:val="22"/>
                <w:szCs w:val="22"/>
                <w:lang w:eastAsia="ja-JP"/>
              </w:rPr>
              <w:t>. gadam</w:t>
            </w:r>
          </w:p>
        </w:tc>
      </w:tr>
      <w:tr w:rsidR="00676E06" w:rsidRPr="00676E06" w14:paraId="273772BD"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3FD01B34" w14:textId="77777777" w:rsidR="007252DF" w:rsidRPr="00676E06" w:rsidRDefault="007252DF" w:rsidP="0022691D">
            <w:pPr>
              <w:jc w:val="center"/>
              <w:rPr>
                <w:sz w:val="22"/>
                <w:szCs w:val="22"/>
              </w:rPr>
            </w:pPr>
            <w:r w:rsidRPr="00676E06">
              <w:rPr>
                <w:sz w:val="22"/>
                <w:szCs w:val="22"/>
              </w:rPr>
              <w:t>1</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DB06352" w14:textId="77777777" w:rsidR="007252DF" w:rsidRPr="00676E06" w:rsidRDefault="007252DF" w:rsidP="0022691D">
            <w:pPr>
              <w:jc w:val="center"/>
              <w:rPr>
                <w:sz w:val="22"/>
                <w:szCs w:val="22"/>
              </w:rPr>
            </w:pPr>
            <w:r w:rsidRPr="00676E06">
              <w:rPr>
                <w:sz w:val="22"/>
                <w:szCs w:val="22"/>
              </w:rPr>
              <w:t>2</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2DF1AED" w14:textId="77777777" w:rsidR="007252DF" w:rsidRPr="00676E06" w:rsidRDefault="007252DF" w:rsidP="0022691D">
            <w:pPr>
              <w:jc w:val="center"/>
              <w:rPr>
                <w:bCs/>
                <w:sz w:val="22"/>
                <w:szCs w:val="22"/>
              </w:rPr>
            </w:pPr>
            <w:r w:rsidRPr="00676E06">
              <w:rPr>
                <w:sz w:val="22"/>
                <w:szCs w:val="22"/>
              </w:rPr>
              <w:t>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418E3A5" w14:textId="77777777" w:rsidR="007252DF" w:rsidRPr="00676E06" w:rsidRDefault="007252DF" w:rsidP="0022691D">
            <w:pPr>
              <w:pStyle w:val="ListParagraph"/>
              <w:tabs>
                <w:tab w:val="left" w:pos="317"/>
              </w:tabs>
              <w:ind w:left="34"/>
              <w:jc w:val="center"/>
              <w:rPr>
                <w:bCs/>
                <w:sz w:val="22"/>
                <w:szCs w:val="22"/>
              </w:rPr>
            </w:pPr>
            <w:r w:rsidRPr="00676E06">
              <w:rPr>
                <w:bCs/>
                <w:sz w:val="22"/>
                <w:szCs w:val="22"/>
              </w:rPr>
              <w:t>4</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9E1F9D8" w14:textId="77777777" w:rsidR="007252DF" w:rsidRPr="00676E06" w:rsidRDefault="007252DF" w:rsidP="0022691D">
            <w:pPr>
              <w:pStyle w:val="ListParagraph"/>
              <w:tabs>
                <w:tab w:val="left" w:pos="317"/>
              </w:tabs>
              <w:ind w:left="34"/>
              <w:jc w:val="center"/>
              <w:rPr>
                <w:bCs/>
                <w:sz w:val="22"/>
                <w:szCs w:val="22"/>
              </w:rPr>
            </w:pPr>
            <w:r w:rsidRPr="00676E06">
              <w:rPr>
                <w:bCs/>
                <w:sz w:val="22"/>
                <w:szCs w:val="22"/>
              </w:rPr>
              <w:t>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3AC98F" w14:textId="77777777" w:rsidR="007252DF" w:rsidRPr="00676E06" w:rsidRDefault="007252DF" w:rsidP="0022691D">
            <w:pPr>
              <w:pStyle w:val="ListParagraph"/>
              <w:tabs>
                <w:tab w:val="left" w:pos="317"/>
              </w:tabs>
              <w:ind w:left="34"/>
              <w:jc w:val="center"/>
              <w:rPr>
                <w:bCs/>
                <w:sz w:val="22"/>
                <w:szCs w:val="22"/>
              </w:rPr>
            </w:pPr>
            <w:r w:rsidRPr="00676E06">
              <w:rPr>
                <w:bCs/>
                <w:sz w:val="22"/>
                <w:szCs w:val="22"/>
              </w:rPr>
              <w:t>6</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353309D" w14:textId="77777777" w:rsidR="007252DF" w:rsidRPr="00676E06" w:rsidRDefault="007252DF" w:rsidP="0022691D">
            <w:pPr>
              <w:pStyle w:val="ListParagraph"/>
              <w:tabs>
                <w:tab w:val="left" w:pos="317"/>
              </w:tabs>
              <w:ind w:left="34"/>
              <w:jc w:val="center"/>
              <w:rPr>
                <w:bCs/>
                <w:sz w:val="22"/>
                <w:szCs w:val="22"/>
              </w:rPr>
            </w:pPr>
            <w:r w:rsidRPr="00676E06">
              <w:rPr>
                <w:bCs/>
                <w:sz w:val="22"/>
                <w:szCs w:val="22"/>
              </w:rPr>
              <w:t>7</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597CE3AE" w14:textId="77777777" w:rsidR="007252DF" w:rsidRPr="00676E06" w:rsidRDefault="007252DF" w:rsidP="0022691D">
            <w:pPr>
              <w:pStyle w:val="ListParagraph"/>
              <w:tabs>
                <w:tab w:val="left" w:pos="317"/>
              </w:tabs>
              <w:ind w:left="34"/>
              <w:jc w:val="center"/>
              <w:rPr>
                <w:bCs/>
                <w:sz w:val="22"/>
                <w:szCs w:val="22"/>
              </w:rPr>
            </w:pPr>
            <w:r w:rsidRPr="00676E06">
              <w:rPr>
                <w:bCs/>
                <w:sz w:val="22"/>
                <w:szCs w:val="22"/>
              </w:rPr>
              <w:t>8</w:t>
            </w:r>
          </w:p>
        </w:tc>
      </w:tr>
      <w:tr w:rsidR="00676E06" w:rsidRPr="00676E06" w14:paraId="6DCA4B92"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97F0D" w14:textId="77777777" w:rsidR="00611D32" w:rsidRPr="00676E06" w:rsidRDefault="00611D32" w:rsidP="00611D32">
            <w:pPr>
              <w:rPr>
                <w:sz w:val="22"/>
                <w:szCs w:val="22"/>
                <w:lang w:eastAsia="ja-JP"/>
              </w:rPr>
            </w:pPr>
            <w:r w:rsidRPr="00676E06">
              <w:rPr>
                <w:sz w:val="22"/>
                <w:szCs w:val="22"/>
                <w:lang w:eastAsia="ja-JP"/>
              </w:rPr>
              <w:t>1. Budžeta ieņēmumi:</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BC6A6" w14:textId="26BF078D" w:rsidR="00611D32" w:rsidRPr="00676E06" w:rsidRDefault="00611D32" w:rsidP="00611D32">
            <w:pPr>
              <w:jc w:val="center"/>
              <w:rPr>
                <w:rFonts w:eastAsia="Arial Unicode MS"/>
                <w:sz w:val="22"/>
                <w:szCs w:val="22"/>
              </w:rPr>
            </w:pPr>
            <w:r w:rsidRPr="00676E06">
              <w:rPr>
                <w:iCs/>
                <w:sz w:val="22"/>
              </w:rPr>
              <w:t>1 350 000</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90BF98" w14:textId="2C91FF5A" w:rsidR="00611D32" w:rsidRPr="00676E06" w:rsidRDefault="00611D32" w:rsidP="00611D32">
            <w:pPr>
              <w:jc w:val="center"/>
              <w:rPr>
                <w:rFonts w:eastAsia="Arial Unicode MS"/>
                <w:sz w:val="22"/>
                <w:szCs w:val="22"/>
              </w:rP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131CA2" w14:textId="77777777" w:rsidR="00611D32" w:rsidRPr="00676E06" w:rsidRDefault="00611D32" w:rsidP="00611D32">
            <w:pPr>
              <w:jc w:val="center"/>
              <w:rPr>
                <w:b/>
                <w:sz w:val="22"/>
                <w:szCs w:val="22"/>
                <w:lang w:eastAsia="ja-JP"/>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3E5AC8" w14:textId="77777777" w:rsidR="00611D32" w:rsidRPr="00676E06" w:rsidRDefault="00611D32" w:rsidP="00611D32">
            <w:pPr>
              <w:jc w:val="center"/>
              <w:rPr>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D5BAA"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22344B" w14:textId="77777777" w:rsidR="00611D32" w:rsidRPr="00676E06" w:rsidRDefault="00611D32" w:rsidP="00611D32">
            <w:pPr>
              <w:jc w:val="center"/>
              <w:rPr>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CE92D" w14:textId="77777777" w:rsidR="00611D32" w:rsidRPr="00676E06" w:rsidRDefault="00611D32" w:rsidP="00611D32">
            <w:pPr>
              <w:jc w:val="center"/>
              <w:rPr>
                <w:b/>
                <w:sz w:val="22"/>
                <w:szCs w:val="22"/>
                <w:lang w:eastAsia="ja-JP"/>
              </w:rPr>
            </w:pPr>
            <w:r w:rsidRPr="00676E06">
              <w:rPr>
                <w:rFonts w:eastAsia="Arial Unicode MS"/>
                <w:sz w:val="22"/>
                <w:szCs w:val="22"/>
              </w:rPr>
              <w:t>0</w:t>
            </w:r>
          </w:p>
        </w:tc>
      </w:tr>
      <w:tr w:rsidR="00676E06" w:rsidRPr="00676E06" w14:paraId="0E3B6A3E" w14:textId="77777777" w:rsidTr="006F0EF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4C21348" w14:textId="77777777" w:rsidR="00611D32" w:rsidRPr="00676E06" w:rsidRDefault="00611D32" w:rsidP="00611D32">
            <w:pPr>
              <w:jc w:val="both"/>
              <w:rPr>
                <w:rFonts w:eastAsia="Arial Unicode MS"/>
                <w:sz w:val="22"/>
                <w:szCs w:val="22"/>
              </w:rPr>
            </w:pPr>
            <w:r w:rsidRPr="00676E06">
              <w:rPr>
                <w:rFonts w:eastAsia="Arial Unicode MS"/>
                <w:sz w:val="22"/>
                <w:szCs w:val="22"/>
              </w:rPr>
              <w:t>1.1. valsts pamatbudžets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46A72B8" w14:textId="6252B15C" w:rsidR="00611D32" w:rsidRPr="00676E06" w:rsidRDefault="00611D32" w:rsidP="00611D32">
            <w:pPr>
              <w:jc w:val="center"/>
              <w:rPr>
                <w:rFonts w:eastAsia="Arial Unicode MS"/>
                <w:sz w:val="22"/>
                <w:szCs w:val="22"/>
              </w:rPr>
            </w:pPr>
            <w:r w:rsidRPr="00676E06">
              <w:rPr>
                <w:iCs/>
                <w:sz w:val="22"/>
              </w:rPr>
              <w:t>1 350 000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2BFD436" w14:textId="36848C88" w:rsidR="00611D32" w:rsidRPr="00676E06" w:rsidRDefault="00611D32" w:rsidP="00611D32">
            <w:pPr>
              <w:jc w:val="center"/>
              <w:rPr>
                <w:rFonts w:eastAsia="Arial Unicode MS"/>
                <w:sz w:val="22"/>
                <w:szCs w:val="22"/>
              </w:rP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43CED84" w14:textId="77777777" w:rsidR="00611D32" w:rsidRPr="00676E06" w:rsidRDefault="00611D32" w:rsidP="00611D32">
            <w:pPr>
              <w:jc w:val="center"/>
              <w:rPr>
                <w:b/>
                <w:sz w:val="22"/>
                <w:szCs w:val="22"/>
                <w:lang w:eastAsia="ja-JP"/>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070A8E3" w14:textId="77777777" w:rsidR="00611D32" w:rsidRPr="00676E06" w:rsidRDefault="00611D32" w:rsidP="00611D32">
            <w:pPr>
              <w:jc w:val="center"/>
              <w:rPr>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0BCE54"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8F73964" w14:textId="77777777" w:rsidR="00611D32" w:rsidRPr="00676E06" w:rsidRDefault="00611D32" w:rsidP="00611D32">
            <w:pPr>
              <w:jc w:val="center"/>
              <w:rPr>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F61991A" w14:textId="77777777" w:rsidR="00611D32" w:rsidRPr="00676E06" w:rsidRDefault="00611D32" w:rsidP="00611D32">
            <w:pPr>
              <w:tabs>
                <w:tab w:val="left" w:pos="315"/>
                <w:tab w:val="center" w:pos="459"/>
              </w:tabs>
              <w:jc w:val="center"/>
              <w:rPr>
                <w:b/>
                <w:sz w:val="22"/>
                <w:szCs w:val="22"/>
                <w:lang w:eastAsia="ja-JP"/>
              </w:rPr>
            </w:pPr>
            <w:r w:rsidRPr="00676E06">
              <w:rPr>
                <w:rFonts w:eastAsia="Arial Unicode MS"/>
                <w:sz w:val="22"/>
                <w:szCs w:val="22"/>
              </w:rPr>
              <w:t>0</w:t>
            </w:r>
          </w:p>
        </w:tc>
      </w:tr>
      <w:tr w:rsidR="00676E06" w:rsidRPr="00676E06" w14:paraId="7C95DB9D" w14:textId="77777777" w:rsidTr="006F0EF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867804D" w14:textId="77777777" w:rsidR="00611D32" w:rsidRPr="00676E06" w:rsidRDefault="00611D32" w:rsidP="00611D32">
            <w:pPr>
              <w:jc w:val="both"/>
              <w:rPr>
                <w:rFonts w:eastAsia="Arial Unicode MS"/>
                <w:sz w:val="22"/>
                <w:szCs w:val="22"/>
              </w:rPr>
            </w:pPr>
            <w:r w:rsidRPr="00676E06">
              <w:rPr>
                <w:rFonts w:eastAsia="Arial Unicode MS"/>
                <w:sz w:val="22"/>
                <w:szCs w:val="22"/>
              </w:rPr>
              <w:t>1.2. valsts speciālais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5B1D127" w14:textId="7F000418" w:rsidR="00611D32" w:rsidRPr="00676E06" w:rsidRDefault="00611D32" w:rsidP="00611D32">
            <w:pPr>
              <w:jc w:val="center"/>
              <w:rPr>
                <w:rFonts w:eastAsia="Arial Unicode MS"/>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1B1B470" w14:textId="1CBE8B7C" w:rsidR="00611D32" w:rsidRPr="00676E06" w:rsidRDefault="00611D32" w:rsidP="00611D32">
            <w:pPr>
              <w:jc w:val="center"/>
              <w:rPr>
                <w:rFonts w:eastAsia="Arial Unicode MS"/>
                <w:sz w:val="22"/>
                <w:szCs w:val="22"/>
              </w:rP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963FC69" w14:textId="77777777" w:rsidR="00611D32" w:rsidRPr="00676E06" w:rsidRDefault="00611D32" w:rsidP="00611D32">
            <w:pPr>
              <w:jc w:val="center"/>
              <w:rPr>
                <w:b/>
                <w:sz w:val="22"/>
                <w:szCs w:val="22"/>
                <w:lang w:eastAsia="ja-JP"/>
              </w:rPr>
            </w:pPr>
            <w:r w:rsidRPr="00676E06">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BD72C2C" w14:textId="77777777"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8C680A2"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24188DE" w14:textId="77777777" w:rsidR="00611D32" w:rsidRPr="00676E06" w:rsidRDefault="00611D32" w:rsidP="00611D32">
            <w:pPr>
              <w:jc w:val="center"/>
              <w:rPr>
                <w:sz w:val="22"/>
                <w:szCs w:val="22"/>
              </w:rPr>
            </w:pPr>
            <w:r w:rsidRPr="00676E06">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772C6118" w14:textId="77777777" w:rsidR="00611D32" w:rsidRPr="00676E06" w:rsidRDefault="00611D32" w:rsidP="00611D32">
            <w:pPr>
              <w:jc w:val="center"/>
              <w:rPr>
                <w:b/>
                <w:sz w:val="22"/>
                <w:szCs w:val="22"/>
                <w:lang w:eastAsia="ja-JP"/>
              </w:rPr>
            </w:pPr>
            <w:r w:rsidRPr="00676E06">
              <w:rPr>
                <w:sz w:val="22"/>
                <w:szCs w:val="22"/>
              </w:rPr>
              <w:t>0</w:t>
            </w:r>
          </w:p>
        </w:tc>
      </w:tr>
      <w:tr w:rsidR="00676E06" w:rsidRPr="00676E06" w14:paraId="311D2FC3" w14:textId="77777777" w:rsidTr="006F0EF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C1706A8" w14:textId="77777777" w:rsidR="00611D32" w:rsidRPr="00676E06" w:rsidRDefault="00611D32" w:rsidP="00611D32">
            <w:pPr>
              <w:jc w:val="both"/>
              <w:rPr>
                <w:rFonts w:eastAsia="Arial Unicode MS"/>
                <w:sz w:val="22"/>
                <w:szCs w:val="22"/>
              </w:rPr>
            </w:pPr>
            <w:r w:rsidRPr="00676E06">
              <w:rPr>
                <w:rFonts w:eastAsia="Arial Unicode MS"/>
                <w:sz w:val="22"/>
                <w:szCs w:val="22"/>
              </w:rPr>
              <w:t>1.3. pašvaldību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A670ECF" w14:textId="0E62461B" w:rsidR="00611D32" w:rsidRPr="00676E06" w:rsidRDefault="00611D32" w:rsidP="00611D32">
            <w:pPr>
              <w:jc w:val="center"/>
              <w:rPr>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EAFE262" w14:textId="7D5012DB" w:rsidR="00611D32" w:rsidRPr="00676E06" w:rsidRDefault="00611D32" w:rsidP="00611D32">
            <w:pPr>
              <w:jc w:val="center"/>
              <w:rPr>
                <w:sz w:val="22"/>
                <w:szCs w:val="22"/>
              </w:rP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5C8C9281" w14:textId="77777777" w:rsidR="00611D32" w:rsidRPr="00676E06" w:rsidRDefault="00611D32" w:rsidP="00611D32">
            <w:pPr>
              <w:jc w:val="center"/>
              <w:rPr>
                <w:b/>
                <w:sz w:val="22"/>
                <w:szCs w:val="22"/>
                <w:lang w:eastAsia="ja-JP"/>
              </w:rPr>
            </w:pPr>
            <w:r w:rsidRPr="00676E06">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7DD54F4" w14:textId="77777777"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2110D24F"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D60E6FC" w14:textId="77777777" w:rsidR="00611D32" w:rsidRPr="00676E06" w:rsidRDefault="00611D32" w:rsidP="00611D32">
            <w:pPr>
              <w:jc w:val="center"/>
              <w:rPr>
                <w:sz w:val="22"/>
                <w:szCs w:val="22"/>
              </w:rPr>
            </w:pPr>
            <w:r w:rsidRPr="00676E06">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298A138F" w14:textId="77777777" w:rsidR="00611D32" w:rsidRPr="00676E06" w:rsidRDefault="00611D32" w:rsidP="00611D32">
            <w:pPr>
              <w:jc w:val="center"/>
              <w:rPr>
                <w:b/>
                <w:sz w:val="22"/>
                <w:szCs w:val="22"/>
                <w:lang w:eastAsia="ja-JP"/>
              </w:rPr>
            </w:pPr>
            <w:r w:rsidRPr="00676E06">
              <w:rPr>
                <w:sz w:val="22"/>
                <w:szCs w:val="22"/>
              </w:rPr>
              <w:t>0</w:t>
            </w:r>
          </w:p>
        </w:tc>
      </w:tr>
      <w:tr w:rsidR="00676E06" w:rsidRPr="00676E06" w14:paraId="66C9CFC4"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BE2B60" w14:textId="77777777" w:rsidR="00611D32" w:rsidRPr="00676E06" w:rsidRDefault="00611D32" w:rsidP="00611D32">
            <w:pPr>
              <w:rPr>
                <w:sz w:val="22"/>
                <w:szCs w:val="22"/>
                <w:lang w:eastAsia="ja-JP"/>
              </w:rPr>
            </w:pPr>
            <w:r w:rsidRPr="00676E06">
              <w:rPr>
                <w:sz w:val="22"/>
                <w:szCs w:val="22"/>
                <w:lang w:eastAsia="ja-JP"/>
              </w:rPr>
              <w:t>2. Budžeta izdevumi:</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2CC0D" w14:textId="34F7B0DE" w:rsidR="00611D32" w:rsidRPr="00676E06" w:rsidRDefault="00611D32" w:rsidP="00611D32">
            <w:pPr>
              <w:jc w:val="center"/>
              <w:rPr>
                <w:sz w:val="22"/>
                <w:szCs w:val="22"/>
              </w:rPr>
            </w:pPr>
            <w:r w:rsidRPr="00676E06">
              <w:rPr>
                <w:iCs/>
                <w:sz w:val="22"/>
              </w:rPr>
              <w:t>1 350 000</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AB082E" w14:textId="7B6DBF3B" w:rsidR="00611D32" w:rsidRPr="00676E06" w:rsidRDefault="00F94BEC" w:rsidP="00611D32">
            <w:pPr>
              <w:jc w:val="center"/>
              <w:rPr>
                <w:sz w:val="22"/>
                <w:szCs w:val="22"/>
              </w:rPr>
            </w:pPr>
            <w:r w:rsidRPr="00676E06">
              <w:rPr>
                <w:sz w:val="22"/>
                <w:szCs w:val="22"/>
              </w:rPr>
              <w:t>2 161 200</w:t>
            </w:r>
            <w:r w:rsidR="005D3EA7" w:rsidRPr="00676E06">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5B768" w14:textId="77777777" w:rsidR="00611D32" w:rsidRPr="00676E06" w:rsidRDefault="00611D32" w:rsidP="00611D32">
            <w:pPr>
              <w:jc w:val="center"/>
              <w:rPr>
                <w:b/>
                <w:bCs/>
                <w:sz w:val="22"/>
                <w:szCs w:val="22"/>
                <w:lang w:eastAsia="ja-JP"/>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A03CD" w14:textId="03B87F80"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07C0E" w14:textId="77777777" w:rsidR="00611D32" w:rsidRPr="00676E06" w:rsidRDefault="00611D32" w:rsidP="00611D32">
            <w:pPr>
              <w:jc w:val="center"/>
              <w:rPr>
                <w:b/>
                <w:bCs/>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401D8" w14:textId="77777777" w:rsidR="00611D32" w:rsidRPr="00676E06" w:rsidRDefault="00611D32" w:rsidP="00611D32">
            <w:pPr>
              <w:jc w:val="center"/>
              <w:rPr>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17B6BA" w14:textId="77777777" w:rsidR="00611D32" w:rsidRPr="00676E06" w:rsidRDefault="00611D32" w:rsidP="00611D32">
            <w:pPr>
              <w:jc w:val="center"/>
              <w:rPr>
                <w:b/>
                <w:sz w:val="22"/>
                <w:szCs w:val="22"/>
                <w:lang w:eastAsia="ja-JP"/>
              </w:rPr>
            </w:pPr>
            <w:r w:rsidRPr="00676E06">
              <w:rPr>
                <w:rFonts w:eastAsia="Arial Unicode MS"/>
                <w:sz w:val="22"/>
                <w:szCs w:val="22"/>
              </w:rPr>
              <w:t>0</w:t>
            </w:r>
          </w:p>
        </w:tc>
      </w:tr>
      <w:tr w:rsidR="00676E06" w:rsidRPr="00676E06" w14:paraId="0C88CC59"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67347601" w14:textId="77777777" w:rsidR="00611D32" w:rsidRPr="00676E06" w:rsidRDefault="00611D32" w:rsidP="00611D32">
            <w:pPr>
              <w:rPr>
                <w:sz w:val="22"/>
                <w:szCs w:val="22"/>
              </w:rPr>
            </w:pPr>
            <w:r w:rsidRPr="00676E06">
              <w:rPr>
                <w:sz w:val="22"/>
                <w:szCs w:val="22"/>
              </w:rPr>
              <w:t>2.1. valsts pamatbudžets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62A00277" w14:textId="088F8FAF" w:rsidR="00611D32" w:rsidRPr="00676E06" w:rsidRDefault="00611D32" w:rsidP="00611D32">
            <w:pPr>
              <w:jc w:val="center"/>
              <w:rPr>
                <w:sz w:val="22"/>
                <w:szCs w:val="22"/>
              </w:rPr>
            </w:pPr>
            <w:r w:rsidRPr="00676E06">
              <w:rPr>
                <w:iCs/>
                <w:sz w:val="22"/>
              </w:rPr>
              <w:t>1 350 000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F8B83F8" w14:textId="070473BD" w:rsidR="00611D32" w:rsidRPr="00676E06" w:rsidRDefault="00F94BEC" w:rsidP="00611D32">
            <w:pPr>
              <w:jc w:val="center"/>
              <w:rPr>
                <w:sz w:val="22"/>
                <w:szCs w:val="22"/>
              </w:rPr>
            </w:pPr>
            <w:r w:rsidRPr="00676E06">
              <w:rPr>
                <w:sz w:val="22"/>
                <w:szCs w:val="22"/>
              </w:rPr>
              <w:t>2 161 200</w:t>
            </w:r>
            <w:r w:rsidR="005D3EA7" w:rsidRPr="00676E06">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6529AC9" w14:textId="77777777" w:rsidR="00611D32" w:rsidRPr="00676E06" w:rsidRDefault="00611D32" w:rsidP="00611D32">
            <w:pPr>
              <w:jc w:val="center"/>
              <w:rPr>
                <w:b/>
                <w:bCs/>
                <w:sz w:val="22"/>
                <w:szCs w:val="22"/>
                <w:lang w:eastAsia="ja-JP"/>
              </w:rPr>
            </w:pPr>
            <w:r w:rsidRPr="00676E06">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A08D4C0" w14:textId="57FFFDDB"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D6D1BF"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F3959F0" w14:textId="77777777" w:rsidR="00611D32" w:rsidRPr="00676E06" w:rsidDel="007A71B8" w:rsidRDefault="00611D32" w:rsidP="00611D32">
            <w:pPr>
              <w:jc w:val="center"/>
              <w:rPr>
                <w:sz w:val="22"/>
                <w:szCs w:val="22"/>
              </w:rPr>
            </w:pPr>
            <w:r w:rsidRPr="00676E06">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463C25F4" w14:textId="77777777" w:rsidR="00611D32" w:rsidRPr="00676E06" w:rsidRDefault="00611D32" w:rsidP="00611D32">
            <w:pPr>
              <w:jc w:val="center"/>
              <w:rPr>
                <w:b/>
                <w:sz w:val="22"/>
                <w:szCs w:val="22"/>
                <w:lang w:eastAsia="ja-JP"/>
              </w:rPr>
            </w:pPr>
            <w:r w:rsidRPr="00676E06">
              <w:rPr>
                <w:sz w:val="22"/>
                <w:szCs w:val="22"/>
              </w:rPr>
              <w:t>0</w:t>
            </w:r>
          </w:p>
        </w:tc>
      </w:tr>
      <w:tr w:rsidR="00676E06" w:rsidRPr="00676E06" w14:paraId="2C70EFDC"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7714297A" w14:textId="77777777" w:rsidR="00611D32" w:rsidRPr="00676E06" w:rsidRDefault="00611D32" w:rsidP="00611D32">
            <w:pPr>
              <w:rPr>
                <w:sz w:val="22"/>
                <w:szCs w:val="22"/>
              </w:rPr>
            </w:pPr>
            <w:r w:rsidRPr="00676E06">
              <w:rPr>
                <w:sz w:val="22"/>
                <w:szCs w:val="22"/>
              </w:rPr>
              <w:t>2.2. valsts speciālais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B882188" w14:textId="29880B66" w:rsidR="00611D32" w:rsidRPr="00676E06" w:rsidRDefault="00611D32" w:rsidP="00611D32">
            <w:pPr>
              <w:jc w:val="center"/>
              <w:rPr>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07B541F" w14:textId="61690B1D" w:rsidR="00611D32" w:rsidRPr="00676E06" w:rsidRDefault="00611D32" w:rsidP="00611D32">
            <w:pPr>
              <w:jc w:val="center"/>
              <w:rPr>
                <w:sz w:val="22"/>
                <w:szCs w:val="22"/>
              </w:rP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656EA73" w14:textId="77777777" w:rsidR="00611D32" w:rsidRPr="00676E06" w:rsidRDefault="00611D32" w:rsidP="00611D32">
            <w:pPr>
              <w:jc w:val="center"/>
              <w:rPr>
                <w:b/>
                <w:sz w:val="22"/>
                <w:szCs w:val="22"/>
                <w:lang w:eastAsia="ja-JP"/>
              </w:rPr>
            </w:pPr>
            <w:r w:rsidRPr="00676E06">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F6D18AB" w14:textId="77777777"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7581843"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9A78866" w14:textId="77777777" w:rsidR="00611D32" w:rsidRPr="00676E06" w:rsidRDefault="00611D32" w:rsidP="00611D32">
            <w:pPr>
              <w:jc w:val="center"/>
              <w:rPr>
                <w:sz w:val="22"/>
                <w:szCs w:val="22"/>
              </w:rPr>
            </w:pPr>
            <w:r w:rsidRPr="00676E06">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288487" w14:textId="77777777" w:rsidR="00611D32" w:rsidRPr="00676E06" w:rsidRDefault="00611D32" w:rsidP="00611D32">
            <w:pPr>
              <w:jc w:val="center"/>
              <w:rPr>
                <w:b/>
                <w:sz w:val="22"/>
                <w:szCs w:val="22"/>
                <w:lang w:eastAsia="ja-JP"/>
              </w:rPr>
            </w:pPr>
            <w:r w:rsidRPr="00676E06">
              <w:rPr>
                <w:sz w:val="22"/>
                <w:szCs w:val="22"/>
              </w:rPr>
              <w:t>0</w:t>
            </w:r>
          </w:p>
        </w:tc>
      </w:tr>
      <w:tr w:rsidR="00676E06" w:rsidRPr="00676E06" w14:paraId="01505E01"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3AE82F9" w14:textId="77777777" w:rsidR="00611D32" w:rsidRPr="00676E06" w:rsidRDefault="00611D32" w:rsidP="00611D32">
            <w:pPr>
              <w:rPr>
                <w:sz w:val="22"/>
                <w:szCs w:val="22"/>
              </w:rPr>
            </w:pPr>
            <w:r w:rsidRPr="00676E06">
              <w:rPr>
                <w:sz w:val="22"/>
                <w:szCs w:val="22"/>
              </w:rPr>
              <w:t>2.3. pašvaldību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8E338D6" w14:textId="3D4A8B6F" w:rsidR="00611D32" w:rsidRPr="00676E06" w:rsidRDefault="00611D32" w:rsidP="00611D32">
            <w:pPr>
              <w:jc w:val="center"/>
              <w:rPr>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2008544B" w14:textId="3026C526" w:rsidR="00611D32" w:rsidRPr="00676E06" w:rsidRDefault="00611D32" w:rsidP="00611D32">
            <w:pPr>
              <w:jc w:val="center"/>
              <w:rPr>
                <w:sz w:val="22"/>
                <w:szCs w:val="22"/>
              </w:rP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A967FF5" w14:textId="77777777" w:rsidR="00611D32" w:rsidRPr="00676E06" w:rsidRDefault="00611D32" w:rsidP="00611D32">
            <w:pPr>
              <w:jc w:val="center"/>
              <w:rPr>
                <w:b/>
                <w:sz w:val="22"/>
                <w:szCs w:val="22"/>
                <w:lang w:eastAsia="ja-JP"/>
              </w:rPr>
            </w:pPr>
            <w:r w:rsidRPr="00676E06">
              <w:rPr>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AB7DB7A" w14:textId="77777777"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A6BD2B9" w14:textId="77777777" w:rsidR="00611D32" w:rsidRPr="00676E06" w:rsidRDefault="00611D32" w:rsidP="00611D32">
            <w:pPr>
              <w:jc w:val="center"/>
              <w:rPr>
                <w:b/>
                <w:sz w:val="22"/>
                <w:szCs w:val="22"/>
                <w:lang w:eastAsia="ja-JP"/>
              </w:rPr>
            </w:pPr>
            <w:r w:rsidRPr="00676E06">
              <w:rPr>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58009B5" w14:textId="77777777" w:rsidR="00611D32" w:rsidRPr="00676E06" w:rsidRDefault="00611D32" w:rsidP="00611D32">
            <w:pPr>
              <w:jc w:val="center"/>
              <w:rPr>
                <w:sz w:val="22"/>
                <w:szCs w:val="22"/>
              </w:rPr>
            </w:pPr>
            <w:r w:rsidRPr="00676E06">
              <w:rPr>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C011A07" w14:textId="77777777" w:rsidR="00611D32" w:rsidRPr="00676E06" w:rsidRDefault="00611D32" w:rsidP="00611D32">
            <w:pPr>
              <w:jc w:val="center"/>
              <w:rPr>
                <w:b/>
                <w:sz w:val="22"/>
                <w:szCs w:val="22"/>
                <w:lang w:eastAsia="ja-JP"/>
              </w:rPr>
            </w:pPr>
            <w:r w:rsidRPr="00676E06">
              <w:rPr>
                <w:sz w:val="22"/>
                <w:szCs w:val="22"/>
              </w:rPr>
              <w:t>0</w:t>
            </w:r>
          </w:p>
        </w:tc>
      </w:tr>
      <w:tr w:rsidR="00676E06" w:rsidRPr="00676E06" w14:paraId="5BFD5DCC"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30FBA" w14:textId="77777777" w:rsidR="00611D32" w:rsidRPr="00676E06" w:rsidRDefault="00611D32" w:rsidP="00611D32">
            <w:pPr>
              <w:rPr>
                <w:sz w:val="22"/>
                <w:szCs w:val="22"/>
                <w:lang w:eastAsia="ja-JP"/>
              </w:rPr>
            </w:pPr>
            <w:r w:rsidRPr="00676E06">
              <w:rPr>
                <w:sz w:val="22"/>
                <w:szCs w:val="22"/>
                <w:lang w:eastAsia="ja-JP"/>
              </w:rPr>
              <w:lastRenderedPageBreak/>
              <w:t>3. Finansiālā ietekme:</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EF115C" w14:textId="1A09BBC1" w:rsidR="00611D32" w:rsidRPr="00676E06" w:rsidRDefault="00611D32" w:rsidP="00611D32">
            <w:pPr>
              <w:jc w:val="center"/>
              <w:rPr>
                <w:rFonts w:eastAsia="Arial Unicode MS"/>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9E400" w14:textId="23D86E5F" w:rsidR="00611D32" w:rsidRPr="00676E06" w:rsidRDefault="00E43E3C" w:rsidP="00611D32">
            <w:pPr>
              <w:jc w:val="center"/>
              <w:rPr>
                <w:sz w:val="22"/>
                <w:szCs w:val="22"/>
              </w:rPr>
            </w:pPr>
            <w:r w:rsidRPr="00676E06">
              <w:rPr>
                <w:sz w:val="22"/>
                <w:szCs w:val="22"/>
              </w:rPr>
              <w:t>-</w:t>
            </w:r>
            <w:r w:rsidR="00F94BEC" w:rsidRPr="00676E06">
              <w:rPr>
                <w:sz w:val="22"/>
                <w:szCs w:val="22"/>
              </w:rPr>
              <w:t>2 161 200</w:t>
            </w:r>
            <w:r w:rsidR="005D3EA7" w:rsidRPr="00676E06">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2CC2F7" w14:textId="77777777" w:rsidR="00611D32" w:rsidRPr="00676E06" w:rsidRDefault="00611D32" w:rsidP="00611D32">
            <w:pPr>
              <w:jc w:val="center"/>
              <w:rPr>
                <w:b/>
                <w:sz w:val="22"/>
                <w:szCs w:val="22"/>
                <w:lang w:eastAsia="ja-JP"/>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A6AD9" w14:textId="213E4875" w:rsidR="00611D32" w:rsidRPr="00676E06" w:rsidRDefault="00611D32" w:rsidP="00611D32">
            <w:pPr>
              <w:jc w:val="center"/>
              <w:rPr>
                <w:rFonts w:eastAsia="Arial Unicode MS"/>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1F1FA" w14:textId="77777777" w:rsidR="00611D32" w:rsidRPr="00676E06" w:rsidRDefault="00611D32" w:rsidP="00611D32">
            <w:pPr>
              <w:jc w:val="center"/>
              <w:rPr>
                <w:b/>
                <w:sz w:val="22"/>
                <w:szCs w:val="22"/>
                <w:lang w:eastAsia="ja-JP"/>
              </w:rPr>
            </w:pPr>
            <w:r w:rsidRPr="00676E06">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CFA48" w14:textId="77777777" w:rsidR="00611D32" w:rsidRPr="00676E06" w:rsidRDefault="00611D32" w:rsidP="00611D32">
            <w:pPr>
              <w:jc w:val="center"/>
              <w:rPr>
                <w:rFonts w:eastAsia="Arial Unicode MS"/>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2A7CAA" w14:textId="77777777" w:rsidR="00611D32" w:rsidRPr="00676E06" w:rsidRDefault="00611D32" w:rsidP="00611D32">
            <w:pPr>
              <w:jc w:val="center"/>
              <w:rPr>
                <w:b/>
                <w:sz w:val="22"/>
                <w:szCs w:val="22"/>
                <w:lang w:eastAsia="ja-JP"/>
              </w:rPr>
            </w:pPr>
            <w:r w:rsidRPr="00676E06">
              <w:rPr>
                <w:rFonts w:eastAsia="Arial Unicode MS"/>
                <w:sz w:val="22"/>
                <w:szCs w:val="22"/>
              </w:rPr>
              <w:t>0</w:t>
            </w:r>
          </w:p>
        </w:tc>
      </w:tr>
      <w:tr w:rsidR="00676E06" w:rsidRPr="00676E06" w14:paraId="0C50AEFA"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204455C" w14:textId="77777777" w:rsidR="00611D32" w:rsidRPr="00676E06" w:rsidRDefault="00611D32" w:rsidP="00611D32">
            <w:pPr>
              <w:rPr>
                <w:sz w:val="22"/>
                <w:szCs w:val="22"/>
              </w:rPr>
            </w:pPr>
            <w:r w:rsidRPr="00676E06">
              <w:rPr>
                <w:sz w:val="22"/>
                <w:szCs w:val="22"/>
              </w:rPr>
              <w:t>3.1. valsts pamatbudžets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8E5A3A1" w14:textId="4F01AC55" w:rsidR="00611D32" w:rsidRPr="00676E06" w:rsidRDefault="00611D32" w:rsidP="00611D32">
            <w:pPr>
              <w:jc w:val="center"/>
              <w:rPr>
                <w:rFonts w:eastAsia="Arial Unicode MS"/>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CC31CB9" w14:textId="410EE8D6" w:rsidR="00611D32" w:rsidRPr="00676E06" w:rsidRDefault="00E43E3C" w:rsidP="00611D32">
            <w:pPr>
              <w:jc w:val="center"/>
              <w:rPr>
                <w:sz w:val="22"/>
                <w:szCs w:val="22"/>
              </w:rPr>
            </w:pPr>
            <w:r w:rsidRPr="00676E06">
              <w:rPr>
                <w:sz w:val="22"/>
                <w:szCs w:val="22"/>
              </w:rPr>
              <w:t>-</w:t>
            </w:r>
            <w:r w:rsidR="00F94BEC" w:rsidRPr="00676E06">
              <w:rPr>
                <w:sz w:val="22"/>
                <w:szCs w:val="22"/>
              </w:rPr>
              <w:t>2 161 200</w:t>
            </w:r>
            <w:r w:rsidR="005D3EA7" w:rsidRPr="00676E06">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2431B8C1" w14:textId="77777777" w:rsidR="00611D32" w:rsidRPr="00676E06" w:rsidRDefault="00611D32" w:rsidP="00611D32">
            <w:pPr>
              <w:jc w:val="center"/>
              <w:rPr>
                <w:sz w:val="22"/>
                <w:szCs w:val="22"/>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22898BE6" w14:textId="5DE60C4B" w:rsidR="00611D32" w:rsidRPr="00676E06" w:rsidRDefault="00611D32" w:rsidP="00611D32">
            <w:pPr>
              <w:jc w:val="center"/>
              <w:rPr>
                <w:sz w:val="22"/>
                <w:szCs w:val="22"/>
              </w:rPr>
            </w:pPr>
            <w:r w:rsidRPr="00676E06">
              <w:rPr>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1C8AA7C" w14:textId="77777777" w:rsidR="00611D32" w:rsidRPr="00676E06" w:rsidRDefault="00611D32" w:rsidP="00611D32">
            <w:pPr>
              <w:jc w:val="center"/>
              <w:rPr>
                <w:sz w:val="22"/>
                <w:szCs w:val="22"/>
              </w:rPr>
            </w:pPr>
            <w:r w:rsidRPr="00676E06">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A4105CD" w14:textId="77777777" w:rsidR="00611D32" w:rsidRPr="00676E06" w:rsidRDefault="00611D32" w:rsidP="00611D32">
            <w:pPr>
              <w:jc w:val="center"/>
              <w:rPr>
                <w:rFonts w:eastAsia="Arial Unicode MS"/>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B887081" w14:textId="77777777" w:rsidR="00611D32" w:rsidRPr="00676E06" w:rsidRDefault="00611D32" w:rsidP="00611D32">
            <w:pPr>
              <w:jc w:val="center"/>
              <w:rPr>
                <w:sz w:val="22"/>
                <w:szCs w:val="22"/>
              </w:rPr>
            </w:pPr>
            <w:r w:rsidRPr="00676E06">
              <w:rPr>
                <w:rFonts w:eastAsia="Arial Unicode MS"/>
                <w:sz w:val="22"/>
                <w:szCs w:val="22"/>
              </w:rPr>
              <w:t>0</w:t>
            </w:r>
          </w:p>
        </w:tc>
      </w:tr>
      <w:tr w:rsidR="00676E06" w:rsidRPr="00676E06" w14:paraId="710C6AA2" w14:textId="77777777" w:rsidTr="006F0EFD">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E556372" w14:textId="77777777" w:rsidR="00611D32" w:rsidRPr="00676E06" w:rsidRDefault="00611D32" w:rsidP="00611D32">
            <w:pPr>
              <w:rPr>
                <w:sz w:val="22"/>
                <w:szCs w:val="22"/>
              </w:rPr>
            </w:pPr>
            <w:r w:rsidRPr="00676E06">
              <w:rPr>
                <w:sz w:val="22"/>
                <w:szCs w:val="22"/>
              </w:rPr>
              <w:t>3.2. speciālais budžets</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CD4CFD9" w14:textId="75A557B6" w:rsidR="00611D32" w:rsidRPr="00676E06" w:rsidRDefault="00611D32" w:rsidP="00611D32">
            <w:pPr>
              <w:jc w:val="center"/>
              <w:rPr>
                <w:sz w:val="22"/>
                <w:szCs w:val="22"/>
              </w:rPr>
            </w:pPr>
            <w:r w:rsidRPr="00676E06">
              <w:rPr>
                <w:iCs/>
                <w:sz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B36A3F5" w14:textId="49B274FD" w:rsidR="00611D32" w:rsidRPr="00676E06" w:rsidRDefault="00611D32" w:rsidP="00611D32">
            <w:pPr>
              <w:jc w:val="center"/>
            </w:pPr>
            <w:r w:rsidRPr="00676E06">
              <w:rPr>
                <w:iCs/>
                <w:sz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4A3CA5AD" w14:textId="77777777" w:rsidR="00611D32" w:rsidRPr="00676E06" w:rsidRDefault="00611D32" w:rsidP="00611D32">
            <w:pPr>
              <w:jc w:val="center"/>
              <w:rPr>
                <w:sz w:val="22"/>
                <w:szCs w:val="22"/>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13ACB61E" w14:textId="77777777" w:rsidR="00611D32" w:rsidRPr="00676E06" w:rsidRDefault="00611D32" w:rsidP="00611D32">
            <w:pPr>
              <w:jc w:val="center"/>
              <w:rPr>
                <w:rFonts w:eastAsia="Arial Unicode MS"/>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3D34F53" w14:textId="77777777" w:rsidR="00611D32" w:rsidRPr="00676E06" w:rsidRDefault="00611D32" w:rsidP="00611D32">
            <w:pPr>
              <w:jc w:val="center"/>
              <w:rPr>
                <w:sz w:val="22"/>
                <w:szCs w:val="22"/>
              </w:rPr>
            </w:pPr>
            <w:r w:rsidRPr="00676E06">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C97065C" w14:textId="77777777" w:rsidR="00611D32" w:rsidRPr="00676E06" w:rsidRDefault="00611D32" w:rsidP="00611D32">
            <w:pPr>
              <w:jc w:val="center"/>
              <w:rPr>
                <w:rFonts w:eastAsia="Arial Unicode MS"/>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8DBBDC9" w14:textId="77777777" w:rsidR="00611D32" w:rsidRPr="00676E06" w:rsidRDefault="00611D32" w:rsidP="00611D32">
            <w:pPr>
              <w:jc w:val="center"/>
              <w:rPr>
                <w:sz w:val="22"/>
                <w:szCs w:val="22"/>
              </w:rPr>
            </w:pPr>
            <w:r w:rsidRPr="00676E06">
              <w:rPr>
                <w:rFonts w:eastAsia="Arial Unicode MS"/>
                <w:sz w:val="22"/>
                <w:szCs w:val="22"/>
              </w:rPr>
              <w:t>0</w:t>
            </w:r>
          </w:p>
        </w:tc>
      </w:tr>
      <w:tr w:rsidR="00676E06" w:rsidRPr="00676E06" w14:paraId="390245ED"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0463C5E9" w14:textId="77777777" w:rsidR="007252DF" w:rsidRPr="00676E06" w:rsidRDefault="007252DF" w:rsidP="0022691D">
            <w:pPr>
              <w:rPr>
                <w:sz w:val="22"/>
                <w:szCs w:val="22"/>
              </w:rPr>
            </w:pPr>
            <w:r w:rsidRPr="00676E06">
              <w:rPr>
                <w:sz w:val="22"/>
                <w:szCs w:val="22"/>
              </w:rPr>
              <w:t>3.3. pašvaldību budžets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2AC3545" w14:textId="77777777" w:rsidR="007252DF" w:rsidRPr="00676E06" w:rsidRDefault="007252DF" w:rsidP="0022691D">
            <w:pPr>
              <w:jc w:val="center"/>
              <w:rPr>
                <w:sz w:val="22"/>
                <w:szCs w:val="22"/>
              </w:rPr>
            </w:pPr>
            <w:r w:rsidRPr="00676E06">
              <w:rPr>
                <w:rFonts w:eastAsia="Arial Unicode MS"/>
                <w:sz w:val="22"/>
                <w:szCs w:val="22"/>
              </w:rPr>
              <w:t>0</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3843F55" w14:textId="77777777" w:rsidR="007252DF" w:rsidRPr="00676E06" w:rsidRDefault="007252DF" w:rsidP="0022691D">
            <w:pPr>
              <w:jc w:val="center"/>
              <w:rPr>
                <w:sz w:val="22"/>
                <w:szCs w:val="22"/>
              </w:rPr>
            </w:pPr>
            <w:r w:rsidRPr="00676E06">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37E5A41" w14:textId="77777777" w:rsidR="007252DF" w:rsidRPr="00676E06" w:rsidRDefault="007252DF" w:rsidP="0022691D">
            <w:pPr>
              <w:jc w:val="center"/>
              <w:rPr>
                <w:sz w:val="22"/>
                <w:szCs w:val="22"/>
              </w:rPr>
            </w:pPr>
            <w:r w:rsidRPr="00676E06">
              <w:rPr>
                <w:rFonts w:eastAsia="Arial Unicode MS"/>
                <w:sz w:val="22"/>
                <w:szCs w:val="22"/>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415926D6" w14:textId="77777777" w:rsidR="007252DF" w:rsidRPr="00676E06" w:rsidRDefault="007252DF" w:rsidP="0022691D">
            <w:pPr>
              <w:jc w:val="center"/>
              <w:rPr>
                <w:rFonts w:eastAsia="Arial Unicode MS"/>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433B490" w14:textId="77777777" w:rsidR="007252DF" w:rsidRPr="00676E06" w:rsidRDefault="007252DF" w:rsidP="0022691D">
            <w:pPr>
              <w:jc w:val="center"/>
              <w:rPr>
                <w:sz w:val="22"/>
                <w:szCs w:val="22"/>
              </w:rPr>
            </w:pPr>
            <w:r w:rsidRPr="00676E06">
              <w:rPr>
                <w:rFonts w:eastAsia="Arial Unicode MS"/>
                <w:sz w:val="22"/>
                <w:szCs w:val="22"/>
              </w:rPr>
              <w:t>0</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A2C378" w14:textId="77777777" w:rsidR="007252DF" w:rsidRPr="00676E06" w:rsidRDefault="007252DF" w:rsidP="0022691D">
            <w:pPr>
              <w:jc w:val="center"/>
              <w:rPr>
                <w:rFonts w:eastAsia="Arial Unicode MS"/>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65318D30" w14:textId="77777777" w:rsidR="007252DF" w:rsidRPr="00676E06" w:rsidRDefault="007252DF" w:rsidP="0022691D">
            <w:pPr>
              <w:jc w:val="center"/>
              <w:rPr>
                <w:sz w:val="22"/>
                <w:szCs w:val="22"/>
              </w:rPr>
            </w:pPr>
            <w:r w:rsidRPr="00676E06">
              <w:rPr>
                <w:rFonts w:eastAsia="Arial Unicode MS"/>
                <w:sz w:val="22"/>
                <w:szCs w:val="22"/>
              </w:rPr>
              <w:t>0</w:t>
            </w:r>
          </w:p>
        </w:tc>
      </w:tr>
      <w:tr w:rsidR="00676E06" w:rsidRPr="00676E06" w14:paraId="533ACFB1"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2741669F" w14:textId="77777777" w:rsidR="007252DF" w:rsidRPr="00676E06" w:rsidRDefault="007252DF" w:rsidP="0022691D">
            <w:pPr>
              <w:rPr>
                <w:sz w:val="22"/>
                <w:szCs w:val="22"/>
                <w:lang w:eastAsia="ja-JP"/>
              </w:rPr>
            </w:pPr>
            <w:r w:rsidRPr="00676E06">
              <w:rPr>
                <w:sz w:val="22"/>
                <w:szCs w:val="22"/>
                <w:lang w:eastAsia="ja-JP"/>
              </w:rPr>
              <w:t>4. Finanšu līdzekļi papildu izdevumu finansēšanai (kompensējošu izdevumu samazinājumu norāda ar "+" zīmi)</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0AAD38" w14:textId="77777777" w:rsidR="007252DF" w:rsidRPr="00676E06" w:rsidRDefault="007252DF" w:rsidP="0022691D">
            <w:pPr>
              <w:jc w:val="center"/>
              <w:rPr>
                <w:rFonts w:eastAsia="Arial Unicode MS"/>
                <w:sz w:val="22"/>
                <w:szCs w:val="22"/>
              </w:rPr>
            </w:pPr>
            <w:r w:rsidRPr="00676E06">
              <w:rPr>
                <w:rFonts w:eastAsia="Arial Unicode MS"/>
                <w:sz w:val="22"/>
                <w:szCs w:val="22"/>
              </w:rPr>
              <w:t>X</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BA3ED73" w14:textId="581B7601" w:rsidR="007252DF" w:rsidRPr="00676E06" w:rsidRDefault="00F94BEC" w:rsidP="00611D32">
            <w:pPr>
              <w:jc w:val="center"/>
              <w:rPr>
                <w:rFonts w:eastAsia="Arial Unicode MS"/>
                <w:sz w:val="22"/>
                <w:szCs w:val="22"/>
              </w:rPr>
            </w:pPr>
            <w:r w:rsidRPr="00676E06">
              <w:rPr>
                <w:sz w:val="22"/>
                <w:szCs w:val="22"/>
              </w:rPr>
              <w:t>2 161 200</w:t>
            </w:r>
            <w:r w:rsidR="005D3EA7" w:rsidRPr="00676E06">
              <w:rPr>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7AD91FC7" w14:textId="77777777" w:rsidR="007252DF" w:rsidRPr="00676E06" w:rsidRDefault="007252DF" w:rsidP="0022691D">
            <w:pPr>
              <w:ind w:left="-30"/>
              <w:jc w:val="center"/>
              <w:rPr>
                <w:b/>
                <w:sz w:val="22"/>
                <w:szCs w:val="22"/>
              </w:rPr>
            </w:pPr>
            <w:r w:rsidRPr="00676E06">
              <w:rPr>
                <w:rFonts w:eastAsia="Arial Unicode MS"/>
                <w:sz w:val="22"/>
                <w:szCs w:val="22"/>
              </w:rPr>
              <w:t>X</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6A50EAC" w14:textId="77777777" w:rsidR="007252DF" w:rsidRPr="00676E06" w:rsidRDefault="007252DF" w:rsidP="0022691D">
            <w:pPr>
              <w:ind w:left="-30"/>
              <w:jc w:val="center"/>
              <w:rPr>
                <w:rFonts w:eastAsia="Arial Unicode MS"/>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530E694" w14:textId="77777777" w:rsidR="007252DF" w:rsidRPr="00676E06" w:rsidRDefault="007252DF" w:rsidP="0022691D">
            <w:pPr>
              <w:ind w:left="-30"/>
              <w:jc w:val="center"/>
              <w:rPr>
                <w:b/>
                <w:sz w:val="22"/>
                <w:szCs w:val="22"/>
              </w:rPr>
            </w:pPr>
            <w:r w:rsidRPr="00676E06">
              <w:rPr>
                <w:rFonts w:eastAsia="Arial Unicode MS"/>
                <w:sz w:val="22"/>
                <w:szCs w:val="22"/>
              </w:rPr>
              <w:t>X</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00A8C9D" w14:textId="77777777" w:rsidR="007252DF" w:rsidRPr="00676E06" w:rsidRDefault="007252DF" w:rsidP="0022691D">
            <w:pPr>
              <w:ind w:left="-30"/>
              <w:jc w:val="center"/>
              <w:rPr>
                <w:rFonts w:eastAsia="Arial Unicode MS"/>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1FC13C80" w14:textId="77777777" w:rsidR="007252DF" w:rsidRPr="00676E06" w:rsidRDefault="007252DF" w:rsidP="0022691D">
            <w:pPr>
              <w:ind w:left="-30"/>
              <w:jc w:val="center"/>
              <w:rPr>
                <w:b/>
                <w:sz w:val="22"/>
                <w:szCs w:val="22"/>
              </w:rPr>
            </w:pPr>
            <w:r w:rsidRPr="00676E06">
              <w:rPr>
                <w:rFonts w:eastAsia="Arial Unicode MS"/>
                <w:sz w:val="22"/>
                <w:szCs w:val="22"/>
              </w:rPr>
              <w:t>X</w:t>
            </w:r>
          </w:p>
        </w:tc>
      </w:tr>
      <w:tr w:rsidR="00676E06" w:rsidRPr="00676E06" w14:paraId="6818E0E0" w14:textId="77777777" w:rsidTr="00611D32">
        <w:trPr>
          <w:gridAfter w:val="1"/>
          <w:wAfter w:w="6" w:type="dxa"/>
        </w:trPr>
        <w:tc>
          <w:tcPr>
            <w:tcW w:w="1578" w:type="dxa"/>
            <w:tcBorders>
              <w:top w:val="single" w:sz="4" w:space="0" w:color="auto"/>
              <w:left w:val="single" w:sz="4" w:space="0" w:color="auto"/>
              <w:bottom w:val="single" w:sz="4" w:space="0" w:color="auto"/>
              <w:right w:val="single" w:sz="4" w:space="0" w:color="auto"/>
            </w:tcBorders>
            <w:shd w:val="clear" w:color="auto" w:fill="auto"/>
          </w:tcPr>
          <w:p w14:paraId="123EA74C" w14:textId="77777777" w:rsidR="007252DF" w:rsidRPr="00676E06" w:rsidRDefault="007252DF" w:rsidP="0022691D">
            <w:pPr>
              <w:rPr>
                <w:sz w:val="22"/>
                <w:szCs w:val="22"/>
                <w:lang w:eastAsia="ja-JP"/>
              </w:rPr>
            </w:pPr>
            <w:r w:rsidRPr="00676E06">
              <w:rPr>
                <w:sz w:val="22"/>
                <w:szCs w:val="22"/>
                <w:lang w:eastAsia="ja-JP"/>
              </w:rPr>
              <w:t>5. Precizēta finansiālā ietekme: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8A4DAF7" w14:textId="77777777" w:rsidR="007252DF" w:rsidRPr="00676E06" w:rsidRDefault="007252DF" w:rsidP="0022691D">
            <w:pPr>
              <w:jc w:val="center"/>
              <w:rPr>
                <w:sz w:val="22"/>
                <w:szCs w:val="22"/>
              </w:rPr>
            </w:pPr>
            <w:r w:rsidRPr="00676E06">
              <w:rPr>
                <w:sz w:val="22"/>
                <w:szCs w:val="22"/>
              </w:rPr>
              <w:t>X</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23681DA" w14:textId="14C72B81" w:rsidR="007252DF" w:rsidRPr="00676E06" w:rsidRDefault="007B1644" w:rsidP="007B1644">
            <w:pPr>
              <w:jc w:val="center"/>
              <w:rPr>
                <w:rFonts w:eastAsia="Arial Unicode MS"/>
                <w:sz w:val="22"/>
                <w:szCs w:val="22"/>
              </w:rPr>
            </w:pPr>
            <w:r w:rsidRPr="00676E06">
              <w:rPr>
                <w:rFonts w:eastAsia="Arial Unicode MS"/>
                <w:sz w:val="22"/>
                <w:szCs w:val="22"/>
              </w:rPr>
              <w:t>0</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020395A" w14:textId="77777777" w:rsidR="007252DF" w:rsidRPr="00676E06" w:rsidRDefault="007252DF" w:rsidP="0022691D">
            <w:pPr>
              <w:jc w:val="center"/>
              <w:rPr>
                <w:sz w:val="22"/>
                <w:szCs w:val="22"/>
              </w:rPr>
            </w:pPr>
            <w:r w:rsidRPr="00676E06">
              <w:rPr>
                <w:rFonts w:eastAsia="Arial Unicode MS"/>
                <w:sz w:val="22"/>
                <w:szCs w:val="22"/>
              </w:rPr>
              <w:t>X</w:t>
            </w: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6F44EB2A" w14:textId="68EE1FFC" w:rsidR="007252DF" w:rsidRPr="00676E06" w:rsidRDefault="0059567A" w:rsidP="0022691D">
            <w:pPr>
              <w:jc w:val="center"/>
              <w:rPr>
                <w:rFonts w:eastAsia="Arial Unicode MS"/>
                <w:sz w:val="22"/>
                <w:szCs w:val="22"/>
              </w:rPr>
            </w:pPr>
            <w:r w:rsidRPr="00676E06">
              <w:rPr>
                <w:rFonts w:eastAsia="Arial Unicode MS"/>
                <w:sz w:val="22"/>
                <w:szCs w:val="22"/>
              </w:rPr>
              <w:t>0</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1FEA74F" w14:textId="77777777" w:rsidR="007252DF" w:rsidRPr="00676E06" w:rsidRDefault="007252DF" w:rsidP="0022691D">
            <w:pPr>
              <w:jc w:val="center"/>
              <w:rPr>
                <w:sz w:val="22"/>
                <w:szCs w:val="22"/>
              </w:rPr>
            </w:pPr>
            <w:r w:rsidRPr="00676E06">
              <w:rPr>
                <w:rFonts w:eastAsia="Arial Unicode MS"/>
                <w:sz w:val="22"/>
                <w:szCs w:val="22"/>
              </w:rPr>
              <w:t>X</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165517F" w14:textId="77777777" w:rsidR="007252DF" w:rsidRPr="00676E06" w:rsidRDefault="007252DF" w:rsidP="0022691D">
            <w:pPr>
              <w:jc w:val="center"/>
              <w:rPr>
                <w:rFonts w:eastAsia="Arial Unicode MS"/>
                <w:sz w:val="22"/>
                <w:szCs w:val="22"/>
              </w:rPr>
            </w:pPr>
            <w:r w:rsidRPr="00676E06">
              <w:rPr>
                <w:rFonts w:eastAsia="Arial Unicode MS"/>
                <w:sz w:val="22"/>
                <w:szCs w:val="22"/>
              </w:rPr>
              <w:t>0</w:t>
            </w:r>
          </w:p>
        </w:tc>
        <w:tc>
          <w:tcPr>
            <w:tcW w:w="1318" w:type="dxa"/>
            <w:tcBorders>
              <w:top w:val="single" w:sz="4" w:space="0" w:color="auto"/>
              <w:left w:val="single" w:sz="4" w:space="0" w:color="auto"/>
              <w:bottom w:val="single" w:sz="4" w:space="0" w:color="auto"/>
              <w:right w:val="single" w:sz="4" w:space="0" w:color="auto"/>
            </w:tcBorders>
            <w:shd w:val="clear" w:color="auto" w:fill="auto"/>
          </w:tcPr>
          <w:p w14:paraId="06F46023" w14:textId="77777777" w:rsidR="007252DF" w:rsidRPr="00676E06" w:rsidRDefault="007252DF" w:rsidP="0022691D">
            <w:pPr>
              <w:jc w:val="center"/>
              <w:rPr>
                <w:sz w:val="22"/>
                <w:szCs w:val="22"/>
              </w:rPr>
            </w:pPr>
            <w:r w:rsidRPr="00676E06">
              <w:rPr>
                <w:rFonts w:eastAsia="Arial Unicode MS"/>
                <w:sz w:val="22"/>
                <w:szCs w:val="22"/>
              </w:rPr>
              <w:t>X</w:t>
            </w:r>
          </w:p>
        </w:tc>
      </w:tr>
      <w:tr w:rsidR="00676E06" w:rsidRPr="00676E06" w14:paraId="334BC208" w14:textId="77777777" w:rsidTr="00611D32">
        <w:tc>
          <w:tcPr>
            <w:tcW w:w="1578" w:type="dxa"/>
            <w:tcBorders>
              <w:top w:val="single" w:sz="4" w:space="0" w:color="auto"/>
              <w:left w:val="single" w:sz="4" w:space="0" w:color="auto"/>
              <w:bottom w:val="single" w:sz="4" w:space="0" w:color="auto"/>
              <w:right w:val="single" w:sz="4" w:space="0" w:color="auto"/>
            </w:tcBorders>
            <w:shd w:val="clear" w:color="auto" w:fill="auto"/>
          </w:tcPr>
          <w:p w14:paraId="1D77DA21" w14:textId="77777777" w:rsidR="007252DF" w:rsidRPr="00676E06" w:rsidRDefault="007252DF" w:rsidP="0022691D">
            <w:pPr>
              <w:rPr>
                <w:iCs/>
                <w:sz w:val="22"/>
                <w:szCs w:val="22"/>
              </w:rPr>
            </w:pPr>
            <w:r w:rsidRPr="00676E06">
              <w:rPr>
                <w:iCs/>
                <w:sz w:val="22"/>
                <w:szCs w:val="22"/>
              </w:rPr>
              <w:t>6. Detalizēts ieņēmumu un izdevumu aprēķins (ja nepieciešams, detalizētu ieņēmumu un izdevumu aprēķinu var pievienot anotācijas pielikumā):</w:t>
            </w:r>
          </w:p>
        </w:tc>
        <w:tc>
          <w:tcPr>
            <w:tcW w:w="8670" w:type="dxa"/>
            <w:gridSpan w:val="8"/>
            <w:vMerge w:val="restart"/>
            <w:tcBorders>
              <w:top w:val="single" w:sz="4" w:space="0" w:color="auto"/>
              <w:left w:val="single" w:sz="4" w:space="0" w:color="auto"/>
              <w:right w:val="single" w:sz="4" w:space="0" w:color="auto"/>
            </w:tcBorders>
            <w:shd w:val="clear" w:color="auto" w:fill="auto"/>
          </w:tcPr>
          <w:p w14:paraId="408781F4" w14:textId="471479C4" w:rsidR="00611D32" w:rsidRPr="00676E06" w:rsidRDefault="00611D32" w:rsidP="00611D32">
            <w:pPr>
              <w:spacing w:after="120"/>
              <w:jc w:val="both"/>
              <w:rPr>
                <w:iCs/>
                <w:sz w:val="22"/>
              </w:rPr>
            </w:pPr>
            <w:r w:rsidRPr="00676E06">
              <w:rPr>
                <w:iCs/>
                <w:sz w:val="22"/>
              </w:rPr>
              <w:t>*</w:t>
            </w:r>
            <w:r w:rsidR="008E381A" w:rsidRPr="00676E06">
              <w:rPr>
                <w:iCs/>
                <w:sz w:val="22"/>
              </w:rPr>
              <w:t xml:space="preserve">Saskaņā ar </w:t>
            </w:r>
            <w:r w:rsidRPr="00676E06">
              <w:rPr>
                <w:iCs/>
                <w:sz w:val="22"/>
              </w:rPr>
              <w:t>2021.gada 11.janvāra MK rīkojumu Nr.15 “Par finanšu līdzekļu piešķiršanu no valsts budžeta programmas “Līdzekļi neparedzētiem gadījumiem””</w:t>
            </w:r>
            <w:r w:rsidR="00112306" w:rsidRPr="00676E06">
              <w:rPr>
                <w:iCs/>
                <w:sz w:val="22"/>
              </w:rPr>
              <w:t xml:space="preserve">, kā arī </w:t>
            </w:r>
            <w:r w:rsidR="00112306" w:rsidRPr="00676E06">
              <w:t xml:space="preserve"> s</w:t>
            </w:r>
            <w:r w:rsidR="00112306" w:rsidRPr="00676E06">
              <w:rPr>
                <w:iCs/>
                <w:sz w:val="22"/>
              </w:rPr>
              <w:t>askaņā ar Finanšu ministrijas 2021.gada 14.janvāra rīkojumu Nr.18 “Par līdzekļu piešķiršanu” un  Finanšu ministrijas 2021.gada 9.februāra rīkojumu Nr. 78 “Par līdzekļu piešķiršanu”.</w:t>
            </w:r>
          </w:p>
          <w:p w14:paraId="04BA8721" w14:textId="77777777" w:rsidR="00611D32" w:rsidRPr="00676E06" w:rsidRDefault="00611D32" w:rsidP="0022691D">
            <w:pPr>
              <w:jc w:val="both"/>
            </w:pPr>
          </w:p>
          <w:p w14:paraId="19F7D4EB" w14:textId="421A4449" w:rsidR="007252DF" w:rsidRPr="00676E06" w:rsidRDefault="007252DF" w:rsidP="0022691D">
            <w:pPr>
              <w:jc w:val="both"/>
            </w:pPr>
            <w:r w:rsidRPr="00676E06">
              <w:t>Nav.</w:t>
            </w:r>
          </w:p>
          <w:p w14:paraId="53B0064C" w14:textId="77777777" w:rsidR="007252DF" w:rsidRPr="00676E06" w:rsidRDefault="007252DF" w:rsidP="0022691D">
            <w:pPr>
              <w:jc w:val="both"/>
            </w:pPr>
          </w:p>
          <w:p w14:paraId="22EE8407" w14:textId="77777777" w:rsidR="007252DF" w:rsidRPr="00676E06" w:rsidRDefault="007252DF" w:rsidP="0022691D">
            <w:pPr>
              <w:jc w:val="both"/>
            </w:pPr>
          </w:p>
        </w:tc>
      </w:tr>
      <w:tr w:rsidR="00676E06" w:rsidRPr="00676E06" w14:paraId="00293D9F" w14:textId="77777777" w:rsidTr="00611D32">
        <w:tc>
          <w:tcPr>
            <w:tcW w:w="1578" w:type="dxa"/>
            <w:tcBorders>
              <w:top w:val="single" w:sz="4" w:space="0" w:color="auto"/>
              <w:left w:val="single" w:sz="4" w:space="0" w:color="auto"/>
              <w:bottom w:val="single" w:sz="4" w:space="0" w:color="auto"/>
              <w:right w:val="single" w:sz="4" w:space="0" w:color="auto"/>
            </w:tcBorders>
            <w:shd w:val="clear" w:color="auto" w:fill="auto"/>
          </w:tcPr>
          <w:p w14:paraId="7C5F7D4D" w14:textId="77777777" w:rsidR="007252DF" w:rsidRPr="00676E06" w:rsidRDefault="007252DF" w:rsidP="0022691D">
            <w:pPr>
              <w:rPr>
                <w:iCs/>
                <w:sz w:val="22"/>
                <w:szCs w:val="22"/>
              </w:rPr>
            </w:pPr>
            <w:r w:rsidRPr="00676E06">
              <w:rPr>
                <w:iCs/>
                <w:sz w:val="22"/>
                <w:szCs w:val="22"/>
              </w:rPr>
              <w:t>6.1. detalizēts ieņēmumu aprēķins</w:t>
            </w:r>
          </w:p>
        </w:tc>
        <w:tc>
          <w:tcPr>
            <w:tcW w:w="8670" w:type="dxa"/>
            <w:gridSpan w:val="8"/>
            <w:vMerge/>
            <w:tcBorders>
              <w:bottom w:val="single" w:sz="4" w:space="0" w:color="auto"/>
            </w:tcBorders>
            <w:shd w:val="clear" w:color="auto" w:fill="auto"/>
          </w:tcPr>
          <w:p w14:paraId="7656EF5A" w14:textId="77777777" w:rsidR="007252DF" w:rsidRPr="00676E06" w:rsidRDefault="007252DF" w:rsidP="0022691D">
            <w:pPr>
              <w:pStyle w:val="ListParagraph"/>
              <w:tabs>
                <w:tab w:val="left" w:pos="317"/>
              </w:tabs>
              <w:ind w:left="34"/>
              <w:jc w:val="both"/>
              <w:rPr>
                <w:iCs/>
              </w:rPr>
            </w:pPr>
          </w:p>
        </w:tc>
      </w:tr>
      <w:tr w:rsidR="00676E06" w:rsidRPr="00676E06" w14:paraId="5DF70A15" w14:textId="77777777" w:rsidTr="00611D32">
        <w:tc>
          <w:tcPr>
            <w:tcW w:w="1578" w:type="dxa"/>
            <w:tcBorders>
              <w:top w:val="single" w:sz="4" w:space="0" w:color="auto"/>
              <w:left w:val="single" w:sz="4" w:space="0" w:color="auto"/>
              <w:bottom w:val="single" w:sz="4" w:space="0" w:color="auto"/>
              <w:right w:val="single" w:sz="4" w:space="0" w:color="auto"/>
            </w:tcBorders>
            <w:shd w:val="clear" w:color="auto" w:fill="auto"/>
          </w:tcPr>
          <w:p w14:paraId="492D9BDB" w14:textId="77777777" w:rsidR="007252DF" w:rsidRPr="00676E06" w:rsidRDefault="007252DF" w:rsidP="0022691D">
            <w:pPr>
              <w:rPr>
                <w:sz w:val="26"/>
                <w:szCs w:val="26"/>
              </w:rPr>
            </w:pPr>
            <w:r w:rsidRPr="00676E06">
              <w:rPr>
                <w:sz w:val="22"/>
                <w:szCs w:val="22"/>
              </w:rPr>
              <w:t>6.2. detalizēts izdevumu aprēķins</w:t>
            </w:r>
            <w:r w:rsidRPr="00676E06">
              <w:rPr>
                <w:sz w:val="26"/>
                <w:szCs w:val="26"/>
              </w:rPr>
              <w:t xml:space="preserve"> </w:t>
            </w:r>
          </w:p>
        </w:tc>
        <w:tc>
          <w:tcPr>
            <w:tcW w:w="8670" w:type="dxa"/>
            <w:gridSpan w:val="8"/>
            <w:tcBorders>
              <w:top w:val="single" w:sz="4" w:space="0" w:color="auto"/>
            </w:tcBorders>
            <w:shd w:val="clear" w:color="auto" w:fill="auto"/>
          </w:tcPr>
          <w:p w14:paraId="4F273A7C" w14:textId="06A6FB64" w:rsidR="000A15EF" w:rsidRPr="00676E06" w:rsidRDefault="00611D32" w:rsidP="002E6479">
            <w:pPr>
              <w:spacing w:after="120"/>
              <w:jc w:val="both"/>
              <w:rPr>
                <w:sz w:val="22"/>
                <w:szCs w:val="22"/>
              </w:rPr>
            </w:pPr>
            <w:r w:rsidRPr="00676E06">
              <w:rPr>
                <w:sz w:val="22"/>
                <w:szCs w:val="22"/>
              </w:rPr>
              <w:t xml:space="preserve">Uz 2021.gada </w:t>
            </w:r>
            <w:r w:rsidR="00FB66F6" w:rsidRPr="00676E06">
              <w:rPr>
                <w:sz w:val="22"/>
                <w:szCs w:val="22"/>
              </w:rPr>
              <w:t>21</w:t>
            </w:r>
            <w:r w:rsidRPr="00676E06">
              <w:rPr>
                <w:sz w:val="22"/>
                <w:szCs w:val="22"/>
              </w:rPr>
              <w:t xml:space="preserve">. martu, piemaksu izmaksai </w:t>
            </w:r>
            <w:r w:rsidR="00727B8B" w:rsidRPr="00676E06">
              <w:t xml:space="preserve"> izlietoti  1 595 839 </w:t>
            </w:r>
            <w:proofErr w:type="spellStart"/>
            <w:r w:rsidR="00727B8B" w:rsidRPr="00676E06">
              <w:rPr>
                <w:i/>
              </w:rPr>
              <w:t>euro</w:t>
            </w:r>
            <w:proofErr w:type="spellEnd"/>
            <w:r w:rsidR="00727B8B" w:rsidRPr="00676E06">
              <w:rPr>
                <w:i/>
              </w:rPr>
              <w:t xml:space="preserve">, </w:t>
            </w:r>
            <w:r w:rsidR="00727B8B" w:rsidRPr="00676E06">
              <w:t>kas ir</w:t>
            </w:r>
            <w:r w:rsidR="00727B8B" w:rsidRPr="00676E06">
              <w:rPr>
                <w:i/>
              </w:rPr>
              <w:t xml:space="preserve"> </w:t>
            </w:r>
            <w:r w:rsidR="00727B8B" w:rsidRPr="00676E06">
              <w:t>118,2%</w:t>
            </w:r>
            <w:r w:rsidR="00727B8B" w:rsidRPr="00676E06">
              <w:rPr>
                <w:sz w:val="22"/>
                <w:szCs w:val="22"/>
              </w:rPr>
              <w:t xml:space="preserve"> </w:t>
            </w:r>
            <w:r w:rsidRPr="00676E06">
              <w:rPr>
                <w:sz w:val="22"/>
                <w:szCs w:val="22"/>
              </w:rPr>
              <w:t>no  MK piešķirtā finansējuma 2021.gadam</w:t>
            </w:r>
            <w:r w:rsidR="00D13171" w:rsidRPr="00676E06">
              <w:rPr>
                <w:sz w:val="22"/>
                <w:szCs w:val="22"/>
              </w:rPr>
              <w:t xml:space="preserve">, no tā līdz janvāra beigām </w:t>
            </w:r>
            <w:r w:rsidR="00BE15A2" w:rsidRPr="00676E06">
              <w:rPr>
                <w:sz w:val="22"/>
                <w:szCs w:val="22"/>
              </w:rPr>
              <w:t xml:space="preserve"> izlietoti </w:t>
            </w:r>
            <w:r w:rsidR="00D13171" w:rsidRPr="00676E06">
              <w:rPr>
                <w:sz w:val="22"/>
                <w:szCs w:val="22"/>
              </w:rPr>
              <w:t>452</w:t>
            </w:r>
            <w:r w:rsidR="004F79BB" w:rsidRPr="00676E06">
              <w:rPr>
                <w:sz w:val="22"/>
                <w:szCs w:val="22"/>
              </w:rPr>
              <w:t xml:space="preserve"> 252</w:t>
            </w:r>
            <w:r w:rsidR="00D13171" w:rsidRPr="00676E06">
              <w:rPr>
                <w:sz w:val="22"/>
                <w:szCs w:val="22"/>
              </w:rPr>
              <w:t>, februārī – 261</w:t>
            </w:r>
            <w:r w:rsidR="00786FCC" w:rsidRPr="00676E06">
              <w:rPr>
                <w:sz w:val="22"/>
                <w:szCs w:val="22"/>
              </w:rPr>
              <w:t xml:space="preserve"> </w:t>
            </w:r>
            <w:r w:rsidR="004F79BB" w:rsidRPr="00676E06">
              <w:rPr>
                <w:sz w:val="22"/>
                <w:szCs w:val="22"/>
              </w:rPr>
              <w:t xml:space="preserve">252 </w:t>
            </w:r>
            <w:r w:rsidR="00D13171" w:rsidRPr="00676E06">
              <w:rPr>
                <w:sz w:val="22"/>
                <w:szCs w:val="22"/>
              </w:rPr>
              <w:t xml:space="preserve">un marta </w:t>
            </w:r>
            <w:r w:rsidR="00D93E91" w:rsidRPr="00676E06">
              <w:rPr>
                <w:sz w:val="22"/>
                <w:szCs w:val="22"/>
              </w:rPr>
              <w:t>trīs</w:t>
            </w:r>
            <w:r w:rsidR="00CF7FD9" w:rsidRPr="00676E06">
              <w:rPr>
                <w:sz w:val="22"/>
                <w:szCs w:val="22"/>
              </w:rPr>
              <w:t xml:space="preserve"> </w:t>
            </w:r>
            <w:r w:rsidR="00D13171" w:rsidRPr="00676E06">
              <w:rPr>
                <w:sz w:val="22"/>
                <w:szCs w:val="22"/>
              </w:rPr>
              <w:t>nedēļā</w:t>
            </w:r>
            <w:r w:rsidR="00CF7FD9" w:rsidRPr="00676E06">
              <w:rPr>
                <w:sz w:val="22"/>
                <w:szCs w:val="22"/>
              </w:rPr>
              <w:t>s</w:t>
            </w:r>
            <w:r w:rsidR="00D13171" w:rsidRPr="00676E06">
              <w:rPr>
                <w:sz w:val="22"/>
                <w:szCs w:val="22"/>
              </w:rPr>
              <w:t xml:space="preserve"> – jau </w:t>
            </w:r>
            <w:r w:rsidR="00786FCC" w:rsidRPr="00676E06">
              <w:rPr>
                <w:sz w:val="22"/>
                <w:szCs w:val="22"/>
              </w:rPr>
              <w:t>882 33</w:t>
            </w:r>
            <w:r w:rsidR="00D93E91" w:rsidRPr="00676E06">
              <w:rPr>
                <w:sz w:val="22"/>
                <w:szCs w:val="22"/>
              </w:rPr>
              <w:t>5</w:t>
            </w:r>
            <w:r w:rsidR="00CF7FD9" w:rsidRPr="00676E06">
              <w:rPr>
                <w:i/>
                <w:sz w:val="22"/>
                <w:szCs w:val="22"/>
              </w:rPr>
              <w:t xml:space="preserve"> </w:t>
            </w:r>
            <w:proofErr w:type="spellStart"/>
            <w:r w:rsidR="00E43E3C" w:rsidRPr="00676E06">
              <w:rPr>
                <w:i/>
                <w:sz w:val="22"/>
                <w:szCs w:val="22"/>
              </w:rPr>
              <w:t>euro</w:t>
            </w:r>
            <w:proofErr w:type="spellEnd"/>
            <w:r w:rsidR="00AE5B46" w:rsidRPr="00676E06">
              <w:rPr>
                <w:sz w:val="22"/>
                <w:szCs w:val="22"/>
              </w:rPr>
              <w:t xml:space="preserve">, kas ir </w:t>
            </w:r>
            <w:r w:rsidR="00786FCC" w:rsidRPr="00676E06">
              <w:rPr>
                <w:sz w:val="22"/>
                <w:szCs w:val="22"/>
              </w:rPr>
              <w:t>3,4</w:t>
            </w:r>
            <w:r w:rsidR="00CF7FD9" w:rsidRPr="00676E06">
              <w:rPr>
                <w:sz w:val="22"/>
                <w:szCs w:val="22"/>
              </w:rPr>
              <w:t xml:space="preserve"> reizes</w:t>
            </w:r>
            <w:r w:rsidR="00AE5B46" w:rsidRPr="00676E06">
              <w:rPr>
                <w:sz w:val="22"/>
                <w:szCs w:val="22"/>
              </w:rPr>
              <w:t xml:space="preserve"> vairāk kā februārī kopumā. </w:t>
            </w:r>
          </w:p>
          <w:p w14:paraId="72E63F5C" w14:textId="419DC53D" w:rsidR="00705A87" w:rsidRPr="00676E06" w:rsidRDefault="007252DF" w:rsidP="00705A87">
            <w:pPr>
              <w:spacing w:after="120"/>
              <w:jc w:val="both"/>
              <w:rPr>
                <w:iCs/>
                <w:sz w:val="22"/>
                <w:szCs w:val="22"/>
              </w:rPr>
            </w:pPr>
            <w:r w:rsidRPr="00676E06">
              <w:rPr>
                <w:iCs/>
                <w:sz w:val="22"/>
                <w:szCs w:val="22"/>
              </w:rPr>
              <w:t xml:space="preserve">Ņemot vērā  kārtību, kādā pieprasa un piešķir dīkstāves atbalstu </w:t>
            </w:r>
            <w:r w:rsidR="00237D5B" w:rsidRPr="00676E06">
              <w:rPr>
                <w:iCs/>
                <w:sz w:val="22"/>
                <w:szCs w:val="22"/>
              </w:rPr>
              <w:t>(</w:t>
            </w:r>
            <w:r w:rsidRPr="00676E06">
              <w:rPr>
                <w:iCs/>
                <w:sz w:val="22"/>
                <w:szCs w:val="22"/>
              </w:rPr>
              <w:t xml:space="preserve">  darba devējs</w:t>
            </w:r>
            <w:r w:rsidR="00237D5B" w:rsidRPr="00676E06">
              <w:rPr>
                <w:iCs/>
                <w:sz w:val="22"/>
                <w:szCs w:val="22"/>
              </w:rPr>
              <w:t xml:space="preserve"> </w:t>
            </w:r>
            <w:r w:rsidRPr="00676E06">
              <w:rPr>
                <w:iCs/>
                <w:sz w:val="22"/>
                <w:szCs w:val="22"/>
              </w:rPr>
              <w:t xml:space="preserve">līdz </w:t>
            </w:r>
            <w:r w:rsidR="00611D32" w:rsidRPr="00676E06">
              <w:rPr>
                <w:iCs/>
                <w:sz w:val="22"/>
                <w:szCs w:val="22"/>
              </w:rPr>
              <w:t xml:space="preserve">kalendārā </w:t>
            </w:r>
            <w:r w:rsidRPr="00676E06">
              <w:rPr>
                <w:iCs/>
                <w:sz w:val="22"/>
                <w:szCs w:val="22"/>
              </w:rPr>
              <w:t>gada 15. </w:t>
            </w:r>
            <w:r w:rsidR="00611D32" w:rsidRPr="00676E06">
              <w:rPr>
                <w:iCs/>
                <w:sz w:val="22"/>
                <w:szCs w:val="22"/>
              </w:rPr>
              <w:t>datuma</w:t>
            </w:r>
            <w:r w:rsidR="00237D5B" w:rsidRPr="00676E06">
              <w:rPr>
                <w:iCs/>
                <w:sz w:val="22"/>
                <w:szCs w:val="22"/>
              </w:rPr>
              <w:t>m</w:t>
            </w:r>
            <w:r w:rsidR="00611D32" w:rsidRPr="00676E06">
              <w:rPr>
                <w:iCs/>
                <w:sz w:val="22"/>
                <w:szCs w:val="22"/>
              </w:rPr>
              <w:t xml:space="preserve"> </w:t>
            </w:r>
            <w:r w:rsidRPr="00676E06">
              <w:rPr>
                <w:iCs/>
                <w:sz w:val="22"/>
                <w:szCs w:val="22"/>
              </w:rPr>
              <w:t>iesniedz Valsts ieņēmumu dienestā</w:t>
            </w:r>
            <w:r w:rsidR="00705A87" w:rsidRPr="00676E06">
              <w:rPr>
                <w:iCs/>
                <w:sz w:val="22"/>
                <w:szCs w:val="22"/>
              </w:rPr>
              <w:t xml:space="preserve"> (VID)</w:t>
            </w:r>
            <w:r w:rsidRPr="00676E06">
              <w:rPr>
                <w:iCs/>
                <w:sz w:val="22"/>
                <w:szCs w:val="22"/>
              </w:rPr>
              <w:t xml:space="preserve"> attiecīgu </w:t>
            </w:r>
            <w:r w:rsidR="000A15EF" w:rsidRPr="00676E06">
              <w:rPr>
                <w:iCs/>
                <w:sz w:val="22"/>
                <w:szCs w:val="22"/>
              </w:rPr>
              <w:t>ziņojumu</w:t>
            </w:r>
            <w:r w:rsidRPr="00676E06">
              <w:rPr>
                <w:iCs/>
                <w:sz w:val="22"/>
                <w:szCs w:val="22"/>
              </w:rPr>
              <w:t xml:space="preserve"> par </w:t>
            </w:r>
            <w:r w:rsidR="00611D32" w:rsidRPr="00676E06">
              <w:rPr>
                <w:iCs/>
                <w:sz w:val="22"/>
                <w:szCs w:val="22"/>
              </w:rPr>
              <w:t>iepriekšējo mēnesi</w:t>
            </w:r>
            <w:r w:rsidRPr="00676E06">
              <w:rPr>
                <w:iCs/>
                <w:sz w:val="22"/>
                <w:szCs w:val="22"/>
              </w:rPr>
              <w:t xml:space="preserve"> un</w:t>
            </w:r>
            <w:r w:rsidRPr="00676E06">
              <w:rPr>
                <w:rFonts w:ascii="Arial" w:hAnsi="Arial" w:cs="Arial"/>
                <w:sz w:val="22"/>
                <w:szCs w:val="22"/>
                <w:shd w:val="clear" w:color="auto" w:fill="FFFFFF"/>
              </w:rPr>
              <w:t xml:space="preserve"> </w:t>
            </w:r>
            <w:r w:rsidRPr="00676E06">
              <w:rPr>
                <w:sz w:val="22"/>
                <w:szCs w:val="22"/>
                <w:shd w:val="clear" w:color="auto" w:fill="FFFFFF"/>
              </w:rPr>
              <w:t xml:space="preserve">līdz </w:t>
            </w:r>
            <w:r w:rsidR="00611D32" w:rsidRPr="00676E06">
              <w:rPr>
                <w:sz w:val="22"/>
                <w:szCs w:val="22"/>
                <w:shd w:val="clear" w:color="auto" w:fill="FFFFFF"/>
              </w:rPr>
              <w:t xml:space="preserve">nākamā mēneša </w:t>
            </w:r>
            <w:r w:rsidRPr="00676E06">
              <w:rPr>
                <w:sz w:val="22"/>
                <w:szCs w:val="22"/>
                <w:shd w:val="clear" w:color="auto" w:fill="FFFFFF"/>
              </w:rPr>
              <w:t>15. </w:t>
            </w:r>
            <w:r w:rsidR="00611D32" w:rsidRPr="00676E06">
              <w:rPr>
                <w:sz w:val="22"/>
                <w:szCs w:val="22"/>
                <w:shd w:val="clear" w:color="auto" w:fill="FFFFFF"/>
              </w:rPr>
              <w:t xml:space="preserve">datumam </w:t>
            </w:r>
            <w:r w:rsidRPr="00676E06">
              <w:rPr>
                <w:sz w:val="22"/>
                <w:szCs w:val="22"/>
                <w:shd w:val="clear" w:color="auto" w:fill="FFFFFF"/>
              </w:rPr>
              <w:t>– attiecīgu iesniegumu</w:t>
            </w:r>
            <w:r w:rsidR="000A15EF" w:rsidRPr="00676E06">
              <w:rPr>
                <w:sz w:val="22"/>
                <w:szCs w:val="22"/>
                <w:shd w:val="clear" w:color="auto" w:fill="FFFFFF"/>
              </w:rPr>
              <w:t xml:space="preserve"> atbalstam </w:t>
            </w:r>
            <w:r w:rsidRPr="00676E06">
              <w:rPr>
                <w:iCs/>
                <w:sz w:val="22"/>
                <w:szCs w:val="22"/>
              </w:rPr>
              <w:t>(kā arī darba devējs vēl var precizēt ziņas par iepriekšējā mēnesī iesniegto informāciju</w:t>
            </w:r>
            <w:r w:rsidR="00237D5B" w:rsidRPr="00676E06">
              <w:rPr>
                <w:iCs/>
                <w:sz w:val="22"/>
                <w:szCs w:val="22"/>
              </w:rPr>
              <w:t xml:space="preserve">; savukārt  </w:t>
            </w:r>
            <w:proofErr w:type="spellStart"/>
            <w:r w:rsidR="00237D5B" w:rsidRPr="00676E06">
              <w:rPr>
                <w:iCs/>
                <w:sz w:val="22"/>
                <w:szCs w:val="22"/>
              </w:rPr>
              <w:t>pašnodarbinātā</w:t>
            </w:r>
            <w:proofErr w:type="spellEnd"/>
            <w:r w:rsidR="00237D5B" w:rsidRPr="00676E06">
              <w:rPr>
                <w:iCs/>
                <w:sz w:val="22"/>
                <w:szCs w:val="22"/>
              </w:rPr>
              <w:t xml:space="preserve"> persona vai </w:t>
            </w:r>
            <w:proofErr w:type="spellStart"/>
            <w:r w:rsidR="00237D5B" w:rsidRPr="00676E06">
              <w:rPr>
                <w:iCs/>
                <w:sz w:val="22"/>
                <w:szCs w:val="22"/>
              </w:rPr>
              <w:t>patentmaksātājs</w:t>
            </w:r>
            <w:proofErr w:type="spellEnd"/>
            <w:r w:rsidR="00237D5B" w:rsidRPr="00676E06">
              <w:rPr>
                <w:iCs/>
                <w:sz w:val="22"/>
                <w:szCs w:val="22"/>
              </w:rPr>
              <w:t xml:space="preserve"> līdz kalendārā gada 15. datuma</w:t>
            </w:r>
            <w:r w:rsidR="00C01C49" w:rsidRPr="00676E06">
              <w:rPr>
                <w:iCs/>
                <w:sz w:val="22"/>
                <w:szCs w:val="22"/>
              </w:rPr>
              <w:t>m</w:t>
            </w:r>
            <w:r w:rsidR="00237D5B" w:rsidRPr="00676E06">
              <w:rPr>
                <w:iCs/>
                <w:sz w:val="22"/>
                <w:szCs w:val="22"/>
              </w:rPr>
              <w:t xml:space="preserve"> VID iesniedz attiecīgu iesniegumu</w:t>
            </w:r>
            <w:r w:rsidRPr="00676E06">
              <w:rPr>
                <w:iCs/>
                <w:sz w:val="22"/>
                <w:szCs w:val="22"/>
              </w:rPr>
              <w:t>)</w:t>
            </w:r>
            <w:r w:rsidR="000A15EF" w:rsidRPr="00676E06">
              <w:rPr>
                <w:iCs/>
                <w:sz w:val="22"/>
                <w:szCs w:val="22"/>
              </w:rPr>
              <w:t>, personai</w:t>
            </w:r>
            <w:r w:rsidRPr="00676E06">
              <w:rPr>
                <w:iCs/>
                <w:sz w:val="22"/>
                <w:szCs w:val="22"/>
              </w:rPr>
              <w:t xml:space="preserve"> </w:t>
            </w:r>
            <w:r w:rsidR="00D13E26" w:rsidRPr="00676E06">
              <w:rPr>
                <w:iCs/>
                <w:sz w:val="22"/>
                <w:szCs w:val="22"/>
              </w:rPr>
              <w:t>Valsts sociālās apdrošināšanas aģentūra (</w:t>
            </w:r>
            <w:r w:rsidRPr="00676E06">
              <w:rPr>
                <w:iCs/>
                <w:sz w:val="22"/>
                <w:szCs w:val="22"/>
              </w:rPr>
              <w:t>VSAA</w:t>
            </w:r>
            <w:r w:rsidR="00D13E26" w:rsidRPr="00676E06">
              <w:rPr>
                <w:iCs/>
                <w:sz w:val="22"/>
                <w:szCs w:val="22"/>
              </w:rPr>
              <w:t>)</w:t>
            </w:r>
            <w:r w:rsidRPr="00676E06">
              <w:rPr>
                <w:iCs/>
                <w:sz w:val="22"/>
                <w:szCs w:val="22"/>
              </w:rPr>
              <w:t xml:space="preserve"> piemaksu pie dīkstāves atbalsta par apgādībā esošu bērnu</w:t>
            </w:r>
            <w:r w:rsidR="000A15EF" w:rsidRPr="00676E06">
              <w:rPr>
                <w:iCs/>
                <w:sz w:val="22"/>
                <w:szCs w:val="22"/>
              </w:rPr>
              <w:t xml:space="preserve"> var</w:t>
            </w:r>
            <w:r w:rsidRPr="00676E06">
              <w:rPr>
                <w:iCs/>
                <w:sz w:val="22"/>
                <w:szCs w:val="22"/>
              </w:rPr>
              <w:t xml:space="preserve"> izmaksā</w:t>
            </w:r>
            <w:r w:rsidR="000A15EF" w:rsidRPr="00676E06">
              <w:rPr>
                <w:iCs/>
                <w:sz w:val="22"/>
                <w:szCs w:val="22"/>
              </w:rPr>
              <w:t>t</w:t>
            </w:r>
            <w:r w:rsidR="006C7CE3" w:rsidRPr="00676E06">
              <w:rPr>
                <w:iCs/>
                <w:sz w:val="22"/>
                <w:szCs w:val="22"/>
              </w:rPr>
              <w:t xml:space="preserve"> par </w:t>
            </w:r>
            <w:r w:rsidR="006C7CE3" w:rsidRPr="00676E06">
              <w:rPr>
                <w:sz w:val="22"/>
                <w:szCs w:val="22"/>
              </w:rPr>
              <w:t xml:space="preserve"> </w:t>
            </w:r>
            <w:r w:rsidR="009E1DED" w:rsidRPr="00676E06">
              <w:rPr>
                <w:iCs/>
                <w:sz w:val="22"/>
                <w:szCs w:val="22"/>
              </w:rPr>
              <w:t>iepriekšēj</w:t>
            </w:r>
            <w:r w:rsidR="00475152" w:rsidRPr="00676E06">
              <w:rPr>
                <w:iCs/>
                <w:sz w:val="22"/>
                <w:szCs w:val="22"/>
              </w:rPr>
              <w:t>iem periodiem</w:t>
            </w:r>
            <w:r w:rsidR="009E1DED" w:rsidRPr="00676E06">
              <w:rPr>
                <w:iCs/>
                <w:sz w:val="22"/>
                <w:szCs w:val="22"/>
              </w:rPr>
              <w:t>.</w:t>
            </w:r>
            <w:r w:rsidR="00D35329" w:rsidRPr="00676E06">
              <w:rPr>
                <w:iCs/>
                <w:sz w:val="22"/>
                <w:szCs w:val="22"/>
              </w:rPr>
              <w:t xml:space="preserve"> </w:t>
            </w:r>
            <w:r w:rsidR="009E1DED" w:rsidRPr="00676E06">
              <w:rPr>
                <w:iCs/>
                <w:sz w:val="22"/>
                <w:szCs w:val="22"/>
              </w:rPr>
              <w:t>Pieņemot, ka turpmākos mēnešos tiks izmaksātas piemaksas vēl par iepriekšējiem periodiem un, ņemot vērā valstī v</w:t>
            </w:r>
            <w:r w:rsidR="00D13E26" w:rsidRPr="00676E06">
              <w:rPr>
                <w:iCs/>
                <w:sz w:val="22"/>
                <w:szCs w:val="22"/>
              </w:rPr>
              <w:t>ē</w:t>
            </w:r>
            <w:r w:rsidR="009E1DED" w:rsidRPr="00676E06">
              <w:rPr>
                <w:iCs/>
                <w:sz w:val="22"/>
                <w:szCs w:val="22"/>
              </w:rPr>
              <w:t>l arvien pastāvošos ierobežojumus ārkārtējās situācijas dēļ,  prognozēts, ka VSAA piemaksu saņēmējus skaits turpinās palielināties</w:t>
            </w:r>
            <w:r w:rsidR="005747B5" w:rsidRPr="00676E06">
              <w:rPr>
                <w:iCs/>
                <w:sz w:val="22"/>
                <w:szCs w:val="22"/>
              </w:rPr>
              <w:t>, un ņ</w:t>
            </w:r>
            <w:r w:rsidR="00705A87" w:rsidRPr="00676E06">
              <w:rPr>
                <w:iCs/>
                <w:sz w:val="22"/>
                <w:szCs w:val="22"/>
              </w:rPr>
              <w:t>emot v</w:t>
            </w:r>
            <w:r w:rsidR="005B3E87" w:rsidRPr="00676E06">
              <w:rPr>
                <w:iCs/>
                <w:sz w:val="22"/>
                <w:szCs w:val="22"/>
              </w:rPr>
              <w:t>ē</w:t>
            </w:r>
            <w:r w:rsidR="00705A87" w:rsidRPr="00676E06">
              <w:rPr>
                <w:iCs/>
                <w:sz w:val="22"/>
                <w:szCs w:val="22"/>
              </w:rPr>
              <w:t>rā:</w:t>
            </w:r>
          </w:p>
          <w:p w14:paraId="0619B086" w14:textId="2A1DCBD2" w:rsidR="00705A87" w:rsidRPr="00676E06" w:rsidRDefault="00705A87" w:rsidP="00705A87">
            <w:pPr>
              <w:spacing w:after="120"/>
              <w:jc w:val="both"/>
              <w:rPr>
                <w:iCs/>
                <w:sz w:val="22"/>
                <w:szCs w:val="22"/>
              </w:rPr>
            </w:pPr>
            <w:r w:rsidRPr="00676E06">
              <w:rPr>
                <w:iCs/>
                <w:sz w:val="22"/>
                <w:szCs w:val="22"/>
              </w:rPr>
              <w:t>1) VSAA datus par piemaksas pie dīkstāves atbalsta saņēmēju skaita dinamiku 2020.g</w:t>
            </w:r>
            <w:r w:rsidR="005A74A9" w:rsidRPr="00676E06">
              <w:rPr>
                <w:iCs/>
                <w:sz w:val="22"/>
                <w:szCs w:val="22"/>
              </w:rPr>
              <w:t xml:space="preserve">ada </w:t>
            </w:r>
            <w:r w:rsidRPr="00676E06">
              <w:rPr>
                <w:iCs/>
                <w:sz w:val="22"/>
                <w:szCs w:val="22"/>
              </w:rPr>
              <w:t>janvāris – 2021.gada februāris</w:t>
            </w:r>
            <w:r w:rsidR="00D13E26" w:rsidRPr="00676E06">
              <w:rPr>
                <w:iCs/>
                <w:sz w:val="22"/>
                <w:szCs w:val="22"/>
              </w:rPr>
              <w:t>;</w:t>
            </w:r>
            <w:r w:rsidRPr="00676E06">
              <w:rPr>
                <w:iCs/>
                <w:sz w:val="22"/>
                <w:szCs w:val="22"/>
              </w:rPr>
              <w:t xml:space="preserve"> </w:t>
            </w:r>
          </w:p>
          <w:p w14:paraId="505E3FEF" w14:textId="24265D70" w:rsidR="00C01E6E" w:rsidRPr="00676E06" w:rsidRDefault="00705A87" w:rsidP="00705A87">
            <w:pPr>
              <w:spacing w:after="120"/>
              <w:jc w:val="both"/>
              <w:rPr>
                <w:iCs/>
                <w:sz w:val="22"/>
                <w:szCs w:val="22"/>
              </w:rPr>
            </w:pPr>
            <w:r w:rsidRPr="00676E06">
              <w:rPr>
                <w:iCs/>
                <w:sz w:val="22"/>
                <w:szCs w:val="22"/>
              </w:rPr>
              <w:t xml:space="preserve">2)VID </w:t>
            </w:r>
            <w:r w:rsidR="00187FF3" w:rsidRPr="00676E06">
              <w:rPr>
                <w:iCs/>
                <w:sz w:val="22"/>
                <w:szCs w:val="22"/>
              </w:rPr>
              <w:t xml:space="preserve">saņemto </w:t>
            </w:r>
            <w:r w:rsidRPr="00676E06">
              <w:rPr>
                <w:iCs/>
                <w:sz w:val="22"/>
                <w:szCs w:val="22"/>
              </w:rPr>
              <w:t>iesniegumu dīkstāves atbalstam skaita pieaug</w:t>
            </w:r>
            <w:r w:rsidR="00DD7A70" w:rsidRPr="00676E06">
              <w:rPr>
                <w:iCs/>
                <w:sz w:val="22"/>
                <w:szCs w:val="22"/>
              </w:rPr>
              <w:t>ošo dinamiku</w:t>
            </w:r>
            <w:r w:rsidRPr="00676E06">
              <w:rPr>
                <w:iCs/>
                <w:sz w:val="22"/>
                <w:szCs w:val="22"/>
              </w:rPr>
              <w:t xml:space="preserve"> (periodā 01.12.2020.- 07.03.2021</w:t>
            </w:r>
            <w:r w:rsidR="00811F4C" w:rsidRPr="00676E06">
              <w:rPr>
                <w:iCs/>
                <w:sz w:val="22"/>
                <w:szCs w:val="22"/>
              </w:rPr>
              <w:t xml:space="preserve">. kopumā izmaksāts dīkstāves un subsīdijas atbalsts </w:t>
            </w:r>
            <w:r w:rsidR="00D13E26" w:rsidRPr="00676E06">
              <w:rPr>
                <w:iCs/>
                <w:sz w:val="22"/>
                <w:szCs w:val="22"/>
              </w:rPr>
              <w:t xml:space="preserve">uz </w:t>
            </w:r>
            <w:r w:rsidR="00811F4C" w:rsidRPr="00676E06">
              <w:rPr>
                <w:iCs/>
                <w:sz w:val="22"/>
                <w:szCs w:val="22"/>
              </w:rPr>
              <w:t xml:space="preserve">25,2 tūkst. darba devēju </w:t>
            </w:r>
            <w:r w:rsidR="00811F4C" w:rsidRPr="00676E06">
              <w:rPr>
                <w:iCs/>
                <w:sz w:val="22"/>
                <w:szCs w:val="22"/>
              </w:rPr>
              <w:lastRenderedPageBreak/>
              <w:t xml:space="preserve">iesniegumiem, izmaksāts dīkstāves atbalsts </w:t>
            </w:r>
            <w:r w:rsidR="00D13E26" w:rsidRPr="00676E06">
              <w:rPr>
                <w:iCs/>
                <w:sz w:val="22"/>
                <w:szCs w:val="22"/>
              </w:rPr>
              <w:t xml:space="preserve">uz </w:t>
            </w:r>
            <w:r w:rsidR="00811F4C" w:rsidRPr="00676E06">
              <w:rPr>
                <w:iCs/>
                <w:sz w:val="22"/>
                <w:szCs w:val="22"/>
              </w:rPr>
              <w:t>16,4 tūkst. pašnodarbināto un 2,8 tūkst. patentmaksas maksātāju iesniegumiem</w:t>
            </w:r>
            <w:r w:rsidRPr="00676E06">
              <w:rPr>
                <w:iCs/>
                <w:sz w:val="22"/>
                <w:szCs w:val="22"/>
              </w:rPr>
              <w:t>)</w:t>
            </w:r>
            <w:r w:rsidR="00A30CE4" w:rsidRPr="00676E06">
              <w:rPr>
                <w:iCs/>
                <w:sz w:val="22"/>
                <w:szCs w:val="22"/>
              </w:rPr>
              <w:t>, prognozētais piemaksas saņēmēju skaits – 7166 vidēji mēnesī</w:t>
            </w:r>
          </w:p>
          <w:p w14:paraId="0F56A755" w14:textId="6EDB56D8" w:rsidR="00B71BD4" w:rsidRPr="00676E06" w:rsidRDefault="00B71BD4" w:rsidP="00705A87">
            <w:pPr>
              <w:spacing w:after="120"/>
              <w:jc w:val="both"/>
              <w:rPr>
                <w:iCs/>
                <w:sz w:val="22"/>
                <w:szCs w:val="22"/>
              </w:rPr>
            </w:pPr>
            <w:r w:rsidRPr="00676E06">
              <w:rPr>
                <w:iCs/>
                <w:sz w:val="22"/>
                <w:szCs w:val="22"/>
              </w:rPr>
              <w:t xml:space="preserve">3) </w:t>
            </w:r>
            <w:r w:rsidR="00406B41" w:rsidRPr="00676E06">
              <w:rPr>
                <w:iCs/>
                <w:sz w:val="22"/>
                <w:szCs w:val="22"/>
              </w:rPr>
              <w:t xml:space="preserve"> pēc VSAA datiem vidēji uz vienu piemaksas saņēmēju (februārī </w:t>
            </w:r>
            <w:r w:rsidR="00406B41" w:rsidRPr="00676E06">
              <w:rPr>
                <w:sz w:val="22"/>
                <w:szCs w:val="22"/>
              </w:rPr>
              <w:t xml:space="preserve">– </w:t>
            </w:r>
            <w:r w:rsidR="00406B41" w:rsidRPr="00676E06">
              <w:rPr>
                <w:iCs/>
                <w:sz w:val="22"/>
                <w:szCs w:val="22"/>
              </w:rPr>
              <w:t xml:space="preserve">6536) </w:t>
            </w:r>
            <w:r w:rsidRPr="00676E06">
              <w:rPr>
                <w:iCs/>
                <w:sz w:val="22"/>
                <w:szCs w:val="22"/>
              </w:rPr>
              <w:t xml:space="preserve"> ir 1,4 bērni, par kuru piešķirts atbalsts</w:t>
            </w:r>
            <w:r w:rsidR="00A30CE4" w:rsidRPr="00676E06">
              <w:rPr>
                <w:iCs/>
                <w:sz w:val="22"/>
                <w:szCs w:val="22"/>
              </w:rPr>
              <w:t>.</w:t>
            </w:r>
          </w:p>
          <w:p w14:paraId="61DFAE62" w14:textId="60B3A823" w:rsidR="005A74A9" w:rsidRPr="00676E06" w:rsidRDefault="00A30CE4" w:rsidP="002E6479">
            <w:pPr>
              <w:spacing w:after="120"/>
              <w:jc w:val="both"/>
              <w:rPr>
                <w:iCs/>
                <w:sz w:val="22"/>
                <w:szCs w:val="22"/>
              </w:rPr>
            </w:pPr>
            <w:r w:rsidRPr="00676E06">
              <w:rPr>
                <w:iCs/>
                <w:sz w:val="22"/>
                <w:szCs w:val="22"/>
              </w:rPr>
              <w:t xml:space="preserve">Līdz ar ko prognozētais </w:t>
            </w:r>
            <w:r w:rsidR="00B71BD4" w:rsidRPr="00676E06">
              <w:rPr>
                <w:iCs/>
                <w:sz w:val="22"/>
                <w:szCs w:val="22"/>
              </w:rPr>
              <w:t xml:space="preserve">bērnu skaits, par kuru piešķirts 50 </w:t>
            </w:r>
            <w:proofErr w:type="spellStart"/>
            <w:r w:rsidR="00E43E3C" w:rsidRPr="00676E06">
              <w:rPr>
                <w:i/>
                <w:iCs/>
                <w:sz w:val="22"/>
                <w:szCs w:val="22"/>
              </w:rPr>
              <w:t>euro</w:t>
            </w:r>
            <w:proofErr w:type="spellEnd"/>
            <w:r w:rsidR="00B71BD4" w:rsidRPr="00676E06">
              <w:rPr>
                <w:iCs/>
                <w:sz w:val="22"/>
                <w:szCs w:val="22"/>
              </w:rPr>
              <w:t xml:space="preserve"> atbalsts, ir </w:t>
            </w:r>
            <w:r w:rsidR="00CF7FD9" w:rsidRPr="00676E06">
              <w:t xml:space="preserve"> </w:t>
            </w:r>
            <w:r w:rsidR="00CF7FD9" w:rsidRPr="00676E06">
              <w:rPr>
                <w:iCs/>
                <w:sz w:val="22"/>
                <w:szCs w:val="22"/>
              </w:rPr>
              <w:t>10 032</w:t>
            </w:r>
            <w:r w:rsidR="00CF7FD9" w:rsidRPr="00676E06" w:rsidDel="00CF7FD9">
              <w:rPr>
                <w:iCs/>
                <w:sz w:val="22"/>
                <w:szCs w:val="22"/>
              </w:rPr>
              <w:t xml:space="preserve"> </w:t>
            </w:r>
            <w:r w:rsidR="00B71BD4" w:rsidRPr="00676E06">
              <w:rPr>
                <w:iCs/>
                <w:sz w:val="22"/>
                <w:szCs w:val="22"/>
              </w:rPr>
              <w:t>vidēji mēnesī</w:t>
            </w:r>
            <w:r w:rsidR="005A74A9" w:rsidRPr="00676E06">
              <w:rPr>
                <w:iCs/>
                <w:sz w:val="22"/>
                <w:szCs w:val="22"/>
              </w:rPr>
              <w:t>.</w:t>
            </w:r>
          </w:p>
          <w:p w14:paraId="3017BA44" w14:textId="6B6E354F" w:rsidR="00D35329" w:rsidRPr="00676E06" w:rsidRDefault="005A74A9" w:rsidP="0087304C">
            <w:pPr>
              <w:spacing w:after="120"/>
              <w:jc w:val="both"/>
              <w:rPr>
                <w:iCs/>
                <w:sz w:val="22"/>
                <w:szCs w:val="22"/>
              </w:rPr>
            </w:pPr>
            <w:r w:rsidRPr="00676E06">
              <w:rPr>
                <w:sz w:val="22"/>
                <w:szCs w:val="22"/>
              </w:rPr>
              <w:t xml:space="preserve">Lai nodrošinātu piemaksu pie dīkstāves atbalsta par katru apgādībā esošu bērnu līdz 2021.gada 30.jūnijam, </w:t>
            </w:r>
            <w:r w:rsidRPr="00676E06">
              <w:rPr>
                <w:iCs/>
                <w:sz w:val="22"/>
                <w:szCs w:val="22"/>
              </w:rPr>
              <w:t xml:space="preserve">finansējums </w:t>
            </w:r>
            <w:r w:rsidR="00411B9A" w:rsidRPr="00676E06">
              <w:rPr>
                <w:iCs/>
                <w:sz w:val="22"/>
                <w:szCs w:val="22"/>
              </w:rPr>
              <w:t>nepieciešams 7 mēnešu izmaksām (</w:t>
            </w:r>
            <w:r w:rsidR="00411B9A" w:rsidRPr="00676E06">
              <w:rPr>
                <w:i/>
                <w:iCs/>
                <w:sz w:val="22"/>
                <w:szCs w:val="22"/>
              </w:rPr>
              <w:t>atbalsts tiek izmaksāts par iepriekšējo mēnesi</w:t>
            </w:r>
            <w:r w:rsidR="00411B9A" w:rsidRPr="00676E06">
              <w:rPr>
                <w:iCs/>
                <w:sz w:val="22"/>
                <w:szCs w:val="22"/>
              </w:rPr>
              <w:t xml:space="preserve">), līdz ar </w:t>
            </w:r>
            <w:r w:rsidR="00951392" w:rsidRPr="00676E06">
              <w:rPr>
                <w:iCs/>
                <w:sz w:val="22"/>
                <w:szCs w:val="22"/>
              </w:rPr>
              <w:t xml:space="preserve">to </w:t>
            </w:r>
            <w:r w:rsidR="00411B9A" w:rsidRPr="00676E06">
              <w:rPr>
                <w:b/>
                <w:iCs/>
                <w:sz w:val="22"/>
                <w:szCs w:val="22"/>
              </w:rPr>
              <w:t xml:space="preserve">2021.gadā </w:t>
            </w:r>
            <w:r w:rsidR="009D75CD" w:rsidRPr="00676E06">
              <w:rPr>
                <w:b/>
                <w:iCs/>
                <w:sz w:val="22"/>
                <w:szCs w:val="22"/>
              </w:rPr>
              <w:t xml:space="preserve"> kopumā </w:t>
            </w:r>
            <w:r w:rsidR="00411B9A" w:rsidRPr="00676E06">
              <w:rPr>
                <w:b/>
                <w:iCs/>
                <w:sz w:val="22"/>
                <w:szCs w:val="22"/>
              </w:rPr>
              <w:t xml:space="preserve">plānoti </w:t>
            </w:r>
            <w:r w:rsidR="00CF7FD9" w:rsidRPr="00676E06">
              <w:t xml:space="preserve"> </w:t>
            </w:r>
            <w:r w:rsidR="00CF7FD9" w:rsidRPr="00676E06">
              <w:rPr>
                <w:b/>
                <w:iCs/>
                <w:sz w:val="22"/>
                <w:szCs w:val="22"/>
              </w:rPr>
              <w:t>3 511 200</w:t>
            </w:r>
            <w:r w:rsidR="00CF7FD9" w:rsidRPr="00676E06" w:rsidDel="00CF7FD9">
              <w:rPr>
                <w:b/>
                <w:iCs/>
                <w:sz w:val="22"/>
                <w:szCs w:val="22"/>
              </w:rPr>
              <w:t xml:space="preserve"> </w:t>
            </w:r>
            <w:proofErr w:type="spellStart"/>
            <w:r w:rsidR="00E43E3C" w:rsidRPr="00676E06">
              <w:rPr>
                <w:i/>
                <w:iCs/>
                <w:sz w:val="22"/>
                <w:szCs w:val="22"/>
              </w:rPr>
              <w:t>euro</w:t>
            </w:r>
            <w:proofErr w:type="spellEnd"/>
            <w:r w:rsidR="00411B9A" w:rsidRPr="00676E06">
              <w:rPr>
                <w:iCs/>
                <w:sz w:val="22"/>
                <w:szCs w:val="22"/>
              </w:rPr>
              <w:t xml:space="preserve"> </w:t>
            </w:r>
            <w:r w:rsidRPr="00676E06">
              <w:rPr>
                <w:iCs/>
                <w:sz w:val="22"/>
                <w:szCs w:val="22"/>
              </w:rPr>
              <w:t>(</w:t>
            </w:r>
            <w:r w:rsidR="00CF7FD9" w:rsidRPr="00676E06">
              <w:rPr>
                <w:iCs/>
                <w:sz w:val="22"/>
                <w:szCs w:val="22"/>
              </w:rPr>
              <w:t>10 032</w:t>
            </w:r>
            <w:r w:rsidR="00CF7FD9" w:rsidRPr="00676E06" w:rsidDel="00CF7FD9">
              <w:rPr>
                <w:iCs/>
                <w:sz w:val="22"/>
                <w:szCs w:val="22"/>
              </w:rPr>
              <w:t xml:space="preserve"> </w:t>
            </w:r>
            <w:r w:rsidRPr="00676E06">
              <w:rPr>
                <w:iCs/>
                <w:sz w:val="22"/>
                <w:szCs w:val="22"/>
              </w:rPr>
              <w:t xml:space="preserve">x 50 </w:t>
            </w:r>
            <w:proofErr w:type="spellStart"/>
            <w:r w:rsidR="00E43E3C" w:rsidRPr="00676E06">
              <w:rPr>
                <w:i/>
                <w:iCs/>
                <w:sz w:val="22"/>
                <w:szCs w:val="22"/>
              </w:rPr>
              <w:t>euro</w:t>
            </w:r>
            <w:proofErr w:type="spellEnd"/>
            <w:r w:rsidRPr="00676E06">
              <w:rPr>
                <w:iCs/>
                <w:sz w:val="22"/>
                <w:szCs w:val="22"/>
              </w:rPr>
              <w:t xml:space="preserve"> x 7 </w:t>
            </w:r>
            <w:proofErr w:type="spellStart"/>
            <w:r w:rsidRPr="00676E06">
              <w:rPr>
                <w:iCs/>
                <w:sz w:val="22"/>
                <w:szCs w:val="22"/>
              </w:rPr>
              <w:t>mēn</w:t>
            </w:r>
            <w:proofErr w:type="spellEnd"/>
            <w:r w:rsidRPr="00676E06">
              <w:rPr>
                <w:iCs/>
                <w:sz w:val="22"/>
                <w:szCs w:val="22"/>
              </w:rPr>
              <w:t>.)</w:t>
            </w:r>
            <w:r w:rsidR="00B71BD4" w:rsidRPr="00676E06">
              <w:rPr>
                <w:iCs/>
                <w:sz w:val="22"/>
                <w:szCs w:val="22"/>
              </w:rPr>
              <w:t>.</w:t>
            </w:r>
          </w:p>
          <w:p w14:paraId="5189A15D" w14:textId="6C4B7C19" w:rsidR="00E43E3C" w:rsidRPr="00676E06" w:rsidRDefault="00E43E3C" w:rsidP="0087304C">
            <w:pPr>
              <w:spacing w:after="120"/>
              <w:jc w:val="both"/>
              <w:rPr>
                <w:iCs/>
                <w:sz w:val="22"/>
                <w:szCs w:val="22"/>
              </w:rPr>
            </w:pPr>
            <w:r w:rsidRPr="00676E06">
              <w:rPr>
                <w:iCs/>
                <w:sz w:val="22"/>
                <w:szCs w:val="22"/>
              </w:rPr>
              <w:t xml:space="preserve">Ņemot vērā ar MK 11.01.2021. rīkojumu Nr.15  piemaksas pie dīkstāves </w:t>
            </w:r>
            <w:r w:rsidR="00283441" w:rsidRPr="00676E06">
              <w:rPr>
                <w:iCs/>
                <w:sz w:val="22"/>
                <w:szCs w:val="22"/>
              </w:rPr>
              <w:t>at</w:t>
            </w:r>
            <w:r w:rsidRPr="00676E06">
              <w:rPr>
                <w:iCs/>
                <w:sz w:val="22"/>
                <w:szCs w:val="22"/>
              </w:rPr>
              <w:t>balsta izmaksai jau ir piešķirts finansējums nepārsniedzot 1</w:t>
            </w:r>
            <w:r w:rsidR="00824B84" w:rsidRPr="00676E06">
              <w:rPr>
                <w:iCs/>
                <w:sz w:val="22"/>
                <w:szCs w:val="22"/>
              </w:rPr>
              <w:t xml:space="preserve"> </w:t>
            </w:r>
            <w:r w:rsidRPr="00676E06">
              <w:rPr>
                <w:iCs/>
                <w:sz w:val="22"/>
                <w:szCs w:val="22"/>
              </w:rPr>
              <w:t xml:space="preserve">350 000 </w:t>
            </w:r>
            <w:proofErr w:type="spellStart"/>
            <w:r w:rsidRPr="00676E06">
              <w:rPr>
                <w:i/>
                <w:iCs/>
                <w:sz w:val="22"/>
                <w:szCs w:val="22"/>
              </w:rPr>
              <w:t>euro</w:t>
            </w:r>
            <w:proofErr w:type="spellEnd"/>
            <w:r w:rsidRPr="00676E06">
              <w:rPr>
                <w:iCs/>
                <w:sz w:val="22"/>
                <w:szCs w:val="22"/>
              </w:rPr>
              <w:t xml:space="preserve">, papildus nepieciešamais finansējums </w:t>
            </w:r>
            <w:r w:rsidR="00581ACE" w:rsidRPr="00676E06">
              <w:t xml:space="preserve"> </w:t>
            </w:r>
            <w:r w:rsidR="00581ACE" w:rsidRPr="00676E06">
              <w:rPr>
                <w:iCs/>
                <w:sz w:val="22"/>
                <w:szCs w:val="22"/>
              </w:rPr>
              <w:t xml:space="preserve">piemaksas pie dīkstāves </w:t>
            </w:r>
            <w:r w:rsidR="00283441" w:rsidRPr="00676E06">
              <w:rPr>
                <w:iCs/>
                <w:sz w:val="22"/>
                <w:szCs w:val="22"/>
              </w:rPr>
              <w:t>at</w:t>
            </w:r>
            <w:r w:rsidR="00581ACE" w:rsidRPr="00676E06">
              <w:rPr>
                <w:iCs/>
                <w:sz w:val="22"/>
                <w:szCs w:val="22"/>
              </w:rPr>
              <w:t xml:space="preserve">balsta </w:t>
            </w:r>
            <w:r w:rsidRPr="00676E06">
              <w:rPr>
                <w:iCs/>
                <w:sz w:val="22"/>
                <w:szCs w:val="22"/>
              </w:rPr>
              <w:t xml:space="preserve">izmaksas nodrošināšanai 2021.gadā ir 2 161 200  </w:t>
            </w:r>
            <w:proofErr w:type="spellStart"/>
            <w:r w:rsidRPr="00676E06">
              <w:rPr>
                <w:i/>
                <w:iCs/>
                <w:sz w:val="22"/>
                <w:szCs w:val="22"/>
              </w:rPr>
              <w:t>euro</w:t>
            </w:r>
            <w:proofErr w:type="spellEnd"/>
            <w:r w:rsidRPr="00676E06">
              <w:rPr>
                <w:iCs/>
                <w:sz w:val="22"/>
                <w:szCs w:val="22"/>
              </w:rPr>
              <w:t xml:space="preserve"> apmērā (3 511 200</w:t>
            </w:r>
            <w:r w:rsidRPr="00676E06" w:rsidDel="00CF7FD9">
              <w:rPr>
                <w:b/>
                <w:iCs/>
                <w:sz w:val="22"/>
                <w:szCs w:val="22"/>
              </w:rPr>
              <w:t xml:space="preserve"> </w:t>
            </w:r>
            <w:proofErr w:type="spellStart"/>
            <w:r w:rsidRPr="00676E06">
              <w:rPr>
                <w:i/>
                <w:iCs/>
                <w:sz w:val="22"/>
                <w:szCs w:val="22"/>
              </w:rPr>
              <w:t>euro</w:t>
            </w:r>
            <w:proofErr w:type="spellEnd"/>
            <w:r w:rsidRPr="00676E06">
              <w:rPr>
                <w:iCs/>
                <w:sz w:val="22"/>
                <w:szCs w:val="22"/>
              </w:rPr>
              <w:t xml:space="preserve"> - 1 350 000 </w:t>
            </w:r>
            <w:proofErr w:type="spellStart"/>
            <w:r w:rsidRPr="00676E06">
              <w:rPr>
                <w:i/>
                <w:iCs/>
                <w:sz w:val="22"/>
                <w:szCs w:val="22"/>
              </w:rPr>
              <w:t>euro</w:t>
            </w:r>
            <w:proofErr w:type="spellEnd"/>
            <w:r w:rsidRPr="00676E06">
              <w:rPr>
                <w:iCs/>
                <w:sz w:val="22"/>
                <w:szCs w:val="22"/>
              </w:rPr>
              <w:t>).</w:t>
            </w:r>
          </w:p>
          <w:p w14:paraId="09454086" w14:textId="0A3D5AB5" w:rsidR="0087304C" w:rsidRPr="00676E06" w:rsidRDefault="0087304C" w:rsidP="0087304C">
            <w:pPr>
              <w:spacing w:after="120"/>
              <w:jc w:val="both"/>
              <w:rPr>
                <w:sz w:val="22"/>
                <w:szCs w:val="22"/>
              </w:rPr>
            </w:pPr>
            <w:r w:rsidRPr="00676E06">
              <w:rPr>
                <w:sz w:val="22"/>
                <w:szCs w:val="22"/>
              </w:rPr>
              <w:t>Ņemot vērā, ka nav iespējams precīzi prognozēt faktiskos izdevumus atbalsta izmaksai, Labklājības ministrija papildus finansējumu pieprasīs pa daļām</w:t>
            </w:r>
            <w:r w:rsidR="005D3EA7" w:rsidRPr="00676E06">
              <w:rPr>
                <w:sz w:val="22"/>
                <w:szCs w:val="22"/>
              </w:rPr>
              <w:t xml:space="preserve"> - </w:t>
            </w:r>
            <w:r w:rsidRPr="00676E06">
              <w:rPr>
                <w:sz w:val="22"/>
                <w:szCs w:val="22"/>
              </w:rPr>
              <w:t>par trīs mēnešu periodu</w:t>
            </w:r>
            <w:r w:rsidR="00BC7E07" w:rsidRPr="00676E06">
              <w:rPr>
                <w:sz w:val="22"/>
                <w:szCs w:val="22"/>
              </w:rPr>
              <w:t xml:space="preserve"> (</w:t>
            </w:r>
            <w:r w:rsidR="00730168" w:rsidRPr="00676E06">
              <w:rPr>
                <w:sz w:val="22"/>
                <w:szCs w:val="22"/>
              </w:rPr>
              <w:t>2021.gada marts, aprīlis, maijs</w:t>
            </w:r>
            <w:r w:rsidR="00BC7E07" w:rsidRPr="00676E06">
              <w:rPr>
                <w:sz w:val="22"/>
                <w:szCs w:val="22"/>
              </w:rPr>
              <w:t>)</w:t>
            </w:r>
            <w:r w:rsidRPr="00676E06">
              <w:rPr>
                <w:sz w:val="22"/>
                <w:szCs w:val="22"/>
              </w:rPr>
              <w:t xml:space="preserve">, t.i., </w:t>
            </w:r>
            <w:bookmarkStart w:id="3" w:name="_Hlk64025293"/>
            <w:r w:rsidR="005D3EA7" w:rsidRPr="00676E06">
              <w:rPr>
                <w:sz w:val="22"/>
                <w:szCs w:val="22"/>
              </w:rPr>
              <w:t xml:space="preserve">1 504 800 </w:t>
            </w:r>
            <w:proofErr w:type="spellStart"/>
            <w:r w:rsidR="00E43E3C" w:rsidRPr="00676E06">
              <w:rPr>
                <w:i/>
                <w:iCs/>
                <w:sz w:val="22"/>
                <w:szCs w:val="22"/>
              </w:rPr>
              <w:t>euro</w:t>
            </w:r>
            <w:proofErr w:type="spellEnd"/>
            <w:r w:rsidRPr="00676E06">
              <w:rPr>
                <w:sz w:val="22"/>
                <w:szCs w:val="22"/>
              </w:rPr>
              <w:t xml:space="preserve"> </w:t>
            </w:r>
            <w:bookmarkEnd w:id="3"/>
            <w:r w:rsidRPr="00676E06">
              <w:rPr>
                <w:sz w:val="22"/>
                <w:szCs w:val="22"/>
              </w:rPr>
              <w:t>(</w:t>
            </w:r>
            <w:r w:rsidR="005D3EA7" w:rsidRPr="00676E06">
              <w:rPr>
                <w:sz w:val="22"/>
                <w:szCs w:val="22"/>
              </w:rPr>
              <w:t xml:space="preserve">10 032 </w:t>
            </w:r>
            <w:r w:rsidRPr="00676E06">
              <w:rPr>
                <w:sz w:val="22"/>
                <w:szCs w:val="22"/>
              </w:rPr>
              <w:t xml:space="preserve">x </w:t>
            </w:r>
            <w:r w:rsidR="005D3EA7" w:rsidRPr="00676E06">
              <w:rPr>
                <w:sz w:val="22"/>
                <w:szCs w:val="22"/>
              </w:rPr>
              <w:t>50</w:t>
            </w:r>
            <w:r w:rsidRPr="00676E06">
              <w:rPr>
                <w:sz w:val="22"/>
                <w:szCs w:val="22"/>
              </w:rPr>
              <w:t xml:space="preserve"> </w:t>
            </w:r>
            <w:proofErr w:type="spellStart"/>
            <w:r w:rsidR="00E43E3C" w:rsidRPr="00676E06">
              <w:rPr>
                <w:i/>
                <w:iCs/>
                <w:sz w:val="22"/>
                <w:szCs w:val="22"/>
              </w:rPr>
              <w:t>euro</w:t>
            </w:r>
            <w:proofErr w:type="spellEnd"/>
            <w:r w:rsidR="005D3EA7" w:rsidRPr="00676E06">
              <w:rPr>
                <w:iCs/>
                <w:sz w:val="22"/>
                <w:szCs w:val="22"/>
              </w:rPr>
              <w:t xml:space="preserve"> </w:t>
            </w:r>
            <w:r w:rsidRPr="00676E06">
              <w:rPr>
                <w:sz w:val="22"/>
                <w:szCs w:val="22"/>
              </w:rPr>
              <w:t xml:space="preserve">x </w:t>
            </w:r>
            <w:r w:rsidR="005D3EA7" w:rsidRPr="00676E06">
              <w:rPr>
                <w:sz w:val="22"/>
                <w:szCs w:val="22"/>
              </w:rPr>
              <w:t xml:space="preserve">3 </w:t>
            </w:r>
            <w:proofErr w:type="spellStart"/>
            <w:r w:rsidR="005D3EA7" w:rsidRPr="00676E06">
              <w:rPr>
                <w:sz w:val="22"/>
                <w:szCs w:val="22"/>
              </w:rPr>
              <w:t>mēn</w:t>
            </w:r>
            <w:proofErr w:type="spellEnd"/>
            <w:r w:rsidR="005D3EA7" w:rsidRPr="00676E06">
              <w:rPr>
                <w:sz w:val="22"/>
                <w:szCs w:val="22"/>
              </w:rPr>
              <w:t>.</w:t>
            </w:r>
            <w:r w:rsidRPr="00676E06">
              <w:rPr>
                <w:sz w:val="22"/>
                <w:szCs w:val="22"/>
              </w:rPr>
              <w:t>). Savukārt, atlikušo finansējumu Labklājības ministrija pieprasīs atbilstoši nepieciešamībai.</w:t>
            </w:r>
          </w:p>
          <w:p w14:paraId="350555C9" w14:textId="77777777" w:rsidR="00583ABD" w:rsidRPr="00676E06" w:rsidRDefault="00583ABD" w:rsidP="00583ABD">
            <w:pPr>
              <w:spacing w:after="120"/>
              <w:jc w:val="both"/>
              <w:rPr>
                <w:rFonts w:eastAsiaTheme="minorHAnsi"/>
                <w:sz w:val="22"/>
                <w:szCs w:val="22"/>
                <w:lang w:eastAsia="en-US"/>
              </w:rPr>
            </w:pPr>
            <w:r w:rsidRPr="00676E06">
              <w:rPr>
                <w:rFonts w:eastAsiaTheme="minorHAnsi"/>
                <w:sz w:val="22"/>
                <w:szCs w:val="22"/>
                <w:lang w:eastAsia="en-US"/>
              </w:rPr>
              <w:t>Labklājības ministrija normatīvajos aktos noteiktajā kārtībā sagatavos un iesniegs Finanšu ministrijā pieprasījumu par līdzekļu piešķiršanu no valsts budžeta programmas 02.00.00 "Līdzekļi neparedzētiem gadījumiem". Finanšu ministrs normatīvajos aktos noteiktajā kārtībā informēs Saeimas Budžeta un finanšu (nodokļu) komisiju par apropriācijas izmaiņām un, ja Saeimas Budžeta un finanšu (nodokļu) komisija piecu darbdienu laikā pēc attiecīgās informācijas saņemšanas neizteiks iebildumus, veiks apropriācijas izmaiņas.</w:t>
            </w:r>
          </w:p>
          <w:p w14:paraId="6A3DBFE1" w14:textId="2FE0F1C5" w:rsidR="007252DF" w:rsidRPr="00676E06" w:rsidRDefault="00583ABD" w:rsidP="002E6479">
            <w:pPr>
              <w:spacing w:after="120"/>
              <w:jc w:val="both"/>
              <w:rPr>
                <w:rFonts w:eastAsiaTheme="minorHAnsi"/>
                <w:sz w:val="22"/>
                <w:szCs w:val="22"/>
                <w:lang w:eastAsia="en-US"/>
              </w:rPr>
            </w:pPr>
            <w:r w:rsidRPr="00676E06">
              <w:rPr>
                <w:rFonts w:eastAsiaTheme="minorHAnsi"/>
                <w:sz w:val="22"/>
                <w:szCs w:val="22"/>
                <w:lang w:eastAsia="en-US"/>
              </w:rPr>
              <w:t>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 resora „Gadskārtējā valsts budžeta izpildes procesā pārdalāmais finansējums” programmai 02.00.00 „Līdzekļi neparedzētiem gadījumiem”.</w:t>
            </w:r>
          </w:p>
        </w:tc>
      </w:tr>
      <w:tr w:rsidR="00676E06" w:rsidRPr="00676E06" w14:paraId="539D8CAF" w14:textId="77777777" w:rsidTr="00611D32">
        <w:tc>
          <w:tcPr>
            <w:tcW w:w="1578" w:type="dxa"/>
            <w:tcBorders>
              <w:top w:val="single" w:sz="4" w:space="0" w:color="auto"/>
              <w:left w:val="single" w:sz="4" w:space="0" w:color="auto"/>
              <w:bottom w:val="single" w:sz="4" w:space="0" w:color="auto"/>
              <w:right w:val="single" w:sz="4" w:space="0" w:color="auto"/>
            </w:tcBorders>
            <w:shd w:val="clear" w:color="auto" w:fill="auto"/>
          </w:tcPr>
          <w:p w14:paraId="694A9E52" w14:textId="77777777" w:rsidR="007252DF" w:rsidRPr="00676E06" w:rsidRDefault="007252DF" w:rsidP="0022691D">
            <w:pPr>
              <w:rPr>
                <w:sz w:val="22"/>
                <w:szCs w:val="22"/>
                <w:lang w:eastAsia="ja-JP"/>
              </w:rPr>
            </w:pPr>
            <w:r w:rsidRPr="00676E06">
              <w:rPr>
                <w:sz w:val="22"/>
                <w:szCs w:val="22"/>
                <w:lang w:eastAsia="ja-JP"/>
              </w:rPr>
              <w:lastRenderedPageBreak/>
              <w:t>7. Amata vietu skaita izmaiņas</w:t>
            </w:r>
          </w:p>
        </w:tc>
        <w:tc>
          <w:tcPr>
            <w:tcW w:w="8670" w:type="dxa"/>
            <w:gridSpan w:val="8"/>
            <w:tcBorders>
              <w:top w:val="single" w:sz="4" w:space="0" w:color="auto"/>
              <w:left w:val="single" w:sz="4" w:space="0" w:color="auto"/>
              <w:bottom w:val="single" w:sz="4" w:space="0" w:color="auto"/>
              <w:right w:val="single" w:sz="4" w:space="0" w:color="auto"/>
            </w:tcBorders>
            <w:shd w:val="clear" w:color="auto" w:fill="auto"/>
          </w:tcPr>
          <w:p w14:paraId="6EA88FB2" w14:textId="77777777" w:rsidR="007252DF" w:rsidRPr="00676E06" w:rsidRDefault="007252DF" w:rsidP="0022691D">
            <w:pPr>
              <w:jc w:val="both"/>
              <w:rPr>
                <w:sz w:val="22"/>
                <w:szCs w:val="22"/>
                <w:lang w:eastAsia="ja-JP"/>
              </w:rPr>
            </w:pPr>
            <w:r w:rsidRPr="00676E06">
              <w:rPr>
                <w:iCs/>
                <w:sz w:val="22"/>
                <w:szCs w:val="22"/>
              </w:rPr>
              <w:t>Nav.</w:t>
            </w:r>
          </w:p>
        </w:tc>
      </w:tr>
      <w:tr w:rsidR="00676E06" w:rsidRPr="00676E06" w14:paraId="2EF1ECDA" w14:textId="77777777" w:rsidTr="00611D32">
        <w:tc>
          <w:tcPr>
            <w:tcW w:w="1578" w:type="dxa"/>
            <w:tcBorders>
              <w:top w:val="single" w:sz="4" w:space="0" w:color="auto"/>
              <w:left w:val="single" w:sz="4" w:space="0" w:color="auto"/>
              <w:bottom w:val="single" w:sz="4" w:space="0" w:color="auto"/>
              <w:right w:val="single" w:sz="4" w:space="0" w:color="auto"/>
            </w:tcBorders>
            <w:shd w:val="clear" w:color="auto" w:fill="auto"/>
          </w:tcPr>
          <w:p w14:paraId="5E2AFA80" w14:textId="77777777" w:rsidR="007252DF" w:rsidRPr="00676E06" w:rsidRDefault="007252DF" w:rsidP="0022691D">
            <w:pPr>
              <w:rPr>
                <w:sz w:val="22"/>
                <w:szCs w:val="22"/>
                <w:lang w:eastAsia="ja-JP"/>
              </w:rPr>
            </w:pPr>
            <w:r w:rsidRPr="00676E06">
              <w:rPr>
                <w:sz w:val="22"/>
                <w:szCs w:val="22"/>
                <w:lang w:eastAsia="ja-JP"/>
              </w:rPr>
              <w:t>8. Cita informācija</w:t>
            </w:r>
          </w:p>
        </w:tc>
        <w:tc>
          <w:tcPr>
            <w:tcW w:w="8670" w:type="dxa"/>
            <w:gridSpan w:val="8"/>
            <w:tcBorders>
              <w:top w:val="single" w:sz="4" w:space="0" w:color="auto"/>
              <w:left w:val="single" w:sz="4" w:space="0" w:color="auto"/>
              <w:bottom w:val="single" w:sz="4" w:space="0" w:color="auto"/>
              <w:right w:val="single" w:sz="4" w:space="0" w:color="auto"/>
            </w:tcBorders>
            <w:shd w:val="clear" w:color="auto" w:fill="auto"/>
          </w:tcPr>
          <w:p w14:paraId="755B0EE4" w14:textId="77777777" w:rsidR="007252DF" w:rsidRPr="00676E06" w:rsidRDefault="007252DF" w:rsidP="00B43E8D">
            <w:pPr>
              <w:ind w:right="57"/>
              <w:jc w:val="both"/>
              <w:rPr>
                <w:sz w:val="22"/>
                <w:szCs w:val="22"/>
              </w:rPr>
            </w:pPr>
            <w:r w:rsidRPr="00676E06">
              <w:rPr>
                <w:sz w:val="22"/>
                <w:szCs w:val="22"/>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w:t>
            </w:r>
          </w:p>
          <w:p w14:paraId="6C8B16AD" w14:textId="3C98FCD5" w:rsidR="00D7705D" w:rsidRPr="00676E06" w:rsidRDefault="00D7705D" w:rsidP="00B43E8D">
            <w:pPr>
              <w:ind w:right="57"/>
              <w:jc w:val="both"/>
              <w:rPr>
                <w:sz w:val="22"/>
                <w:szCs w:val="22"/>
              </w:rPr>
            </w:pPr>
            <w:r w:rsidRPr="00676E06">
              <w:rPr>
                <w:iCs/>
                <w:sz w:val="22"/>
                <w:szCs w:val="22"/>
              </w:rPr>
              <w:t>Minēt</w:t>
            </w:r>
            <w:r w:rsidR="008E381A" w:rsidRPr="00676E06">
              <w:rPr>
                <w:iCs/>
                <w:sz w:val="22"/>
                <w:szCs w:val="22"/>
              </w:rPr>
              <w:t>o piemaksu</w:t>
            </w:r>
            <w:r w:rsidRPr="00676E06">
              <w:rPr>
                <w:iCs/>
                <w:sz w:val="22"/>
                <w:szCs w:val="22"/>
              </w:rPr>
              <w:t xml:space="preserve">  izmaksu nodrošina </w:t>
            </w:r>
            <w:r w:rsidR="00D13E26" w:rsidRPr="00676E06">
              <w:rPr>
                <w:iCs/>
                <w:sz w:val="22"/>
                <w:szCs w:val="22"/>
              </w:rPr>
              <w:t>VSAA</w:t>
            </w:r>
            <w:r w:rsidRPr="00676E06">
              <w:rPr>
                <w:iCs/>
                <w:sz w:val="22"/>
                <w:szCs w:val="22"/>
              </w:rPr>
              <w:t>.</w:t>
            </w:r>
          </w:p>
        </w:tc>
      </w:tr>
    </w:tbl>
    <w:p w14:paraId="1F83E3DF" w14:textId="0F36616F" w:rsidR="00C62EB6" w:rsidRPr="00676E06" w:rsidRDefault="00C62EB6" w:rsidP="00EC6E12">
      <w:pPr>
        <w:pStyle w:val="NoSpacing"/>
        <w:rPr>
          <w:rFonts w:ascii="Times New Roman" w:hAnsi="Times New Roman" w:cs="Times New Roman"/>
          <w:iCs/>
          <w:sz w:val="24"/>
          <w:szCs w:val="24"/>
          <w:lang w:eastAsia="lv-LV"/>
        </w:rPr>
      </w:pPr>
    </w:p>
    <w:p w14:paraId="60DD5A54" w14:textId="77777777" w:rsidR="00885514" w:rsidRPr="00676E06"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676E06" w:rsidRPr="00676E06" w14:paraId="2592C926" w14:textId="77777777" w:rsidTr="006936E5">
        <w:tc>
          <w:tcPr>
            <w:tcW w:w="9356" w:type="dxa"/>
          </w:tcPr>
          <w:p w14:paraId="3B11666A" w14:textId="77777777" w:rsidR="007F6F87" w:rsidRPr="00676E06" w:rsidRDefault="007F6F87" w:rsidP="003903BF">
            <w:pPr>
              <w:pStyle w:val="NoSpacing"/>
              <w:jc w:val="center"/>
              <w:rPr>
                <w:rFonts w:ascii="Times New Roman" w:hAnsi="Times New Roman" w:cs="Times New Roman"/>
                <w:b/>
                <w:sz w:val="24"/>
                <w:szCs w:val="24"/>
                <w:lang w:eastAsia="lv-LV"/>
              </w:rPr>
            </w:pPr>
            <w:r w:rsidRPr="00676E06">
              <w:rPr>
                <w:rFonts w:ascii="Times New Roman" w:hAnsi="Times New Roman" w:cs="Times New Roman"/>
                <w:b/>
                <w:iCs/>
                <w:sz w:val="24"/>
                <w:szCs w:val="24"/>
                <w:lang w:eastAsia="lv-LV"/>
              </w:rPr>
              <w:t>IV. Tiesību akta projekta ietekme uz spēkā esošo tiesību normu sistēmu</w:t>
            </w:r>
          </w:p>
        </w:tc>
      </w:tr>
      <w:tr w:rsidR="00676E06" w:rsidRPr="00676E06" w14:paraId="06798382" w14:textId="77777777" w:rsidTr="006936E5">
        <w:tc>
          <w:tcPr>
            <w:tcW w:w="9356" w:type="dxa"/>
          </w:tcPr>
          <w:p w14:paraId="0B3B8C14" w14:textId="77777777" w:rsidR="007F6F87" w:rsidRPr="00676E06" w:rsidRDefault="007F6F87" w:rsidP="003903BF">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Projekts šo jomu neskar</w:t>
            </w:r>
            <w:r w:rsidR="007272A8" w:rsidRPr="00676E06">
              <w:rPr>
                <w:rFonts w:ascii="Times New Roman" w:hAnsi="Times New Roman" w:cs="Times New Roman"/>
                <w:sz w:val="24"/>
                <w:szCs w:val="24"/>
                <w:lang w:eastAsia="lv-LV"/>
              </w:rPr>
              <w:t>.</w:t>
            </w:r>
          </w:p>
        </w:tc>
      </w:tr>
    </w:tbl>
    <w:p w14:paraId="7EB6B417" w14:textId="77777777" w:rsidR="007F6F87" w:rsidRPr="00676E06"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676E06" w:rsidRPr="00676E06" w14:paraId="0DF476F9" w14:textId="77777777" w:rsidTr="006936E5">
        <w:tc>
          <w:tcPr>
            <w:tcW w:w="9356" w:type="dxa"/>
          </w:tcPr>
          <w:p w14:paraId="4227DA74" w14:textId="77777777" w:rsidR="007F6F87" w:rsidRPr="00676E06" w:rsidRDefault="007F6F87" w:rsidP="003903BF">
            <w:pPr>
              <w:pStyle w:val="NoSpacing"/>
              <w:jc w:val="center"/>
              <w:rPr>
                <w:rFonts w:ascii="Times New Roman" w:hAnsi="Times New Roman" w:cs="Times New Roman"/>
                <w:b/>
                <w:sz w:val="24"/>
                <w:szCs w:val="24"/>
                <w:lang w:eastAsia="lv-LV"/>
              </w:rPr>
            </w:pPr>
            <w:r w:rsidRPr="00676E06">
              <w:rPr>
                <w:rFonts w:ascii="Times New Roman" w:hAnsi="Times New Roman" w:cs="Times New Roman"/>
                <w:b/>
                <w:iCs/>
                <w:sz w:val="24"/>
                <w:szCs w:val="24"/>
                <w:lang w:eastAsia="lv-LV"/>
              </w:rPr>
              <w:t>V. Tiesību akta projekta atbilstība Latvijas Republikas starptautiskajām saistībām</w:t>
            </w:r>
          </w:p>
        </w:tc>
      </w:tr>
      <w:tr w:rsidR="00676E06" w:rsidRPr="00676E06" w14:paraId="6637D8D3" w14:textId="77777777" w:rsidTr="006936E5">
        <w:tc>
          <w:tcPr>
            <w:tcW w:w="9356" w:type="dxa"/>
          </w:tcPr>
          <w:p w14:paraId="7684F855" w14:textId="77777777" w:rsidR="007F6F87" w:rsidRPr="00676E06" w:rsidRDefault="007F6F87" w:rsidP="003903BF">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Projekts šo jomu neskar</w:t>
            </w:r>
            <w:r w:rsidR="007272A8" w:rsidRPr="00676E06">
              <w:rPr>
                <w:rFonts w:ascii="Times New Roman" w:hAnsi="Times New Roman" w:cs="Times New Roman"/>
                <w:sz w:val="24"/>
                <w:szCs w:val="24"/>
                <w:lang w:eastAsia="lv-LV"/>
              </w:rPr>
              <w:t>.</w:t>
            </w:r>
          </w:p>
        </w:tc>
      </w:tr>
    </w:tbl>
    <w:p w14:paraId="078611EA" w14:textId="77777777" w:rsidR="007F6F87" w:rsidRPr="00676E06"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676E06" w:rsidRPr="00676E06" w14:paraId="2339E10B" w14:textId="77777777" w:rsidTr="006936E5">
        <w:tc>
          <w:tcPr>
            <w:tcW w:w="9356" w:type="dxa"/>
          </w:tcPr>
          <w:p w14:paraId="3D69E9C4" w14:textId="77777777" w:rsidR="007F6F87" w:rsidRPr="00676E06" w:rsidRDefault="007F6F87" w:rsidP="003903BF">
            <w:pPr>
              <w:pStyle w:val="NoSpacing"/>
              <w:jc w:val="center"/>
              <w:rPr>
                <w:rFonts w:ascii="Times New Roman" w:hAnsi="Times New Roman" w:cs="Times New Roman"/>
                <w:b/>
                <w:sz w:val="24"/>
                <w:szCs w:val="24"/>
                <w:lang w:eastAsia="lv-LV"/>
              </w:rPr>
            </w:pPr>
            <w:r w:rsidRPr="00676E06">
              <w:rPr>
                <w:rFonts w:ascii="Times New Roman" w:hAnsi="Times New Roman" w:cs="Times New Roman"/>
                <w:b/>
                <w:iCs/>
                <w:sz w:val="24"/>
                <w:szCs w:val="24"/>
                <w:lang w:eastAsia="lv-LV"/>
              </w:rPr>
              <w:t>VI. Sabiedrības līdzdalība un komunikācijas aktivitātes</w:t>
            </w:r>
          </w:p>
        </w:tc>
      </w:tr>
      <w:tr w:rsidR="00676E06" w:rsidRPr="00676E06" w14:paraId="53678E23" w14:textId="77777777" w:rsidTr="006936E5">
        <w:tc>
          <w:tcPr>
            <w:tcW w:w="9356" w:type="dxa"/>
          </w:tcPr>
          <w:p w14:paraId="7E7B187E" w14:textId="77777777" w:rsidR="007F6F87" w:rsidRPr="00676E06" w:rsidRDefault="007F6F87" w:rsidP="003903BF">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Projekts šo jomu neskar</w:t>
            </w:r>
            <w:r w:rsidR="007272A8" w:rsidRPr="00676E06">
              <w:rPr>
                <w:rFonts w:ascii="Times New Roman" w:hAnsi="Times New Roman" w:cs="Times New Roman"/>
                <w:sz w:val="24"/>
                <w:szCs w:val="24"/>
                <w:lang w:eastAsia="lv-LV"/>
              </w:rPr>
              <w:t>.</w:t>
            </w:r>
          </w:p>
        </w:tc>
      </w:tr>
    </w:tbl>
    <w:p w14:paraId="46C4B200" w14:textId="11316AE4" w:rsidR="007F6F87" w:rsidRPr="00676E06" w:rsidRDefault="00E5323B" w:rsidP="00EC6E12">
      <w:pPr>
        <w:pStyle w:val="NoSpacing"/>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 </w:t>
      </w:r>
    </w:p>
    <w:p w14:paraId="2FDE75E2" w14:textId="77777777" w:rsidR="00D63CA8" w:rsidRPr="00676E06" w:rsidRDefault="00D63CA8"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68"/>
        <w:gridCol w:w="3260"/>
        <w:gridCol w:w="5528"/>
      </w:tblGrid>
      <w:tr w:rsidR="00676E06" w:rsidRPr="00676E06" w14:paraId="6DB97756" w14:textId="77777777" w:rsidTr="006936E5">
        <w:tc>
          <w:tcPr>
            <w:tcW w:w="9356" w:type="dxa"/>
            <w:gridSpan w:val="3"/>
          </w:tcPr>
          <w:p w14:paraId="02ED8950" w14:textId="77777777" w:rsidR="007F6F87" w:rsidRPr="00676E06" w:rsidRDefault="007F6F87" w:rsidP="003903BF">
            <w:pPr>
              <w:pStyle w:val="NoSpacing"/>
              <w:jc w:val="center"/>
              <w:rPr>
                <w:rFonts w:ascii="Times New Roman" w:hAnsi="Times New Roman" w:cs="Times New Roman"/>
                <w:b/>
                <w:sz w:val="24"/>
                <w:szCs w:val="24"/>
                <w:lang w:eastAsia="lv-LV"/>
              </w:rPr>
            </w:pPr>
            <w:r w:rsidRPr="00676E06">
              <w:rPr>
                <w:rFonts w:ascii="Times New Roman" w:hAnsi="Times New Roman" w:cs="Times New Roman"/>
                <w:b/>
                <w:iCs/>
                <w:sz w:val="24"/>
                <w:szCs w:val="24"/>
                <w:lang w:eastAsia="lv-LV"/>
              </w:rPr>
              <w:t>VII. Tiesību akta projekta izpildes nodrošināšana un tās ietekme uz institūcijām</w:t>
            </w:r>
          </w:p>
        </w:tc>
      </w:tr>
      <w:tr w:rsidR="00676E06" w:rsidRPr="00676E06" w14:paraId="0516416B" w14:textId="77777777" w:rsidTr="006936E5">
        <w:tc>
          <w:tcPr>
            <w:tcW w:w="568" w:type="dxa"/>
          </w:tcPr>
          <w:p w14:paraId="7F23FDB3" w14:textId="77777777" w:rsidR="0049601C" w:rsidRPr="00676E06" w:rsidRDefault="0049601C" w:rsidP="0049601C">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lastRenderedPageBreak/>
              <w:t>1.</w:t>
            </w:r>
          </w:p>
        </w:tc>
        <w:tc>
          <w:tcPr>
            <w:tcW w:w="3260" w:type="dxa"/>
          </w:tcPr>
          <w:p w14:paraId="22C8BCAE" w14:textId="77777777" w:rsidR="0049601C" w:rsidRPr="00676E06" w:rsidRDefault="0049601C" w:rsidP="0049601C">
            <w:pPr>
              <w:pStyle w:val="NoSpacing"/>
              <w:jc w:val="both"/>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Projekta izpildē iesaistītās institūcijas</w:t>
            </w:r>
          </w:p>
        </w:tc>
        <w:tc>
          <w:tcPr>
            <w:tcW w:w="5528" w:type="dxa"/>
          </w:tcPr>
          <w:p w14:paraId="09FB3468" w14:textId="234567A1" w:rsidR="0049601C" w:rsidRPr="00676E06" w:rsidRDefault="00BA3344" w:rsidP="0049601C">
            <w:pPr>
              <w:jc w:val="both"/>
            </w:pPr>
            <w:r w:rsidRPr="00676E06">
              <w:t>Nav</w:t>
            </w:r>
          </w:p>
        </w:tc>
      </w:tr>
      <w:tr w:rsidR="00676E06" w:rsidRPr="00676E06" w14:paraId="23E71DD8" w14:textId="77777777" w:rsidTr="006936E5">
        <w:tc>
          <w:tcPr>
            <w:tcW w:w="568" w:type="dxa"/>
          </w:tcPr>
          <w:p w14:paraId="41D84BDC" w14:textId="77777777" w:rsidR="0049601C" w:rsidRPr="00676E06" w:rsidRDefault="0049601C" w:rsidP="0049601C">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2.</w:t>
            </w:r>
          </w:p>
        </w:tc>
        <w:tc>
          <w:tcPr>
            <w:tcW w:w="3260" w:type="dxa"/>
          </w:tcPr>
          <w:p w14:paraId="21E31449" w14:textId="77777777" w:rsidR="0049601C" w:rsidRPr="00676E06" w:rsidRDefault="0049601C" w:rsidP="0049601C">
            <w:pPr>
              <w:pStyle w:val="NoSpacing"/>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Projekta izpildes ietekme uz pārvaldes funkcijām un institucionālo struktūru.</w:t>
            </w:r>
            <w:r w:rsidRPr="00676E06">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676E06" w:rsidRDefault="00BA3344" w:rsidP="0049601C">
            <w:r w:rsidRPr="00676E06">
              <w:t>Projekta izpildes rezultātā nav paredzēta esošu institūciju likvidācija vai reorganizācija.</w:t>
            </w:r>
          </w:p>
        </w:tc>
      </w:tr>
      <w:tr w:rsidR="00676E06" w:rsidRPr="00676E06" w14:paraId="2AC2224A" w14:textId="77777777" w:rsidTr="006936E5">
        <w:tc>
          <w:tcPr>
            <w:tcW w:w="568" w:type="dxa"/>
          </w:tcPr>
          <w:p w14:paraId="7470A0F0" w14:textId="77777777" w:rsidR="0049601C" w:rsidRPr="00676E06" w:rsidRDefault="0049601C" w:rsidP="0049601C">
            <w:pPr>
              <w:pStyle w:val="NoSpacing"/>
              <w:jc w:val="center"/>
              <w:rPr>
                <w:rFonts w:ascii="Times New Roman" w:hAnsi="Times New Roman" w:cs="Times New Roman"/>
                <w:sz w:val="24"/>
                <w:szCs w:val="24"/>
                <w:lang w:eastAsia="lv-LV"/>
              </w:rPr>
            </w:pPr>
            <w:r w:rsidRPr="00676E06">
              <w:rPr>
                <w:rFonts w:ascii="Times New Roman" w:hAnsi="Times New Roman" w:cs="Times New Roman"/>
                <w:sz w:val="24"/>
                <w:szCs w:val="24"/>
                <w:lang w:eastAsia="lv-LV"/>
              </w:rPr>
              <w:t>3.</w:t>
            </w:r>
          </w:p>
        </w:tc>
        <w:tc>
          <w:tcPr>
            <w:tcW w:w="3260" w:type="dxa"/>
          </w:tcPr>
          <w:p w14:paraId="1FDAFD3E" w14:textId="77777777" w:rsidR="0049601C" w:rsidRPr="00676E06" w:rsidRDefault="0049601C" w:rsidP="0049601C">
            <w:pPr>
              <w:pStyle w:val="NoSpacing"/>
              <w:jc w:val="both"/>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Cita informācija</w:t>
            </w:r>
          </w:p>
        </w:tc>
        <w:tc>
          <w:tcPr>
            <w:tcW w:w="5528" w:type="dxa"/>
          </w:tcPr>
          <w:p w14:paraId="2F31F649" w14:textId="77777777" w:rsidR="0049601C" w:rsidRPr="00676E06" w:rsidRDefault="0049601C" w:rsidP="0049601C">
            <w:pPr>
              <w:pStyle w:val="NoSpacing"/>
              <w:rPr>
                <w:rFonts w:ascii="Times New Roman" w:hAnsi="Times New Roman" w:cs="Times New Roman"/>
                <w:sz w:val="24"/>
                <w:szCs w:val="24"/>
                <w:lang w:eastAsia="lv-LV"/>
              </w:rPr>
            </w:pPr>
            <w:r w:rsidRPr="00676E06">
              <w:rPr>
                <w:rFonts w:ascii="Times New Roman" w:hAnsi="Times New Roman" w:cs="Times New Roman"/>
                <w:sz w:val="24"/>
                <w:szCs w:val="24"/>
                <w:lang w:eastAsia="lv-LV"/>
              </w:rPr>
              <w:t>Nav</w:t>
            </w:r>
          </w:p>
        </w:tc>
      </w:tr>
    </w:tbl>
    <w:p w14:paraId="74AA4D91" w14:textId="77777777" w:rsidR="008B37B7" w:rsidRPr="00676E06" w:rsidRDefault="00E5323B" w:rsidP="00EC6E12">
      <w:pPr>
        <w:pStyle w:val="NoSpacing"/>
        <w:rPr>
          <w:rFonts w:ascii="Times New Roman" w:hAnsi="Times New Roman" w:cs="Times New Roman"/>
          <w:iCs/>
          <w:sz w:val="24"/>
          <w:szCs w:val="24"/>
          <w:lang w:eastAsia="lv-LV"/>
        </w:rPr>
      </w:pPr>
      <w:r w:rsidRPr="00676E06">
        <w:rPr>
          <w:rFonts w:ascii="Times New Roman" w:hAnsi="Times New Roman" w:cs="Times New Roman"/>
          <w:iCs/>
          <w:sz w:val="24"/>
          <w:szCs w:val="24"/>
          <w:lang w:eastAsia="lv-LV"/>
        </w:rPr>
        <w:t xml:space="preserve"> </w:t>
      </w:r>
    </w:p>
    <w:p w14:paraId="446EA7F7" w14:textId="295B3731" w:rsidR="008B37B7" w:rsidRPr="00676E06" w:rsidRDefault="008B37B7" w:rsidP="00EC6E12">
      <w:pPr>
        <w:pStyle w:val="NoSpacing"/>
        <w:rPr>
          <w:rFonts w:ascii="Times New Roman" w:hAnsi="Times New Roman" w:cs="Times New Roman"/>
          <w:iCs/>
          <w:sz w:val="24"/>
          <w:szCs w:val="24"/>
          <w:lang w:eastAsia="lv-LV"/>
        </w:rPr>
      </w:pPr>
    </w:p>
    <w:p w14:paraId="2B610F45" w14:textId="77777777" w:rsidR="006C2BE6" w:rsidRPr="00676E06" w:rsidRDefault="006C2BE6" w:rsidP="00EC6E12">
      <w:pPr>
        <w:pStyle w:val="NoSpacing"/>
        <w:rPr>
          <w:rFonts w:ascii="Times New Roman" w:hAnsi="Times New Roman" w:cs="Times New Roman"/>
          <w:iCs/>
          <w:sz w:val="24"/>
          <w:szCs w:val="24"/>
          <w:lang w:eastAsia="lv-LV"/>
        </w:rPr>
      </w:pPr>
    </w:p>
    <w:p w14:paraId="7B77DA3A" w14:textId="77777777" w:rsidR="002109C4" w:rsidRPr="00676E06" w:rsidRDefault="002109C4" w:rsidP="002109C4">
      <w:pPr>
        <w:tabs>
          <w:tab w:val="left" w:pos="2552"/>
          <w:tab w:val="left" w:pos="2694"/>
        </w:tabs>
        <w:ind w:firstLine="709"/>
        <w:rPr>
          <w:sz w:val="28"/>
          <w:szCs w:val="28"/>
        </w:rPr>
      </w:pPr>
      <w:r w:rsidRPr="00676E06">
        <w:rPr>
          <w:sz w:val="28"/>
          <w:szCs w:val="28"/>
        </w:rPr>
        <w:t xml:space="preserve">Labklājības ministre </w:t>
      </w:r>
      <w:r w:rsidRPr="00676E06">
        <w:rPr>
          <w:sz w:val="28"/>
          <w:szCs w:val="28"/>
        </w:rPr>
        <w:tab/>
      </w:r>
      <w:r w:rsidRPr="00676E06">
        <w:rPr>
          <w:sz w:val="28"/>
          <w:szCs w:val="28"/>
        </w:rPr>
        <w:tab/>
      </w:r>
      <w:r w:rsidRPr="00676E06">
        <w:rPr>
          <w:sz w:val="28"/>
          <w:szCs w:val="28"/>
        </w:rPr>
        <w:tab/>
      </w:r>
      <w:r w:rsidRPr="00676E06">
        <w:rPr>
          <w:sz w:val="28"/>
          <w:szCs w:val="28"/>
        </w:rPr>
        <w:tab/>
        <w:t xml:space="preserve"> </w:t>
      </w:r>
      <w:r w:rsidRPr="00676E06">
        <w:rPr>
          <w:sz w:val="28"/>
          <w:szCs w:val="28"/>
        </w:rPr>
        <w:tab/>
      </w:r>
      <w:r w:rsidRPr="00676E06">
        <w:rPr>
          <w:sz w:val="28"/>
          <w:szCs w:val="28"/>
        </w:rPr>
        <w:tab/>
      </w:r>
      <w:proofErr w:type="spellStart"/>
      <w:r w:rsidRPr="00676E06">
        <w:rPr>
          <w:sz w:val="28"/>
          <w:szCs w:val="28"/>
        </w:rPr>
        <w:t>R.Petraviča</w:t>
      </w:r>
      <w:proofErr w:type="spellEnd"/>
    </w:p>
    <w:p w14:paraId="3FFBDACE" w14:textId="77777777" w:rsidR="002109C4" w:rsidRPr="00676E06" w:rsidRDefault="002109C4" w:rsidP="002109C4">
      <w:pPr>
        <w:pStyle w:val="NormalWeb"/>
        <w:spacing w:before="0" w:beforeAutospacing="0" w:after="0"/>
        <w:rPr>
          <w:rFonts w:eastAsia="Calibri"/>
          <w:sz w:val="28"/>
          <w:szCs w:val="28"/>
          <w:lang w:eastAsia="en-US"/>
        </w:rPr>
      </w:pPr>
    </w:p>
    <w:p w14:paraId="7CFAADD7" w14:textId="77777777" w:rsidR="00107081" w:rsidRPr="00676E06" w:rsidRDefault="00107081" w:rsidP="00107081">
      <w:pPr>
        <w:pStyle w:val="NormalWeb"/>
        <w:spacing w:before="0" w:beforeAutospacing="0" w:after="0" w:afterAutospacing="0"/>
      </w:pPr>
    </w:p>
    <w:p w14:paraId="0DE908AE" w14:textId="77777777" w:rsidR="007420FF" w:rsidRPr="00676E06" w:rsidRDefault="007420FF" w:rsidP="007420FF">
      <w:pPr>
        <w:rPr>
          <w:rFonts w:eastAsiaTheme="minorHAnsi"/>
          <w:sz w:val="18"/>
          <w:szCs w:val="18"/>
          <w:lang w:eastAsia="en-US"/>
        </w:rPr>
      </w:pPr>
      <w:r w:rsidRPr="00676E06">
        <w:rPr>
          <w:rFonts w:eastAsiaTheme="minorHAnsi"/>
          <w:sz w:val="18"/>
          <w:szCs w:val="18"/>
          <w:lang w:eastAsia="en-US"/>
        </w:rPr>
        <w:t>Inese Upīte, 60008557</w:t>
      </w:r>
    </w:p>
    <w:p w14:paraId="3FFEA8FE" w14:textId="77777777" w:rsidR="007420FF" w:rsidRPr="00676E06" w:rsidRDefault="00676E06" w:rsidP="007420FF">
      <w:pPr>
        <w:rPr>
          <w:rFonts w:eastAsiaTheme="minorHAnsi"/>
          <w:sz w:val="18"/>
          <w:szCs w:val="18"/>
          <w:lang w:eastAsia="en-US"/>
        </w:rPr>
      </w:pPr>
      <w:hyperlink r:id="rId9" w:history="1">
        <w:r w:rsidR="007420FF" w:rsidRPr="00676E06">
          <w:rPr>
            <w:rFonts w:eastAsiaTheme="minorHAnsi"/>
            <w:sz w:val="18"/>
            <w:szCs w:val="18"/>
            <w:u w:val="single"/>
            <w:lang w:eastAsia="en-US"/>
          </w:rPr>
          <w:t>Inese.Upite@lm.gov.lv</w:t>
        </w:r>
      </w:hyperlink>
    </w:p>
    <w:p w14:paraId="27A5F171" w14:textId="77777777" w:rsidR="007420FF" w:rsidRPr="00676E06" w:rsidRDefault="007420FF" w:rsidP="007420FF">
      <w:pPr>
        <w:pStyle w:val="NormalWeb"/>
        <w:spacing w:before="0" w:beforeAutospacing="0" w:after="0" w:afterAutospacing="0"/>
        <w:rPr>
          <w:sz w:val="18"/>
          <w:szCs w:val="18"/>
        </w:rPr>
      </w:pPr>
    </w:p>
    <w:p w14:paraId="468C7A40" w14:textId="77777777" w:rsidR="003C0C7F" w:rsidRPr="00676E06" w:rsidRDefault="003C0C7F" w:rsidP="003C0C7F">
      <w:pPr>
        <w:suppressAutoHyphens/>
        <w:rPr>
          <w:rFonts w:eastAsiaTheme="minorHAnsi"/>
          <w:sz w:val="18"/>
          <w:szCs w:val="18"/>
          <w:lang w:eastAsia="ar-SA"/>
        </w:rPr>
      </w:pPr>
      <w:r w:rsidRPr="00676E06">
        <w:rPr>
          <w:rFonts w:eastAsiaTheme="minorHAnsi"/>
          <w:sz w:val="18"/>
          <w:szCs w:val="18"/>
          <w:lang w:eastAsia="ar-SA"/>
        </w:rPr>
        <w:t>Kristīne Zirnīte, 67021520</w:t>
      </w:r>
    </w:p>
    <w:p w14:paraId="163AD620" w14:textId="60322927" w:rsidR="003C0C7F" w:rsidRPr="00676E06" w:rsidRDefault="00676E06" w:rsidP="003C0C7F">
      <w:pPr>
        <w:suppressAutoHyphens/>
        <w:rPr>
          <w:rFonts w:eastAsiaTheme="minorHAnsi"/>
          <w:sz w:val="18"/>
          <w:szCs w:val="18"/>
          <w:lang w:eastAsia="ar-SA"/>
        </w:rPr>
      </w:pPr>
      <w:hyperlink r:id="rId10" w:history="1">
        <w:r w:rsidR="003C0C7F" w:rsidRPr="00676E06">
          <w:rPr>
            <w:rStyle w:val="Hyperlink"/>
            <w:rFonts w:eastAsiaTheme="minorHAnsi"/>
            <w:color w:val="auto"/>
            <w:sz w:val="18"/>
            <w:szCs w:val="18"/>
            <w:lang w:eastAsia="ar-SA"/>
          </w:rPr>
          <w:t>Kristine.Zirnite@lm.gov.lv</w:t>
        </w:r>
      </w:hyperlink>
    </w:p>
    <w:p w14:paraId="6A353A2D" w14:textId="77777777" w:rsidR="003C0C7F" w:rsidRPr="00676E06" w:rsidRDefault="003C0C7F" w:rsidP="003C0C7F">
      <w:pPr>
        <w:spacing w:after="160" w:line="259" w:lineRule="auto"/>
        <w:ind w:left="142"/>
        <w:rPr>
          <w:rFonts w:asciiTheme="minorHAnsi" w:eastAsiaTheme="minorHAnsi" w:hAnsiTheme="minorHAnsi" w:cstheme="minorBidi"/>
          <w:vanish/>
          <w:sz w:val="20"/>
          <w:szCs w:val="20"/>
          <w:lang w:eastAsia="en-US"/>
        </w:rPr>
      </w:pPr>
    </w:p>
    <w:p w14:paraId="1705C52A" w14:textId="77777777" w:rsidR="003C0C7F" w:rsidRPr="00676E06" w:rsidRDefault="003C0C7F" w:rsidP="003C0C7F">
      <w:pPr>
        <w:spacing w:after="160" w:line="259" w:lineRule="auto"/>
        <w:ind w:left="142"/>
        <w:rPr>
          <w:rFonts w:asciiTheme="minorHAnsi" w:eastAsiaTheme="minorHAnsi" w:hAnsiTheme="minorHAnsi" w:cstheme="minorBidi"/>
          <w:vanish/>
          <w:sz w:val="20"/>
          <w:szCs w:val="20"/>
          <w:lang w:eastAsia="en-US"/>
        </w:rPr>
      </w:pPr>
    </w:p>
    <w:p w14:paraId="5369968D" w14:textId="77777777" w:rsidR="003C0C7F" w:rsidRPr="00676E06" w:rsidRDefault="003C0C7F" w:rsidP="003C0C7F">
      <w:pPr>
        <w:spacing w:after="160" w:line="259" w:lineRule="auto"/>
        <w:ind w:left="142"/>
        <w:rPr>
          <w:rFonts w:asciiTheme="minorHAnsi" w:eastAsiaTheme="minorHAnsi" w:hAnsiTheme="minorHAnsi" w:cstheme="minorBidi"/>
          <w:sz w:val="20"/>
          <w:szCs w:val="20"/>
          <w:lang w:eastAsia="en-US"/>
        </w:rPr>
      </w:pPr>
    </w:p>
    <w:p w14:paraId="66741DC8" w14:textId="77777777" w:rsidR="009745C0" w:rsidRPr="00676E06" w:rsidRDefault="009745C0" w:rsidP="00155578">
      <w:pPr>
        <w:pStyle w:val="NormalWeb"/>
        <w:spacing w:before="0" w:beforeAutospacing="0" w:after="0" w:afterAutospacing="0"/>
        <w:rPr>
          <w:sz w:val="20"/>
          <w:szCs w:val="20"/>
        </w:rPr>
      </w:pPr>
    </w:p>
    <w:p w14:paraId="26F174D2" w14:textId="77777777" w:rsidR="009745C0" w:rsidRPr="00676E06" w:rsidRDefault="009745C0" w:rsidP="00155578">
      <w:pPr>
        <w:pStyle w:val="NormalWeb"/>
        <w:spacing w:before="0" w:beforeAutospacing="0" w:after="0" w:afterAutospacing="0"/>
        <w:rPr>
          <w:sz w:val="20"/>
          <w:szCs w:val="20"/>
        </w:rPr>
      </w:pPr>
    </w:p>
    <w:p w14:paraId="1D0DDE6D" w14:textId="77777777" w:rsidR="00577113" w:rsidRPr="00676E06" w:rsidRDefault="00577113" w:rsidP="00155578">
      <w:pPr>
        <w:pStyle w:val="NormalWeb"/>
        <w:spacing w:before="0" w:beforeAutospacing="0" w:after="0" w:afterAutospacing="0"/>
        <w:rPr>
          <w:sz w:val="20"/>
          <w:szCs w:val="20"/>
        </w:rPr>
      </w:pPr>
    </w:p>
    <w:p w14:paraId="74C66609" w14:textId="77777777" w:rsidR="00577113" w:rsidRPr="00676E06" w:rsidRDefault="00577113" w:rsidP="00155578">
      <w:pPr>
        <w:pStyle w:val="NormalWeb"/>
        <w:spacing w:before="0" w:beforeAutospacing="0" w:after="0" w:afterAutospacing="0"/>
        <w:rPr>
          <w:sz w:val="20"/>
          <w:szCs w:val="20"/>
        </w:rPr>
      </w:pPr>
    </w:p>
    <w:p w14:paraId="26212D40" w14:textId="77777777" w:rsidR="008A4962" w:rsidRPr="00676E06" w:rsidRDefault="008A4962" w:rsidP="00155578">
      <w:pPr>
        <w:pStyle w:val="NormalWeb"/>
        <w:spacing w:before="0" w:beforeAutospacing="0" w:after="0" w:afterAutospacing="0"/>
        <w:rPr>
          <w:sz w:val="20"/>
          <w:szCs w:val="20"/>
        </w:rPr>
      </w:pPr>
    </w:p>
    <w:sectPr w:rsidR="008A4962" w:rsidRPr="00676E06" w:rsidSect="00D63CA8">
      <w:headerReference w:type="default" r:id="rId11"/>
      <w:footerReference w:type="default" r:id="rId12"/>
      <w:footerReference w:type="first" r:id="rId13"/>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4F77" w14:textId="77777777" w:rsidR="00874E46" w:rsidRDefault="00874E46" w:rsidP="00894C55">
      <w:r>
        <w:separator/>
      </w:r>
    </w:p>
  </w:endnote>
  <w:endnote w:type="continuationSeparator" w:id="0">
    <w:p w14:paraId="04D67887" w14:textId="77777777" w:rsidR="00874E46" w:rsidRDefault="00874E4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23C1449" w:rsidR="002074A4" w:rsidRPr="00A437F6" w:rsidRDefault="00A437F6" w:rsidP="00A437F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MKanot_</w:t>
    </w:r>
    <w:r w:rsidR="00D63CA8">
      <w:rPr>
        <w:rFonts w:ascii="Times New Roman" w:hAnsi="Times New Roman" w:cs="Times New Roman"/>
        <w:noProof/>
        <w:sz w:val="20"/>
        <w:szCs w:val="20"/>
      </w:rPr>
      <w:t>2</w:t>
    </w:r>
    <w:r w:rsidR="000F24F1">
      <w:rPr>
        <w:rFonts w:ascii="Times New Roman" w:hAnsi="Times New Roman" w:cs="Times New Roman"/>
        <w:noProof/>
        <w:sz w:val="20"/>
        <w:szCs w:val="20"/>
      </w:rPr>
      <w:t>5</w:t>
    </w:r>
    <w:r w:rsidR="00D63CA8">
      <w:rPr>
        <w:rFonts w:ascii="Times New Roman" w:hAnsi="Times New Roman" w:cs="Times New Roman"/>
        <w:noProof/>
        <w:sz w:val="20"/>
        <w:szCs w:val="20"/>
      </w:rPr>
      <w:t>03</w:t>
    </w:r>
    <w:r>
      <w:rPr>
        <w:rFonts w:ascii="Times New Roman" w:hAnsi="Times New Roman" w:cs="Times New Roman"/>
        <w:noProof/>
        <w:sz w:val="20"/>
        <w:szCs w:val="20"/>
      </w:rPr>
      <w:t>21_LNG_piemaksa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0D09" w14:textId="767D0533" w:rsidR="00D63CA8" w:rsidRPr="00A437F6" w:rsidRDefault="00D63CA8" w:rsidP="00D63CA8">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MKanot_2</w:t>
    </w:r>
    <w:r w:rsidR="000F24F1">
      <w:rPr>
        <w:rFonts w:ascii="Times New Roman" w:hAnsi="Times New Roman" w:cs="Times New Roman"/>
        <w:noProof/>
        <w:sz w:val="20"/>
        <w:szCs w:val="20"/>
      </w:rPr>
      <w:t>5</w:t>
    </w:r>
    <w:r>
      <w:rPr>
        <w:rFonts w:ascii="Times New Roman" w:hAnsi="Times New Roman" w:cs="Times New Roman"/>
        <w:noProof/>
        <w:sz w:val="20"/>
        <w:szCs w:val="20"/>
      </w:rPr>
      <w:t>0321_LNG_piemaksa</w:t>
    </w:r>
    <w:r>
      <w:rPr>
        <w:rFonts w:ascii="Times New Roman" w:hAnsi="Times New Roman" w:cs="Times New Roman"/>
        <w:sz w:val="20"/>
        <w:szCs w:val="20"/>
      </w:rPr>
      <w:fldChar w:fldCharType="end"/>
    </w: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5128" w14:textId="77777777" w:rsidR="00874E46" w:rsidRDefault="00874E46" w:rsidP="00894C55">
      <w:r>
        <w:separator/>
      </w:r>
    </w:p>
  </w:footnote>
  <w:footnote w:type="continuationSeparator" w:id="0">
    <w:p w14:paraId="2D8F403C" w14:textId="77777777" w:rsidR="00874E46" w:rsidRDefault="00874E46"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4D40386"/>
    <w:multiLevelType w:val="hybridMultilevel"/>
    <w:tmpl w:val="2D3CC4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9"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0"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1"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4"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5"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6"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7"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2"/>
  </w:num>
  <w:num w:numId="2">
    <w:abstractNumId w:val="28"/>
  </w:num>
  <w:num w:numId="3">
    <w:abstractNumId w:val="8"/>
  </w:num>
  <w:num w:numId="4">
    <w:abstractNumId w:val="30"/>
  </w:num>
  <w:num w:numId="5">
    <w:abstractNumId w:val="16"/>
  </w:num>
  <w:num w:numId="6">
    <w:abstractNumId w:val="2"/>
  </w:num>
  <w:num w:numId="7">
    <w:abstractNumId w:val="29"/>
  </w:num>
  <w:num w:numId="8">
    <w:abstractNumId w:val="3"/>
  </w:num>
  <w:num w:numId="9">
    <w:abstractNumId w:val="31"/>
  </w:num>
  <w:num w:numId="10">
    <w:abstractNumId w:val="12"/>
  </w:num>
  <w:num w:numId="11">
    <w:abstractNumId w:val="25"/>
  </w:num>
  <w:num w:numId="12">
    <w:abstractNumId w:val="4"/>
  </w:num>
  <w:num w:numId="13">
    <w:abstractNumId w:val="9"/>
  </w:num>
  <w:num w:numId="14">
    <w:abstractNumId w:val="17"/>
  </w:num>
  <w:num w:numId="15">
    <w:abstractNumId w:val="26"/>
  </w:num>
  <w:num w:numId="16">
    <w:abstractNumId w:val="10"/>
  </w:num>
  <w:num w:numId="17">
    <w:abstractNumId w:val="6"/>
  </w:num>
  <w:num w:numId="18">
    <w:abstractNumId w:val="23"/>
  </w:num>
  <w:num w:numId="19">
    <w:abstractNumId w:val="24"/>
  </w:num>
  <w:num w:numId="20">
    <w:abstractNumId w:val="5"/>
  </w:num>
  <w:num w:numId="21">
    <w:abstractNumId w:val="13"/>
  </w:num>
  <w:num w:numId="22">
    <w:abstractNumId w:val="20"/>
  </w:num>
  <w:num w:numId="23">
    <w:abstractNumId w:val="21"/>
  </w:num>
  <w:num w:numId="24">
    <w:abstractNumId w:val="11"/>
  </w:num>
  <w:num w:numId="25">
    <w:abstractNumId w:val="0"/>
  </w:num>
  <w:num w:numId="26">
    <w:abstractNumId w:val="1"/>
  </w:num>
  <w:num w:numId="27">
    <w:abstractNumId w:val="15"/>
  </w:num>
  <w:num w:numId="28">
    <w:abstractNumId w:val="27"/>
  </w:num>
  <w:num w:numId="29">
    <w:abstractNumId w:val="14"/>
  </w:num>
  <w:num w:numId="30">
    <w:abstractNumId w:val="18"/>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156F2"/>
    <w:rsid w:val="0002126E"/>
    <w:rsid w:val="00021774"/>
    <w:rsid w:val="00031925"/>
    <w:rsid w:val="00035C2D"/>
    <w:rsid w:val="00035CD5"/>
    <w:rsid w:val="00035E6E"/>
    <w:rsid w:val="00037257"/>
    <w:rsid w:val="00037CA6"/>
    <w:rsid w:val="0004022B"/>
    <w:rsid w:val="00041BCC"/>
    <w:rsid w:val="0004685C"/>
    <w:rsid w:val="00046CA0"/>
    <w:rsid w:val="00050143"/>
    <w:rsid w:val="00051EE3"/>
    <w:rsid w:val="00057022"/>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15EF"/>
    <w:rsid w:val="000A21B9"/>
    <w:rsid w:val="000A4002"/>
    <w:rsid w:val="000A4A1E"/>
    <w:rsid w:val="000B0F4A"/>
    <w:rsid w:val="000B32B9"/>
    <w:rsid w:val="000B54FA"/>
    <w:rsid w:val="000C0AE6"/>
    <w:rsid w:val="000C4480"/>
    <w:rsid w:val="000C568F"/>
    <w:rsid w:val="000C7E9B"/>
    <w:rsid w:val="000D26B7"/>
    <w:rsid w:val="000D7BBA"/>
    <w:rsid w:val="000E0D22"/>
    <w:rsid w:val="000E2D99"/>
    <w:rsid w:val="000E6028"/>
    <w:rsid w:val="000E6D72"/>
    <w:rsid w:val="000E7951"/>
    <w:rsid w:val="000E7A66"/>
    <w:rsid w:val="000F24F1"/>
    <w:rsid w:val="000F3D40"/>
    <w:rsid w:val="001001E8"/>
    <w:rsid w:val="00102843"/>
    <w:rsid w:val="00107081"/>
    <w:rsid w:val="00110584"/>
    <w:rsid w:val="00112306"/>
    <w:rsid w:val="00113381"/>
    <w:rsid w:val="00114A05"/>
    <w:rsid w:val="00116F95"/>
    <w:rsid w:val="0012116B"/>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2F19"/>
    <w:rsid w:val="0018516A"/>
    <w:rsid w:val="00187676"/>
    <w:rsid w:val="00187FF3"/>
    <w:rsid w:val="001A2778"/>
    <w:rsid w:val="001A559D"/>
    <w:rsid w:val="001A5818"/>
    <w:rsid w:val="001A5A01"/>
    <w:rsid w:val="001A7F37"/>
    <w:rsid w:val="001B6740"/>
    <w:rsid w:val="001B6C59"/>
    <w:rsid w:val="001C2F68"/>
    <w:rsid w:val="001C4FAF"/>
    <w:rsid w:val="001C5440"/>
    <w:rsid w:val="001C768D"/>
    <w:rsid w:val="001C797C"/>
    <w:rsid w:val="001D0F46"/>
    <w:rsid w:val="001D5E4E"/>
    <w:rsid w:val="001D66EB"/>
    <w:rsid w:val="001D7963"/>
    <w:rsid w:val="001E2A65"/>
    <w:rsid w:val="001E37ED"/>
    <w:rsid w:val="001E50AE"/>
    <w:rsid w:val="001E7774"/>
    <w:rsid w:val="001E7EAF"/>
    <w:rsid w:val="002019D8"/>
    <w:rsid w:val="002030FA"/>
    <w:rsid w:val="00205B3C"/>
    <w:rsid w:val="002074A4"/>
    <w:rsid w:val="00207C58"/>
    <w:rsid w:val="002109C4"/>
    <w:rsid w:val="002119C3"/>
    <w:rsid w:val="002209D4"/>
    <w:rsid w:val="00220B1B"/>
    <w:rsid w:val="00220F23"/>
    <w:rsid w:val="00221F1D"/>
    <w:rsid w:val="00223CED"/>
    <w:rsid w:val="00230841"/>
    <w:rsid w:val="0023168A"/>
    <w:rsid w:val="002355FE"/>
    <w:rsid w:val="00235E5C"/>
    <w:rsid w:val="00237D5B"/>
    <w:rsid w:val="00243426"/>
    <w:rsid w:val="002524DF"/>
    <w:rsid w:val="002549F5"/>
    <w:rsid w:val="00256091"/>
    <w:rsid w:val="002702EA"/>
    <w:rsid w:val="0027578E"/>
    <w:rsid w:val="0027706F"/>
    <w:rsid w:val="00282312"/>
    <w:rsid w:val="00283441"/>
    <w:rsid w:val="002834FB"/>
    <w:rsid w:val="00284852"/>
    <w:rsid w:val="00284C2D"/>
    <w:rsid w:val="0028659C"/>
    <w:rsid w:val="00287A59"/>
    <w:rsid w:val="00293399"/>
    <w:rsid w:val="00293B3D"/>
    <w:rsid w:val="002948BA"/>
    <w:rsid w:val="00296B07"/>
    <w:rsid w:val="002A217A"/>
    <w:rsid w:val="002A5E5F"/>
    <w:rsid w:val="002B020C"/>
    <w:rsid w:val="002B6C5A"/>
    <w:rsid w:val="002C1701"/>
    <w:rsid w:val="002C6CE2"/>
    <w:rsid w:val="002D1E95"/>
    <w:rsid w:val="002E1C05"/>
    <w:rsid w:val="002E2C6E"/>
    <w:rsid w:val="002E6479"/>
    <w:rsid w:val="002E6CE7"/>
    <w:rsid w:val="002F5D99"/>
    <w:rsid w:val="002F7B64"/>
    <w:rsid w:val="0030072E"/>
    <w:rsid w:val="003027A9"/>
    <w:rsid w:val="00303246"/>
    <w:rsid w:val="003102E6"/>
    <w:rsid w:val="00312097"/>
    <w:rsid w:val="00312466"/>
    <w:rsid w:val="00313AD3"/>
    <w:rsid w:val="003142B7"/>
    <w:rsid w:val="00320014"/>
    <w:rsid w:val="003205CD"/>
    <w:rsid w:val="003243B6"/>
    <w:rsid w:val="00327DB2"/>
    <w:rsid w:val="00334745"/>
    <w:rsid w:val="00335899"/>
    <w:rsid w:val="00340618"/>
    <w:rsid w:val="00340B68"/>
    <w:rsid w:val="00340F13"/>
    <w:rsid w:val="00341D70"/>
    <w:rsid w:val="003440B2"/>
    <w:rsid w:val="00350806"/>
    <w:rsid w:val="00360972"/>
    <w:rsid w:val="00361916"/>
    <w:rsid w:val="00362642"/>
    <w:rsid w:val="00362E82"/>
    <w:rsid w:val="003671CE"/>
    <w:rsid w:val="00367478"/>
    <w:rsid w:val="00367AB5"/>
    <w:rsid w:val="00367E06"/>
    <w:rsid w:val="00372ACB"/>
    <w:rsid w:val="00380C6D"/>
    <w:rsid w:val="003874BB"/>
    <w:rsid w:val="003903BF"/>
    <w:rsid w:val="003905A5"/>
    <w:rsid w:val="003938F1"/>
    <w:rsid w:val="003A2832"/>
    <w:rsid w:val="003A5E62"/>
    <w:rsid w:val="003B0BF9"/>
    <w:rsid w:val="003B1DA8"/>
    <w:rsid w:val="003C0235"/>
    <w:rsid w:val="003C0C7F"/>
    <w:rsid w:val="003C13FB"/>
    <w:rsid w:val="003C2624"/>
    <w:rsid w:val="003C4E40"/>
    <w:rsid w:val="003C7AEA"/>
    <w:rsid w:val="003D23E3"/>
    <w:rsid w:val="003D4330"/>
    <w:rsid w:val="003D6DD6"/>
    <w:rsid w:val="003E0791"/>
    <w:rsid w:val="003E215C"/>
    <w:rsid w:val="003F09A5"/>
    <w:rsid w:val="003F1F2D"/>
    <w:rsid w:val="003F28AC"/>
    <w:rsid w:val="003F66CA"/>
    <w:rsid w:val="003F6A13"/>
    <w:rsid w:val="003F7E88"/>
    <w:rsid w:val="004002E0"/>
    <w:rsid w:val="00401F30"/>
    <w:rsid w:val="00403529"/>
    <w:rsid w:val="00403A2F"/>
    <w:rsid w:val="00406B41"/>
    <w:rsid w:val="00411A8D"/>
    <w:rsid w:val="00411B9A"/>
    <w:rsid w:val="00417A7A"/>
    <w:rsid w:val="00420133"/>
    <w:rsid w:val="00421F8D"/>
    <w:rsid w:val="0043377F"/>
    <w:rsid w:val="00435568"/>
    <w:rsid w:val="004454FE"/>
    <w:rsid w:val="00451F79"/>
    <w:rsid w:val="00456E40"/>
    <w:rsid w:val="004622AB"/>
    <w:rsid w:val="00462D25"/>
    <w:rsid w:val="004638D6"/>
    <w:rsid w:val="00463B4E"/>
    <w:rsid w:val="00467DE3"/>
    <w:rsid w:val="00471F27"/>
    <w:rsid w:val="00475152"/>
    <w:rsid w:val="00475F37"/>
    <w:rsid w:val="00477C67"/>
    <w:rsid w:val="00482EB4"/>
    <w:rsid w:val="004875DD"/>
    <w:rsid w:val="00493BF2"/>
    <w:rsid w:val="00494F80"/>
    <w:rsid w:val="004953FE"/>
    <w:rsid w:val="00495760"/>
    <w:rsid w:val="0049601C"/>
    <w:rsid w:val="004B02EB"/>
    <w:rsid w:val="004B5A63"/>
    <w:rsid w:val="004C1FE7"/>
    <w:rsid w:val="004D5CCE"/>
    <w:rsid w:val="004D6991"/>
    <w:rsid w:val="004D7640"/>
    <w:rsid w:val="004E02C8"/>
    <w:rsid w:val="004E1BA2"/>
    <w:rsid w:val="004E282B"/>
    <w:rsid w:val="004E29AE"/>
    <w:rsid w:val="004E3931"/>
    <w:rsid w:val="004F0343"/>
    <w:rsid w:val="004F71F5"/>
    <w:rsid w:val="004F79BB"/>
    <w:rsid w:val="0050178F"/>
    <w:rsid w:val="00502B81"/>
    <w:rsid w:val="00502D97"/>
    <w:rsid w:val="0050461A"/>
    <w:rsid w:val="005169EA"/>
    <w:rsid w:val="00520FE1"/>
    <w:rsid w:val="005242EC"/>
    <w:rsid w:val="00526E2C"/>
    <w:rsid w:val="00527D8B"/>
    <w:rsid w:val="00533206"/>
    <w:rsid w:val="005349F0"/>
    <w:rsid w:val="00535EAE"/>
    <w:rsid w:val="00541371"/>
    <w:rsid w:val="00541C6E"/>
    <w:rsid w:val="005534E6"/>
    <w:rsid w:val="00553C89"/>
    <w:rsid w:val="00553E16"/>
    <w:rsid w:val="00564C6B"/>
    <w:rsid w:val="0056696D"/>
    <w:rsid w:val="00566AD6"/>
    <w:rsid w:val="005746E7"/>
    <w:rsid w:val="005747B5"/>
    <w:rsid w:val="00577052"/>
    <w:rsid w:val="00577113"/>
    <w:rsid w:val="00580732"/>
    <w:rsid w:val="00581ACE"/>
    <w:rsid w:val="005826B6"/>
    <w:rsid w:val="00583ABD"/>
    <w:rsid w:val="005856D9"/>
    <w:rsid w:val="00590D2D"/>
    <w:rsid w:val="00592BDA"/>
    <w:rsid w:val="0059411F"/>
    <w:rsid w:val="005947F0"/>
    <w:rsid w:val="00594B91"/>
    <w:rsid w:val="0059567A"/>
    <w:rsid w:val="005A74A9"/>
    <w:rsid w:val="005A770B"/>
    <w:rsid w:val="005B1660"/>
    <w:rsid w:val="005B3E87"/>
    <w:rsid w:val="005B5A36"/>
    <w:rsid w:val="005C04A2"/>
    <w:rsid w:val="005D34DD"/>
    <w:rsid w:val="005D3EA7"/>
    <w:rsid w:val="005D54F2"/>
    <w:rsid w:val="005E1FE3"/>
    <w:rsid w:val="005E25B2"/>
    <w:rsid w:val="005F46C9"/>
    <w:rsid w:val="005F4FE2"/>
    <w:rsid w:val="005F7BA4"/>
    <w:rsid w:val="006043EA"/>
    <w:rsid w:val="00604477"/>
    <w:rsid w:val="00605CBC"/>
    <w:rsid w:val="0061155F"/>
    <w:rsid w:val="00611D32"/>
    <w:rsid w:val="00622822"/>
    <w:rsid w:val="006232F5"/>
    <w:rsid w:val="00626AC5"/>
    <w:rsid w:val="00627631"/>
    <w:rsid w:val="006335C0"/>
    <w:rsid w:val="00635B83"/>
    <w:rsid w:val="0064126F"/>
    <w:rsid w:val="0064127B"/>
    <w:rsid w:val="00642945"/>
    <w:rsid w:val="00644B15"/>
    <w:rsid w:val="00646244"/>
    <w:rsid w:val="0064653C"/>
    <w:rsid w:val="00646E13"/>
    <w:rsid w:val="00647B3D"/>
    <w:rsid w:val="006538AC"/>
    <w:rsid w:val="00655F2C"/>
    <w:rsid w:val="0065758B"/>
    <w:rsid w:val="00660162"/>
    <w:rsid w:val="00663AF4"/>
    <w:rsid w:val="0066594E"/>
    <w:rsid w:val="0066749E"/>
    <w:rsid w:val="0067466F"/>
    <w:rsid w:val="00675917"/>
    <w:rsid w:val="00676E06"/>
    <w:rsid w:val="00681F74"/>
    <w:rsid w:val="006842C0"/>
    <w:rsid w:val="006936E5"/>
    <w:rsid w:val="006A2AEC"/>
    <w:rsid w:val="006A31D0"/>
    <w:rsid w:val="006A3331"/>
    <w:rsid w:val="006A4B9B"/>
    <w:rsid w:val="006A4BF8"/>
    <w:rsid w:val="006A5A9B"/>
    <w:rsid w:val="006A5DEF"/>
    <w:rsid w:val="006A7C70"/>
    <w:rsid w:val="006B221B"/>
    <w:rsid w:val="006B6400"/>
    <w:rsid w:val="006C12A6"/>
    <w:rsid w:val="006C219D"/>
    <w:rsid w:val="006C2BE6"/>
    <w:rsid w:val="006C2DFF"/>
    <w:rsid w:val="006C7AE7"/>
    <w:rsid w:val="006C7CE3"/>
    <w:rsid w:val="006D0ACC"/>
    <w:rsid w:val="006D4250"/>
    <w:rsid w:val="006D74B1"/>
    <w:rsid w:val="006E0366"/>
    <w:rsid w:val="006E1081"/>
    <w:rsid w:val="006E587D"/>
    <w:rsid w:val="006E71F7"/>
    <w:rsid w:val="006F09C2"/>
    <w:rsid w:val="006F0FC6"/>
    <w:rsid w:val="006F193F"/>
    <w:rsid w:val="006F4690"/>
    <w:rsid w:val="006F56B9"/>
    <w:rsid w:val="00701622"/>
    <w:rsid w:val="00701AC4"/>
    <w:rsid w:val="00702CFD"/>
    <w:rsid w:val="00705A87"/>
    <w:rsid w:val="00707161"/>
    <w:rsid w:val="00714300"/>
    <w:rsid w:val="00714489"/>
    <w:rsid w:val="00720585"/>
    <w:rsid w:val="0072163F"/>
    <w:rsid w:val="007252DF"/>
    <w:rsid w:val="007271A6"/>
    <w:rsid w:val="007272A8"/>
    <w:rsid w:val="00727B8B"/>
    <w:rsid w:val="00730168"/>
    <w:rsid w:val="007306E2"/>
    <w:rsid w:val="00740D0B"/>
    <w:rsid w:val="00740EEA"/>
    <w:rsid w:val="007420FF"/>
    <w:rsid w:val="00742254"/>
    <w:rsid w:val="007441D5"/>
    <w:rsid w:val="00746399"/>
    <w:rsid w:val="0074680C"/>
    <w:rsid w:val="00750D89"/>
    <w:rsid w:val="00751927"/>
    <w:rsid w:val="007606BC"/>
    <w:rsid w:val="007606BD"/>
    <w:rsid w:val="00765B2E"/>
    <w:rsid w:val="00766BFA"/>
    <w:rsid w:val="00770E96"/>
    <w:rsid w:val="00772205"/>
    <w:rsid w:val="00773AF6"/>
    <w:rsid w:val="00773EC6"/>
    <w:rsid w:val="00776EE7"/>
    <w:rsid w:val="00780184"/>
    <w:rsid w:val="00781317"/>
    <w:rsid w:val="00782C47"/>
    <w:rsid w:val="00783DD1"/>
    <w:rsid w:val="00786FCC"/>
    <w:rsid w:val="0079260F"/>
    <w:rsid w:val="00792E43"/>
    <w:rsid w:val="00795F71"/>
    <w:rsid w:val="007A0DA7"/>
    <w:rsid w:val="007A3F62"/>
    <w:rsid w:val="007A7695"/>
    <w:rsid w:val="007A7826"/>
    <w:rsid w:val="007B00E6"/>
    <w:rsid w:val="007B1644"/>
    <w:rsid w:val="007B1C39"/>
    <w:rsid w:val="007B2897"/>
    <w:rsid w:val="007B3917"/>
    <w:rsid w:val="007B7A0E"/>
    <w:rsid w:val="007D18F4"/>
    <w:rsid w:val="007D26DF"/>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16D0"/>
    <w:rsid w:val="0080508B"/>
    <w:rsid w:val="008055ED"/>
    <w:rsid w:val="00811D08"/>
    <w:rsid w:val="00811F4C"/>
    <w:rsid w:val="008142C8"/>
    <w:rsid w:val="00816479"/>
    <w:rsid w:val="008168AC"/>
    <w:rsid w:val="00816C11"/>
    <w:rsid w:val="00822C45"/>
    <w:rsid w:val="008230AB"/>
    <w:rsid w:val="00824A17"/>
    <w:rsid w:val="00824B84"/>
    <w:rsid w:val="00830B14"/>
    <w:rsid w:val="00831629"/>
    <w:rsid w:val="008342F2"/>
    <w:rsid w:val="00840C14"/>
    <w:rsid w:val="00840EE9"/>
    <w:rsid w:val="00842113"/>
    <w:rsid w:val="00842AD1"/>
    <w:rsid w:val="00843BD4"/>
    <w:rsid w:val="008470F2"/>
    <w:rsid w:val="00851D8B"/>
    <w:rsid w:val="00860032"/>
    <w:rsid w:val="00861998"/>
    <w:rsid w:val="00863DCA"/>
    <w:rsid w:val="00867737"/>
    <w:rsid w:val="0087304C"/>
    <w:rsid w:val="00874A48"/>
    <w:rsid w:val="00874A6E"/>
    <w:rsid w:val="00874E46"/>
    <w:rsid w:val="00875A9D"/>
    <w:rsid w:val="00885514"/>
    <w:rsid w:val="00891AF0"/>
    <w:rsid w:val="00891CFD"/>
    <w:rsid w:val="00894C55"/>
    <w:rsid w:val="008954E8"/>
    <w:rsid w:val="00896510"/>
    <w:rsid w:val="00896A9B"/>
    <w:rsid w:val="00896B28"/>
    <w:rsid w:val="008A4962"/>
    <w:rsid w:val="008A5E1F"/>
    <w:rsid w:val="008A66C9"/>
    <w:rsid w:val="008B2CA5"/>
    <w:rsid w:val="008B36DA"/>
    <w:rsid w:val="008B37B7"/>
    <w:rsid w:val="008B5601"/>
    <w:rsid w:val="008B7113"/>
    <w:rsid w:val="008C1794"/>
    <w:rsid w:val="008C563B"/>
    <w:rsid w:val="008C6C08"/>
    <w:rsid w:val="008C7E5C"/>
    <w:rsid w:val="008D16B8"/>
    <w:rsid w:val="008D372B"/>
    <w:rsid w:val="008D5D4E"/>
    <w:rsid w:val="008E09D7"/>
    <w:rsid w:val="008E20BE"/>
    <w:rsid w:val="008E381A"/>
    <w:rsid w:val="008E4FC1"/>
    <w:rsid w:val="008E61BF"/>
    <w:rsid w:val="008F5220"/>
    <w:rsid w:val="0090017B"/>
    <w:rsid w:val="009026E5"/>
    <w:rsid w:val="00903694"/>
    <w:rsid w:val="00904B72"/>
    <w:rsid w:val="00910BAE"/>
    <w:rsid w:val="009115E9"/>
    <w:rsid w:val="0091192F"/>
    <w:rsid w:val="00912458"/>
    <w:rsid w:val="0091488A"/>
    <w:rsid w:val="0091740C"/>
    <w:rsid w:val="00922C9E"/>
    <w:rsid w:val="00922E9E"/>
    <w:rsid w:val="00925C92"/>
    <w:rsid w:val="009271C0"/>
    <w:rsid w:val="00931F74"/>
    <w:rsid w:val="009337F9"/>
    <w:rsid w:val="0093387C"/>
    <w:rsid w:val="00934582"/>
    <w:rsid w:val="0094176A"/>
    <w:rsid w:val="00945CE6"/>
    <w:rsid w:val="009505DA"/>
    <w:rsid w:val="00950BF1"/>
    <w:rsid w:val="00950DF4"/>
    <w:rsid w:val="00951392"/>
    <w:rsid w:val="00952108"/>
    <w:rsid w:val="009547D2"/>
    <w:rsid w:val="009644BB"/>
    <w:rsid w:val="009652B6"/>
    <w:rsid w:val="00966B5F"/>
    <w:rsid w:val="00972E35"/>
    <w:rsid w:val="009734B2"/>
    <w:rsid w:val="009741D2"/>
    <w:rsid w:val="009745C0"/>
    <w:rsid w:val="00975699"/>
    <w:rsid w:val="0098083E"/>
    <w:rsid w:val="009870A7"/>
    <w:rsid w:val="009907E2"/>
    <w:rsid w:val="009936B8"/>
    <w:rsid w:val="009A0037"/>
    <w:rsid w:val="009A0228"/>
    <w:rsid w:val="009A2654"/>
    <w:rsid w:val="009A38DD"/>
    <w:rsid w:val="009A6794"/>
    <w:rsid w:val="009B37C5"/>
    <w:rsid w:val="009B5D17"/>
    <w:rsid w:val="009B61EE"/>
    <w:rsid w:val="009B7770"/>
    <w:rsid w:val="009C15CF"/>
    <w:rsid w:val="009C3DCD"/>
    <w:rsid w:val="009D142F"/>
    <w:rsid w:val="009D75CD"/>
    <w:rsid w:val="009E1A8B"/>
    <w:rsid w:val="009E1DED"/>
    <w:rsid w:val="009E38B2"/>
    <w:rsid w:val="009E53FF"/>
    <w:rsid w:val="009F0F42"/>
    <w:rsid w:val="009F25E7"/>
    <w:rsid w:val="009F2D30"/>
    <w:rsid w:val="009F572A"/>
    <w:rsid w:val="009F6C04"/>
    <w:rsid w:val="00A0244D"/>
    <w:rsid w:val="00A03A77"/>
    <w:rsid w:val="00A05CE6"/>
    <w:rsid w:val="00A10FC3"/>
    <w:rsid w:val="00A11F98"/>
    <w:rsid w:val="00A15ACA"/>
    <w:rsid w:val="00A1724E"/>
    <w:rsid w:val="00A224F2"/>
    <w:rsid w:val="00A22F1B"/>
    <w:rsid w:val="00A2399C"/>
    <w:rsid w:val="00A25C20"/>
    <w:rsid w:val="00A30CE4"/>
    <w:rsid w:val="00A35E02"/>
    <w:rsid w:val="00A364B7"/>
    <w:rsid w:val="00A406EF"/>
    <w:rsid w:val="00A437F6"/>
    <w:rsid w:val="00A53F16"/>
    <w:rsid w:val="00A6073E"/>
    <w:rsid w:val="00A60D70"/>
    <w:rsid w:val="00A61146"/>
    <w:rsid w:val="00A74263"/>
    <w:rsid w:val="00A772AD"/>
    <w:rsid w:val="00A80FDB"/>
    <w:rsid w:val="00A849D8"/>
    <w:rsid w:val="00A85518"/>
    <w:rsid w:val="00A92096"/>
    <w:rsid w:val="00A935DA"/>
    <w:rsid w:val="00A93640"/>
    <w:rsid w:val="00A96852"/>
    <w:rsid w:val="00AA4209"/>
    <w:rsid w:val="00AA4648"/>
    <w:rsid w:val="00AA55ED"/>
    <w:rsid w:val="00AA7D74"/>
    <w:rsid w:val="00AB35AD"/>
    <w:rsid w:val="00AB6561"/>
    <w:rsid w:val="00AB7D5B"/>
    <w:rsid w:val="00AC50CF"/>
    <w:rsid w:val="00AC5884"/>
    <w:rsid w:val="00AC58B1"/>
    <w:rsid w:val="00AD0171"/>
    <w:rsid w:val="00AD49CC"/>
    <w:rsid w:val="00AE1295"/>
    <w:rsid w:val="00AE5567"/>
    <w:rsid w:val="00AE5B46"/>
    <w:rsid w:val="00AE73AA"/>
    <w:rsid w:val="00AF1239"/>
    <w:rsid w:val="00AF3AB8"/>
    <w:rsid w:val="00AF7C42"/>
    <w:rsid w:val="00B07343"/>
    <w:rsid w:val="00B1213A"/>
    <w:rsid w:val="00B130ED"/>
    <w:rsid w:val="00B15FDD"/>
    <w:rsid w:val="00B16192"/>
    <w:rsid w:val="00B16480"/>
    <w:rsid w:val="00B2165C"/>
    <w:rsid w:val="00B24C87"/>
    <w:rsid w:val="00B2576B"/>
    <w:rsid w:val="00B30325"/>
    <w:rsid w:val="00B31BDD"/>
    <w:rsid w:val="00B328BC"/>
    <w:rsid w:val="00B34AB7"/>
    <w:rsid w:val="00B40D44"/>
    <w:rsid w:val="00B43E8D"/>
    <w:rsid w:val="00B47986"/>
    <w:rsid w:val="00B5648E"/>
    <w:rsid w:val="00B622AD"/>
    <w:rsid w:val="00B637DB"/>
    <w:rsid w:val="00B65B2E"/>
    <w:rsid w:val="00B6729B"/>
    <w:rsid w:val="00B67377"/>
    <w:rsid w:val="00B71BD4"/>
    <w:rsid w:val="00B83DE2"/>
    <w:rsid w:val="00B84835"/>
    <w:rsid w:val="00B9032B"/>
    <w:rsid w:val="00B91FC6"/>
    <w:rsid w:val="00B9226B"/>
    <w:rsid w:val="00B927DC"/>
    <w:rsid w:val="00BA104A"/>
    <w:rsid w:val="00BA20AA"/>
    <w:rsid w:val="00BA3344"/>
    <w:rsid w:val="00BA4D7E"/>
    <w:rsid w:val="00BA4F02"/>
    <w:rsid w:val="00BB28AD"/>
    <w:rsid w:val="00BB79B1"/>
    <w:rsid w:val="00BC2075"/>
    <w:rsid w:val="00BC4424"/>
    <w:rsid w:val="00BC562B"/>
    <w:rsid w:val="00BC7E07"/>
    <w:rsid w:val="00BD376B"/>
    <w:rsid w:val="00BD4425"/>
    <w:rsid w:val="00BD7F5E"/>
    <w:rsid w:val="00BE15A2"/>
    <w:rsid w:val="00BE3D8A"/>
    <w:rsid w:val="00BE7C51"/>
    <w:rsid w:val="00BE7DC1"/>
    <w:rsid w:val="00BF0380"/>
    <w:rsid w:val="00BF2A90"/>
    <w:rsid w:val="00C01C49"/>
    <w:rsid w:val="00C01E6E"/>
    <w:rsid w:val="00C01F9A"/>
    <w:rsid w:val="00C03C0C"/>
    <w:rsid w:val="00C05A28"/>
    <w:rsid w:val="00C05E15"/>
    <w:rsid w:val="00C07AF6"/>
    <w:rsid w:val="00C10270"/>
    <w:rsid w:val="00C200B1"/>
    <w:rsid w:val="00C21317"/>
    <w:rsid w:val="00C24A45"/>
    <w:rsid w:val="00C24D49"/>
    <w:rsid w:val="00C25A34"/>
    <w:rsid w:val="00C25B49"/>
    <w:rsid w:val="00C264A6"/>
    <w:rsid w:val="00C26520"/>
    <w:rsid w:val="00C30864"/>
    <w:rsid w:val="00C30F18"/>
    <w:rsid w:val="00C325F1"/>
    <w:rsid w:val="00C348FC"/>
    <w:rsid w:val="00C35679"/>
    <w:rsid w:val="00C36745"/>
    <w:rsid w:val="00C36EA7"/>
    <w:rsid w:val="00C4032D"/>
    <w:rsid w:val="00C40900"/>
    <w:rsid w:val="00C41982"/>
    <w:rsid w:val="00C42475"/>
    <w:rsid w:val="00C4296F"/>
    <w:rsid w:val="00C43873"/>
    <w:rsid w:val="00C468ED"/>
    <w:rsid w:val="00C47037"/>
    <w:rsid w:val="00C52EF4"/>
    <w:rsid w:val="00C53849"/>
    <w:rsid w:val="00C55F33"/>
    <w:rsid w:val="00C56F75"/>
    <w:rsid w:val="00C62EB6"/>
    <w:rsid w:val="00C66852"/>
    <w:rsid w:val="00C676A2"/>
    <w:rsid w:val="00C71D07"/>
    <w:rsid w:val="00C722A3"/>
    <w:rsid w:val="00C763A5"/>
    <w:rsid w:val="00C77477"/>
    <w:rsid w:val="00C83131"/>
    <w:rsid w:val="00C8678C"/>
    <w:rsid w:val="00C9006E"/>
    <w:rsid w:val="00C92EDF"/>
    <w:rsid w:val="00C930A2"/>
    <w:rsid w:val="00C9634E"/>
    <w:rsid w:val="00CA1AEE"/>
    <w:rsid w:val="00CA21C5"/>
    <w:rsid w:val="00CA39DA"/>
    <w:rsid w:val="00CA4413"/>
    <w:rsid w:val="00CA5840"/>
    <w:rsid w:val="00CA747D"/>
    <w:rsid w:val="00CB0786"/>
    <w:rsid w:val="00CB1824"/>
    <w:rsid w:val="00CB19C9"/>
    <w:rsid w:val="00CB6F03"/>
    <w:rsid w:val="00CC0982"/>
    <w:rsid w:val="00CC0D2D"/>
    <w:rsid w:val="00CC4FDB"/>
    <w:rsid w:val="00CC720B"/>
    <w:rsid w:val="00CD1DC6"/>
    <w:rsid w:val="00CD2BFB"/>
    <w:rsid w:val="00CD2F04"/>
    <w:rsid w:val="00CD44BF"/>
    <w:rsid w:val="00CE5657"/>
    <w:rsid w:val="00CF18DB"/>
    <w:rsid w:val="00CF262B"/>
    <w:rsid w:val="00CF3D9F"/>
    <w:rsid w:val="00CF6439"/>
    <w:rsid w:val="00CF7143"/>
    <w:rsid w:val="00CF7FD9"/>
    <w:rsid w:val="00D02DDA"/>
    <w:rsid w:val="00D03ADD"/>
    <w:rsid w:val="00D11DD9"/>
    <w:rsid w:val="00D13171"/>
    <w:rsid w:val="00D133F8"/>
    <w:rsid w:val="00D138E7"/>
    <w:rsid w:val="00D13E26"/>
    <w:rsid w:val="00D14A3E"/>
    <w:rsid w:val="00D201FF"/>
    <w:rsid w:val="00D21D7F"/>
    <w:rsid w:val="00D22281"/>
    <w:rsid w:val="00D24501"/>
    <w:rsid w:val="00D35329"/>
    <w:rsid w:val="00D37AAD"/>
    <w:rsid w:val="00D4052F"/>
    <w:rsid w:val="00D50278"/>
    <w:rsid w:val="00D507E2"/>
    <w:rsid w:val="00D548C7"/>
    <w:rsid w:val="00D56A82"/>
    <w:rsid w:val="00D63CA8"/>
    <w:rsid w:val="00D73A98"/>
    <w:rsid w:val="00D75AC4"/>
    <w:rsid w:val="00D7705D"/>
    <w:rsid w:val="00D857CF"/>
    <w:rsid w:val="00D900BB"/>
    <w:rsid w:val="00D903DA"/>
    <w:rsid w:val="00D93E91"/>
    <w:rsid w:val="00DB1AB8"/>
    <w:rsid w:val="00DB50C9"/>
    <w:rsid w:val="00DB6C09"/>
    <w:rsid w:val="00DC09E9"/>
    <w:rsid w:val="00DC1706"/>
    <w:rsid w:val="00DC2DAF"/>
    <w:rsid w:val="00DC4012"/>
    <w:rsid w:val="00DC5AA3"/>
    <w:rsid w:val="00DC5EDB"/>
    <w:rsid w:val="00DC76AE"/>
    <w:rsid w:val="00DC7938"/>
    <w:rsid w:val="00DD4186"/>
    <w:rsid w:val="00DD5E1F"/>
    <w:rsid w:val="00DD7A70"/>
    <w:rsid w:val="00DE07F2"/>
    <w:rsid w:val="00DF027E"/>
    <w:rsid w:val="00DF25F1"/>
    <w:rsid w:val="00DF2BB9"/>
    <w:rsid w:val="00DF461F"/>
    <w:rsid w:val="00DF4E63"/>
    <w:rsid w:val="00DF68F8"/>
    <w:rsid w:val="00DF776E"/>
    <w:rsid w:val="00DF77D6"/>
    <w:rsid w:val="00E01657"/>
    <w:rsid w:val="00E04A9C"/>
    <w:rsid w:val="00E0525B"/>
    <w:rsid w:val="00E16036"/>
    <w:rsid w:val="00E21304"/>
    <w:rsid w:val="00E31F13"/>
    <w:rsid w:val="00E32555"/>
    <w:rsid w:val="00E32710"/>
    <w:rsid w:val="00E3716B"/>
    <w:rsid w:val="00E4149D"/>
    <w:rsid w:val="00E43E3C"/>
    <w:rsid w:val="00E465CE"/>
    <w:rsid w:val="00E5323B"/>
    <w:rsid w:val="00E53D86"/>
    <w:rsid w:val="00E560D2"/>
    <w:rsid w:val="00E650F1"/>
    <w:rsid w:val="00E71E92"/>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B6794"/>
    <w:rsid w:val="00EC6E12"/>
    <w:rsid w:val="00EC766A"/>
    <w:rsid w:val="00ED25EE"/>
    <w:rsid w:val="00ED2D59"/>
    <w:rsid w:val="00ED555D"/>
    <w:rsid w:val="00ED5F8C"/>
    <w:rsid w:val="00EE0AC0"/>
    <w:rsid w:val="00EE2F62"/>
    <w:rsid w:val="00EE6183"/>
    <w:rsid w:val="00EF18F7"/>
    <w:rsid w:val="00EF2702"/>
    <w:rsid w:val="00EF2E70"/>
    <w:rsid w:val="00F00B5E"/>
    <w:rsid w:val="00F01E73"/>
    <w:rsid w:val="00F04C70"/>
    <w:rsid w:val="00F11E9C"/>
    <w:rsid w:val="00F12351"/>
    <w:rsid w:val="00F160EC"/>
    <w:rsid w:val="00F16840"/>
    <w:rsid w:val="00F17FDC"/>
    <w:rsid w:val="00F26232"/>
    <w:rsid w:val="00F277CC"/>
    <w:rsid w:val="00F3460D"/>
    <w:rsid w:val="00F41F19"/>
    <w:rsid w:val="00F464CE"/>
    <w:rsid w:val="00F57AC1"/>
    <w:rsid w:val="00F57B0C"/>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4BEC"/>
    <w:rsid w:val="00F95701"/>
    <w:rsid w:val="00F97FD1"/>
    <w:rsid w:val="00FA2114"/>
    <w:rsid w:val="00FA45D1"/>
    <w:rsid w:val="00FB4965"/>
    <w:rsid w:val="00FB66F6"/>
    <w:rsid w:val="00FC3FDB"/>
    <w:rsid w:val="00FD3303"/>
    <w:rsid w:val="00FD48F3"/>
    <w:rsid w:val="00FD5BD8"/>
    <w:rsid w:val="00FE01C3"/>
    <w:rsid w:val="00FE71B1"/>
    <w:rsid w:val="00FF365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Strip,H&amp;P List Paragraph,Saraksta rindkopa,Saraksta rindkopa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59411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1E5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1084084">
      <w:bodyDiv w:val="1"/>
      <w:marLeft w:val="0"/>
      <w:marRight w:val="0"/>
      <w:marTop w:val="0"/>
      <w:marBottom w:val="0"/>
      <w:divBdr>
        <w:top w:val="none" w:sz="0" w:space="0" w:color="auto"/>
        <w:left w:val="none" w:sz="0" w:space="0" w:color="auto"/>
        <w:bottom w:val="none" w:sz="0" w:space="0" w:color="auto"/>
        <w:right w:val="none" w:sz="0" w:space="0" w:color="auto"/>
      </w:divBdr>
    </w:div>
    <w:div w:id="538855116">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60851677">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20705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9073-noteikumi-par-atbalstu-par-dikstavi-nodoklu-maksatajiem-to-darbibas-turpinasanai-covid-19-izraisitas-krizes-apstakl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Zirnite@lm.gov.lv" TargetMode="External"/><Relationship Id="rId4" Type="http://schemas.openxmlformats.org/officeDocument/2006/relationships/settings" Target="settings.xml"/><Relationship Id="rId9" Type="http://schemas.openxmlformats.org/officeDocument/2006/relationships/hyperlink" Target="mailto:Inese.Upit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9602-B72C-4BE4-BD9F-3F36743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8113</Words>
  <Characters>4625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Inese Upite</dc:creator>
  <dc:description>67021562 Airina.Dreimane@lm.gov.lv,</dc:description>
  <cp:lastModifiedBy>Inese Upite</cp:lastModifiedBy>
  <cp:revision>3</cp:revision>
  <cp:lastPrinted>2020-11-30T10:09:00Z</cp:lastPrinted>
  <dcterms:created xsi:type="dcterms:W3CDTF">2021-03-25T08:35:00Z</dcterms:created>
  <dcterms:modified xsi:type="dcterms:W3CDTF">2021-03-25T08:36:00Z</dcterms:modified>
</cp:coreProperties>
</file>