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6C0C" w:rsidR="00346C0C" w:rsidP="00935845" w:rsidRDefault="00346C0C" w14:paraId="6DC0CFC0" w14:textId="42E8DC68">
      <w:pPr>
        <w:jc w:val="center"/>
        <w:rPr>
          <w:rFonts w:eastAsia="Times New Roman" w:cs="Times New Roman"/>
          <w:b/>
          <w:sz w:val="28"/>
          <w:szCs w:val="28"/>
          <w:lang w:eastAsia="lv-LV"/>
        </w:rPr>
      </w:pPr>
      <w:r w:rsidRPr="00346C0C">
        <w:rPr>
          <w:rFonts w:eastAsia="ヒラギノ角ゴ Pro W3" w:cs="Times New Roman"/>
          <w:b/>
          <w:color w:val="000000"/>
          <w:kern w:val="3"/>
          <w:sz w:val="28"/>
          <w:szCs w:val="28"/>
          <w:lang w:eastAsia="ar-SA"/>
        </w:rPr>
        <w:t>Informatīvais ziņojums „</w:t>
      </w:r>
      <w:r w:rsidRPr="00E0079F" w:rsidR="00E0079F">
        <w:rPr>
          <w:rFonts w:eastAsia="ヒラギノ角ゴ Pro W3" w:cs="Times New Roman"/>
          <w:b/>
          <w:color w:val="000000"/>
          <w:kern w:val="3"/>
          <w:sz w:val="28"/>
          <w:szCs w:val="28"/>
          <w:lang w:eastAsia="ar-SA"/>
        </w:rPr>
        <w:t>Par satiksmes nozares kritiski svarīgo darbinieku iekļaušanu V prioritāri vakcinējamo per</w:t>
      </w:r>
      <w:r w:rsidR="00AE4126">
        <w:rPr>
          <w:rFonts w:eastAsia="ヒラギノ角ゴ Pro W3" w:cs="Times New Roman"/>
          <w:b/>
          <w:color w:val="000000"/>
          <w:kern w:val="3"/>
          <w:sz w:val="28"/>
          <w:szCs w:val="28"/>
          <w:lang w:eastAsia="ar-SA"/>
        </w:rPr>
        <w:t>s</w:t>
      </w:r>
      <w:r w:rsidRPr="00E0079F" w:rsidR="00E0079F">
        <w:rPr>
          <w:rFonts w:eastAsia="ヒラギノ角ゴ Pro W3" w:cs="Times New Roman"/>
          <w:b/>
          <w:color w:val="000000"/>
          <w:kern w:val="3"/>
          <w:sz w:val="28"/>
          <w:szCs w:val="28"/>
          <w:lang w:eastAsia="ar-SA"/>
        </w:rPr>
        <w:t>onu grupā</w:t>
      </w:r>
      <w:r w:rsidRPr="00346C0C">
        <w:rPr>
          <w:rFonts w:eastAsia="ヒラギノ角ゴ Pro W3" w:cs="Times New Roman"/>
          <w:b/>
          <w:color w:val="000000"/>
          <w:kern w:val="3"/>
          <w:sz w:val="28"/>
          <w:szCs w:val="28"/>
          <w:lang w:eastAsia="ar-SA"/>
        </w:rPr>
        <w:t>”</w:t>
      </w:r>
    </w:p>
    <w:p w:rsidR="00346C0C" w:rsidP="00CE4AD4" w:rsidRDefault="00346C0C" w14:paraId="20D4B15B" w14:textId="7A5C492F">
      <w:pPr>
        <w:autoSpaceDN w:val="0"/>
        <w:spacing w:before="240" w:after="0" w:line="240" w:lineRule="auto"/>
        <w:ind w:firstLine="567"/>
        <w:jc w:val="both"/>
        <w:textAlignment w:val="baseline"/>
        <w:rPr>
          <w:rFonts w:eastAsia="ヒラギノ角ゴ Pro W3" w:cs="Times New Roman"/>
          <w:color w:val="000000"/>
          <w:szCs w:val="24"/>
          <w:lang w:eastAsia="lv-LV"/>
        </w:rPr>
      </w:pPr>
      <w:r w:rsidRPr="00346C0C">
        <w:rPr>
          <w:rFonts w:eastAsia="ヒラギノ角ゴ Pro W3" w:cs="Times New Roman"/>
          <w:color w:val="000000"/>
          <w:szCs w:val="24"/>
          <w:lang w:eastAsia="lv-LV"/>
        </w:rPr>
        <w:t>Informatīvais ziņojums „</w:t>
      </w:r>
      <w:bookmarkStart w:name="_Hlk66105902" w:id="0"/>
      <w:r w:rsidRPr="00346C0C" w:rsidR="000A1804">
        <w:rPr>
          <w:rFonts w:eastAsia="ヒラギノ角ゴ Pro W3" w:cs="Times New Roman"/>
          <w:color w:val="000000"/>
          <w:szCs w:val="24"/>
          <w:lang w:eastAsia="lv-LV"/>
        </w:rPr>
        <w:t xml:space="preserve">Par </w:t>
      </w:r>
      <w:r w:rsidRPr="000A1804" w:rsidR="000A1804">
        <w:rPr>
          <w:rFonts w:eastAsia="ヒラギノ角ゴ Pro W3" w:cs="Times New Roman"/>
          <w:color w:val="000000"/>
          <w:szCs w:val="24"/>
          <w:lang w:eastAsia="lv-LV"/>
        </w:rPr>
        <w:t>satiksmes nozares kritiski svarīgo darbinieku iekļaušanu V prioritāri vakcinējamo per</w:t>
      </w:r>
      <w:r w:rsidR="00AE4126">
        <w:rPr>
          <w:rFonts w:eastAsia="ヒラギノ角ゴ Pro W3" w:cs="Times New Roman"/>
          <w:color w:val="000000"/>
          <w:szCs w:val="24"/>
          <w:lang w:eastAsia="lv-LV"/>
        </w:rPr>
        <w:t>s</w:t>
      </w:r>
      <w:r w:rsidRPr="000A1804" w:rsidR="000A1804">
        <w:rPr>
          <w:rFonts w:eastAsia="ヒラギノ角ゴ Pro W3" w:cs="Times New Roman"/>
          <w:color w:val="000000"/>
          <w:szCs w:val="24"/>
          <w:lang w:eastAsia="lv-LV"/>
        </w:rPr>
        <w:t>onu grupā</w:t>
      </w:r>
      <w:bookmarkEnd w:id="0"/>
      <w:r w:rsidRPr="00346C0C">
        <w:rPr>
          <w:rFonts w:eastAsia="ヒラギノ角ゴ Pro W3" w:cs="Times New Roman"/>
          <w:color w:val="000000"/>
          <w:szCs w:val="24"/>
          <w:lang w:eastAsia="lv-LV"/>
        </w:rPr>
        <w:t>” (turpmāk – ziņojums) izstrādāts saskaņā ar Ministru kabineta 20</w:t>
      </w:r>
      <w:r w:rsidR="00822DEE">
        <w:rPr>
          <w:rFonts w:eastAsia="ヒラギノ角ゴ Pro W3" w:cs="Times New Roman"/>
          <w:color w:val="000000"/>
          <w:szCs w:val="24"/>
          <w:lang w:eastAsia="lv-LV"/>
        </w:rPr>
        <w:t>21</w:t>
      </w:r>
      <w:r w:rsidRPr="00346C0C">
        <w:rPr>
          <w:rFonts w:eastAsia="ヒラギノ角ゴ Pro W3" w:cs="Times New Roman"/>
          <w:color w:val="000000"/>
          <w:szCs w:val="24"/>
          <w:lang w:eastAsia="lv-LV"/>
        </w:rPr>
        <w:t xml:space="preserve">.gada </w:t>
      </w:r>
      <w:r w:rsidR="00822DEE">
        <w:rPr>
          <w:rFonts w:eastAsia="ヒラギノ角ゴ Pro W3" w:cs="Times New Roman"/>
          <w:color w:val="000000"/>
          <w:szCs w:val="24"/>
          <w:lang w:eastAsia="lv-LV"/>
        </w:rPr>
        <w:t>16.februāra</w:t>
      </w:r>
      <w:r w:rsidRPr="00346C0C">
        <w:rPr>
          <w:rFonts w:eastAsia="ヒラギノ角ゴ Pro W3" w:cs="Times New Roman"/>
          <w:color w:val="000000"/>
          <w:szCs w:val="24"/>
          <w:lang w:eastAsia="lv-LV"/>
        </w:rPr>
        <w:t xml:space="preserve"> sēdes </w:t>
      </w:r>
      <w:proofErr w:type="spellStart"/>
      <w:r w:rsidRPr="00346C0C">
        <w:rPr>
          <w:rFonts w:eastAsia="ヒラギノ角ゴ Pro W3" w:cs="Times New Roman"/>
          <w:color w:val="000000"/>
          <w:szCs w:val="24"/>
          <w:lang w:eastAsia="lv-LV"/>
        </w:rPr>
        <w:t>protokollēmuma</w:t>
      </w:r>
      <w:proofErr w:type="spellEnd"/>
      <w:r w:rsidRPr="00346C0C">
        <w:rPr>
          <w:rFonts w:eastAsia="ヒラギノ角ゴ Pro W3" w:cs="Times New Roman"/>
          <w:color w:val="000000"/>
          <w:szCs w:val="24"/>
          <w:lang w:eastAsia="lv-LV"/>
        </w:rPr>
        <w:t xml:space="preserve"> (prot. Nr.1</w:t>
      </w:r>
      <w:r w:rsidR="00BE67A2">
        <w:rPr>
          <w:rFonts w:eastAsia="ヒラギノ角ゴ Pro W3" w:cs="Times New Roman"/>
          <w:color w:val="000000"/>
          <w:szCs w:val="24"/>
          <w:lang w:eastAsia="lv-LV"/>
        </w:rPr>
        <w:t>7</w:t>
      </w:r>
      <w:r w:rsidR="00E0079F">
        <w:rPr>
          <w:rFonts w:eastAsia="ヒラギノ角ゴ Pro W3" w:cs="Times New Roman"/>
          <w:color w:val="000000"/>
          <w:szCs w:val="24"/>
          <w:lang w:eastAsia="lv-LV"/>
        </w:rPr>
        <w:t>,</w:t>
      </w:r>
      <w:r w:rsidRPr="00346C0C">
        <w:rPr>
          <w:rFonts w:eastAsia="ヒラギノ角ゴ Pro W3" w:cs="Times New Roman"/>
          <w:color w:val="000000"/>
          <w:szCs w:val="24"/>
          <w:lang w:eastAsia="lv-LV"/>
        </w:rPr>
        <w:t xml:space="preserve"> </w:t>
      </w:r>
      <w:r w:rsidR="00633EEC">
        <w:rPr>
          <w:rFonts w:eastAsia="ヒラギノ角ゴ Pro W3" w:cs="Times New Roman"/>
          <w:color w:val="000000"/>
          <w:szCs w:val="24"/>
          <w:lang w:eastAsia="lv-LV"/>
        </w:rPr>
        <w:t>3</w:t>
      </w:r>
      <w:r w:rsidRPr="00346C0C">
        <w:rPr>
          <w:rFonts w:eastAsia="ヒラギノ角ゴ Pro W3" w:cs="Times New Roman"/>
          <w:color w:val="000000"/>
          <w:szCs w:val="24"/>
          <w:lang w:eastAsia="lv-LV"/>
        </w:rPr>
        <w:t xml:space="preserve">.§) </w:t>
      </w:r>
      <w:r w:rsidR="00633EEC">
        <w:rPr>
          <w:rFonts w:eastAsia="ヒラギノ角ゴ Pro W3" w:cs="Times New Roman"/>
          <w:color w:val="000000"/>
          <w:szCs w:val="24"/>
          <w:lang w:eastAsia="lv-LV"/>
        </w:rPr>
        <w:t>4</w:t>
      </w:r>
      <w:r w:rsidRPr="00346C0C">
        <w:rPr>
          <w:rFonts w:eastAsia="ヒラギノ角ゴ Pro W3" w:cs="Times New Roman"/>
          <w:color w:val="000000"/>
          <w:szCs w:val="24"/>
          <w:lang w:eastAsia="lv-LV"/>
        </w:rPr>
        <w:t>.punkt</w:t>
      </w:r>
      <w:r w:rsidR="00E0079F">
        <w:rPr>
          <w:rFonts w:eastAsia="ヒラギノ角ゴ Pro W3" w:cs="Times New Roman"/>
          <w:color w:val="000000"/>
          <w:szCs w:val="24"/>
          <w:lang w:eastAsia="lv-LV"/>
        </w:rPr>
        <w:t>ā doto uzdevumu</w:t>
      </w:r>
      <w:r w:rsidRPr="00346C0C">
        <w:rPr>
          <w:rFonts w:eastAsia="ヒラギノ角ゴ Pro W3" w:cs="Times New Roman"/>
          <w:color w:val="000000"/>
          <w:szCs w:val="24"/>
          <w:lang w:eastAsia="lv-LV"/>
        </w:rPr>
        <w:t xml:space="preserve"> </w:t>
      </w:r>
      <w:r w:rsidR="002F752F">
        <w:rPr>
          <w:rFonts w:eastAsia="ヒラギノ角ゴ Pro W3" w:cs="Times New Roman"/>
          <w:color w:val="000000"/>
          <w:szCs w:val="24"/>
          <w:lang w:eastAsia="lv-LV"/>
        </w:rPr>
        <w:t>pirms V un VII prioritāri vakcinējamās grupās iekļauto sabiedrības grupu vakcinācijas uzsākšanas</w:t>
      </w:r>
      <w:r w:rsidR="00B801D3">
        <w:rPr>
          <w:rFonts w:eastAsia="ヒラギノ角ゴ Pro W3" w:cs="Times New Roman"/>
          <w:color w:val="000000"/>
          <w:szCs w:val="24"/>
          <w:lang w:eastAsia="lv-LV"/>
        </w:rPr>
        <w:t xml:space="preserve"> </w:t>
      </w:r>
      <w:r w:rsidR="003D10D6">
        <w:rPr>
          <w:rFonts w:eastAsia="ヒラギノ角ゴ Pro W3" w:cs="Times New Roman"/>
          <w:color w:val="000000"/>
          <w:szCs w:val="24"/>
          <w:lang w:eastAsia="lv-LV"/>
        </w:rPr>
        <w:t xml:space="preserve">nozaru ministrijām, </w:t>
      </w:r>
      <w:r w:rsidR="00E0079F">
        <w:rPr>
          <w:rFonts w:eastAsia="ヒラギノ角ゴ Pro W3" w:cs="Times New Roman"/>
          <w:color w:val="000000"/>
          <w:szCs w:val="24"/>
          <w:lang w:eastAsia="lv-LV"/>
        </w:rPr>
        <w:t>tostarp</w:t>
      </w:r>
      <w:r w:rsidR="003D10D6">
        <w:rPr>
          <w:rFonts w:eastAsia="ヒラギノ角ゴ Pro W3" w:cs="Times New Roman"/>
          <w:color w:val="000000"/>
          <w:szCs w:val="24"/>
          <w:lang w:eastAsia="lv-LV"/>
        </w:rPr>
        <w:t xml:space="preserve"> arī Satiksmes ministrijai</w:t>
      </w:r>
      <w:r w:rsidRPr="00346C0C" w:rsidR="003D10D6">
        <w:rPr>
          <w:rFonts w:eastAsia="ヒラギノ角ゴ Pro W3" w:cs="Times New Roman"/>
          <w:color w:val="000000"/>
          <w:szCs w:val="24"/>
          <w:lang w:eastAsia="lv-LV"/>
        </w:rPr>
        <w:t xml:space="preserve"> (turpmāk – </w:t>
      </w:r>
      <w:r w:rsidR="003D10D6">
        <w:rPr>
          <w:rFonts w:eastAsia="ヒラギノ角ゴ Pro W3" w:cs="Times New Roman"/>
          <w:color w:val="000000"/>
          <w:szCs w:val="24"/>
          <w:lang w:eastAsia="lv-LV"/>
        </w:rPr>
        <w:t>SM</w:t>
      </w:r>
      <w:r w:rsidRPr="00346C0C" w:rsidR="003D10D6">
        <w:rPr>
          <w:rFonts w:eastAsia="ヒラギノ角ゴ Pro W3" w:cs="Times New Roman"/>
          <w:color w:val="000000"/>
          <w:szCs w:val="24"/>
          <w:lang w:eastAsia="lv-LV"/>
        </w:rPr>
        <w:t>)</w:t>
      </w:r>
      <w:r w:rsidR="003D10D6">
        <w:rPr>
          <w:rFonts w:eastAsia="ヒラギノ角ゴ Pro W3" w:cs="Times New Roman"/>
          <w:color w:val="000000"/>
          <w:szCs w:val="24"/>
          <w:lang w:eastAsia="lv-LV"/>
        </w:rPr>
        <w:t xml:space="preserve">, </w:t>
      </w:r>
      <w:r w:rsidR="00B801D3">
        <w:rPr>
          <w:rFonts w:eastAsia="ヒラギノ角ゴ Pro W3" w:cs="Times New Roman"/>
          <w:color w:val="000000"/>
          <w:szCs w:val="24"/>
          <w:lang w:eastAsia="lv-LV"/>
        </w:rPr>
        <w:t>nodrošināt atbilstošo organizāciju vai uzņēmumu un profesiju vai amatu</w:t>
      </w:r>
      <w:r w:rsidR="005F572D">
        <w:rPr>
          <w:rFonts w:eastAsia="ヒラギノ角ゴ Pro W3" w:cs="Times New Roman"/>
          <w:color w:val="000000"/>
          <w:szCs w:val="24"/>
          <w:lang w:eastAsia="lv-LV"/>
        </w:rPr>
        <w:t xml:space="preserve"> u</w:t>
      </w:r>
      <w:r w:rsidR="00B801D3">
        <w:rPr>
          <w:rFonts w:eastAsia="ヒラギノ角ゴ Pro W3" w:cs="Times New Roman"/>
          <w:color w:val="000000"/>
          <w:szCs w:val="24"/>
          <w:lang w:eastAsia="lv-LV"/>
        </w:rPr>
        <w:t>n</w:t>
      </w:r>
      <w:r w:rsidR="005F572D">
        <w:rPr>
          <w:rFonts w:eastAsia="ヒラギノ角ゴ Pro W3" w:cs="Times New Roman"/>
          <w:color w:val="000000"/>
          <w:szCs w:val="24"/>
          <w:lang w:eastAsia="lv-LV"/>
        </w:rPr>
        <w:t xml:space="preserve"> </w:t>
      </w:r>
      <w:r w:rsidR="00B801D3">
        <w:rPr>
          <w:rFonts w:eastAsia="ヒラギノ角ゴ Pro W3" w:cs="Times New Roman"/>
          <w:color w:val="000000"/>
          <w:szCs w:val="24"/>
          <w:lang w:eastAsia="lv-LV"/>
        </w:rPr>
        <w:t>sarakstu sag</w:t>
      </w:r>
      <w:r w:rsidR="005F572D">
        <w:rPr>
          <w:rFonts w:eastAsia="ヒラギノ角ゴ Pro W3" w:cs="Times New Roman"/>
          <w:color w:val="000000"/>
          <w:szCs w:val="24"/>
          <w:lang w:eastAsia="lv-LV"/>
        </w:rPr>
        <w:t>atavošanu un iesniegšanu</w:t>
      </w:r>
      <w:r w:rsidRPr="00346C0C">
        <w:rPr>
          <w:rFonts w:eastAsia="ヒラギノ角ゴ Pro W3" w:cs="Times New Roman"/>
          <w:color w:val="000000"/>
          <w:szCs w:val="24"/>
          <w:lang w:eastAsia="lv-LV"/>
        </w:rPr>
        <w:t xml:space="preserve"> Ministru kabinetā.</w:t>
      </w:r>
    </w:p>
    <w:p w:rsidRPr="00867880" w:rsidR="00CB392D" w:rsidP="00867880" w:rsidRDefault="000E3039" w14:paraId="2BFC9E7D" w14:textId="457715AB">
      <w:pPr>
        <w:autoSpaceDN w:val="0"/>
        <w:spacing w:after="0" w:line="240" w:lineRule="auto"/>
        <w:ind w:firstLine="567"/>
        <w:jc w:val="both"/>
        <w:textAlignment w:val="baseline"/>
        <w:rPr>
          <w:rFonts w:eastAsia="ヒラギノ角ゴ Pro W3" w:cs="Times New Roman"/>
          <w:color w:val="000000"/>
          <w:szCs w:val="24"/>
          <w:lang w:eastAsia="lv-LV"/>
        </w:rPr>
      </w:pPr>
      <w:r>
        <w:rPr>
          <w:rFonts w:eastAsia="ヒラギノ角ゴ Pro W3" w:cs="Times New Roman"/>
          <w:color w:val="000000"/>
          <w:szCs w:val="24"/>
          <w:lang w:eastAsia="lv-LV"/>
        </w:rPr>
        <w:t>Ziņojums ir izstrādāts</w:t>
      </w:r>
      <w:r w:rsidR="00D3415F">
        <w:rPr>
          <w:rFonts w:eastAsia="ヒラギノ角ゴ Pro W3" w:cs="Times New Roman"/>
          <w:color w:val="000000"/>
          <w:szCs w:val="24"/>
          <w:lang w:eastAsia="lv-LV"/>
        </w:rPr>
        <w:t>, ņemot vērā</w:t>
      </w:r>
      <w:r w:rsidR="009353F3">
        <w:rPr>
          <w:rFonts w:eastAsia="ヒラギノ角ゴ Pro W3" w:cs="Times New Roman"/>
          <w:color w:val="000000"/>
          <w:szCs w:val="24"/>
          <w:lang w:eastAsia="lv-LV"/>
        </w:rPr>
        <w:t xml:space="preserve"> </w:t>
      </w:r>
      <w:r w:rsidRPr="00867880" w:rsidR="001B7B20">
        <w:rPr>
          <w:rFonts w:eastAsia="ヒラギノ角ゴ Pro W3" w:cs="Times New Roman"/>
          <w:color w:val="000000"/>
          <w:szCs w:val="24"/>
          <w:lang w:eastAsia="lv-LV"/>
        </w:rPr>
        <w:t>Ministru kabineta</w:t>
      </w:r>
      <w:r w:rsidRPr="00867880" w:rsidR="00B57B94">
        <w:rPr>
          <w:rFonts w:eastAsia="ヒラギノ角ゴ Pro W3" w:cs="Times New Roman"/>
          <w:color w:val="000000"/>
          <w:szCs w:val="24"/>
          <w:lang w:eastAsia="lv-LV"/>
        </w:rPr>
        <w:t xml:space="preserve"> </w:t>
      </w:r>
      <w:r w:rsidRPr="00867880" w:rsidR="001A58DA">
        <w:rPr>
          <w:rFonts w:eastAsia="ヒラギノ角ゴ Pro W3" w:cs="Times New Roman"/>
          <w:color w:val="000000"/>
          <w:szCs w:val="24"/>
          <w:lang w:eastAsia="lv-LV"/>
        </w:rPr>
        <w:t xml:space="preserve">2021.gada 18.februāra </w:t>
      </w:r>
      <w:r w:rsidRPr="00867880" w:rsidR="00B57B94">
        <w:rPr>
          <w:rFonts w:eastAsia="ヒラギノ角ゴ Pro W3" w:cs="Times New Roman"/>
          <w:color w:val="000000"/>
          <w:szCs w:val="24"/>
          <w:lang w:eastAsia="lv-LV"/>
        </w:rPr>
        <w:t>noteikumu</w:t>
      </w:r>
      <w:r w:rsidRPr="00867880" w:rsidR="001A58DA">
        <w:rPr>
          <w:rFonts w:eastAsia="ヒラギノ角ゴ Pro W3" w:cs="Times New Roman"/>
          <w:color w:val="000000"/>
          <w:szCs w:val="24"/>
          <w:lang w:eastAsia="lv-LV"/>
        </w:rPr>
        <w:t xml:space="preserve"> Nr.</w:t>
      </w:r>
      <w:r w:rsidRPr="00867880" w:rsidR="007F72CC">
        <w:rPr>
          <w:rFonts w:eastAsia="ヒラギノ角ゴ Pro W3" w:cs="Times New Roman"/>
          <w:color w:val="000000"/>
          <w:szCs w:val="24"/>
          <w:lang w:eastAsia="lv-LV"/>
        </w:rPr>
        <w:t>122</w:t>
      </w:r>
      <w:r w:rsidRPr="00867880" w:rsidR="00B57B94">
        <w:rPr>
          <w:rFonts w:eastAsia="ヒラギノ角ゴ Pro W3" w:cs="Times New Roman"/>
          <w:color w:val="000000"/>
          <w:szCs w:val="24"/>
          <w:lang w:eastAsia="lv-LV"/>
        </w:rPr>
        <w:t xml:space="preserve"> </w:t>
      </w:r>
      <w:r w:rsidRPr="00867880" w:rsidR="00557EFA">
        <w:rPr>
          <w:rFonts w:eastAsia="ヒラギノ角ゴ Pro W3" w:cs="Times New Roman"/>
          <w:color w:val="000000"/>
          <w:szCs w:val="24"/>
          <w:lang w:eastAsia="lv-LV"/>
        </w:rPr>
        <w:t>“</w:t>
      </w:r>
      <w:r w:rsidRPr="00867880" w:rsidR="00B57B94">
        <w:rPr>
          <w:rFonts w:eastAsia="ヒラギノ角ゴ Pro W3" w:cs="Times New Roman"/>
          <w:color w:val="000000"/>
          <w:szCs w:val="24"/>
          <w:lang w:eastAsia="lv-LV"/>
        </w:rPr>
        <w:t>Grozījumi Ministru kabineta 2020.gada 9.jūnija noteikumos Nr.360 “</w:t>
      </w:r>
      <w:r w:rsidRPr="00867880" w:rsidR="00EC11E7">
        <w:rPr>
          <w:rFonts w:eastAsia="ヒラギノ角ゴ Pro W3" w:cs="Times New Roman"/>
          <w:color w:val="000000"/>
          <w:szCs w:val="24"/>
          <w:lang w:eastAsia="lv-LV"/>
        </w:rPr>
        <w:t xml:space="preserve">Epidemioloģiskās drošības pasākumi Covid-19 </w:t>
      </w:r>
      <w:r w:rsidRPr="00867880" w:rsidR="006C3BA2">
        <w:rPr>
          <w:rFonts w:eastAsia="ヒラギノ角ゴ Pro W3" w:cs="Times New Roman"/>
          <w:color w:val="000000"/>
          <w:szCs w:val="24"/>
          <w:lang w:eastAsia="lv-LV"/>
        </w:rPr>
        <w:t>i</w:t>
      </w:r>
      <w:r w:rsidRPr="00867880" w:rsidR="00EC11E7">
        <w:rPr>
          <w:rFonts w:eastAsia="ヒラギノ角ゴ Pro W3" w:cs="Times New Roman"/>
          <w:color w:val="000000"/>
          <w:szCs w:val="24"/>
          <w:lang w:eastAsia="lv-LV"/>
        </w:rPr>
        <w:t>nfekcijas izplatības ierobežošanai””</w:t>
      </w:r>
      <w:r w:rsidRPr="00867880" w:rsidR="003B6B61">
        <w:rPr>
          <w:rFonts w:eastAsia="ヒラギノ角ゴ Pro W3" w:cs="Times New Roman"/>
          <w:color w:val="000000"/>
          <w:szCs w:val="24"/>
          <w:lang w:eastAsia="lv-LV"/>
        </w:rPr>
        <w:t xml:space="preserve"> </w:t>
      </w:r>
      <w:r w:rsidRPr="00867880" w:rsidR="00D114C0">
        <w:rPr>
          <w:rFonts w:eastAsia="ヒラギノ角ゴ Pro W3" w:cs="Times New Roman"/>
          <w:color w:val="000000"/>
          <w:szCs w:val="24"/>
          <w:lang w:eastAsia="lv-LV"/>
        </w:rPr>
        <w:t>(</w:t>
      </w:r>
      <w:r w:rsidRPr="00867880" w:rsidR="00D9563A">
        <w:rPr>
          <w:rFonts w:eastAsia="ヒラギノ角ゴ Pro W3" w:cs="Times New Roman"/>
          <w:color w:val="000000"/>
          <w:szCs w:val="24"/>
          <w:lang w:eastAsia="lv-LV"/>
        </w:rPr>
        <w:t xml:space="preserve">turpmāk – grozījumi) </w:t>
      </w:r>
      <w:r w:rsidRPr="00867880" w:rsidR="003B6B61">
        <w:rPr>
          <w:rFonts w:eastAsia="ヒラギノ角ゴ Pro W3" w:cs="Times New Roman"/>
          <w:color w:val="000000"/>
          <w:szCs w:val="24"/>
          <w:lang w:eastAsia="lv-LV"/>
        </w:rPr>
        <w:t>sākotnējās ietekmes novērtējuma ziņojumā (anotācijā)</w:t>
      </w:r>
      <w:r w:rsidRPr="00867880" w:rsidR="006C3BA2">
        <w:rPr>
          <w:rFonts w:eastAsia="ヒラギノ角ゴ Pro W3" w:cs="Times New Roman"/>
          <w:color w:val="000000"/>
          <w:szCs w:val="24"/>
          <w:lang w:eastAsia="lv-LV"/>
        </w:rPr>
        <w:t xml:space="preserve"> noteikt</w:t>
      </w:r>
      <w:r w:rsidRPr="00867880" w:rsidR="00D2053E">
        <w:rPr>
          <w:rFonts w:eastAsia="ヒラギノ角ゴ Pro W3" w:cs="Times New Roman"/>
          <w:color w:val="000000"/>
          <w:szCs w:val="24"/>
          <w:lang w:eastAsia="lv-LV"/>
        </w:rPr>
        <w:t>o</w:t>
      </w:r>
      <w:r w:rsidRPr="00867880" w:rsidR="001B755E">
        <w:rPr>
          <w:rFonts w:eastAsia="ヒラギノ角ゴ Pro W3" w:cs="Times New Roman"/>
          <w:color w:val="000000"/>
          <w:szCs w:val="24"/>
          <w:lang w:eastAsia="lv-LV"/>
        </w:rPr>
        <w:t>, ka</w:t>
      </w:r>
      <w:r w:rsidRPr="00867880" w:rsidR="003B6B61">
        <w:rPr>
          <w:rFonts w:eastAsia="ヒラギノ角ゴ Pro W3" w:cs="Times New Roman"/>
          <w:color w:val="000000"/>
          <w:szCs w:val="24"/>
          <w:lang w:eastAsia="lv-LV"/>
        </w:rPr>
        <w:t xml:space="preserve"> </w:t>
      </w:r>
      <w:r w:rsidRPr="00867880" w:rsidR="001B755E">
        <w:rPr>
          <w:rFonts w:eastAsia="ヒラギノ角ゴ Pro W3" w:cs="Times New Roman"/>
          <w:color w:val="000000"/>
          <w:szCs w:val="24"/>
          <w:lang w:eastAsia="lv-LV"/>
        </w:rPr>
        <w:t>n</w:t>
      </w:r>
      <w:r w:rsidRPr="00D2053E" w:rsidR="006C3BA2">
        <w:rPr>
          <w:rFonts w:eastAsia="Calibri" w:cs="Times New Roman"/>
          <w:szCs w:val="24"/>
        </w:rPr>
        <w:t>o valsts drošības un funkciju nepārtrauktības aspekta prioritāri nepieciešams vakcinēt amatpersonas, kuru vakcinācija ir nepieciešama nacionālās drošības un valsts darbības nepārtrauktības nodrošināšanai. Tās ir augtākā l</w:t>
      </w:r>
      <w:r w:rsidRPr="00867880" w:rsidR="006C3BA2">
        <w:rPr>
          <w:rFonts w:eastAsia="Calibri" w:cs="Times New Roman"/>
          <w:szCs w:val="24"/>
        </w:rPr>
        <w:t xml:space="preserve">īmeņa amatpersonas vai drošības dienestu, Nacionālo bruņoto spēku pārstāvji </w:t>
      </w:r>
      <w:proofErr w:type="spellStart"/>
      <w:r w:rsidRPr="00867880" w:rsidR="006C3BA2">
        <w:rPr>
          <w:rFonts w:eastAsia="Calibri" w:cs="Times New Roman"/>
          <w:szCs w:val="24"/>
        </w:rPr>
        <w:t>utml</w:t>
      </w:r>
      <w:proofErr w:type="spellEnd"/>
      <w:r w:rsidRPr="00867880" w:rsidR="006C3BA2">
        <w:rPr>
          <w:rFonts w:eastAsia="Calibri" w:cs="Times New Roman"/>
          <w:szCs w:val="24"/>
        </w:rPr>
        <w:t>., kuru slimības gadījumā tiek traucēta valsts nozīmes funkciju realizēšana. Izvērtējot katras amatpersonas nozīmi valsts funkciju un drošības nodrošināšanā</w:t>
      </w:r>
      <w:r w:rsidRPr="00867880" w:rsidR="00D2053E">
        <w:rPr>
          <w:rFonts w:eastAsia="Calibri" w:cs="Times New Roman"/>
          <w:szCs w:val="24"/>
        </w:rPr>
        <w:t>,</w:t>
      </w:r>
      <w:r w:rsidRPr="00867880" w:rsidR="006C3BA2">
        <w:rPr>
          <w:rFonts w:eastAsia="Calibri" w:cs="Times New Roman"/>
          <w:szCs w:val="24"/>
        </w:rPr>
        <w:t xml:space="preserve"> Ministru kabinets pieņems lēmumu par šo personu vakcināciju prioritārā grupā.</w:t>
      </w:r>
    </w:p>
    <w:p w:rsidRPr="00867880" w:rsidR="00D3415F" w:rsidP="00867880" w:rsidRDefault="00033F60" w14:paraId="65462BAC" w14:textId="31CD4856">
      <w:pPr>
        <w:tabs>
          <w:tab w:val="left" w:pos="993"/>
        </w:tabs>
        <w:autoSpaceDN w:val="0"/>
        <w:spacing w:after="0" w:line="240" w:lineRule="auto"/>
        <w:jc w:val="both"/>
        <w:textAlignment w:val="baseline"/>
        <w:rPr>
          <w:rFonts w:eastAsia="ヒラギノ角ゴ Pro W3" w:cs="Times New Roman"/>
          <w:color w:val="000000"/>
          <w:szCs w:val="24"/>
          <w:lang w:eastAsia="lv-LV"/>
        </w:rPr>
      </w:pPr>
      <w:r w:rsidRPr="00D2053E">
        <w:rPr>
          <w:rFonts w:eastAsia="ヒラギノ角ゴ Pro W3" w:cs="Times New Roman"/>
          <w:color w:val="000000"/>
          <w:szCs w:val="24"/>
          <w:lang w:eastAsia="lv-LV"/>
        </w:rPr>
        <w:t>Grozījumu mērķ</w:t>
      </w:r>
      <w:r w:rsidRPr="00D2053E" w:rsidR="00CB509C">
        <w:rPr>
          <w:rFonts w:eastAsia="ヒラギノ角ゴ Pro W3" w:cs="Times New Roman"/>
          <w:color w:val="000000"/>
          <w:szCs w:val="24"/>
          <w:lang w:eastAsia="lv-LV"/>
        </w:rPr>
        <w:t>i</w:t>
      </w:r>
      <w:r w:rsidR="00D2053E">
        <w:rPr>
          <w:rFonts w:eastAsia="ヒラギノ角ゴ Pro W3" w:cs="Times New Roman"/>
          <w:color w:val="000000"/>
          <w:szCs w:val="24"/>
          <w:lang w:eastAsia="lv-LV"/>
        </w:rPr>
        <w:t>s</w:t>
      </w:r>
      <w:r w:rsidRPr="00D2053E">
        <w:rPr>
          <w:rFonts w:eastAsia="ヒラギノ角ゴ Pro W3" w:cs="Times New Roman"/>
          <w:color w:val="000000"/>
          <w:szCs w:val="24"/>
          <w:lang w:eastAsia="lv-LV"/>
        </w:rPr>
        <w:t xml:space="preserve"> </w:t>
      </w:r>
      <w:r w:rsidRPr="00D2053E" w:rsidR="00610DA7">
        <w:rPr>
          <w:rFonts w:eastAsia="Calibri" w:cs="Times New Roman"/>
          <w:szCs w:val="24"/>
        </w:rPr>
        <w:t xml:space="preserve"> </w:t>
      </w:r>
      <w:r w:rsidRPr="00D2053E">
        <w:rPr>
          <w:rFonts w:eastAsia="Calibri" w:cs="Times New Roman"/>
          <w:szCs w:val="24"/>
        </w:rPr>
        <w:t>-</w:t>
      </w:r>
      <w:r w:rsidRPr="00D2053E" w:rsidR="00BD7B1F">
        <w:rPr>
          <w:rFonts w:eastAsia="Calibri" w:cs="Times New Roman"/>
          <w:szCs w:val="24"/>
        </w:rPr>
        <w:t xml:space="preserve"> nodrošināt</w:t>
      </w:r>
      <w:r w:rsidRPr="00867880" w:rsidR="00BD7B1F">
        <w:rPr>
          <w:rFonts w:eastAsia="Times New Roman" w:cs="Times New Roman"/>
          <w:bCs/>
          <w:szCs w:val="24"/>
          <w:lang w:eastAsia="lv-LV"/>
        </w:rPr>
        <w:t xml:space="preserve"> </w:t>
      </w:r>
      <w:r w:rsidRPr="00867880" w:rsidR="00BE139D">
        <w:rPr>
          <w:rFonts w:eastAsia="Times New Roman" w:cs="Times New Roman"/>
          <w:bCs/>
          <w:szCs w:val="24"/>
          <w:lang w:eastAsia="lv-LV"/>
        </w:rPr>
        <w:t xml:space="preserve">operatīvu pāreju </w:t>
      </w:r>
      <w:r w:rsidRPr="00867880" w:rsidR="00E00487">
        <w:rPr>
          <w:rFonts w:eastAsia="Times New Roman" w:cs="Times New Roman"/>
          <w:bCs/>
          <w:szCs w:val="24"/>
          <w:lang w:eastAsia="lv-LV"/>
        </w:rPr>
        <w:t>no ārstniecības personu</w:t>
      </w:r>
      <w:r w:rsidRPr="00867880" w:rsidR="004A4771">
        <w:rPr>
          <w:rFonts w:eastAsia="Times New Roman" w:cs="Times New Roman"/>
          <w:bCs/>
          <w:szCs w:val="24"/>
          <w:lang w:eastAsia="lv-LV"/>
        </w:rPr>
        <w:t xml:space="preserve"> vakcinācij</w:t>
      </w:r>
      <w:r w:rsidRPr="00867880" w:rsidR="00C85D2F">
        <w:rPr>
          <w:rFonts w:eastAsia="Times New Roman" w:cs="Times New Roman"/>
          <w:bCs/>
          <w:szCs w:val="24"/>
          <w:lang w:eastAsia="lv-LV"/>
        </w:rPr>
        <w:t>as</w:t>
      </w:r>
      <w:r w:rsidRPr="00867880" w:rsidR="004A4771">
        <w:rPr>
          <w:rFonts w:eastAsia="Times New Roman" w:cs="Times New Roman"/>
          <w:bCs/>
          <w:szCs w:val="24"/>
          <w:lang w:eastAsia="lv-LV"/>
        </w:rPr>
        <w:t xml:space="preserve"> uz</w:t>
      </w:r>
      <w:r w:rsidRPr="00867880" w:rsidR="00BE139D">
        <w:rPr>
          <w:rFonts w:eastAsia="Times New Roman" w:cs="Times New Roman"/>
          <w:bCs/>
          <w:szCs w:val="24"/>
          <w:lang w:eastAsia="lv-LV"/>
        </w:rPr>
        <w:t xml:space="preserve"> nākamo prioritāri vakcinējamo personu grupu vakcināciju</w:t>
      </w:r>
      <w:r w:rsidRPr="00867880" w:rsidR="00BD7B1F">
        <w:rPr>
          <w:rFonts w:eastAsia="Calibri" w:cs="Times New Roman"/>
          <w:szCs w:val="24"/>
        </w:rPr>
        <w:t>.</w:t>
      </w:r>
    </w:p>
    <w:p w:rsidR="00CB509C" w:rsidP="006076AE" w:rsidRDefault="00CB509C" w14:paraId="0DC708EE" w14:textId="099A326C">
      <w:pPr>
        <w:pStyle w:val="ListParagraph"/>
        <w:tabs>
          <w:tab w:val="left" w:pos="993"/>
        </w:tabs>
        <w:autoSpaceDN w:val="0"/>
        <w:spacing w:after="0" w:line="240" w:lineRule="auto"/>
        <w:ind w:left="567"/>
        <w:jc w:val="both"/>
        <w:textAlignment w:val="baseline"/>
        <w:rPr>
          <w:rFonts w:eastAsia="ヒラギノ角ゴ Pro W3" w:cs="Times New Roman"/>
          <w:color w:val="000000"/>
          <w:szCs w:val="24"/>
          <w:lang w:eastAsia="lv-LV"/>
        </w:rPr>
      </w:pPr>
    </w:p>
    <w:p w:rsidRPr="00C35868" w:rsidR="00311265" w:rsidP="00867880" w:rsidRDefault="00671C50" w14:paraId="78EF2B37" w14:textId="75B3A2B4">
      <w:pPr>
        <w:pStyle w:val="ListParagraph"/>
        <w:tabs>
          <w:tab w:val="left" w:pos="993"/>
        </w:tabs>
        <w:autoSpaceDN w:val="0"/>
        <w:spacing w:after="0" w:line="240" w:lineRule="auto"/>
        <w:ind w:left="927"/>
        <w:textAlignment w:val="baseline"/>
        <w:rPr>
          <w:rFonts w:eastAsia="ヒラギノ角ゴ Pro W3" w:cs="Times New Roman"/>
          <w:b/>
          <w:bCs/>
          <w:color w:val="000000"/>
          <w:szCs w:val="24"/>
          <w:lang w:eastAsia="lv-LV"/>
        </w:rPr>
      </w:pPr>
      <w:bookmarkStart w:name="_Hlk66091963" w:id="1"/>
      <w:r>
        <w:rPr>
          <w:rFonts w:eastAsia="ヒラギノ角ゴ Pro W3" w:cs="Times New Roman"/>
          <w:b/>
          <w:bCs/>
          <w:color w:val="000000"/>
          <w:szCs w:val="24"/>
          <w:lang w:eastAsia="lv-LV"/>
        </w:rPr>
        <w:t xml:space="preserve">Informācija par </w:t>
      </w:r>
      <w:bookmarkStart w:name="_Hlk66091388" w:id="2"/>
      <w:r>
        <w:rPr>
          <w:rFonts w:eastAsia="ヒラギノ角ゴ Pro W3" w:cs="Times New Roman"/>
          <w:b/>
          <w:bCs/>
          <w:color w:val="000000"/>
          <w:szCs w:val="24"/>
          <w:lang w:eastAsia="lv-LV"/>
        </w:rPr>
        <w:t>v</w:t>
      </w:r>
      <w:r w:rsidR="00EA1617">
        <w:rPr>
          <w:rFonts w:eastAsia="ヒラギノ角ゴ Pro W3" w:cs="Times New Roman"/>
          <w:b/>
          <w:bCs/>
          <w:color w:val="000000"/>
          <w:szCs w:val="24"/>
          <w:lang w:eastAsia="lv-LV"/>
        </w:rPr>
        <w:t xml:space="preserve">alsts akciju sabiedrības </w:t>
      </w:r>
      <w:r w:rsidR="009E5873">
        <w:rPr>
          <w:rFonts w:eastAsia="ヒラギノ角ゴ Pro W3" w:cs="Times New Roman"/>
          <w:b/>
          <w:bCs/>
          <w:color w:val="000000"/>
          <w:szCs w:val="24"/>
          <w:lang w:eastAsia="lv-LV"/>
        </w:rPr>
        <w:t>“</w:t>
      </w:r>
      <w:r w:rsidR="00EA1617">
        <w:rPr>
          <w:rFonts w:eastAsia="ヒラギノ角ゴ Pro W3" w:cs="Times New Roman"/>
          <w:b/>
          <w:bCs/>
          <w:color w:val="000000"/>
          <w:szCs w:val="24"/>
          <w:lang w:eastAsia="lv-LV"/>
        </w:rPr>
        <w:t xml:space="preserve">Latvijas Gaisa satiksme” </w:t>
      </w:r>
      <w:bookmarkEnd w:id="2"/>
      <w:r>
        <w:rPr>
          <w:rFonts w:eastAsia="ヒラギノ角ゴ Pro W3" w:cs="Times New Roman"/>
          <w:b/>
          <w:bCs/>
          <w:color w:val="000000"/>
          <w:szCs w:val="24"/>
          <w:lang w:eastAsia="lv-LV"/>
        </w:rPr>
        <w:t xml:space="preserve">darbinieku vakcināciju </w:t>
      </w:r>
      <w:r w:rsidR="00F9469B">
        <w:rPr>
          <w:rFonts w:eastAsia="ヒラギノ角ゴ Pro W3" w:cs="Times New Roman"/>
          <w:b/>
          <w:bCs/>
          <w:color w:val="000000"/>
          <w:szCs w:val="24"/>
          <w:lang w:eastAsia="lv-LV"/>
        </w:rPr>
        <w:t xml:space="preserve">pret Covid-19 V prioritāri vakcinējamo </w:t>
      </w:r>
      <w:r w:rsidR="00311265">
        <w:rPr>
          <w:rFonts w:eastAsia="ヒラギノ角ゴ Pro W3" w:cs="Times New Roman"/>
          <w:b/>
          <w:bCs/>
          <w:color w:val="000000"/>
          <w:szCs w:val="24"/>
          <w:lang w:eastAsia="lv-LV"/>
        </w:rPr>
        <w:t>grupā</w:t>
      </w:r>
      <w:bookmarkEnd w:id="1"/>
    </w:p>
    <w:p w:rsidRPr="00AD6249" w:rsidR="00F75804" w:rsidP="00C35868" w:rsidRDefault="00F75804" w14:paraId="44D31F21" w14:textId="046EF394">
      <w:pPr>
        <w:pStyle w:val="ListParagraph"/>
        <w:tabs>
          <w:tab w:val="left" w:pos="993"/>
        </w:tabs>
        <w:autoSpaceDN w:val="0"/>
        <w:spacing w:before="120" w:after="0" w:line="240" w:lineRule="auto"/>
        <w:ind w:left="0" w:firstLine="709"/>
        <w:contextualSpacing w:val="0"/>
        <w:jc w:val="both"/>
        <w:textAlignment w:val="baseline"/>
        <w:rPr>
          <w:rFonts w:eastAsia="ヒラギノ角ゴ Pro W3" w:cs="Times New Roman"/>
          <w:color w:val="000000"/>
          <w:szCs w:val="24"/>
          <w:lang w:eastAsia="lv-LV"/>
        </w:rPr>
      </w:pPr>
      <w:r w:rsidRPr="00AD6249">
        <w:rPr>
          <w:rFonts w:eastAsia="Calibri" w:cs="Times New Roman"/>
          <w:color w:val="000000"/>
          <w:szCs w:val="24"/>
          <w:lang w:eastAsia="lv-LV"/>
        </w:rPr>
        <w:t xml:space="preserve">Lai nodrošinātu nepārtrauktu un drošu gaisa satiksmes vadības pakalpojumu sniegšanu 24/7 režīmā, </w:t>
      </w:r>
      <w:r w:rsidR="001D5126">
        <w:rPr>
          <w:rFonts w:eastAsia="Calibri" w:cs="Times New Roman"/>
          <w:color w:val="000000"/>
          <w:szCs w:val="24"/>
          <w:lang w:eastAsia="lv-LV"/>
        </w:rPr>
        <w:t>V prio</w:t>
      </w:r>
      <w:r w:rsidR="002610ED">
        <w:rPr>
          <w:rFonts w:eastAsia="Calibri" w:cs="Times New Roman"/>
          <w:color w:val="000000"/>
          <w:szCs w:val="24"/>
          <w:lang w:eastAsia="lv-LV"/>
        </w:rPr>
        <w:t>ritārajā vakcinējamo grupā</w:t>
      </w:r>
      <w:r w:rsidRPr="00AD6249">
        <w:rPr>
          <w:rFonts w:eastAsia="Calibri" w:cs="Times New Roman"/>
          <w:color w:val="000000"/>
          <w:szCs w:val="24"/>
          <w:lang w:eastAsia="lv-LV"/>
        </w:rPr>
        <w:t xml:space="preserve"> COVID-19 vakcīna būtu jāsaņem </w:t>
      </w:r>
      <w:r>
        <w:rPr>
          <w:rFonts w:eastAsia="ヒラギノ角ゴ Pro W3" w:cs="Times New Roman"/>
          <w:color w:val="000000"/>
          <w:szCs w:val="24"/>
          <w:lang w:eastAsia="lv-LV"/>
        </w:rPr>
        <w:t>v</w:t>
      </w:r>
      <w:r w:rsidRPr="009E5873">
        <w:rPr>
          <w:rFonts w:eastAsia="ヒラギノ角ゴ Pro W3" w:cs="Times New Roman"/>
          <w:color w:val="000000"/>
          <w:szCs w:val="24"/>
          <w:lang w:eastAsia="lv-LV"/>
        </w:rPr>
        <w:t>alsts akciju sabiedrības “Latvijas Gaisa satiksme”</w:t>
      </w:r>
      <w:r>
        <w:rPr>
          <w:rFonts w:eastAsia="ヒラギノ角ゴ Pro W3" w:cs="Times New Roman"/>
          <w:color w:val="000000"/>
          <w:szCs w:val="24"/>
          <w:lang w:eastAsia="lv-LV"/>
        </w:rPr>
        <w:t xml:space="preserve"> </w:t>
      </w:r>
      <w:r w:rsidR="00EB46EB">
        <w:rPr>
          <w:rFonts w:eastAsia="ヒラギノ角ゴ Pro W3" w:cs="Times New Roman"/>
          <w:color w:val="000000"/>
          <w:szCs w:val="24"/>
          <w:lang w:eastAsia="lv-LV"/>
        </w:rPr>
        <w:t xml:space="preserve">(turpmāk – LGS) </w:t>
      </w:r>
      <w:r>
        <w:rPr>
          <w:rFonts w:eastAsia="ヒラギノ角ゴ Pro W3" w:cs="Times New Roman"/>
          <w:color w:val="000000"/>
          <w:szCs w:val="24"/>
          <w:lang w:eastAsia="lv-LV"/>
        </w:rPr>
        <w:t>darbiniek</w:t>
      </w:r>
      <w:r w:rsidR="00EB46EB">
        <w:rPr>
          <w:rFonts w:eastAsia="ヒラギノ角ゴ Pro W3" w:cs="Times New Roman"/>
          <w:color w:val="000000"/>
          <w:szCs w:val="24"/>
          <w:lang w:eastAsia="lv-LV"/>
        </w:rPr>
        <w:t>iem</w:t>
      </w:r>
      <w:r w:rsidRPr="00AD6249">
        <w:rPr>
          <w:rFonts w:eastAsia="Calibri" w:cs="Times New Roman"/>
          <w:color w:val="000000"/>
          <w:szCs w:val="24"/>
          <w:lang w:eastAsia="lv-LV"/>
        </w:rPr>
        <w:t xml:space="preserve">, kopumā – </w:t>
      </w:r>
      <w:r w:rsidR="001058F5">
        <w:rPr>
          <w:rFonts w:eastAsia="Calibri" w:cs="Times New Roman"/>
          <w:b/>
          <w:bCs/>
          <w:color w:val="000000"/>
          <w:szCs w:val="24"/>
          <w:lang w:eastAsia="lv-LV"/>
        </w:rPr>
        <w:t xml:space="preserve">105 </w:t>
      </w:r>
      <w:r w:rsidRPr="00AD6249">
        <w:rPr>
          <w:rFonts w:eastAsia="Calibri" w:cs="Times New Roman"/>
          <w:b/>
          <w:bCs/>
          <w:color w:val="000000"/>
          <w:szCs w:val="24"/>
          <w:lang w:eastAsia="lv-LV"/>
        </w:rPr>
        <w:t>darbinieki</w:t>
      </w:r>
      <w:r w:rsidRPr="00AD6249">
        <w:rPr>
          <w:rFonts w:eastAsia="Calibri" w:cs="Times New Roman"/>
          <w:color w:val="000000"/>
          <w:szCs w:val="24"/>
          <w:lang w:eastAsia="lv-LV"/>
        </w:rPr>
        <w:t>.</w:t>
      </w:r>
    </w:p>
    <w:tbl>
      <w:tblPr>
        <w:tblStyle w:val="TableGrid1"/>
        <w:tblW w:w="10065" w:type="dxa"/>
        <w:tblInd w:w="-572" w:type="dxa"/>
        <w:tblLook w:val="04A0" w:firstRow="1" w:lastRow="0" w:firstColumn="1" w:lastColumn="0" w:noHBand="0" w:noVBand="1"/>
      </w:tblPr>
      <w:tblGrid>
        <w:gridCol w:w="691"/>
        <w:gridCol w:w="2305"/>
        <w:gridCol w:w="2362"/>
        <w:gridCol w:w="3411"/>
        <w:gridCol w:w="1296"/>
      </w:tblGrid>
      <w:tr w:rsidRPr="00D873EC" w:rsidR="00AD5B5E" w:rsidTr="004B4D2E" w14:paraId="434123C7" w14:textId="77777777">
        <w:tc>
          <w:tcPr>
            <w:tcW w:w="691" w:type="dxa"/>
          </w:tcPr>
          <w:p w:rsidRPr="00D873EC" w:rsidR="00AD5B5E" w:rsidP="004A1A95" w:rsidRDefault="00AD5B5E" w14:paraId="7B4C9C49" w14:textId="77777777">
            <w:pPr>
              <w:jc w:val="both"/>
              <w:rPr>
                <w:rFonts w:ascii="Times New Roman" w:hAnsi="Times New Roman" w:eastAsia="Calibri" w:cs="Times New Roman"/>
                <w:lang w:eastAsia="lv-LV"/>
              </w:rPr>
            </w:pPr>
            <w:r w:rsidRPr="00D873EC">
              <w:rPr>
                <w:rFonts w:ascii="Times New Roman" w:hAnsi="Times New Roman" w:eastAsia="Calibri" w:cs="Times New Roman"/>
                <w:lang w:eastAsia="lv-LV"/>
              </w:rPr>
              <w:t>Nr. p.k.</w:t>
            </w:r>
          </w:p>
        </w:tc>
        <w:tc>
          <w:tcPr>
            <w:tcW w:w="2305" w:type="dxa"/>
            <w:vAlign w:val="center"/>
          </w:tcPr>
          <w:p w:rsidRPr="00D873EC" w:rsidR="00AD5B5E" w:rsidP="004A1A95" w:rsidRDefault="00AD5B5E" w14:paraId="4514900F"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Amats</w:t>
            </w:r>
          </w:p>
        </w:tc>
        <w:tc>
          <w:tcPr>
            <w:tcW w:w="2362" w:type="dxa"/>
            <w:vAlign w:val="center"/>
          </w:tcPr>
          <w:p w:rsidRPr="00D873EC" w:rsidR="00AD5B5E" w:rsidP="004A1A95" w:rsidRDefault="00AD5B5E" w14:paraId="40E76CE3"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Pamatdarbība/darba specifika</w:t>
            </w:r>
          </w:p>
        </w:tc>
        <w:tc>
          <w:tcPr>
            <w:tcW w:w="3411" w:type="dxa"/>
            <w:vAlign w:val="center"/>
          </w:tcPr>
          <w:p w:rsidRPr="00D873EC" w:rsidR="00AD5B5E" w:rsidP="004A1A95" w:rsidRDefault="00AD5B5E" w14:paraId="0949075A"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Pamatojums</w:t>
            </w:r>
          </w:p>
        </w:tc>
        <w:tc>
          <w:tcPr>
            <w:tcW w:w="1296" w:type="dxa"/>
            <w:vAlign w:val="center"/>
          </w:tcPr>
          <w:p w:rsidRPr="00D873EC" w:rsidR="00AD5B5E" w:rsidP="004A1A95" w:rsidRDefault="00AD5B5E" w14:paraId="51ABB4BA"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Darbinieku skaits</w:t>
            </w:r>
          </w:p>
        </w:tc>
      </w:tr>
      <w:tr w:rsidRPr="00D873EC" w:rsidR="004B4D2E" w:rsidTr="004B4D2E" w14:paraId="38EDFD51" w14:textId="77777777">
        <w:tc>
          <w:tcPr>
            <w:tcW w:w="691" w:type="dxa"/>
          </w:tcPr>
          <w:p w:rsidRPr="00D873EC" w:rsidR="004B4D2E" w:rsidP="00AD5B5E" w:rsidRDefault="004B4D2E" w14:paraId="35066BD3" w14:textId="77777777">
            <w:pPr>
              <w:numPr>
                <w:ilvl w:val="0"/>
                <w:numId w:val="4"/>
              </w:numPr>
              <w:ind w:left="113" w:firstLine="0"/>
              <w:contextualSpacing/>
              <w:jc w:val="both"/>
              <w:rPr>
                <w:rFonts w:ascii="Times New Roman" w:hAnsi="Times New Roman" w:eastAsia="Calibri" w:cs="Times New Roman"/>
                <w:lang w:eastAsia="lv-LV"/>
              </w:rPr>
            </w:pPr>
          </w:p>
        </w:tc>
        <w:tc>
          <w:tcPr>
            <w:tcW w:w="2305" w:type="dxa"/>
          </w:tcPr>
          <w:p w:rsidRPr="00D873EC" w:rsidR="004B4D2E" w:rsidP="00A0455C" w:rsidRDefault="004B4D2E" w14:paraId="52635205" w14:textId="75BA83B6">
            <w:pPr>
              <w:jc w:val="both"/>
              <w:rPr>
                <w:rFonts w:ascii="Times New Roman" w:hAnsi="Times New Roman" w:eastAsia="Calibri" w:cs="Times New Roman"/>
                <w:lang w:eastAsia="lv-LV"/>
              </w:rPr>
            </w:pPr>
            <w:r w:rsidRPr="00951EF6">
              <w:rPr>
                <w:rFonts w:ascii="Times New Roman" w:hAnsi="Times New Roman" w:eastAsia="Calibri" w:cs="Times New Roman"/>
                <w:lang w:eastAsia="lv-LV"/>
              </w:rPr>
              <w:t>LGS gaisa satiksmes vadības dispečeri</w:t>
            </w:r>
          </w:p>
        </w:tc>
        <w:tc>
          <w:tcPr>
            <w:tcW w:w="2362" w:type="dxa"/>
          </w:tcPr>
          <w:p w:rsidRPr="00D873EC" w:rsidR="004B4D2E" w:rsidP="00A0455C" w:rsidRDefault="004B4D2E" w14:paraId="474E77E3" w14:textId="16E87801">
            <w:pPr>
              <w:jc w:val="both"/>
              <w:rPr>
                <w:rFonts w:ascii="Times New Roman" w:hAnsi="Times New Roman" w:eastAsia="Calibri" w:cs="Times New Roman"/>
                <w:lang w:eastAsia="lv-LV"/>
              </w:rPr>
            </w:pPr>
            <w:r w:rsidRPr="004B4D2E">
              <w:rPr>
                <w:rFonts w:ascii="Times New Roman" w:hAnsi="Times New Roman" w:eastAsia="Calibri" w:cs="Times New Roman"/>
                <w:lang w:eastAsia="lv-LV"/>
              </w:rPr>
              <w:t>N</w:t>
            </w:r>
            <w:r w:rsidRPr="00951EF6">
              <w:rPr>
                <w:rFonts w:ascii="Times New Roman" w:hAnsi="Times New Roman" w:eastAsia="Calibri" w:cs="Times New Roman"/>
                <w:lang w:eastAsia="lv-LV"/>
              </w:rPr>
              <w:t>epārtraukt</w:t>
            </w:r>
            <w:r w:rsidRPr="004B4D2E">
              <w:rPr>
                <w:rFonts w:ascii="Times New Roman" w:hAnsi="Times New Roman" w:eastAsia="Calibri" w:cs="Times New Roman"/>
                <w:lang w:eastAsia="lv-LV"/>
              </w:rPr>
              <w:t>a</w:t>
            </w:r>
            <w:r w:rsidRPr="00951EF6">
              <w:rPr>
                <w:rFonts w:ascii="Times New Roman" w:hAnsi="Times New Roman" w:eastAsia="Calibri" w:cs="Times New Roman"/>
                <w:lang w:eastAsia="lv-LV"/>
              </w:rPr>
              <w:t xml:space="preserve"> un droš</w:t>
            </w:r>
            <w:r w:rsidRPr="004B4D2E">
              <w:rPr>
                <w:rFonts w:ascii="Times New Roman" w:hAnsi="Times New Roman" w:eastAsia="Calibri" w:cs="Times New Roman"/>
                <w:lang w:eastAsia="lv-LV"/>
              </w:rPr>
              <w:t>a</w:t>
            </w:r>
            <w:r w:rsidRPr="00951EF6">
              <w:rPr>
                <w:rFonts w:ascii="Times New Roman" w:hAnsi="Times New Roman" w:eastAsia="Calibri" w:cs="Times New Roman"/>
                <w:lang w:eastAsia="lv-LV"/>
              </w:rPr>
              <w:t xml:space="preserve"> gaisa satiksmes vadības pakalpojumu sniegšan</w:t>
            </w:r>
            <w:r w:rsidRPr="004B4D2E">
              <w:rPr>
                <w:rFonts w:ascii="Times New Roman" w:hAnsi="Times New Roman" w:eastAsia="Calibri" w:cs="Times New Roman"/>
                <w:lang w:eastAsia="lv-LV"/>
              </w:rPr>
              <w:t>a</w:t>
            </w:r>
            <w:r w:rsidRPr="00951EF6">
              <w:rPr>
                <w:rFonts w:ascii="Times New Roman" w:hAnsi="Times New Roman" w:eastAsia="Calibri" w:cs="Times New Roman"/>
                <w:lang w:eastAsia="lv-LV"/>
              </w:rPr>
              <w:t xml:space="preserve"> 24/7 režīmā</w:t>
            </w:r>
          </w:p>
        </w:tc>
        <w:tc>
          <w:tcPr>
            <w:tcW w:w="3411" w:type="dxa"/>
            <w:vMerge w:val="restart"/>
          </w:tcPr>
          <w:p w:rsidRPr="00951EF6" w:rsidR="004B4D2E" w:rsidP="00A0455C" w:rsidRDefault="004B4D2E" w14:paraId="2A88ECFB" w14:textId="77777777">
            <w:pPr>
              <w:spacing w:after="160"/>
              <w:jc w:val="both"/>
              <w:rPr>
                <w:rFonts w:ascii="Times New Roman" w:hAnsi="Times New Roman" w:eastAsia="Calibri" w:cs="Times New Roman"/>
                <w:lang w:eastAsia="lv-LV"/>
              </w:rPr>
            </w:pPr>
            <w:r w:rsidRPr="00951EF6">
              <w:rPr>
                <w:rFonts w:ascii="Times New Roman" w:hAnsi="Times New Roman" w:eastAsia="Calibri" w:cs="Times New Roman"/>
                <w:lang w:eastAsia="lv-LV"/>
              </w:rPr>
              <w:t>LGS darbojas stratēģiski svarīgā nozarē un nodrošina Latvijas valsts drošības interešu īstenošanu, sniedzot aeronavigācijas pakalpojumus un kontrolējot Latvijas valsts gaisa telpu.</w:t>
            </w:r>
          </w:p>
          <w:p w:rsidRPr="00951EF6" w:rsidR="004B4D2E" w:rsidP="00A0455C" w:rsidRDefault="004B4D2E" w14:paraId="61F81713" w14:textId="77777777">
            <w:pPr>
              <w:spacing w:after="160"/>
              <w:jc w:val="both"/>
              <w:rPr>
                <w:rFonts w:ascii="Times New Roman" w:hAnsi="Times New Roman" w:eastAsia="Calibri" w:cs="Times New Roman"/>
                <w:lang w:eastAsia="lv-LV"/>
              </w:rPr>
            </w:pPr>
            <w:r w:rsidRPr="00951EF6">
              <w:rPr>
                <w:rFonts w:ascii="Times New Roman" w:hAnsi="Times New Roman" w:eastAsia="Calibri" w:cs="Times New Roman"/>
                <w:lang w:eastAsia="lv-LV"/>
              </w:rPr>
              <w:t xml:space="preserve">LGS ir pienākums nodrošināt likumā “Par aviāciju” un saistītajos normatīvajos aktos no valsts puses uzdotos uzdevumus arī ārkārtējas situācijas apstākļos valstī, nodrošinot valsts attīstības un drošības interešu īstenošanu, veicot aeronavigācijas pakalpojumu sniegšanu un </w:t>
            </w:r>
            <w:r w:rsidRPr="00951EF6">
              <w:rPr>
                <w:rFonts w:ascii="Times New Roman" w:hAnsi="Times New Roman" w:eastAsia="Calibri" w:cs="Times New Roman"/>
                <w:lang w:eastAsia="lv-LV"/>
              </w:rPr>
              <w:lastRenderedPageBreak/>
              <w:t>Latvijas Republikas gaisa telpas kontroli.</w:t>
            </w:r>
          </w:p>
          <w:p w:rsidRPr="004B4D2E" w:rsidR="004B4D2E" w:rsidP="00A0455C" w:rsidRDefault="004B4D2E" w14:paraId="3228285A" w14:textId="584DB791">
            <w:pPr>
              <w:spacing w:after="160"/>
              <w:jc w:val="both"/>
              <w:rPr>
                <w:rFonts w:ascii="Times New Roman" w:hAnsi="Times New Roman" w:eastAsia="Calibri" w:cs="Times New Roman"/>
                <w:lang w:eastAsia="lv-LV"/>
              </w:rPr>
            </w:pPr>
            <w:r w:rsidRPr="004B4D2E">
              <w:rPr>
                <w:rFonts w:ascii="Times New Roman" w:hAnsi="Times New Roman" w:eastAsia="Calibri" w:cs="Times New Roman"/>
                <w:lang w:eastAsia="lv-LV"/>
              </w:rPr>
              <w:t>S</w:t>
            </w:r>
            <w:r w:rsidRPr="00951EF6">
              <w:rPr>
                <w:rFonts w:ascii="Times New Roman" w:hAnsi="Times New Roman" w:eastAsia="Calibri" w:cs="Times New Roman"/>
                <w:lang w:eastAsia="lv-LV"/>
              </w:rPr>
              <w:t>askaņā ar likuma ,,Par aviāciju” 42.pantu LGS nodrošina Latvijas Republikas gaisa telpas izmantošanas koordināciju/vadību militārajām vajadzībām.</w:t>
            </w:r>
          </w:p>
        </w:tc>
        <w:tc>
          <w:tcPr>
            <w:tcW w:w="1296" w:type="dxa"/>
          </w:tcPr>
          <w:p w:rsidRPr="00D873EC" w:rsidR="004B4D2E" w:rsidP="004B4D2E" w:rsidRDefault="00D405D9" w14:paraId="49A0CD3A" w14:textId="01565DC5">
            <w:pPr>
              <w:jc w:val="center"/>
              <w:rPr>
                <w:rFonts w:ascii="Times New Roman" w:hAnsi="Times New Roman" w:eastAsia="Calibri" w:cs="Times New Roman"/>
                <w:lang w:eastAsia="lv-LV"/>
              </w:rPr>
            </w:pPr>
            <w:r>
              <w:rPr>
                <w:rFonts w:ascii="Times New Roman" w:hAnsi="Times New Roman" w:eastAsia="Calibri" w:cs="Times New Roman"/>
                <w:lang w:eastAsia="lv-LV"/>
              </w:rPr>
              <w:lastRenderedPageBreak/>
              <w:t>64</w:t>
            </w:r>
          </w:p>
        </w:tc>
      </w:tr>
      <w:tr w:rsidRPr="00D873EC" w:rsidR="004B4D2E" w:rsidTr="004B4D2E" w14:paraId="327C0CEA" w14:textId="77777777">
        <w:tc>
          <w:tcPr>
            <w:tcW w:w="691" w:type="dxa"/>
          </w:tcPr>
          <w:p w:rsidRPr="00D873EC" w:rsidR="004B4D2E" w:rsidP="00AD5B5E" w:rsidRDefault="004B4D2E" w14:paraId="6DA14BFE" w14:textId="77777777">
            <w:pPr>
              <w:numPr>
                <w:ilvl w:val="0"/>
                <w:numId w:val="4"/>
              </w:numPr>
              <w:ind w:left="113" w:firstLine="0"/>
              <w:contextualSpacing/>
              <w:jc w:val="both"/>
              <w:rPr>
                <w:rFonts w:eastAsia="Calibri" w:cs="Times New Roman"/>
                <w:lang w:eastAsia="lv-LV"/>
              </w:rPr>
            </w:pPr>
          </w:p>
        </w:tc>
        <w:tc>
          <w:tcPr>
            <w:tcW w:w="2305" w:type="dxa"/>
          </w:tcPr>
          <w:p w:rsidRPr="004B4D2E" w:rsidR="004B4D2E" w:rsidP="00A0455C" w:rsidRDefault="004B4D2E" w14:paraId="5FED473B" w14:textId="12876F76">
            <w:pPr>
              <w:jc w:val="both"/>
              <w:rPr>
                <w:rFonts w:ascii="Times New Roman" w:hAnsi="Times New Roman" w:eastAsia="Calibri" w:cs="Times New Roman"/>
                <w:lang w:eastAsia="lv-LV"/>
              </w:rPr>
            </w:pPr>
            <w:r w:rsidRPr="004B4D2E">
              <w:rPr>
                <w:rFonts w:ascii="Times New Roman" w:hAnsi="Times New Roman" w:eastAsia="Calibri" w:cs="Times New Roman"/>
                <w:lang w:eastAsia="lv-LV"/>
              </w:rPr>
              <w:t>LGS tehniskā nodrošinājuma departamenta darbinieki</w:t>
            </w:r>
          </w:p>
        </w:tc>
        <w:tc>
          <w:tcPr>
            <w:tcW w:w="2362" w:type="dxa"/>
          </w:tcPr>
          <w:p w:rsidRPr="004B4D2E" w:rsidR="004B4D2E" w:rsidP="00A0455C" w:rsidRDefault="004B4D2E" w14:paraId="7EF244C4" w14:textId="36C9608F">
            <w:pPr>
              <w:jc w:val="both"/>
              <w:rPr>
                <w:rFonts w:ascii="Times New Roman" w:hAnsi="Times New Roman" w:eastAsia="Calibri" w:cs="Times New Roman"/>
                <w:lang w:eastAsia="lv-LV"/>
              </w:rPr>
            </w:pPr>
            <w:r w:rsidRPr="004B4D2E">
              <w:rPr>
                <w:rFonts w:ascii="Times New Roman" w:hAnsi="Times New Roman" w:eastAsia="Calibri" w:cs="Times New Roman"/>
                <w:lang w:eastAsia="lv-LV"/>
              </w:rPr>
              <w:t>N</w:t>
            </w:r>
            <w:r w:rsidRPr="00951EF6">
              <w:rPr>
                <w:rFonts w:ascii="Times New Roman" w:hAnsi="Times New Roman" w:eastAsia="Calibri" w:cs="Times New Roman"/>
                <w:lang w:eastAsia="lv-LV"/>
              </w:rPr>
              <w:t>epārtraukt</w:t>
            </w:r>
            <w:r w:rsidRPr="004B4D2E">
              <w:rPr>
                <w:rFonts w:ascii="Times New Roman" w:hAnsi="Times New Roman" w:eastAsia="Calibri" w:cs="Times New Roman"/>
                <w:lang w:eastAsia="lv-LV"/>
              </w:rPr>
              <w:t>a</w:t>
            </w:r>
            <w:r w:rsidRPr="00951EF6">
              <w:rPr>
                <w:rFonts w:ascii="Times New Roman" w:hAnsi="Times New Roman" w:eastAsia="Calibri" w:cs="Times New Roman"/>
                <w:lang w:eastAsia="lv-LV"/>
              </w:rPr>
              <w:t xml:space="preserve"> </w:t>
            </w:r>
            <w:r w:rsidRPr="004B4D2E">
              <w:rPr>
                <w:rFonts w:ascii="Times New Roman" w:hAnsi="Times New Roman" w:eastAsia="Calibri" w:cs="Times New Roman"/>
                <w:lang w:eastAsia="lv-LV"/>
              </w:rPr>
              <w:t xml:space="preserve">iekārtu </w:t>
            </w:r>
            <w:r w:rsidRPr="00951EF6">
              <w:rPr>
                <w:rFonts w:ascii="Times New Roman" w:hAnsi="Times New Roman" w:eastAsia="Calibri" w:cs="Times New Roman"/>
                <w:lang w:eastAsia="lv-LV"/>
              </w:rPr>
              <w:t>(sakaru, navigācijas, radiolokācijas, meteoroloģijas u.c.)</w:t>
            </w:r>
            <w:r w:rsidRPr="004B4D2E">
              <w:rPr>
                <w:rFonts w:ascii="Times New Roman" w:hAnsi="Times New Roman" w:eastAsia="Calibri" w:cs="Times New Roman"/>
                <w:lang w:eastAsia="lv-LV"/>
              </w:rPr>
              <w:t xml:space="preserve"> un sistēmu </w:t>
            </w:r>
            <w:r w:rsidRPr="00951EF6">
              <w:rPr>
                <w:rFonts w:ascii="Times New Roman" w:hAnsi="Times New Roman" w:eastAsia="Calibri" w:cs="Times New Roman"/>
                <w:lang w:eastAsia="lv-LV"/>
              </w:rPr>
              <w:t>(gaisa satiksmes vadības sistēma ATRACC)</w:t>
            </w:r>
            <w:r w:rsidRPr="004B4D2E">
              <w:rPr>
                <w:rFonts w:ascii="Times New Roman" w:hAnsi="Times New Roman" w:eastAsia="Calibri" w:cs="Times New Roman"/>
                <w:lang w:eastAsia="lv-LV"/>
              </w:rPr>
              <w:t xml:space="preserve"> darbības nodrošināšana</w:t>
            </w:r>
            <w:r w:rsidRPr="00951EF6">
              <w:rPr>
                <w:rFonts w:ascii="Times New Roman" w:hAnsi="Times New Roman" w:eastAsia="Calibri" w:cs="Times New Roman"/>
                <w:lang w:eastAsia="lv-LV"/>
              </w:rPr>
              <w:t xml:space="preserve"> atbilstoši starptautisko normatīvu prasībām 24/7 režīmā</w:t>
            </w:r>
            <w:r w:rsidRPr="004B4D2E">
              <w:rPr>
                <w:rFonts w:ascii="Times New Roman" w:hAnsi="Times New Roman" w:eastAsia="Calibri" w:cs="Times New Roman"/>
                <w:lang w:eastAsia="lv-LV"/>
              </w:rPr>
              <w:t>.</w:t>
            </w:r>
          </w:p>
          <w:p w:rsidRPr="004B4D2E" w:rsidR="004B4D2E" w:rsidP="00A0455C" w:rsidRDefault="004B4D2E" w14:paraId="2CD29B4B" w14:textId="2B95F0A9">
            <w:pPr>
              <w:jc w:val="both"/>
              <w:rPr>
                <w:rFonts w:ascii="Times New Roman" w:hAnsi="Times New Roman" w:eastAsia="Calibri" w:cs="Times New Roman"/>
                <w:lang w:eastAsia="lv-LV"/>
              </w:rPr>
            </w:pPr>
            <w:r w:rsidRPr="004B4D2E">
              <w:rPr>
                <w:rFonts w:ascii="Times New Roman" w:hAnsi="Times New Roman" w:eastAsia="Calibri" w:cs="Times New Roman"/>
                <w:lang w:eastAsia="lv-LV"/>
              </w:rPr>
              <w:t xml:space="preserve">Darbs maiņās, nodrošinot </w:t>
            </w:r>
            <w:r w:rsidRPr="004B4D2E">
              <w:rPr>
                <w:rFonts w:ascii="Times New Roman" w:hAnsi="Times New Roman" w:eastAsia="Calibri" w:cs="Times New Roman"/>
                <w:lang w:eastAsia="lv-LV"/>
              </w:rPr>
              <w:lastRenderedPageBreak/>
              <w:t>tehnoloģisko procesu nepārtrauktību, kas ir vitāli svarīgi kritisko sistēmu darbības nodrošināšanai</w:t>
            </w:r>
          </w:p>
        </w:tc>
        <w:tc>
          <w:tcPr>
            <w:tcW w:w="3411" w:type="dxa"/>
            <w:vMerge/>
          </w:tcPr>
          <w:p w:rsidRPr="004B4D2E" w:rsidR="004B4D2E" w:rsidP="004B4D2E" w:rsidRDefault="004B4D2E" w14:paraId="269C6590" w14:textId="4152992F">
            <w:pPr>
              <w:jc w:val="center"/>
              <w:rPr>
                <w:rFonts w:ascii="Times New Roman" w:hAnsi="Times New Roman" w:eastAsia="Calibri" w:cs="Times New Roman"/>
                <w:lang w:eastAsia="lv-LV"/>
              </w:rPr>
            </w:pPr>
          </w:p>
        </w:tc>
        <w:tc>
          <w:tcPr>
            <w:tcW w:w="1296" w:type="dxa"/>
          </w:tcPr>
          <w:p w:rsidRPr="004B4D2E" w:rsidR="004B4D2E" w:rsidP="004B4D2E" w:rsidRDefault="00D405D9" w14:paraId="58F10C91" w14:textId="1B07064F">
            <w:pPr>
              <w:jc w:val="center"/>
              <w:rPr>
                <w:rFonts w:ascii="Times New Roman" w:hAnsi="Times New Roman" w:eastAsia="Calibri" w:cs="Times New Roman"/>
                <w:lang w:eastAsia="lv-LV"/>
              </w:rPr>
            </w:pPr>
            <w:r>
              <w:rPr>
                <w:rFonts w:ascii="Times New Roman" w:hAnsi="Times New Roman" w:eastAsia="Calibri" w:cs="Times New Roman"/>
                <w:lang w:eastAsia="lv-LV"/>
              </w:rPr>
              <w:t>41</w:t>
            </w:r>
          </w:p>
        </w:tc>
      </w:tr>
      <w:tr w:rsidRPr="00D873EC" w:rsidR="00A0455C" w:rsidTr="009D520F" w14:paraId="1511DB0A" w14:textId="77777777">
        <w:tc>
          <w:tcPr>
            <w:tcW w:w="5358" w:type="dxa"/>
            <w:gridSpan w:val="3"/>
          </w:tcPr>
          <w:p w:rsidRPr="004B4D2E" w:rsidR="00A0455C" w:rsidP="00A0455C" w:rsidRDefault="00A0455C" w14:paraId="56002D68" w14:textId="77777777">
            <w:pPr>
              <w:jc w:val="center"/>
              <w:rPr>
                <w:rFonts w:eastAsia="Calibri" w:cs="Times New Roman"/>
                <w:lang w:eastAsia="lv-LV"/>
              </w:rPr>
            </w:pPr>
          </w:p>
        </w:tc>
        <w:tc>
          <w:tcPr>
            <w:tcW w:w="3411" w:type="dxa"/>
          </w:tcPr>
          <w:p w:rsidRPr="00A0455C" w:rsidR="00A0455C" w:rsidP="00A0455C" w:rsidRDefault="00A0455C" w14:paraId="5FDADFB2" w14:textId="51F58A75">
            <w:pPr>
              <w:jc w:val="right"/>
              <w:rPr>
                <w:rFonts w:ascii="Times New Roman" w:hAnsi="Times New Roman" w:eastAsia="Calibri" w:cs="Times New Roman"/>
                <w:b/>
                <w:bCs/>
                <w:lang w:eastAsia="lv-LV"/>
              </w:rPr>
            </w:pPr>
            <w:r w:rsidRPr="00A0455C">
              <w:rPr>
                <w:rFonts w:ascii="Times New Roman" w:hAnsi="Times New Roman" w:eastAsia="Calibri" w:cs="Times New Roman"/>
                <w:b/>
                <w:bCs/>
                <w:lang w:eastAsia="lv-LV"/>
              </w:rPr>
              <w:t>KOPĀ</w:t>
            </w:r>
          </w:p>
        </w:tc>
        <w:tc>
          <w:tcPr>
            <w:tcW w:w="1296" w:type="dxa"/>
          </w:tcPr>
          <w:p w:rsidRPr="00A0455C" w:rsidR="00A0455C" w:rsidP="00A0455C" w:rsidRDefault="00A0455C" w14:paraId="6AC4A599" w14:textId="7889862A">
            <w:pPr>
              <w:jc w:val="right"/>
              <w:rPr>
                <w:rFonts w:ascii="Times New Roman" w:hAnsi="Times New Roman" w:eastAsia="Calibri" w:cs="Times New Roman"/>
                <w:b/>
                <w:bCs/>
                <w:lang w:eastAsia="lv-LV"/>
              </w:rPr>
            </w:pPr>
            <w:r>
              <w:rPr>
                <w:rFonts w:ascii="Times New Roman" w:hAnsi="Times New Roman" w:eastAsia="Calibri" w:cs="Times New Roman"/>
                <w:b/>
                <w:bCs/>
                <w:lang w:eastAsia="lv-LV"/>
              </w:rPr>
              <w:t>105</w:t>
            </w:r>
          </w:p>
        </w:tc>
      </w:tr>
    </w:tbl>
    <w:p w:rsidR="00AD5B5E" w:rsidP="00EB46EB" w:rsidRDefault="00AD5B5E" w14:paraId="3A37AF27" w14:textId="77777777">
      <w:pPr>
        <w:spacing w:after="0" w:line="240" w:lineRule="auto"/>
        <w:ind w:firstLine="709"/>
        <w:jc w:val="both"/>
        <w:rPr>
          <w:rFonts w:eastAsia="Calibri" w:cs="Times New Roman"/>
          <w:szCs w:val="24"/>
          <w:lang w:eastAsia="lv-LV"/>
        </w:rPr>
      </w:pPr>
    </w:p>
    <w:p w:rsidR="00AD5B5E" w:rsidP="00EB46EB" w:rsidRDefault="00AD5B5E" w14:paraId="1A20E70D" w14:textId="77777777">
      <w:pPr>
        <w:spacing w:after="0" w:line="240" w:lineRule="auto"/>
        <w:ind w:firstLine="709"/>
        <w:jc w:val="both"/>
        <w:rPr>
          <w:rFonts w:eastAsia="Calibri" w:cs="Times New Roman"/>
          <w:szCs w:val="24"/>
          <w:lang w:eastAsia="lv-LV"/>
        </w:rPr>
      </w:pPr>
    </w:p>
    <w:p w:rsidRPr="006076AE" w:rsidR="00311265" w:rsidP="00311265" w:rsidRDefault="00311265" w14:paraId="3430E9B4" w14:textId="77777777">
      <w:pPr>
        <w:pStyle w:val="ListParagraph"/>
        <w:tabs>
          <w:tab w:val="left" w:pos="993"/>
        </w:tabs>
        <w:autoSpaceDN w:val="0"/>
        <w:spacing w:after="0" w:line="240" w:lineRule="auto"/>
        <w:ind w:left="0"/>
        <w:textAlignment w:val="baseline"/>
        <w:rPr>
          <w:rFonts w:eastAsia="ヒラギノ角ゴ Pro W3" w:cs="Times New Roman"/>
          <w:b/>
          <w:bCs/>
          <w:color w:val="000000"/>
          <w:szCs w:val="24"/>
          <w:lang w:eastAsia="lv-LV"/>
        </w:rPr>
      </w:pPr>
    </w:p>
    <w:p w:rsidR="00780936" w:rsidP="00A0455C" w:rsidRDefault="004605AC" w14:paraId="229230D7" w14:textId="4EC96928">
      <w:pPr>
        <w:pStyle w:val="ListParagraph"/>
        <w:spacing w:after="0" w:line="240" w:lineRule="auto"/>
        <w:ind w:left="927"/>
        <w:jc w:val="center"/>
        <w:rPr>
          <w:rFonts w:eastAsia="ヒラギノ角ゴ Pro W3" w:cs="Times New Roman"/>
          <w:b/>
          <w:bCs/>
          <w:color w:val="000000"/>
          <w:szCs w:val="24"/>
          <w:lang w:eastAsia="lv-LV"/>
        </w:rPr>
      </w:pPr>
      <w:r w:rsidRPr="004605AC">
        <w:rPr>
          <w:rFonts w:eastAsia="ヒラギノ角ゴ Pro W3" w:cs="Times New Roman"/>
          <w:b/>
          <w:bCs/>
          <w:color w:val="000000"/>
          <w:szCs w:val="24"/>
          <w:lang w:eastAsia="lv-LV"/>
        </w:rPr>
        <w:t>Informācija par valsts akciju sabiedrības “</w:t>
      </w:r>
      <w:r>
        <w:rPr>
          <w:rFonts w:eastAsia="ヒラギノ角ゴ Pro W3" w:cs="Times New Roman"/>
          <w:b/>
          <w:bCs/>
          <w:color w:val="000000"/>
          <w:szCs w:val="24"/>
          <w:lang w:eastAsia="lv-LV"/>
        </w:rPr>
        <w:t>Latvijas dzelzceļš</w:t>
      </w:r>
      <w:r w:rsidRPr="004605AC">
        <w:rPr>
          <w:rFonts w:eastAsia="ヒラギノ角ゴ Pro W3" w:cs="Times New Roman"/>
          <w:b/>
          <w:bCs/>
          <w:color w:val="000000"/>
          <w:szCs w:val="24"/>
          <w:lang w:eastAsia="lv-LV"/>
        </w:rPr>
        <w:t>” darbinieku vakcināciju pret Covid-19 V prioritāri vakcinējamo grupā</w:t>
      </w:r>
    </w:p>
    <w:p w:rsidR="00D873EC" w:rsidP="00CE4AD4" w:rsidRDefault="00E432A6" w14:paraId="4D7290BA" w14:textId="0254CF0E">
      <w:pPr>
        <w:spacing w:before="120" w:after="0" w:line="240" w:lineRule="auto"/>
        <w:ind w:firstLine="567"/>
        <w:jc w:val="both"/>
        <w:rPr>
          <w:rFonts w:eastAsia="Calibri" w:cs="Times New Roman"/>
          <w:b/>
          <w:bCs/>
          <w:color w:val="000000"/>
          <w:szCs w:val="24"/>
          <w:lang w:eastAsia="lv-LV"/>
        </w:rPr>
      </w:pPr>
      <w:r w:rsidRPr="00E432A6">
        <w:rPr>
          <w:rFonts w:eastAsia="Calibri" w:cs="Times New Roman"/>
          <w:color w:val="000000"/>
          <w:szCs w:val="24"/>
          <w:lang w:eastAsia="lv-LV"/>
        </w:rPr>
        <w:t xml:space="preserve">Lai nodrošinātu nepārtrauktu un drošu </w:t>
      </w:r>
      <w:r w:rsidR="00493685">
        <w:rPr>
          <w:rFonts w:eastAsia="Calibri" w:cs="Times New Roman"/>
          <w:color w:val="000000"/>
          <w:szCs w:val="24"/>
          <w:lang w:eastAsia="lv-LV"/>
        </w:rPr>
        <w:t>dzelzceļa</w:t>
      </w:r>
      <w:r w:rsidRPr="00E432A6">
        <w:rPr>
          <w:rFonts w:eastAsia="Calibri" w:cs="Times New Roman"/>
          <w:color w:val="000000"/>
          <w:szCs w:val="24"/>
          <w:lang w:eastAsia="lv-LV"/>
        </w:rPr>
        <w:t xml:space="preserve"> </w:t>
      </w:r>
      <w:r w:rsidR="008368E8">
        <w:rPr>
          <w:rFonts w:eastAsia="Calibri" w:cs="Times New Roman"/>
          <w:color w:val="000000"/>
          <w:szCs w:val="24"/>
          <w:lang w:eastAsia="lv-LV"/>
        </w:rPr>
        <w:t>in</w:t>
      </w:r>
      <w:r w:rsidR="004B6ADE">
        <w:rPr>
          <w:rFonts w:eastAsia="Calibri" w:cs="Times New Roman"/>
          <w:color w:val="000000"/>
          <w:szCs w:val="24"/>
          <w:lang w:eastAsia="lv-LV"/>
        </w:rPr>
        <w:t>f</w:t>
      </w:r>
      <w:r w:rsidR="008368E8">
        <w:rPr>
          <w:rFonts w:eastAsia="Calibri" w:cs="Times New Roman"/>
          <w:color w:val="000000"/>
          <w:szCs w:val="24"/>
          <w:lang w:eastAsia="lv-LV"/>
        </w:rPr>
        <w:t>rastruktūras</w:t>
      </w:r>
      <w:r w:rsidRPr="00E432A6">
        <w:rPr>
          <w:rFonts w:eastAsia="Calibri" w:cs="Times New Roman"/>
          <w:color w:val="000000"/>
          <w:szCs w:val="24"/>
          <w:lang w:eastAsia="lv-LV"/>
        </w:rPr>
        <w:t xml:space="preserve"> </w:t>
      </w:r>
      <w:r w:rsidR="004B6ADE">
        <w:rPr>
          <w:rFonts w:eastAsia="Calibri" w:cs="Times New Roman"/>
          <w:color w:val="000000"/>
          <w:szCs w:val="24"/>
          <w:lang w:eastAsia="lv-LV"/>
        </w:rPr>
        <w:t>pārvaldīšanu</w:t>
      </w:r>
      <w:r w:rsidRPr="00E432A6">
        <w:rPr>
          <w:rFonts w:eastAsia="Calibri" w:cs="Times New Roman"/>
          <w:color w:val="000000"/>
          <w:szCs w:val="24"/>
          <w:lang w:eastAsia="lv-LV"/>
        </w:rPr>
        <w:t xml:space="preserve"> 24/7 režīmā, </w:t>
      </w:r>
      <w:r w:rsidR="002610ED">
        <w:rPr>
          <w:rFonts w:eastAsia="Calibri" w:cs="Times New Roman"/>
          <w:color w:val="000000"/>
          <w:szCs w:val="24"/>
          <w:lang w:eastAsia="lv-LV"/>
        </w:rPr>
        <w:t>V prioritārajā vakcinējamo grupā</w:t>
      </w:r>
      <w:r w:rsidRPr="00E432A6">
        <w:rPr>
          <w:rFonts w:eastAsia="Calibri" w:cs="Times New Roman"/>
          <w:color w:val="000000"/>
          <w:szCs w:val="24"/>
          <w:lang w:eastAsia="lv-LV"/>
        </w:rPr>
        <w:t xml:space="preserve"> COVID-19 vakcīna būtu jāsaņem </w:t>
      </w:r>
      <w:r w:rsidRPr="00E432A6">
        <w:rPr>
          <w:rFonts w:eastAsia="ヒラギノ角ゴ Pro W3" w:cs="Times New Roman"/>
          <w:color w:val="000000"/>
          <w:szCs w:val="24"/>
          <w:lang w:eastAsia="lv-LV"/>
        </w:rPr>
        <w:t>valsts akciju sabiedrības “</w:t>
      </w:r>
      <w:r w:rsidR="00493685">
        <w:rPr>
          <w:rFonts w:eastAsia="ヒラギノ角ゴ Pro W3" w:cs="Times New Roman"/>
          <w:color w:val="000000"/>
          <w:szCs w:val="24"/>
          <w:lang w:eastAsia="lv-LV"/>
        </w:rPr>
        <w:t>Latvijas dzelzceļš</w:t>
      </w:r>
      <w:r w:rsidRPr="00E432A6">
        <w:rPr>
          <w:rFonts w:eastAsia="ヒラギノ角ゴ Pro W3" w:cs="Times New Roman"/>
          <w:color w:val="000000"/>
          <w:szCs w:val="24"/>
          <w:lang w:eastAsia="lv-LV"/>
        </w:rPr>
        <w:t>” (turpmāk – L</w:t>
      </w:r>
      <w:r w:rsidR="00493685">
        <w:rPr>
          <w:rFonts w:eastAsia="ヒラギノ角ゴ Pro W3" w:cs="Times New Roman"/>
          <w:color w:val="000000"/>
          <w:szCs w:val="24"/>
          <w:lang w:eastAsia="lv-LV"/>
        </w:rPr>
        <w:t>DZ</w:t>
      </w:r>
      <w:r w:rsidRPr="00E432A6">
        <w:rPr>
          <w:rFonts w:eastAsia="ヒラギノ角ゴ Pro W3" w:cs="Times New Roman"/>
          <w:color w:val="000000"/>
          <w:szCs w:val="24"/>
          <w:lang w:eastAsia="lv-LV"/>
        </w:rPr>
        <w:t>) darbiniekiem</w:t>
      </w:r>
      <w:r w:rsidRPr="00E432A6">
        <w:rPr>
          <w:rFonts w:eastAsia="Calibri" w:cs="Times New Roman"/>
          <w:color w:val="000000"/>
          <w:szCs w:val="24"/>
          <w:lang w:eastAsia="lv-LV"/>
        </w:rPr>
        <w:t xml:space="preserve">, kopumā – </w:t>
      </w:r>
      <w:r w:rsidR="003E42AF">
        <w:rPr>
          <w:rFonts w:eastAsia="Calibri" w:cs="Times New Roman"/>
          <w:b/>
          <w:bCs/>
          <w:color w:val="000000"/>
          <w:szCs w:val="24"/>
          <w:lang w:eastAsia="lv-LV"/>
        </w:rPr>
        <w:t>66</w:t>
      </w:r>
      <w:r w:rsidRPr="00E432A6">
        <w:rPr>
          <w:rFonts w:eastAsia="Calibri" w:cs="Times New Roman"/>
          <w:b/>
          <w:bCs/>
          <w:color w:val="000000"/>
          <w:szCs w:val="24"/>
          <w:lang w:eastAsia="lv-LV"/>
        </w:rPr>
        <w:t xml:space="preserve"> darbinieki</w:t>
      </w:r>
      <w:r w:rsidR="00CA6747">
        <w:rPr>
          <w:rFonts w:eastAsia="Calibri" w:cs="Times New Roman"/>
          <w:b/>
          <w:bCs/>
          <w:color w:val="000000"/>
          <w:szCs w:val="24"/>
          <w:lang w:eastAsia="lv-LV"/>
        </w:rPr>
        <w:t>.</w:t>
      </w:r>
    </w:p>
    <w:p w:rsidRPr="00E432A6" w:rsidR="00CA6747" w:rsidP="00493685" w:rsidRDefault="00CA6747" w14:paraId="530F413C" w14:textId="77777777">
      <w:pPr>
        <w:spacing w:after="0" w:line="240" w:lineRule="auto"/>
        <w:ind w:firstLine="567"/>
        <w:jc w:val="both"/>
        <w:rPr>
          <w:rFonts w:eastAsia="ヒラギノ角ゴ Pro W3" w:cs="Times New Roman"/>
          <w:b/>
          <w:bCs/>
          <w:color w:val="000000"/>
          <w:szCs w:val="24"/>
          <w:lang w:eastAsia="lv-LV"/>
        </w:rPr>
      </w:pPr>
    </w:p>
    <w:tbl>
      <w:tblPr>
        <w:tblStyle w:val="TableGrid1"/>
        <w:tblW w:w="10065" w:type="dxa"/>
        <w:tblInd w:w="-572" w:type="dxa"/>
        <w:tblLook w:val="04A0" w:firstRow="1" w:lastRow="0" w:firstColumn="1" w:lastColumn="0" w:noHBand="0" w:noVBand="1"/>
      </w:tblPr>
      <w:tblGrid>
        <w:gridCol w:w="694"/>
        <w:gridCol w:w="2322"/>
        <w:gridCol w:w="2366"/>
        <w:gridCol w:w="3387"/>
        <w:gridCol w:w="1296"/>
      </w:tblGrid>
      <w:tr w:rsidRPr="00D873EC" w:rsidR="00937972" w:rsidTr="00937972" w14:paraId="28748F70" w14:textId="77777777">
        <w:tc>
          <w:tcPr>
            <w:tcW w:w="709" w:type="dxa"/>
          </w:tcPr>
          <w:p w:rsidRPr="00D873EC" w:rsidR="00D873EC" w:rsidP="00D873EC" w:rsidRDefault="00D873EC" w14:paraId="18345A80" w14:textId="77777777">
            <w:pPr>
              <w:jc w:val="both"/>
              <w:rPr>
                <w:rFonts w:ascii="Times New Roman" w:hAnsi="Times New Roman" w:eastAsia="Calibri" w:cs="Times New Roman"/>
                <w:lang w:eastAsia="lv-LV"/>
              </w:rPr>
            </w:pPr>
            <w:r w:rsidRPr="00D873EC">
              <w:rPr>
                <w:rFonts w:ascii="Times New Roman" w:hAnsi="Times New Roman" w:eastAsia="Calibri" w:cs="Times New Roman"/>
                <w:lang w:eastAsia="lv-LV"/>
              </w:rPr>
              <w:t>Nr. p.k.</w:t>
            </w:r>
          </w:p>
        </w:tc>
        <w:tc>
          <w:tcPr>
            <w:tcW w:w="2384" w:type="dxa"/>
            <w:vAlign w:val="center"/>
          </w:tcPr>
          <w:p w:rsidRPr="00D873EC" w:rsidR="00D873EC" w:rsidP="00D873EC" w:rsidRDefault="00D873EC" w14:paraId="2B8090AE"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Amats</w:t>
            </w:r>
          </w:p>
        </w:tc>
        <w:tc>
          <w:tcPr>
            <w:tcW w:w="2396" w:type="dxa"/>
            <w:vAlign w:val="center"/>
          </w:tcPr>
          <w:p w:rsidRPr="00D873EC" w:rsidR="00D873EC" w:rsidP="00D873EC" w:rsidRDefault="00D873EC" w14:paraId="7E3B352E"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Pamatdarbība/darba specifika</w:t>
            </w:r>
          </w:p>
        </w:tc>
        <w:tc>
          <w:tcPr>
            <w:tcW w:w="3583" w:type="dxa"/>
            <w:vAlign w:val="center"/>
          </w:tcPr>
          <w:p w:rsidRPr="00D873EC" w:rsidR="00D873EC" w:rsidP="00D873EC" w:rsidRDefault="00D873EC" w14:paraId="40741AF9"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Pamatojums</w:t>
            </w:r>
          </w:p>
        </w:tc>
        <w:tc>
          <w:tcPr>
            <w:tcW w:w="993" w:type="dxa"/>
            <w:vAlign w:val="center"/>
          </w:tcPr>
          <w:p w:rsidRPr="00D873EC" w:rsidR="00D873EC" w:rsidP="00D873EC" w:rsidRDefault="00D873EC" w14:paraId="413BA6A3" w14:textId="77777777">
            <w:pPr>
              <w:jc w:val="center"/>
              <w:rPr>
                <w:rFonts w:ascii="Times New Roman" w:hAnsi="Times New Roman" w:eastAsia="Calibri" w:cs="Times New Roman"/>
                <w:lang w:eastAsia="lv-LV"/>
              </w:rPr>
            </w:pPr>
            <w:r w:rsidRPr="00D873EC">
              <w:rPr>
                <w:rFonts w:ascii="Times New Roman" w:hAnsi="Times New Roman" w:eastAsia="Calibri" w:cs="Times New Roman"/>
                <w:lang w:eastAsia="lv-LV"/>
              </w:rPr>
              <w:t>Darbinieku skaits</w:t>
            </w:r>
          </w:p>
        </w:tc>
      </w:tr>
      <w:tr w:rsidRPr="00D873EC" w:rsidR="00937972" w:rsidTr="00937972" w14:paraId="2435A41F" w14:textId="77777777">
        <w:tc>
          <w:tcPr>
            <w:tcW w:w="709" w:type="dxa"/>
          </w:tcPr>
          <w:p w:rsidRPr="00A0455C" w:rsidR="00D873EC" w:rsidP="00A0455C" w:rsidRDefault="00A0455C" w14:paraId="1AAF7576" w14:textId="0B390E26">
            <w:pPr>
              <w:ind w:left="113"/>
              <w:contextualSpacing/>
              <w:jc w:val="both"/>
              <w:rPr>
                <w:rFonts w:ascii="Times New Roman" w:hAnsi="Times New Roman" w:eastAsia="Calibri" w:cs="Times New Roman"/>
                <w:lang w:eastAsia="lv-LV"/>
              </w:rPr>
            </w:pPr>
            <w:r w:rsidRPr="00A0455C">
              <w:rPr>
                <w:rFonts w:ascii="Times New Roman" w:hAnsi="Times New Roman" w:eastAsia="Calibri" w:cs="Times New Roman"/>
                <w:lang w:eastAsia="lv-LV"/>
              </w:rPr>
              <w:t>1.</w:t>
            </w:r>
          </w:p>
        </w:tc>
        <w:tc>
          <w:tcPr>
            <w:tcW w:w="2384" w:type="dxa"/>
          </w:tcPr>
          <w:p w:rsidRPr="00D873EC" w:rsidR="00D873EC" w:rsidP="00C34344" w:rsidRDefault="00D873EC" w14:paraId="5839E511" w14:textId="77777777">
            <w:pPr>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Vilcienu dispečeri, vilcienu kustības organizācijas dežuranti, pārvadājumu dispečeri, dzelzceļa dispečeri manevru dispečeri, Rīgas pasažieru stacijas dežuranti</w:t>
            </w:r>
          </w:p>
        </w:tc>
        <w:tc>
          <w:tcPr>
            <w:tcW w:w="2396" w:type="dxa"/>
          </w:tcPr>
          <w:p w:rsidRPr="00D873EC" w:rsidR="00D873EC" w:rsidP="00C34344" w:rsidRDefault="00D873EC" w14:paraId="401595AB" w14:textId="77777777">
            <w:pPr>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24/7 režīmā vilcienu kustības organizēšana un kontrole, dzelzceļa satiksmes drošības nodrošināšana, lokomotīvju parka un lokomotīvju brigāžu darba organizēšana un koordinēšana.</w:t>
            </w:r>
          </w:p>
        </w:tc>
        <w:tc>
          <w:tcPr>
            <w:tcW w:w="3583" w:type="dxa"/>
            <w:vMerge w:val="restart"/>
          </w:tcPr>
          <w:p w:rsidRPr="00D873EC" w:rsidR="00D873EC" w:rsidP="00C34344" w:rsidRDefault="005108FB" w14:paraId="171B8875" w14:textId="631A02B8">
            <w:pPr>
              <w:contextualSpacing/>
              <w:jc w:val="both"/>
              <w:rPr>
                <w:rFonts w:ascii="Times New Roman" w:hAnsi="Times New Roman" w:eastAsia="Calibri" w:cs="Times New Roman"/>
                <w:lang w:eastAsia="lv-LV"/>
              </w:rPr>
            </w:pPr>
            <w:r>
              <w:rPr>
                <w:rFonts w:ascii="Times New Roman" w:hAnsi="Times New Roman" w:eastAsia="Calibri" w:cs="Times New Roman"/>
                <w:lang w:eastAsia="lv-LV"/>
              </w:rPr>
              <w:t>LDZ</w:t>
            </w:r>
            <w:r w:rsidRPr="00D873EC" w:rsidR="00D873EC">
              <w:rPr>
                <w:rFonts w:ascii="Times New Roman" w:hAnsi="Times New Roman" w:eastAsia="Calibri" w:cs="Times New Roman"/>
                <w:lang w:eastAsia="lv-LV"/>
              </w:rPr>
              <w:t xml:space="preserve"> Dzelzceļa likuma izpratnē ir dzelzceļa infrastruktūras pārvaldītājs, kas pārvalda gan publiskās, gan privātās lietošanas dzelzceļa infrastruktūru. LD</w:t>
            </w:r>
            <w:r w:rsidR="004D0F7C">
              <w:rPr>
                <w:rFonts w:ascii="Times New Roman" w:hAnsi="Times New Roman" w:eastAsia="Calibri" w:cs="Times New Roman"/>
                <w:lang w:eastAsia="lv-LV"/>
              </w:rPr>
              <w:t>Z</w:t>
            </w:r>
            <w:r w:rsidRPr="00D873EC" w:rsidR="00D873EC">
              <w:rPr>
                <w:rFonts w:ascii="Times New Roman" w:hAnsi="Times New Roman" w:eastAsia="Calibri" w:cs="Times New Roman"/>
                <w:lang w:eastAsia="lv-LV"/>
              </w:rPr>
              <w:t xml:space="preserve"> atbild par M</w:t>
            </w:r>
            <w:r>
              <w:rPr>
                <w:rFonts w:ascii="Times New Roman" w:hAnsi="Times New Roman" w:eastAsia="Calibri" w:cs="Times New Roman"/>
                <w:lang w:eastAsia="lv-LV"/>
              </w:rPr>
              <w:t>inistru kabineta</w:t>
            </w:r>
            <w:r w:rsidRPr="00D873EC" w:rsidR="00D873EC">
              <w:rPr>
                <w:rFonts w:ascii="Times New Roman" w:hAnsi="Times New Roman" w:eastAsia="Calibri" w:cs="Times New Roman"/>
                <w:lang w:eastAsia="lv-LV"/>
              </w:rPr>
              <w:t xml:space="preserve"> 1998.</w:t>
            </w:r>
            <w:r w:rsidR="00240CD2">
              <w:rPr>
                <w:rFonts w:ascii="Times New Roman" w:hAnsi="Times New Roman" w:eastAsia="Calibri" w:cs="Times New Roman"/>
                <w:lang w:eastAsia="lv-LV"/>
              </w:rPr>
              <w:t xml:space="preserve"> </w:t>
            </w:r>
            <w:r>
              <w:rPr>
                <w:rFonts w:ascii="Times New Roman" w:hAnsi="Times New Roman" w:eastAsia="Calibri" w:cs="Times New Roman"/>
                <w:lang w:eastAsia="lv-LV"/>
              </w:rPr>
              <w:t>gada 20.</w:t>
            </w:r>
            <w:r w:rsidR="00240CD2">
              <w:rPr>
                <w:rFonts w:ascii="Times New Roman" w:hAnsi="Times New Roman" w:eastAsia="Calibri" w:cs="Times New Roman"/>
                <w:lang w:eastAsia="lv-LV"/>
              </w:rPr>
              <w:t xml:space="preserve"> </w:t>
            </w:r>
            <w:r>
              <w:rPr>
                <w:rFonts w:ascii="Times New Roman" w:hAnsi="Times New Roman" w:eastAsia="Calibri" w:cs="Times New Roman"/>
                <w:lang w:eastAsia="lv-LV"/>
              </w:rPr>
              <w:t>oktobra</w:t>
            </w:r>
            <w:r w:rsidRPr="00D873EC" w:rsidR="00D873EC">
              <w:rPr>
                <w:rFonts w:ascii="Times New Roman" w:hAnsi="Times New Roman" w:eastAsia="Calibri" w:cs="Times New Roman"/>
                <w:lang w:eastAsia="lv-LV"/>
              </w:rPr>
              <w:t xml:space="preserve"> noteikumos Nr.</w:t>
            </w:r>
            <w:r w:rsidR="00240CD2">
              <w:rPr>
                <w:rFonts w:ascii="Times New Roman" w:hAnsi="Times New Roman" w:eastAsia="Calibri" w:cs="Times New Roman"/>
                <w:lang w:eastAsia="lv-LV"/>
              </w:rPr>
              <w:t xml:space="preserve"> </w:t>
            </w:r>
            <w:r w:rsidRPr="00D873EC" w:rsidR="00D873EC">
              <w:rPr>
                <w:rFonts w:ascii="Times New Roman" w:hAnsi="Times New Roman" w:eastAsia="Calibri" w:cs="Times New Roman"/>
                <w:lang w:eastAsia="lv-LV"/>
              </w:rPr>
              <w:t xml:space="preserve">411 </w:t>
            </w:r>
            <w:r w:rsidR="005F33F4">
              <w:rPr>
                <w:rFonts w:ascii="Times New Roman" w:hAnsi="Times New Roman" w:eastAsia="Calibri" w:cs="Times New Roman"/>
                <w:lang w:eastAsia="lv-LV"/>
              </w:rPr>
              <w:t>“</w:t>
            </w:r>
            <w:r w:rsidRPr="00D873EC" w:rsidR="00D873EC">
              <w:rPr>
                <w:rFonts w:ascii="Times New Roman" w:hAnsi="Times New Roman" w:eastAsia="Calibri" w:cs="Times New Roman"/>
                <w:lang w:eastAsia="lv-LV"/>
              </w:rPr>
              <w:t>Noteikumi par stratēģiskās un reģionālās nozīmes dzelzceļa infrastruktūras iedalījumu</w:t>
            </w:r>
            <w:r w:rsidR="005F33F4">
              <w:rPr>
                <w:rFonts w:ascii="Times New Roman" w:hAnsi="Times New Roman" w:eastAsia="Calibri" w:cs="Times New Roman"/>
                <w:lang w:eastAsia="lv-LV"/>
              </w:rPr>
              <w:t>”</w:t>
            </w:r>
            <w:r w:rsidRPr="00D873EC" w:rsidR="00D873EC">
              <w:rPr>
                <w:rFonts w:ascii="Times New Roman" w:hAnsi="Times New Roman" w:eastAsia="Calibri" w:cs="Times New Roman"/>
                <w:lang w:eastAsia="lv-LV"/>
              </w:rPr>
              <w:t xml:space="preserve"> norādīto dzelzceļa infrastruktūras iecirkņu uzturēšanu un to infrastruktūras vadību. </w:t>
            </w:r>
          </w:p>
          <w:p w:rsidRPr="00D873EC" w:rsidR="00D873EC" w:rsidP="00C34344" w:rsidRDefault="00D873EC" w14:paraId="164EA0FC" w14:textId="27C3FEC1">
            <w:pPr>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LD</w:t>
            </w:r>
            <w:r w:rsidR="004D0F7C">
              <w:rPr>
                <w:rFonts w:ascii="Times New Roman" w:hAnsi="Times New Roman" w:eastAsia="Calibri" w:cs="Times New Roman"/>
                <w:lang w:eastAsia="lv-LV"/>
              </w:rPr>
              <w:t>Z</w:t>
            </w:r>
            <w:r w:rsidRPr="00D873EC">
              <w:rPr>
                <w:rFonts w:ascii="Times New Roman" w:hAnsi="Times New Roman" w:eastAsia="Calibri" w:cs="Times New Roman"/>
                <w:lang w:eastAsia="lv-LV"/>
              </w:rPr>
              <w:t xml:space="preserve"> kā dzelzceļa infrastruktūras pārvaldītājam galvenie darbības veidi, t.sk</w:t>
            </w:r>
            <w:r w:rsidR="009B7C9D">
              <w:rPr>
                <w:rFonts w:ascii="Times New Roman" w:hAnsi="Times New Roman" w:eastAsia="Calibri" w:cs="Times New Roman"/>
                <w:lang w:eastAsia="lv-LV"/>
              </w:rPr>
              <w:t>.</w:t>
            </w:r>
            <w:r w:rsidRPr="00D873EC">
              <w:rPr>
                <w:rFonts w:ascii="Times New Roman" w:hAnsi="Times New Roman" w:eastAsia="Calibri" w:cs="Times New Roman"/>
                <w:lang w:eastAsia="lv-LV"/>
              </w:rPr>
              <w:t xml:space="preserve"> ievērojot </w:t>
            </w:r>
            <w:r w:rsidR="009B7C9D">
              <w:rPr>
                <w:rFonts w:ascii="Times New Roman" w:hAnsi="Times New Roman" w:eastAsia="Calibri" w:cs="Times New Roman"/>
                <w:lang w:eastAsia="lv-LV"/>
              </w:rPr>
              <w:t xml:space="preserve">Ministru kabineta </w:t>
            </w:r>
            <w:r w:rsidRPr="00D873EC">
              <w:rPr>
                <w:rFonts w:ascii="Times New Roman" w:hAnsi="Times New Roman" w:eastAsia="Calibri" w:cs="Times New Roman"/>
                <w:lang w:eastAsia="lv-LV"/>
              </w:rPr>
              <w:t>2010.</w:t>
            </w:r>
            <w:r w:rsidR="00240CD2">
              <w:rPr>
                <w:rFonts w:ascii="Times New Roman" w:hAnsi="Times New Roman" w:eastAsia="Calibri" w:cs="Times New Roman"/>
                <w:lang w:eastAsia="lv-LV"/>
              </w:rPr>
              <w:t xml:space="preserve"> </w:t>
            </w:r>
            <w:r w:rsidR="009B7C9D">
              <w:rPr>
                <w:rFonts w:ascii="Times New Roman" w:hAnsi="Times New Roman" w:eastAsia="Calibri" w:cs="Times New Roman"/>
                <w:lang w:eastAsia="lv-LV"/>
              </w:rPr>
              <w:t>gada</w:t>
            </w:r>
            <w:r w:rsidR="00463B91">
              <w:rPr>
                <w:rFonts w:ascii="Times New Roman" w:hAnsi="Times New Roman" w:eastAsia="Calibri" w:cs="Times New Roman"/>
                <w:lang w:eastAsia="lv-LV"/>
              </w:rPr>
              <w:t xml:space="preserve"> 3.</w:t>
            </w:r>
            <w:r w:rsidR="00240CD2">
              <w:rPr>
                <w:rFonts w:ascii="Times New Roman" w:hAnsi="Times New Roman" w:eastAsia="Calibri" w:cs="Times New Roman"/>
                <w:lang w:eastAsia="lv-LV"/>
              </w:rPr>
              <w:t xml:space="preserve"> </w:t>
            </w:r>
            <w:r w:rsidR="00463B91">
              <w:rPr>
                <w:rFonts w:ascii="Times New Roman" w:hAnsi="Times New Roman" w:eastAsia="Calibri" w:cs="Times New Roman"/>
                <w:lang w:eastAsia="lv-LV"/>
              </w:rPr>
              <w:t>augusta</w:t>
            </w:r>
            <w:r w:rsidRPr="00D873EC">
              <w:rPr>
                <w:rFonts w:ascii="Times New Roman" w:hAnsi="Times New Roman" w:eastAsia="Calibri" w:cs="Times New Roman"/>
                <w:lang w:eastAsia="lv-LV"/>
              </w:rPr>
              <w:t xml:space="preserve"> noteikumu Nr.</w:t>
            </w:r>
            <w:r w:rsidR="00240CD2">
              <w:rPr>
                <w:rFonts w:ascii="Times New Roman" w:hAnsi="Times New Roman" w:eastAsia="Calibri" w:cs="Times New Roman"/>
                <w:lang w:eastAsia="lv-LV"/>
              </w:rPr>
              <w:t xml:space="preserve"> </w:t>
            </w:r>
            <w:r w:rsidRPr="00D873EC">
              <w:rPr>
                <w:rFonts w:ascii="Times New Roman" w:hAnsi="Times New Roman" w:eastAsia="Calibri" w:cs="Times New Roman"/>
                <w:lang w:eastAsia="lv-LV"/>
              </w:rPr>
              <w:t>724 “Dzelzceļa tehniskās ekspluatācijas noteikumi” prasības, ir:</w:t>
            </w:r>
          </w:p>
          <w:p w:rsidRPr="00D873EC" w:rsidR="00D873EC" w:rsidP="00C34344" w:rsidRDefault="00D873EC" w14:paraId="6182AB07" w14:textId="77777777">
            <w:pPr>
              <w:numPr>
                <w:ilvl w:val="0"/>
                <w:numId w:val="5"/>
              </w:numPr>
              <w:tabs>
                <w:tab w:val="left" w:pos="247"/>
              </w:tabs>
              <w:ind w:left="247" w:hanging="244"/>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 xml:space="preserve">dzelzceļa infrastruktūras tehniskā aprīkojuma (t.sk. kustības vadības un signalizācijas sistēmas) uzturēšana (remonts un </w:t>
            </w:r>
            <w:r w:rsidRPr="00D873EC">
              <w:rPr>
                <w:rFonts w:ascii="Times New Roman" w:hAnsi="Times New Roman" w:eastAsia="Calibri" w:cs="Times New Roman"/>
                <w:lang w:eastAsia="lv-LV"/>
              </w:rPr>
              <w:lastRenderedPageBreak/>
              <w:t>tehniskā apkope), būvniecība (attīstība);</w:t>
            </w:r>
          </w:p>
          <w:p w:rsidRPr="00D873EC" w:rsidR="00D873EC" w:rsidP="00C34344" w:rsidRDefault="00D873EC" w14:paraId="6CE81052" w14:textId="77777777">
            <w:pPr>
              <w:numPr>
                <w:ilvl w:val="0"/>
                <w:numId w:val="5"/>
              </w:numPr>
              <w:tabs>
                <w:tab w:val="left" w:pos="247"/>
              </w:tabs>
              <w:ind w:left="247" w:hanging="244"/>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dzelzceļa satiksmes organizēšana, vadīšana un uzraudzība uz dzelzceļa infrastruktūras sliežu ceļiem;</w:t>
            </w:r>
          </w:p>
          <w:p w:rsidRPr="00D873EC" w:rsidR="00D873EC" w:rsidP="00C34344" w:rsidRDefault="00D873EC" w14:paraId="1DC6FF65" w14:textId="77777777">
            <w:pPr>
              <w:numPr>
                <w:ilvl w:val="0"/>
                <w:numId w:val="5"/>
              </w:numPr>
              <w:tabs>
                <w:tab w:val="left" w:pos="247"/>
              </w:tabs>
              <w:ind w:left="247" w:hanging="244"/>
              <w:contextualSpacing/>
              <w:jc w:val="both"/>
              <w:rPr>
                <w:rFonts w:ascii="Times New Roman" w:hAnsi="Times New Roman" w:eastAsia="Calibri" w:cs="Times New Roman"/>
                <w:lang w:eastAsia="lv-LV"/>
              </w:rPr>
            </w:pPr>
            <w:r w:rsidRPr="00D873EC">
              <w:rPr>
                <w:rFonts w:ascii="Times New Roman" w:hAnsi="Times New Roman" w:eastAsia="Calibri" w:cs="Times New Roman"/>
                <w:lang w:eastAsia="lv-LV"/>
              </w:rPr>
              <w:t>dzelzceļa infrastruktūras kontrole un drošības sistēmu vadība.</w:t>
            </w:r>
          </w:p>
        </w:tc>
        <w:tc>
          <w:tcPr>
            <w:tcW w:w="993" w:type="dxa"/>
          </w:tcPr>
          <w:p w:rsidRPr="00D873EC" w:rsidR="00D873EC" w:rsidP="00D873EC" w:rsidRDefault="00CB7416" w14:paraId="764084DA" w14:textId="4333A185">
            <w:pPr>
              <w:jc w:val="center"/>
              <w:rPr>
                <w:rFonts w:ascii="Times New Roman" w:hAnsi="Times New Roman" w:eastAsia="Calibri" w:cs="Times New Roman"/>
                <w:lang w:eastAsia="lv-LV"/>
              </w:rPr>
            </w:pPr>
            <w:r w:rsidRPr="00B7625D">
              <w:rPr>
                <w:rFonts w:ascii="Times New Roman" w:hAnsi="Times New Roman" w:eastAsia="Calibri" w:cs="Times New Roman"/>
                <w:lang w:eastAsia="lv-LV"/>
              </w:rPr>
              <w:lastRenderedPageBreak/>
              <w:t>46</w:t>
            </w:r>
          </w:p>
        </w:tc>
      </w:tr>
      <w:tr w:rsidRPr="00D873EC" w:rsidR="00937972" w:rsidTr="00937972" w14:paraId="397848C0" w14:textId="77777777">
        <w:tc>
          <w:tcPr>
            <w:tcW w:w="709" w:type="dxa"/>
          </w:tcPr>
          <w:p w:rsidRPr="00A0455C" w:rsidR="00D873EC" w:rsidP="00A0455C" w:rsidRDefault="00A0455C" w14:paraId="38E5F5BB" w14:textId="02502A4F">
            <w:pPr>
              <w:jc w:val="center"/>
              <w:rPr>
                <w:rFonts w:ascii="Times New Roman" w:hAnsi="Times New Roman" w:eastAsia="Calibri" w:cs="Times New Roman"/>
                <w:lang w:eastAsia="lv-LV"/>
              </w:rPr>
            </w:pPr>
            <w:r w:rsidRPr="00A0455C">
              <w:rPr>
                <w:rFonts w:ascii="Times New Roman" w:hAnsi="Times New Roman" w:eastAsia="Calibri" w:cs="Times New Roman"/>
                <w:lang w:eastAsia="lv-LV"/>
              </w:rPr>
              <w:t>2.</w:t>
            </w:r>
          </w:p>
        </w:tc>
        <w:tc>
          <w:tcPr>
            <w:tcW w:w="2384" w:type="dxa"/>
          </w:tcPr>
          <w:p w:rsidRPr="00D873EC" w:rsidR="00D873EC" w:rsidP="00D873EC" w:rsidRDefault="00D873EC" w14:paraId="6910D0D0" w14:textId="77777777">
            <w:pPr>
              <w:jc w:val="both"/>
              <w:rPr>
                <w:rFonts w:ascii="Times New Roman" w:hAnsi="Times New Roman" w:eastAsia="Calibri" w:cs="Times New Roman"/>
                <w:lang w:eastAsia="lv-LV"/>
              </w:rPr>
            </w:pPr>
            <w:r w:rsidRPr="00D873EC">
              <w:rPr>
                <w:rFonts w:ascii="Times New Roman" w:hAnsi="Times New Roman" w:eastAsia="Calibri" w:cs="Times New Roman"/>
                <w:lang w:eastAsia="lv-LV"/>
              </w:rPr>
              <w:t>Sliežu ceļu pārbaudes stacijas darbinieki</w:t>
            </w:r>
          </w:p>
        </w:tc>
        <w:tc>
          <w:tcPr>
            <w:tcW w:w="2396" w:type="dxa"/>
          </w:tcPr>
          <w:p w:rsidRPr="00D873EC" w:rsidR="00D873EC" w:rsidP="00D873EC" w:rsidRDefault="00D873EC" w14:paraId="45279926" w14:textId="77777777">
            <w:pPr>
              <w:jc w:val="both"/>
              <w:rPr>
                <w:rFonts w:ascii="Times New Roman" w:hAnsi="Times New Roman" w:eastAsia="Calibri" w:cs="Times New Roman"/>
                <w:lang w:eastAsia="lv-LV"/>
              </w:rPr>
            </w:pPr>
            <w:r w:rsidRPr="00D873EC">
              <w:rPr>
                <w:rFonts w:ascii="Times New Roman" w:hAnsi="Times New Roman" w:eastAsia="Calibri" w:cs="Times New Roman"/>
                <w:lang w:eastAsia="lv-LV"/>
              </w:rPr>
              <w:t xml:space="preserve">Strādā uz </w:t>
            </w:r>
            <w:proofErr w:type="spellStart"/>
            <w:r w:rsidRPr="00D873EC">
              <w:rPr>
                <w:rFonts w:ascii="Times New Roman" w:hAnsi="Times New Roman" w:eastAsia="Calibri" w:cs="Times New Roman"/>
                <w:lang w:eastAsia="lv-LV"/>
              </w:rPr>
              <w:t>mērvagona</w:t>
            </w:r>
            <w:proofErr w:type="spellEnd"/>
            <w:r w:rsidRPr="00D873EC">
              <w:rPr>
                <w:rFonts w:ascii="Times New Roman" w:hAnsi="Times New Roman" w:eastAsia="Calibri" w:cs="Times New Roman"/>
                <w:lang w:eastAsia="lv-LV"/>
              </w:rPr>
              <w:t xml:space="preserve"> un veic  sliežu ceļa ģeometrisko parametru, kas ietekmē vilcienu kustības drošību un vilcienu plūdeņu kustību, mērīšanu.</w:t>
            </w:r>
          </w:p>
        </w:tc>
        <w:tc>
          <w:tcPr>
            <w:tcW w:w="3583" w:type="dxa"/>
            <w:vMerge/>
          </w:tcPr>
          <w:p w:rsidRPr="00D873EC" w:rsidR="00D873EC" w:rsidP="00D873EC" w:rsidRDefault="00D873EC" w14:paraId="1B2B1BA0" w14:textId="77777777">
            <w:pPr>
              <w:jc w:val="center"/>
              <w:rPr>
                <w:rFonts w:ascii="Times New Roman" w:hAnsi="Times New Roman" w:eastAsia="Calibri" w:cs="Times New Roman"/>
                <w:lang w:eastAsia="lv-LV"/>
              </w:rPr>
            </w:pPr>
          </w:p>
        </w:tc>
        <w:tc>
          <w:tcPr>
            <w:tcW w:w="993" w:type="dxa"/>
          </w:tcPr>
          <w:p w:rsidRPr="00D873EC" w:rsidR="00D873EC" w:rsidP="00D873EC" w:rsidRDefault="00DE6FF2" w14:paraId="5FCF9447" w14:textId="5BB29535">
            <w:pPr>
              <w:jc w:val="center"/>
              <w:rPr>
                <w:rFonts w:ascii="Times New Roman" w:hAnsi="Times New Roman" w:eastAsia="Calibri" w:cs="Times New Roman"/>
                <w:lang w:eastAsia="lv-LV"/>
              </w:rPr>
            </w:pPr>
            <w:r>
              <w:rPr>
                <w:rFonts w:ascii="Times New Roman" w:hAnsi="Times New Roman" w:eastAsia="Calibri" w:cs="Times New Roman"/>
                <w:lang w:eastAsia="lv-LV"/>
              </w:rPr>
              <w:t>6</w:t>
            </w:r>
          </w:p>
        </w:tc>
      </w:tr>
      <w:tr w:rsidRPr="00D873EC" w:rsidR="00937972" w:rsidTr="00937972" w14:paraId="5BC25FBD" w14:textId="77777777">
        <w:tc>
          <w:tcPr>
            <w:tcW w:w="709" w:type="dxa"/>
          </w:tcPr>
          <w:p w:rsidRPr="00A0455C" w:rsidR="00D873EC" w:rsidP="00A0455C" w:rsidRDefault="00A0455C" w14:paraId="568BC93D" w14:textId="13327BAD">
            <w:pPr>
              <w:jc w:val="center"/>
              <w:rPr>
                <w:rFonts w:ascii="Times New Roman" w:hAnsi="Times New Roman" w:eastAsia="Calibri" w:cs="Times New Roman"/>
                <w:lang w:eastAsia="lv-LV"/>
              </w:rPr>
            </w:pPr>
            <w:r w:rsidRPr="00A0455C">
              <w:rPr>
                <w:rFonts w:ascii="Times New Roman" w:hAnsi="Times New Roman" w:eastAsia="Calibri" w:cs="Times New Roman"/>
                <w:lang w:eastAsia="lv-LV"/>
              </w:rPr>
              <w:t>3.</w:t>
            </w:r>
          </w:p>
        </w:tc>
        <w:tc>
          <w:tcPr>
            <w:tcW w:w="2384" w:type="dxa"/>
          </w:tcPr>
          <w:p w:rsidRPr="00D873EC" w:rsidR="00D873EC" w:rsidP="00D873EC" w:rsidRDefault="004D0F7C" w14:paraId="4BB3FAAF" w14:textId="3ACDC015">
            <w:pPr>
              <w:jc w:val="both"/>
              <w:rPr>
                <w:rFonts w:ascii="Times New Roman" w:hAnsi="Times New Roman" w:eastAsia="Calibri" w:cs="Times New Roman"/>
                <w:lang w:eastAsia="lv-LV"/>
              </w:rPr>
            </w:pPr>
            <w:r>
              <w:rPr>
                <w:rFonts w:ascii="Times New Roman" w:hAnsi="Times New Roman" w:eastAsia="Calibri" w:cs="Times New Roman"/>
                <w:lang w:eastAsia="lv-LV"/>
              </w:rPr>
              <w:t>LDZ</w:t>
            </w:r>
            <w:r w:rsidRPr="00D873EC" w:rsidR="00D873EC">
              <w:rPr>
                <w:rFonts w:ascii="Times New Roman" w:hAnsi="Times New Roman" w:eastAsia="Calibri" w:cs="Times New Roman"/>
                <w:lang w:eastAsia="lv-LV"/>
              </w:rPr>
              <w:t xml:space="preserve"> Elektrotehniskās pārvaldes </w:t>
            </w:r>
            <w:proofErr w:type="spellStart"/>
            <w:r w:rsidRPr="00D873EC" w:rsidR="00D873EC">
              <w:rPr>
                <w:rFonts w:ascii="Times New Roman" w:hAnsi="Times New Roman" w:eastAsia="Calibri" w:cs="Times New Roman"/>
                <w:lang w:eastAsia="lv-LV"/>
              </w:rPr>
              <w:t>energodispečeri</w:t>
            </w:r>
            <w:proofErr w:type="spellEnd"/>
            <w:r w:rsidRPr="00D873EC" w:rsidR="00D873EC">
              <w:rPr>
                <w:rFonts w:ascii="Times New Roman" w:hAnsi="Times New Roman" w:eastAsia="Calibri" w:cs="Times New Roman"/>
                <w:lang w:eastAsia="lv-LV"/>
              </w:rPr>
              <w:t>, SCB dispečeri un MPC inženieri, elektromehāniķi, elektronisko sakaru tīkla un HBD ierīču kontroles mehāniķi</w:t>
            </w:r>
            <w:r w:rsidR="00FF0FBF">
              <w:rPr>
                <w:rFonts w:ascii="Times New Roman" w:hAnsi="Times New Roman" w:eastAsia="Calibri" w:cs="Times New Roman"/>
                <w:lang w:eastAsia="lv-LV"/>
              </w:rPr>
              <w:t xml:space="preserve">, </w:t>
            </w:r>
            <w:r w:rsidRPr="00B7625D" w:rsidR="00FF0FBF">
              <w:rPr>
                <w:rFonts w:ascii="Times New Roman" w:hAnsi="Times New Roman" w:eastAsia="Calibri" w:cs="Times New Roman"/>
                <w:lang w:eastAsia="lv-LV"/>
              </w:rPr>
              <w:lastRenderedPageBreak/>
              <w:t>jaudas sadales dispečeri</w:t>
            </w:r>
          </w:p>
        </w:tc>
        <w:tc>
          <w:tcPr>
            <w:tcW w:w="2396" w:type="dxa"/>
          </w:tcPr>
          <w:p w:rsidRPr="00D873EC" w:rsidR="00D873EC" w:rsidP="00D873EC" w:rsidRDefault="00D873EC" w14:paraId="52A4D707" w14:textId="77777777">
            <w:pPr>
              <w:jc w:val="both"/>
              <w:rPr>
                <w:rFonts w:ascii="Times New Roman" w:hAnsi="Times New Roman" w:eastAsia="Calibri" w:cs="Times New Roman"/>
                <w:lang w:eastAsia="lv-LV"/>
              </w:rPr>
            </w:pPr>
            <w:r w:rsidRPr="00D873EC">
              <w:rPr>
                <w:rFonts w:ascii="Times New Roman" w:hAnsi="Times New Roman" w:eastAsia="Calibri" w:cs="Times New Roman"/>
                <w:lang w:eastAsia="lv-LV"/>
              </w:rPr>
              <w:lastRenderedPageBreak/>
              <w:t>24/7 režīmā elektrotehnisko un sakaru, vadības sistēmu monitorings,  tehniskais atbalsts, bojājumu operatīva novēršana un remonts.</w:t>
            </w:r>
          </w:p>
        </w:tc>
        <w:tc>
          <w:tcPr>
            <w:tcW w:w="3583" w:type="dxa"/>
            <w:vMerge/>
          </w:tcPr>
          <w:p w:rsidRPr="00D873EC" w:rsidR="00D873EC" w:rsidP="00D873EC" w:rsidRDefault="00D873EC" w14:paraId="18D9FE03" w14:textId="77777777">
            <w:pPr>
              <w:jc w:val="center"/>
              <w:rPr>
                <w:rFonts w:ascii="Times New Roman" w:hAnsi="Times New Roman" w:eastAsia="Calibri" w:cs="Times New Roman"/>
                <w:lang w:eastAsia="lv-LV"/>
              </w:rPr>
            </w:pPr>
          </w:p>
        </w:tc>
        <w:tc>
          <w:tcPr>
            <w:tcW w:w="993" w:type="dxa"/>
          </w:tcPr>
          <w:p w:rsidRPr="00D873EC" w:rsidR="00D873EC" w:rsidP="00D873EC" w:rsidRDefault="001A6542" w14:paraId="7DF28417" w14:textId="20A720B1">
            <w:pPr>
              <w:jc w:val="center"/>
              <w:rPr>
                <w:rFonts w:ascii="Times New Roman" w:hAnsi="Times New Roman" w:eastAsia="Calibri" w:cs="Times New Roman"/>
                <w:lang w:eastAsia="lv-LV"/>
              </w:rPr>
            </w:pPr>
            <w:r>
              <w:rPr>
                <w:rFonts w:ascii="Times New Roman" w:hAnsi="Times New Roman" w:eastAsia="Calibri" w:cs="Times New Roman"/>
                <w:lang w:eastAsia="lv-LV"/>
              </w:rPr>
              <w:t>1</w:t>
            </w:r>
            <w:r w:rsidR="00FF0FBF">
              <w:rPr>
                <w:rFonts w:ascii="Times New Roman" w:hAnsi="Times New Roman" w:eastAsia="Calibri" w:cs="Times New Roman"/>
                <w:lang w:eastAsia="lv-LV"/>
              </w:rPr>
              <w:t>4</w:t>
            </w:r>
          </w:p>
        </w:tc>
      </w:tr>
      <w:tr w:rsidRPr="00BB5459" w:rsidR="009B7C9D" w:rsidTr="00370961" w14:paraId="678103DD" w14:textId="77777777">
        <w:trPr>
          <w:trHeight w:val="201"/>
        </w:trPr>
        <w:tc>
          <w:tcPr>
            <w:tcW w:w="5489" w:type="dxa"/>
            <w:gridSpan w:val="3"/>
            <w:vAlign w:val="center"/>
          </w:tcPr>
          <w:p w:rsidRPr="00D873EC" w:rsidR="00D873EC" w:rsidP="00D873EC" w:rsidRDefault="00D873EC" w14:paraId="4ADFB964" w14:textId="4FA4CEC1">
            <w:pPr>
              <w:jc w:val="center"/>
              <w:rPr>
                <w:rFonts w:ascii="Times New Roman" w:hAnsi="Times New Roman" w:eastAsia="Calibri" w:cs="Times New Roman"/>
                <w:lang w:eastAsia="lv-LV"/>
              </w:rPr>
            </w:pPr>
          </w:p>
        </w:tc>
        <w:tc>
          <w:tcPr>
            <w:tcW w:w="3583" w:type="dxa"/>
          </w:tcPr>
          <w:p w:rsidRPr="00D873EC" w:rsidR="00D873EC" w:rsidP="009D7BD5" w:rsidRDefault="00A7364A" w14:paraId="03D8021B" w14:textId="009CA40C">
            <w:pPr>
              <w:jc w:val="right"/>
              <w:rPr>
                <w:rFonts w:ascii="Times New Roman" w:hAnsi="Times New Roman" w:eastAsia="Calibri" w:cs="Times New Roman"/>
                <w:b/>
                <w:bCs/>
                <w:lang w:eastAsia="lv-LV"/>
              </w:rPr>
            </w:pPr>
            <w:r w:rsidRPr="00D873EC">
              <w:rPr>
                <w:rFonts w:ascii="Times New Roman" w:hAnsi="Times New Roman" w:eastAsia="Calibri" w:cs="Times New Roman"/>
                <w:b/>
                <w:bCs/>
                <w:lang w:eastAsia="lv-LV"/>
              </w:rPr>
              <w:t>KOPĀ</w:t>
            </w:r>
          </w:p>
        </w:tc>
        <w:tc>
          <w:tcPr>
            <w:tcW w:w="993" w:type="dxa"/>
            <w:vAlign w:val="center"/>
          </w:tcPr>
          <w:p w:rsidRPr="00D873EC" w:rsidR="00D873EC" w:rsidP="009D7BD5" w:rsidRDefault="00BB5459" w14:paraId="10D571F2" w14:textId="703522CB">
            <w:pPr>
              <w:jc w:val="right"/>
              <w:rPr>
                <w:rFonts w:ascii="Times New Roman" w:hAnsi="Times New Roman" w:eastAsia="Calibri" w:cs="Times New Roman"/>
                <w:b/>
                <w:bCs/>
                <w:lang w:eastAsia="lv-LV"/>
              </w:rPr>
            </w:pPr>
            <w:r w:rsidRPr="00BB5459">
              <w:rPr>
                <w:rFonts w:ascii="Times New Roman" w:hAnsi="Times New Roman" w:eastAsia="Calibri" w:cs="Times New Roman"/>
                <w:b/>
                <w:bCs/>
                <w:lang w:eastAsia="lv-LV"/>
              </w:rPr>
              <w:t>66</w:t>
            </w:r>
          </w:p>
        </w:tc>
      </w:tr>
    </w:tbl>
    <w:p w:rsidR="00D873EC" w:rsidP="001A7391" w:rsidRDefault="00D873EC" w14:paraId="5A2D5575" w14:textId="327E8DCF">
      <w:pPr>
        <w:pStyle w:val="ListParagraph"/>
        <w:spacing w:after="0" w:line="240" w:lineRule="auto"/>
        <w:ind w:left="927"/>
        <w:rPr>
          <w:rFonts w:eastAsia="Calibri" w:cs="Times New Roman"/>
          <w:szCs w:val="24"/>
          <w:lang w:eastAsia="lv-LV"/>
        </w:rPr>
      </w:pPr>
    </w:p>
    <w:p w:rsidR="003F4BE9" w:rsidP="00F14433" w:rsidRDefault="003F4BE9" w14:paraId="7E9C05FF" w14:textId="2590CB05">
      <w:pPr>
        <w:spacing w:after="0" w:line="240" w:lineRule="auto"/>
        <w:jc w:val="both"/>
        <w:rPr>
          <w:rFonts w:eastAsia="Calibri" w:cs="Times New Roman"/>
          <w:szCs w:val="24"/>
          <w:lang w:eastAsia="lv-LV"/>
        </w:rPr>
      </w:pPr>
    </w:p>
    <w:p w:rsidR="00937972" w:rsidP="00F14433" w:rsidRDefault="00937972" w14:paraId="6082050F" w14:textId="77777777">
      <w:pPr>
        <w:spacing w:after="0" w:line="240" w:lineRule="auto"/>
        <w:jc w:val="both"/>
        <w:rPr>
          <w:rFonts w:eastAsia="Calibri" w:cs="Times New Roman"/>
          <w:szCs w:val="24"/>
          <w:lang w:eastAsia="lv-LV"/>
        </w:rPr>
      </w:pPr>
    </w:p>
    <w:p w:rsidRPr="00F14433" w:rsidR="00F14433" w:rsidP="00F14433" w:rsidRDefault="00F14433" w14:paraId="44A7BCA1" w14:textId="04FE535D">
      <w:pPr>
        <w:spacing w:after="0" w:line="240" w:lineRule="auto"/>
        <w:jc w:val="both"/>
        <w:rPr>
          <w:rFonts w:eastAsia="Calibri" w:cs="Times New Roman"/>
          <w:szCs w:val="24"/>
          <w:lang w:eastAsia="lv-LV"/>
        </w:rPr>
      </w:pPr>
      <w:r w:rsidRPr="00F14433">
        <w:rPr>
          <w:rFonts w:eastAsia="Calibri" w:cs="Times New Roman"/>
          <w:szCs w:val="24"/>
          <w:lang w:eastAsia="lv-LV"/>
        </w:rPr>
        <w:t>Satiksmes ministrs</w:t>
      </w:r>
      <w:r w:rsidRPr="00F14433">
        <w:rPr>
          <w:rFonts w:eastAsia="Calibri" w:cs="Times New Roman"/>
          <w:szCs w:val="24"/>
          <w:lang w:eastAsia="lv-LV"/>
        </w:rPr>
        <w:tab/>
      </w:r>
      <w:r w:rsidRPr="00F14433">
        <w:rPr>
          <w:rFonts w:eastAsia="Calibri" w:cs="Times New Roman"/>
          <w:szCs w:val="24"/>
          <w:lang w:eastAsia="lv-LV"/>
        </w:rPr>
        <w:tab/>
      </w:r>
      <w:r w:rsidRPr="00F14433">
        <w:rPr>
          <w:rFonts w:eastAsia="Calibri" w:cs="Times New Roman"/>
          <w:szCs w:val="24"/>
          <w:lang w:eastAsia="lv-LV"/>
        </w:rPr>
        <w:tab/>
      </w:r>
      <w:r w:rsidRPr="00F14433">
        <w:rPr>
          <w:rFonts w:eastAsia="Calibri" w:cs="Times New Roman"/>
          <w:szCs w:val="24"/>
          <w:lang w:eastAsia="lv-LV"/>
        </w:rPr>
        <w:tab/>
      </w:r>
      <w:r w:rsidRPr="00F14433">
        <w:rPr>
          <w:rFonts w:eastAsia="Calibri" w:cs="Times New Roman"/>
          <w:szCs w:val="24"/>
          <w:lang w:eastAsia="lv-LV"/>
        </w:rPr>
        <w:tab/>
      </w:r>
      <w:bookmarkStart w:name="_Hlk66093288" w:id="3"/>
      <w:r w:rsidR="004C3580">
        <w:rPr>
          <w:rFonts w:eastAsia="Calibri" w:cs="Times New Roman"/>
          <w:szCs w:val="24"/>
          <w:lang w:eastAsia="lv-LV"/>
        </w:rPr>
        <w:t xml:space="preserve">                        </w:t>
      </w:r>
      <w:proofErr w:type="spellStart"/>
      <w:r w:rsidRPr="00F14433">
        <w:rPr>
          <w:rFonts w:eastAsia="Calibri" w:cs="Times New Roman"/>
          <w:szCs w:val="24"/>
          <w:lang w:eastAsia="lv-LV"/>
        </w:rPr>
        <w:t>T.Linkaits</w:t>
      </w:r>
      <w:bookmarkEnd w:id="3"/>
      <w:proofErr w:type="spellEnd"/>
    </w:p>
    <w:p w:rsidR="00F14433" w:rsidP="00F14433" w:rsidRDefault="00F14433" w14:paraId="71FC5802" w14:textId="7820933C">
      <w:pPr>
        <w:spacing w:after="0" w:line="240" w:lineRule="auto"/>
        <w:jc w:val="both"/>
        <w:rPr>
          <w:rFonts w:eastAsia="Calibri" w:cs="Times New Roman"/>
          <w:szCs w:val="24"/>
          <w:lang w:eastAsia="lv-LV"/>
        </w:rPr>
      </w:pPr>
    </w:p>
    <w:p w:rsidRPr="00F14433" w:rsidR="0022375C" w:rsidP="00F14433" w:rsidRDefault="0022375C" w14:paraId="14BD59EA" w14:textId="77777777">
      <w:pPr>
        <w:spacing w:after="0" w:line="240" w:lineRule="auto"/>
        <w:jc w:val="both"/>
        <w:rPr>
          <w:rFonts w:eastAsia="Calibri" w:cs="Times New Roman"/>
          <w:szCs w:val="24"/>
          <w:lang w:eastAsia="lv-LV"/>
        </w:rPr>
      </w:pPr>
    </w:p>
    <w:p w:rsidRPr="00F14433" w:rsidR="00F14433" w:rsidP="00F14433" w:rsidRDefault="00F14433" w14:paraId="78C937AA" w14:textId="13172F7B">
      <w:pPr>
        <w:spacing w:after="0" w:line="240" w:lineRule="auto"/>
        <w:jc w:val="both"/>
        <w:rPr>
          <w:rFonts w:eastAsia="Calibri" w:cs="Times New Roman"/>
          <w:szCs w:val="24"/>
          <w:lang w:eastAsia="lv-LV"/>
        </w:rPr>
      </w:pPr>
      <w:r w:rsidRPr="00F14433">
        <w:rPr>
          <w:rFonts w:eastAsia="Calibri" w:cs="Times New Roman"/>
          <w:szCs w:val="24"/>
          <w:lang w:eastAsia="lv-LV"/>
        </w:rPr>
        <w:t>Vīza: v</w:t>
      </w:r>
      <w:r w:rsidRPr="00F14433">
        <w:rPr>
          <w:rFonts w:eastAsia="Calibri" w:cs="Times New Roman"/>
          <w:szCs w:val="24"/>
          <w:lang w:eastAsia="ar-SA"/>
        </w:rPr>
        <w:t>alsts sekretāre</w:t>
      </w:r>
      <w:r w:rsidRPr="00F14433">
        <w:rPr>
          <w:rFonts w:eastAsia="Calibri" w:cs="Times New Roman"/>
          <w:szCs w:val="24"/>
          <w:lang w:eastAsia="ar-SA"/>
        </w:rPr>
        <w:tab/>
      </w:r>
      <w:r w:rsidRPr="00F14433">
        <w:rPr>
          <w:rFonts w:eastAsia="Calibri" w:cs="Times New Roman"/>
          <w:szCs w:val="24"/>
          <w:lang w:eastAsia="ar-SA"/>
        </w:rPr>
        <w:tab/>
      </w:r>
      <w:r w:rsidRPr="00F14433">
        <w:rPr>
          <w:rFonts w:eastAsia="Calibri" w:cs="Times New Roman"/>
          <w:szCs w:val="24"/>
          <w:lang w:eastAsia="ar-SA"/>
        </w:rPr>
        <w:tab/>
      </w:r>
      <w:r w:rsidRPr="00F14433">
        <w:rPr>
          <w:rFonts w:eastAsia="Calibri" w:cs="Times New Roman"/>
          <w:szCs w:val="24"/>
          <w:lang w:eastAsia="ar-SA"/>
        </w:rPr>
        <w:tab/>
      </w:r>
      <w:r w:rsidRPr="00F14433">
        <w:rPr>
          <w:rFonts w:eastAsia="Calibri" w:cs="Times New Roman"/>
          <w:szCs w:val="24"/>
          <w:lang w:eastAsia="ar-SA"/>
        </w:rPr>
        <w:tab/>
      </w:r>
      <w:r w:rsidRPr="00F14433">
        <w:rPr>
          <w:rFonts w:eastAsia="Calibri" w:cs="Times New Roman"/>
          <w:szCs w:val="24"/>
          <w:lang w:eastAsia="ar-SA"/>
        </w:rPr>
        <w:tab/>
      </w:r>
      <w:r w:rsidR="00816CB2">
        <w:rPr>
          <w:rFonts w:eastAsia="Calibri" w:cs="Times New Roman"/>
          <w:szCs w:val="24"/>
          <w:lang w:eastAsia="ar-SA"/>
        </w:rPr>
        <w:t xml:space="preserve">             </w:t>
      </w:r>
      <w:proofErr w:type="spellStart"/>
      <w:r w:rsidRPr="00F14433">
        <w:rPr>
          <w:rFonts w:eastAsia="Calibri" w:cs="Times New Roman"/>
          <w:szCs w:val="24"/>
          <w:lang w:eastAsia="ar-SA"/>
        </w:rPr>
        <w:t>I.Stepanova</w:t>
      </w:r>
      <w:proofErr w:type="spellEnd"/>
    </w:p>
    <w:p w:rsidRPr="00F14433" w:rsidR="00F14433" w:rsidP="00F14433" w:rsidRDefault="00F14433" w14:paraId="5A69672C" w14:textId="77777777">
      <w:pPr>
        <w:suppressAutoHyphens/>
        <w:spacing w:after="0" w:line="240" w:lineRule="auto"/>
        <w:rPr>
          <w:rFonts w:eastAsia="Calibri" w:cs="Times New Roman"/>
          <w:sz w:val="28"/>
          <w:szCs w:val="28"/>
          <w:lang w:eastAsia="ar-SA"/>
        </w:rPr>
      </w:pPr>
      <w:r w:rsidRPr="00F14433">
        <w:rPr>
          <w:rFonts w:eastAsia="Calibri" w:cs="Times New Roman"/>
          <w:sz w:val="28"/>
          <w:szCs w:val="28"/>
          <w:lang w:eastAsia="ar-SA"/>
        </w:rPr>
        <w:tab/>
      </w:r>
      <w:r w:rsidRPr="00F14433">
        <w:rPr>
          <w:rFonts w:eastAsia="Calibri" w:cs="Times New Roman"/>
          <w:sz w:val="28"/>
          <w:szCs w:val="28"/>
          <w:lang w:eastAsia="ar-SA"/>
        </w:rPr>
        <w:tab/>
      </w:r>
      <w:r w:rsidRPr="00F14433">
        <w:rPr>
          <w:rFonts w:eastAsia="Calibri" w:cs="Times New Roman"/>
          <w:sz w:val="28"/>
          <w:szCs w:val="28"/>
          <w:lang w:eastAsia="ar-SA"/>
        </w:rPr>
        <w:tab/>
      </w:r>
      <w:r w:rsidRPr="00F14433">
        <w:rPr>
          <w:rFonts w:eastAsia="Calibri" w:cs="Times New Roman"/>
          <w:sz w:val="28"/>
          <w:szCs w:val="28"/>
          <w:lang w:eastAsia="ar-SA"/>
        </w:rPr>
        <w:tab/>
      </w:r>
      <w:r w:rsidRPr="00F14433">
        <w:rPr>
          <w:rFonts w:eastAsia="Calibri" w:cs="Times New Roman"/>
          <w:sz w:val="28"/>
          <w:szCs w:val="28"/>
          <w:lang w:eastAsia="ar-SA"/>
        </w:rPr>
        <w:tab/>
      </w:r>
    </w:p>
    <w:p w:rsidR="00F14433" w:rsidP="00370961" w:rsidRDefault="00F14433" w14:paraId="3C131F62" w14:textId="36308144">
      <w:pPr>
        <w:spacing w:after="0" w:line="240" w:lineRule="auto"/>
        <w:rPr>
          <w:rFonts w:eastAsia="Calibri" w:cs="Times New Roman"/>
          <w:szCs w:val="24"/>
          <w:lang w:eastAsia="lv-LV"/>
        </w:rPr>
      </w:pPr>
    </w:p>
    <w:p w:rsidR="0022375C" w:rsidP="00370961" w:rsidRDefault="0022375C" w14:paraId="7DDBE657" w14:textId="77777777">
      <w:pPr>
        <w:spacing w:after="0" w:line="240" w:lineRule="auto"/>
        <w:rPr>
          <w:rFonts w:eastAsia="Calibri" w:cs="Times New Roman"/>
          <w:szCs w:val="24"/>
          <w:lang w:eastAsia="lv-LV"/>
        </w:rPr>
      </w:pPr>
    </w:p>
    <w:p w:rsidRPr="0022375C" w:rsidR="00370961" w:rsidP="00370961" w:rsidRDefault="00370961" w14:paraId="05DAB6CF" w14:textId="0D1A7168">
      <w:pPr>
        <w:spacing w:after="0" w:line="240" w:lineRule="auto"/>
        <w:rPr>
          <w:rFonts w:eastAsia="Calibri" w:cs="Times New Roman"/>
          <w:sz w:val="20"/>
          <w:szCs w:val="20"/>
          <w:lang w:eastAsia="lv-LV"/>
        </w:rPr>
      </w:pPr>
      <w:r w:rsidRPr="0022375C">
        <w:rPr>
          <w:rFonts w:eastAsia="Calibri" w:cs="Times New Roman"/>
          <w:sz w:val="20"/>
          <w:szCs w:val="20"/>
          <w:lang w:eastAsia="lv-LV"/>
        </w:rPr>
        <w:t>Osmane 67028342</w:t>
      </w:r>
    </w:p>
    <w:p w:rsidRPr="0022375C" w:rsidR="00A15FFB" w:rsidP="00370961" w:rsidRDefault="0022375C" w14:paraId="71237212" w14:textId="7F23D29E">
      <w:pPr>
        <w:spacing w:after="0" w:line="240" w:lineRule="auto"/>
        <w:rPr>
          <w:rFonts w:eastAsia="Calibri" w:cs="Times New Roman"/>
          <w:sz w:val="20"/>
          <w:szCs w:val="20"/>
          <w:lang w:eastAsia="lv-LV"/>
        </w:rPr>
      </w:pPr>
      <w:hyperlink w:history="1" r:id="rId8">
        <w:r w:rsidRPr="0022375C" w:rsidR="00A15FFB">
          <w:rPr>
            <w:rStyle w:val="Hyperlink"/>
            <w:rFonts w:eastAsia="Calibri" w:cs="Times New Roman"/>
            <w:sz w:val="20"/>
            <w:szCs w:val="20"/>
            <w:lang w:eastAsia="lv-LV"/>
          </w:rPr>
          <w:t>Dana.osmane@sam.gov.lv</w:t>
        </w:r>
      </w:hyperlink>
    </w:p>
    <w:sectPr w:rsidRPr="0022375C" w:rsidR="00A15FFB" w:rsidSect="0022375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97D0" w14:textId="77777777" w:rsidR="006E7F98" w:rsidRDefault="006E7F98" w:rsidP="00346C0C">
      <w:pPr>
        <w:spacing w:after="0" w:line="240" w:lineRule="auto"/>
      </w:pPr>
      <w:r>
        <w:separator/>
      </w:r>
    </w:p>
  </w:endnote>
  <w:endnote w:type="continuationSeparator" w:id="0">
    <w:p w14:paraId="04F7C54E" w14:textId="77777777" w:rsidR="006E7F98" w:rsidRDefault="006E7F98" w:rsidP="0034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00F4" w14:textId="2E5E8130" w:rsidR="00C35868" w:rsidRDefault="00C35868">
    <w:pPr>
      <w:pStyle w:val="Footer"/>
    </w:pPr>
    <w:r>
      <w:t>SMinf</w:t>
    </w:r>
    <w:r w:rsidR="00DD7424">
      <w:t>_</w:t>
    </w:r>
    <w:r w:rsidR="001739C4">
      <w:t>13</w:t>
    </w:r>
    <w:r w:rsidR="00DD7424">
      <w:t>0</w:t>
    </w:r>
    <w:r w:rsidR="001739C4">
      <w:t>4</w:t>
    </w:r>
    <w:r w:rsidR="00DD7424">
      <w:t>21_Vpriorit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0DFC" w14:textId="77777777" w:rsidR="006E7F98" w:rsidRDefault="006E7F98" w:rsidP="00346C0C">
      <w:pPr>
        <w:spacing w:after="0" w:line="240" w:lineRule="auto"/>
      </w:pPr>
      <w:r>
        <w:separator/>
      </w:r>
    </w:p>
  </w:footnote>
  <w:footnote w:type="continuationSeparator" w:id="0">
    <w:p w14:paraId="4B8D58B4" w14:textId="77777777" w:rsidR="006E7F98" w:rsidRDefault="006E7F98" w:rsidP="0034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666196"/>
      <w:docPartObj>
        <w:docPartGallery w:val="Page Numbers (Top of Page)"/>
        <w:docPartUnique/>
      </w:docPartObj>
    </w:sdtPr>
    <w:sdtEndPr>
      <w:rPr>
        <w:noProof/>
      </w:rPr>
    </w:sdtEndPr>
    <w:sdtContent>
      <w:p w:rsidR="0022375C" w:rsidRDefault="0022375C" w14:paraId="3DD7F625" w14:textId="369340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2375C" w:rsidRDefault="0022375C" w14:paraId="10E691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20B"/>
    <w:multiLevelType w:val="hybridMultilevel"/>
    <w:tmpl w:val="E7BC9E34"/>
    <w:lvl w:ilvl="0" w:tplc="107CB1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6E969CB"/>
    <w:multiLevelType w:val="hybridMultilevel"/>
    <w:tmpl w:val="554A54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52260A"/>
    <w:multiLevelType w:val="hybridMultilevel"/>
    <w:tmpl w:val="EA58C5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F73812"/>
    <w:multiLevelType w:val="hybridMultilevel"/>
    <w:tmpl w:val="140EC5AE"/>
    <w:lvl w:ilvl="0" w:tplc="58FAEA6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6E0078"/>
    <w:multiLevelType w:val="hybridMultilevel"/>
    <w:tmpl w:val="4580BF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4BB526E2"/>
    <w:multiLevelType w:val="hybridMultilevel"/>
    <w:tmpl w:val="BBE6F12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3"/>
    <w:rsid w:val="00033F60"/>
    <w:rsid w:val="00072C23"/>
    <w:rsid w:val="000901CB"/>
    <w:rsid w:val="000A1804"/>
    <w:rsid w:val="000E3039"/>
    <w:rsid w:val="001058F5"/>
    <w:rsid w:val="0011322C"/>
    <w:rsid w:val="001739C4"/>
    <w:rsid w:val="00184032"/>
    <w:rsid w:val="00187170"/>
    <w:rsid w:val="00190102"/>
    <w:rsid w:val="001A58DA"/>
    <w:rsid w:val="001A6542"/>
    <w:rsid w:val="001A7391"/>
    <w:rsid w:val="001B6F0E"/>
    <w:rsid w:val="001B755E"/>
    <w:rsid w:val="001B7B20"/>
    <w:rsid w:val="001D5126"/>
    <w:rsid w:val="00214174"/>
    <w:rsid w:val="0022375C"/>
    <w:rsid w:val="00233B8B"/>
    <w:rsid w:val="00240CD2"/>
    <w:rsid w:val="00257EAA"/>
    <w:rsid w:val="002610ED"/>
    <w:rsid w:val="00261A0C"/>
    <w:rsid w:val="002F752F"/>
    <w:rsid w:val="00311265"/>
    <w:rsid w:val="00346C0C"/>
    <w:rsid w:val="00370961"/>
    <w:rsid w:val="003B51FD"/>
    <w:rsid w:val="003B6B61"/>
    <w:rsid w:val="003C0ECA"/>
    <w:rsid w:val="003D10D6"/>
    <w:rsid w:val="003E42AF"/>
    <w:rsid w:val="003F4BE9"/>
    <w:rsid w:val="00420D18"/>
    <w:rsid w:val="00425269"/>
    <w:rsid w:val="004605AC"/>
    <w:rsid w:val="00463B91"/>
    <w:rsid w:val="00493685"/>
    <w:rsid w:val="004951A9"/>
    <w:rsid w:val="004A4771"/>
    <w:rsid w:val="004B4D2E"/>
    <w:rsid w:val="004B6ADE"/>
    <w:rsid w:val="004C3580"/>
    <w:rsid w:val="004D0F7C"/>
    <w:rsid w:val="005108FB"/>
    <w:rsid w:val="00557EFA"/>
    <w:rsid w:val="005D3E5F"/>
    <w:rsid w:val="005F33F4"/>
    <w:rsid w:val="005F572D"/>
    <w:rsid w:val="006076AE"/>
    <w:rsid w:val="00610DA7"/>
    <w:rsid w:val="0062331A"/>
    <w:rsid w:val="00633EEC"/>
    <w:rsid w:val="00670823"/>
    <w:rsid w:val="006718E6"/>
    <w:rsid w:val="00671C50"/>
    <w:rsid w:val="006861F1"/>
    <w:rsid w:val="006C3BA2"/>
    <w:rsid w:val="006E7F98"/>
    <w:rsid w:val="0071759F"/>
    <w:rsid w:val="007765C4"/>
    <w:rsid w:val="00780936"/>
    <w:rsid w:val="00793F36"/>
    <w:rsid w:val="007F72CC"/>
    <w:rsid w:val="00802A06"/>
    <w:rsid w:val="00816CB2"/>
    <w:rsid w:val="00822DEE"/>
    <w:rsid w:val="008368E8"/>
    <w:rsid w:val="00867880"/>
    <w:rsid w:val="008921B7"/>
    <w:rsid w:val="008D64AE"/>
    <w:rsid w:val="008F30BA"/>
    <w:rsid w:val="009353F3"/>
    <w:rsid w:val="00935845"/>
    <w:rsid w:val="00937972"/>
    <w:rsid w:val="00951EF6"/>
    <w:rsid w:val="009B7C9D"/>
    <w:rsid w:val="009D7BD5"/>
    <w:rsid w:val="009D7F91"/>
    <w:rsid w:val="009E5873"/>
    <w:rsid w:val="00A0455C"/>
    <w:rsid w:val="00A15FFB"/>
    <w:rsid w:val="00A7364A"/>
    <w:rsid w:val="00A767E7"/>
    <w:rsid w:val="00A9431E"/>
    <w:rsid w:val="00AD5B5E"/>
    <w:rsid w:val="00AD6249"/>
    <w:rsid w:val="00AE4126"/>
    <w:rsid w:val="00B31AF4"/>
    <w:rsid w:val="00B57B94"/>
    <w:rsid w:val="00B7625D"/>
    <w:rsid w:val="00B801D3"/>
    <w:rsid w:val="00B91538"/>
    <w:rsid w:val="00BA52EC"/>
    <w:rsid w:val="00BB5459"/>
    <w:rsid w:val="00BC1FC9"/>
    <w:rsid w:val="00BD7B1F"/>
    <w:rsid w:val="00BE139D"/>
    <w:rsid w:val="00BE67A2"/>
    <w:rsid w:val="00C105A3"/>
    <w:rsid w:val="00C34344"/>
    <w:rsid w:val="00C35868"/>
    <w:rsid w:val="00C5120E"/>
    <w:rsid w:val="00C85D2F"/>
    <w:rsid w:val="00CA6747"/>
    <w:rsid w:val="00CB392D"/>
    <w:rsid w:val="00CB509C"/>
    <w:rsid w:val="00CB7416"/>
    <w:rsid w:val="00CE4AD4"/>
    <w:rsid w:val="00D114C0"/>
    <w:rsid w:val="00D2053E"/>
    <w:rsid w:val="00D3415F"/>
    <w:rsid w:val="00D405D9"/>
    <w:rsid w:val="00D55258"/>
    <w:rsid w:val="00D8217D"/>
    <w:rsid w:val="00D873EC"/>
    <w:rsid w:val="00D95412"/>
    <w:rsid w:val="00D9563A"/>
    <w:rsid w:val="00DD49DA"/>
    <w:rsid w:val="00DD7424"/>
    <w:rsid w:val="00DE6FF2"/>
    <w:rsid w:val="00E00487"/>
    <w:rsid w:val="00E0079F"/>
    <w:rsid w:val="00E432A6"/>
    <w:rsid w:val="00E54A1F"/>
    <w:rsid w:val="00E6633A"/>
    <w:rsid w:val="00EA1617"/>
    <w:rsid w:val="00EA4422"/>
    <w:rsid w:val="00EB46EB"/>
    <w:rsid w:val="00EC11E7"/>
    <w:rsid w:val="00F05C78"/>
    <w:rsid w:val="00F07879"/>
    <w:rsid w:val="00F14433"/>
    <w:rsid w:val="00F32330"/>
    <w:rsid w:val="00F330F3"/>
    <w:rsid w:val="00F75804"/>
    <w:rsid w:val="00F93790"/>
    <w:rsid w:val="00F9469B"/>
    <w:rsid w:val="00FA360A"/>
    <w:rsid w:val="00FF0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BC587"/>
  <w15:chartTrackingRefBased/>
  <w15:docId w15:val="{D68A3060-8826-45F4-B888-1B45A03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0C"/>
  </w:style>
  <w:style w:type="paragraph" w:styleId="Footer">
    <w:name w:val="footer"/>
    <w:basedOn w:val="Normal"/>
    <w:link w:val="FooterChar"/>
    <w:uiPriority w:val="99"/>
    <w:unhideWhenUsed/>
    <w:rsid w:val="00346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0C"/>
  </w:style>
  <w:style w:type="paragraph" w:styleId="ListParagraph">
    <w:name w:val="List Paragraph"/>
    <w:basedOn w:val="Normal"/>
    <w:uiPriority w:val="34"/>
    <w:qFormat/>
    <w:rsid w:val="001B7B20"/>
    <w:pPr>
      <w:ind w:left="720"/>
      <w:contextualSpacing/>
    </w:pPr>
  </w:style>
  <w:style w:type="table" w:styleId="TableGrid">
    <w:name w:val="Table Grid"/>
    <w:basedOn w:val="TableNormal"/>
    <w:uiPriority w:val="39"/>
    <w:rsid w:val="00AD62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73EC"/>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FFB"/>
    <w:rPr>
      <w:color w:val="0563C1" w:themeColor="hyperlink"/>
      <w:u w:val="single"/>
    </w:rPr>
  </w:style>
  <w:style w:type="character" w:styleId="UnresolvedMention">
    <w:name w:val="Unresolved Mention"/>
    <w:basedOn w:val="DefaultParagraphFont"/>
    <w:uiPriority w:val="99"/>
    <w:semiHidden/>
    <w:unhideWhenUsed/>
    <w:rsid w:val="00A15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osmane@s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0139-9013-446B-8C6E-2DE15B57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3710</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satiksmes nozares kritiski svarīgo darbinieku iekļaušanu V prioritāri vakcinējamo peronu grupā”</dc:title>
  <dc:subject/>
  <dc:creator>Dana Osmane</dc:creator>
  <cp:keywords>Informatīvais ziņojums</cp:keywords>
  <dc:description>dana.osmane@sam.gov.lv, tālr. 67208342</dc:description>
  <cp:lastModifiedBy>Baiba Jirgena</cp:lastModifiedBy>
  <cp:revision>7</cp:revision>
  <dcterms:created xsi:type="dcterms:W3CDTF">2021-04-13T07:13:00Z</dcterms:created>
  <dcterms:modified xsi:type="dcterms:W3CDTF">2021-04-14T15:27:00Z</dcterms:modified>
</cp:coreProperties>
</file>