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F20E" w14:textId="781D5579" w:rsidR="006001A9" w:rsidRPr="006001A9" w:rsidRDefault="006001A9" w:rsidP="0060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"Grozījumi Kredītu reģistra likumā" sākotnējās ietekmes novērtējuma ziņojums (anotācija)</w:t>
      </w:r>
    </w:p>
    <w:p w14:paraId="6552E71C" w14:textId="77777777" w:rsidR="00E5323B" w:rsidRPr="006001A9" w:rsidRDefault="00E5323B" w:rsidP="0060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1"/>
        <w:gridCol w:w="6654"/>
      </w:tblGrid>
      <w:tr w:rsidR="006001A9" w:rsidRPr="006001A9" w14:paraId="169CFDC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0AB8" w14:textId="77777777" w:rsidR="00655F2C" w:rsidRPr="006001A9" w:rsidRDefault="00E5323B" w:rsidP="006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001A9" w:rsidRPr="006001A9" w14:paraId="5F956F31" w14:textId="77777777" w:rsidTr="00C458DA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F7E7A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CBFD" w14:textId="465A6362" w:rsidR="00534BF9" w:rsidRPr="006001A9" w:rsidRDefault="003A4C33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02D7932E" w14:textId="77777777" w:rsidR="00E5323B" w:rsidRPr="00534BF9" w:rsidRDefault="00E5323B" w:rsidP="006001A9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34BF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119"/>
        <w:gridCol w:w="6369"/>
      </w:tblGrid>
      <w:tr w:rsidR="00E5323B" w:rsidRPr="00534BF9" w14:paraId="69B1046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002A" w14:textId="77777777" w:rsidR="00655F2C" w:rsidRPr="00534BF9" w:rsidRDefault="00E5323B" w:rsidP="006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724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534BF9" w14:paraId="6216088C" w14:textId="77777777" w:rsidTr="00656219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D125" w14:textId="77777777" w:rsidR="00655F2C" w:rsidRPr="00534BF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72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4278" w14:textId="77777777" w:rsidR="00E5323B" w:rsidRPr="00534BF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72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E11E" w14:textId="5915E4A3" w:rsidR="00E5323B" w:rsidRPr="00881E8F" w:rsidRDefault="00C31A92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 izstrādāts pēc Tieslietu ministrijas iniciatīvas</w:t>
            </w:r>
            <w:r w:rsidR="00072B2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pamatojoties uz</w:t>
            </w:r>
            <w:r w:rsidR="001E6662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Tieslietu ministrijas pētījumu "Civillikuma Mantojuma tiesību daļas</w:t>
            </w:r>
            <w:r w:rsidR="001E6662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</w:t>
            </w:r>
            <w:r w:rsidR="001E6662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problēmjautājumi un to modernizācijas nepieciešamība"</w:t>
            </w:r>
            <w:r w:rsidR="00EB3A68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Pētījums)</w:t>
            </w:r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(pieejams: </w:t>
            </w:r>
            <w:hyperlink r:id="rId11" w:history="1">
              <w:r w:rsidR="00EC2147" w:rsidRPr="00881E8F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https://www.tm.gov.lv/sites/tm/files/2020-01/Documents/mantosanas-petijuma-gala-nodevums-20102017-final.pdf</w:t>
              </w:r>
            </w:hyperlink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 kā arī Tieslietu ministrijas pastāvīgās darba grupas Civillikuma mantojuma tiesību daļas grozījumu izstrādei</w:t>
            </w:r>
            <w:r w:rsid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Darba grupa)</w:t>
            </w:r>
            <w:r w:rsidR="00EC2147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E6662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mantojuma tiesību ekspertu </w:t>
            </w:r>
            <w:r w:rsidR="008026BF" w:rsidRPr="0088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secinājumiem</w:t>
            </w:r>
            <w:r w:rsidR="00213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34BF9" w14:paraId="04573A55" w14:textId="77777777" w:rsidTr="00656219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DC19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25A83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EA972" w14:textId="25FB1D59" w:rsidR="00BF6925" w:rsidRPr="006001A9" w:rsidRDefault="008026BF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</w:t>
            </w:r>
            <w:r w:rsidR="00CC3D68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saprastu tiesisko realitāti attiecībā uz mantojuma tiesību regulējumu un tā piemērošanu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3D68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praksē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Tieslietu ministrija 2017.</w:t>
            </w:r>
            <w:r w:rsid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gadā </w:t>
            </w:r>
            <w:r w:rsidR="00CC3D68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pasūtīja</w:t>
            </w:r>
            <w:r w:rsidR="000C4B1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pētījumu par Civillikuma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otrās daļas "M</w:t>
            </w:r>
            <w:r w:rsidR="000C4B1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antojuma tiesīb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as" </w:t>
            </w:r>
            <w:r w:rsidR="000C4B1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tiesisko regulējumu, kā rezultātā tik</w:t>
            </w:r>
            <w:r w:rsidR="00165ACB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C4B1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Pētījum</w:t>
            </w:r>
            <w:r w:rsidR="000C4B1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kopš 2018.</w:t>
            </w:r>
            <w:r w:rsidR="00CC3D68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Tieslietu ministrijā </w:t>
            </w:r>
            <w:r w:rsidR="003E767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darbu </w:t>
            </w:r>
            <w:r w:rsidR="0025347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uzsākusi </w:t>
            </w:r>
            <w:r w:rsidR="00881E8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Darba grupa. </w:t>
            </w:r>
          </w:p>
          <w:p w14:paraId="03E72C9C" w14:textId="2DA1AEE8" w:rsidR="000C4B1F" w:rsidRPr="006001A9" w:rsidRDefault="00CC3D68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Darba grup</w:t>
            </w:r>
            <w:r w:rsidR="00AD0F8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cita starpā, balstoties uz Pētījumā paustajām atziņām, </w:t>
            </w:r>
            <w:r w:rsidR="00AD0F8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</w:t>
            </w:r>
            <w:r w:rsidR="003E767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</w:t>
            </w:r>
            <w:r w:rsidR="00AD0F8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diskutēts pa</w:t>
            </w:r>
            <w:r w:rsidR="003E767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AD0F8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nepieciešamajiem </w:t>
            </w:r>
            <w:r w:rsidR="003E767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pilnveidojumiem</w:t>
            </w:r>
            <w:r w:rsidR="00AD0F8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normatīvajos aktos</w:t>
            </w:r>
            <w:r w:rsidR="003E767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saistībā ar mantojuma tiesību regulējuma uzlabošanu.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Ievērojot minēto un to, ka Darba grupas ekspertu vidū panākta konceptuāla vienošanās par </w:t>
            </w:r>
            <w:r w:rsidR="00165ACB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nepieciešamajiem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pilnveidojumiem un grozījumiem normatīvajos aktos</w:t>
            </w:r>
            <w:r w:rsidR="00881E8F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21359E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 īstenotu mantojuma tiesību reformu,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</w:t>
            </w:r>
            <w:r w:rsidR="0023362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vairāki likumprojekti, to starp,</w:t>
            </w:r>
            <w:r w:rsidR="002A01F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3362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galvenais </w:t>
            </w:r>
            <w:r w:rsidR="002A01F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</w:t>
            </w:r>
            <w:r w:rsidR="001F0AC0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"Grozījumi Civillikumā"</w:t>
            </w:r>
            <w:r w:rsidR="00D8185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sākotnējās ietekmes novērtējuma ziņojumā</w:t>
            </w:r>
            <w:r w:rsidR="00D8185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D8185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anotācijā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D8185A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aprakstīts pamatojums ar mantojuma tiesību reformu paredzēto grozījumu nepieciešamībai,</w:t>
            </w:r>
            <w:r w:rsidR="0032718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="007047F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 "Grozījumi Notariāta likumā", kur pašreizējais regulējums tiek salāgots ar grozījumiem Civillikumā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7047F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718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23362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šis</w:t>
            </w:r>
            <w:r w:rsidR="0032718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32718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ikumprojekts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"Grozījumi Kredītu reģistra likumā" (turpmāk – Likumprojekts)</w:t>
            </w:r>
            <w:r w:rsidR="0023362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</w:t>
            </w:r>
            <w:r w:rsidR="0023362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 xml:space="preserve">nepieciešams, lai īstenotu atbalstītās pārmaiņas </w:t>
            </w:r>
            <w:r w:rsidR="00F6424B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notāru darbībā.</w:t>
            </w:r>
          </w:p>
          <w:p w14:paraId="48748EBB" w14:textId="224447BF" w:rsidR="00315142" w:rsidRPr="006001A9" w:rsidRDefault="00D8185A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Neatkārtojot likumprojekta "Grozījumi Civillikumā"</w:t>
            </w:r>
            <w:r w:rsidR="007047F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tiek virzīts kopā ar šo Likumprojektu,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sākotnējās ietekmes novērtējuma ziņojumā (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anotācijā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minēto par mantojuma reformas ieviešanas nepieciešamības pamatojumu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norādām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a</w:t>
            </w:r>
            <w:r w:rsidR="00A83BCB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 mantojuma reformu </w:t>
            </w:r>
            <w:r w:rsidR="00F6424B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attiecībā uz zvērinātu notāru darbu</w:t>
            </w:r>
            <w:r w:rsidR="000661B3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cit</w:t>
            </w:r>
            <w:r w:rsidR="00B01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661B3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starpā, tiek </w:t>
            </w:r>
            <w:r w:rsidR="001F0AC0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precizēt</w:t>
            </w:r>
            <w:r w:rsidR="00315142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</w:t>
            </w:r>
            <w:r w:rsidR="001F0AC0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kreditoru pretenziju pieteikšanas k</w:t>
            </w:r>
            <w:r w:rsidR="00C1049B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ā</w:t>
            </w:r>
            <w:r w:rsidR="001F0AC0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rtīb</w:t>
            </w:r>
            <w:r w:rsidR="00315142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</w:t>
            </w:r>
            <w:r w:rsidR="001F0AC0"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  <w:r w:rsidR="001F0AC0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15142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nozīmē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šādas izmaiņas</w:t>
            </w:r>
            <w:r w:rsidR="00315142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6F0430AB" w14:textId="2EBFD060" w:rsidR="00315142" w:rsidRPr="006001A9" w:rsidRDefault="00315142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mantojuma atstājēja kreditoram, piesakot kreditora pretenziju, būs jānorāda plašāka informācija par kreditora pretenziju. Iekļaujamo ziņu apmērs būs norādīts </w:t>
            </w:r>
            <w:r w:rsidR="009528FC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otariāta likumā;</w:t>
            </w:r>
          </w:p>
          <w:p w14:paraId="623DBA25" w14:textId="278B8E5E" w:rsidR="00315142" w:rsidRPr="006001A9" w:rsidRDefault="00315142" w:rsidP="0060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E40DA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528FC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otariāta likums paredzēs, ka kreditors</w:t>
            </w:r>
            <w:r w:rsidR="00602D17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piesakot kreditora </w:t>
            </w:r>
            <w:r w:rsidR="009528FC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pretenziju</w:t>
            </w:r>
            <w:r w:rsidR="00602D17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528FC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 informēts par atbildību saskaņā ar Krimināllikumu par nepatiesa pieteikuma sniegšanu;</w:t>
            </w:r>
          </w:p>
          <w:p w14:paraId="40319D02" w14:textId="26DF051F" w:rsidR="007047F1" w:rsidRPr="006001A9" w:rsidRDefault="009528FC" w:rsidP="0060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  <w:r w:rsid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877821"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 mantojuma atstājēja kreditoru prasījumiem, kuru pras</w:t>
            </w:r>
            <w:r w:rsidR="006237F5"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ījumi ir nodrošināti ar hipotēku vai komercķīlu, atbilstoši zemesgrāmatā, komercķīlu reģistrā un kredītu reģistrā pieejamām ziņām, mantiniekus informēs zvērināts notārs</w:t>
            </w:r>
            <w:r w:rsidR="007047F1"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="007047F1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Proti, lai notārs mantiniekus va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7047F1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ētu informēt par šādu kreditoru atlikušajiem prasījumiem pret mantojuma atstājēju, nepieciešams Kredītu reģistra likumā veikt grozījumus, kas notāram ļauj iegūt nepieciešamo informāciju. Jānorāda, ka iecere, citu starpā, ir saskaņota ar 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7047F1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Finanšu nozar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="007047F1"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asociāciju.</w:t>
            </w:r>
          </w:p>
          <w:p w14:paraId="56F73C76" w14:textId="5E67739B" w:rsidR="00F53844" w:rsidRPr="006001A9" w:rsidRDefault="00F53844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visu minēto, ar Likumprojektu paredzēts izdarīt šādus grozījumus </w:t>
            </w:r>
            <w:r w:rsidR="000661B3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Kredītu reģistra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likumā:</w:t>
            </w:r>
          </w:p>
          <w:p w14:paraId="41CAE08B" w14:textId="1FD88570" w:rsidR="007047F1" w:rsidRPr="006001A9" w:rsidRDefault="007047F1" w:rsidP="0060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1)</w:t>
            </w:r>
            <w:r w:rsid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apildināt 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Kredītu reģistra 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likumu ar 19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pantu</w:t>
            </w:r>
            <w:r w:rsidR="00C034DA" w:rsidRPr="0012445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nosakot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zvērinātu notāru tiesības saņemt nepieciešamos datus par prasījumiem, kas ir pret mantojuma atstājēju un ir iekļauti Kredītu reģistrā;</w:t>
            </w:r>
          </w:p>
          <w:p w14:paraId="37C530C0" w14:textId="77777777" w:rsidR="0088619B" w:rsidRDefault="007047F1" w:rsidP="0060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2)</w:t>
            </w:r>
            <w:r w:rsid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rozīt 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Kredītu reģistra 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likuma 21.</w:t>
            </w:r>
            <w:r w:rsid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pantu</w:t>
            </w:r>
            <w:r w:rsidR="00C03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papildin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ot to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ar atsaucēm uz 19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pantu, kas</w:t>
            </w:r>
            <w:r w:rsidR="00C034D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Kredītu reģistra</w:t>
            </w:r>
            <w:r w:rsidRPr="006001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likumā tiek iekļauts ar šo Likumprojektu.</w:t>
            </w:r>
          </w:p>
          <w:p w14:paraId="3BE61242" w14:textId="6DBA56EF" w:rsidR="00041734" w:rsidRPr="006001A9" w:rsidRDefault="00041734" w:rsidP="0060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Minētos datus zvērināti notāri iegūs, izmantojot notāru informācijas sistēmu. </w:t>
            </w:r>
          </w:p>
        </w:tc>
      </w:tr>
      <w:tr w:rsidR="00E5323B" w:rsidRPr="00534BF9" w14:paraId="1B0398E9" w14:textId="77777777" w:rsidTr="00656219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85E1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C8A7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9E74" w14:textId="3081347E" w:rsidR="006237F5" w:rsidRPr="006001A9" w:rsidRDefault="006237F5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izstrādei tikusi izveidota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šī sākotnējās ietekmes novērtējuma ziņojumā (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anotācijā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 pieminētā Darba grupa, kas izveidota, pamatojoties uz tieslietu ministra 2018.</w:t>
            </w:r>
            <w:r w:rsid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5.</w:t>
            </w:r>
            <w:r w:rsid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aprīļa rīkojumu Nr.</w:t>
            </w:r>
            <w:r w:rsid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1-1/123 </w:t>
            </w:r>
            <w:r w:rsidRPr="0060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"Par pastāvīgās darba grupas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Civillikuma mantojuma tiesību daļas grozījumu izstrādei izveidošanu</w:t>
            </w:r>
            <w:r w:rsidRPr="0060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14:paraId="4797862F" w14:textId="185858C6" w:rsidR="00E5323B" w:rsidRPr="006001A9" w:rsidRDefault="006237F5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Darba grupā piedalījās pārstāvji no Finanšu ministrijas, Latvijas Universitātes Juridiskās fakultātes, Latvijas Zvērinātu notāru padomes, Latvijas Zvērinātu tiesu izpildītāju padomes, Rīgas bāriņtiesas, Rīgas pilsētas Vidzemes priekšpilsētas tiesas, 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nozar</w:t>
            </w:r>
            <w:r w:rsidR="00C03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asociācijas, kā arī citi tiesību eksperti, notāri un advokāti.</w:t>
            </w:r>
          </w:p>
        </w:tc>
      </w:tr>
      <w:tr w:rsidR="006001A9" w:rsidRPr="006001A9" w14:paraId="72E19320" w14:textId="77777777" w:rsidTr="00656219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DE255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0BFDA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FA78" w14:textId="05C0491B" w:rsidR="00E5323B" w:rsidRPr="006001A9" w:rsidRDefault="007C4AC2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2D6220B" w14:textId="77777777" w:rsidR="00E5323B" w:rsidRPr="006001A9" w:rsidRDefault="00E5323B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001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001A9" w:rsidRPr="006001A9" w14:paraId="161B31B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DDBA" w14:textId="77777777" w:rsidR="00655F2C" w:rsidRPr="006001A9" w:rsidRDefault="00E5323B" w:rsidP="006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001A9" w:rsidRPr="006001A9" w14:paraId="4104FFA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165D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CB711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D361" w14:textId="65BB1BBD" w:rsidR="00E5323B" w:rsidRPr="006001A9" w:rsidRDefault="009529AC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Zvērināti notāri.</w:t>
            </w:r>
          </w:p>
        </w:tc>
      </w:tr>
      <w:tr w:rsidR="006001A9" w:rsidRPr="006001A9" w14:paraId="4FB0647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E4E9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BBC7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F53E" w14:textId="67C791E6" w:rsidR="006237F5" w:rsidRPr="006001A9" w:rsidRDefault="006237F5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Regulējuma ietekmi uz tautsaimniecību nav iespējams noteikt, vienlaikus ar </w:t>
            </w:r>
            <w:r w:rsidR="007047F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mantojuma tiesību reformu tiek veicināta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mantojuma masā ieti</w:t>
            </w:r>
            <w:r w:rsidR="00B013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pstošās mantas ātrāka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atgriešanās civiltiesiskajā apritē, kas</w:t>
            </w:r>
            <w:r w:rsidR="007047F1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domājams,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atstās pozitīvu ietekmi uz ekonomiskajiem procesiem</w:t>
            </w:r>
            <w:r w:rsidR="001279FE"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valstī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3281F4" w14:textId="2FE167B8" w:rsidR="00E5323B" w:rsidRPr="006001A9" w:rsidRDefault="009C0292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Likumprojektu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tiek palielināts </w:t>
            </w: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administratīvais slogs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zvērinātiem notāriem</w:t>
            </w: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Proti,</w:t>
            </w:r>
            <w:r>
              <w:t xml:space="preserve"> </w:t>
            </w:r>
            <w:r w:rsidRPr="00190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zvērinātiem notāriem pieaugs veicamo pienākumu apjoms, jo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atsevišķas </w:t>
            </w:r>
            <w:r w:rsidRPr="00190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šim pēc ieinteresēto personu lūguma veicamās darbības turpmāk zvērināti notāri veiks katrā mantojuma lietā</w:t>
            </w:r>
            <w:r w:rsidR="009529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tajā skaitā veiks ieskatīšanos Kredītu reģistrā</w:t>
            </w:r>
            <w:r w:rsidRPr="00190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Vienlaikus pēc būtības </w:t>
            </w:r>
            <w:r w:rsidR="00E40D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zvērinātiem 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otāriem jaunas amata darbības netiek noteiktas.</w:t>
            </w:r>
          </w:p>
        </w:tc>
      </w:tr>
      <w:tr w:rsidR="006001A9" w:rsidRPr="006001A9" w14:paraId="5C9F5B6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B7975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F4EDF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CB42" w14:textId="740115B8" w:rsidR="00E5323B" w:rsidRPr="006001A9" w:rsidRDefault="006237F5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001A9" w:rsidRPr="006001A9" w14:paraId="782A15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22946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65EBC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3940" w14:textId="658D8B14" w:rsidR="00E5323B" w:rsidRPr="006001A9" w:rsidRDefault="006237F5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001A9" w:rsidRPr="006001A9" w14:paraId="01794D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6E39" w14:textId="77777777" w:rsidR="00655F2C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E43C5" w14:textId="77777777" w:rsidR="00E5323B" w:rsidRPr="006001A9" w:rsidRDefault="00E5323B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A5D9" w14:textId="32CC0202" w:rsidR="00E5323B" w:rsidRPr="006001A9" w:rsidRDefault="006237F5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59EEEE9" w14:textId="476682FD" w:rsidR="00E5323B" w:rsidRPr="006001A9" w:rsidRDefault="00E5323B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76A6D2D" w14:textId="7E797224" w:rsidR="0052682D" w:rsidRDefault="0052682D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7483" w:rsidRPr="00E5323B" w14:paraId="07D5D2F5" w14:textId="77777777" w:rsidTr="00CC2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268D" w14:textId="77777777" w:rsidR="003B7483" w:rsidRPr="00E66B18" w:rsidRDefault="003B7483" w:rsidP="00CC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0" w:name="_Hlk67922137"/>
            <w:r w:rsidRPr="00E66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7483" w:rsidRPr="009E1AA1" w14:paraId="015ED402" w14:textId="77777777" w:rsidTr="00CC2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AB6A" w14:textId="6E35135F" w:rsidR="003B7483" w:rsidRPr="00E66B18" w:rsidRDefault="00B01303" w:rsidP="00CC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6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Likump</w:t>
            </w:r>
            <w:r w:rsidR="003B7483" w:rsidRPr="00E66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  <w:r w:rsidRPr="00E66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bookmarkEnd w:id="0"/>
    </w:tbl>
    <w:p w14:paraId="55C60C06" w14:textId="29C82191" w:rsidR="003B7483" w:rsidRDefault="003B7483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14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7483" w:rsidRPr="006001A9" w14:paraId="616E5614" w14:textId="77777777" w:rsidTr="003B74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E76F" w14:textId="77777777" w:rsidR="003B7483" w:rsidRPr="006001A9" w:rsidRDefault="003B7483" w:rsidP="003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529AC" w:rsidRPr="006001A9" w14:paraId="19F89DDC" w14:textId="77777777" w:rsidTr="003B74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256A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3FC7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3968" w14:textId="613E3BFD" w:rsidR="009529AC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virzīts vienlaikus ar likumprojektu</w:t>
            </w:r>
            <w:r w:rsidRPr="00AC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"Grozījumi Notariāta likumā"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AC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AC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"Grozījumi </w:t>
            </w:r>
            <w:r w:rsidR="00462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Civillikumā</w:t>
            </w:r>
            <w:r w:rsidRPr="00AC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4683686" w14:textId="77777777" w:rsidR="009529AC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Grozījumi Notariāta likumā nepieciešami, lai īstenotu mantojuma tiesību reformu procesuālo pusi. Proti, noregulētu notāru turpmāko rīcību mantojuma lietās tā, lai tā sakrīt ar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materiāltieisko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regulējumu.</w:t>
            </w:r>
          </w:p>
          <w:p w14:paraId="5D00BA86" w14:textId="5EAC7BFF" w:rsidR="009529AC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Grozījumi </w:t>
            </w:r>
            <w:r w:rsidR="00462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Civillikumā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nepieciešami, lai </w:t>
            </w:r>
            <w:r w:rsidR="00462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īstenotu mantojuma tiesību reformu.</w:t>
            </w:r>
          </w:p>
          <w:p w14:paraId="753114F5" w14:textId="77777777" w:rsidR="00934D07" w:rsidRPr="00BB2CC4" w:rsidRDefault="00934D07" w:rsidP="0093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ienlaikus 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ikumprojektā noteiktā regulējuma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pieņemšanu Saeimā 2.lasījumā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izstrādāti un virzīti grozījumi šādos Ministru kabineta noteikumos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3020EB0A" w14:textId="77777777" w:rsidR="009529AC" w:rsidRPr="00BB2CC4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04.08.2008. noteikumos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"Noteikumi par mantojuma reģistra un mantojuma lietu vešanu".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Grozījumi nepieciešami, lai konkrētajos noteikumos noregulētu mantojuma lietas vešanas procesuālos aspektus tā, lai tie sakrīt ar Likumprojekta regulējumu.</w:t>
            </w:r>
          </w:p>
          <w:p w14:paraId="79E5A896" w14:textId="77777777" w:rsidR="009529AC" w:rsidRPr="00BB2CC4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05.11.2013. noteikumos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1248</w:t>
            </w:r>
          </w:p>
          <w:p w14:paraId="7A8174D4" w14:textId="2B904E2D" w:rsidR="009529AC" w:rsidRPr="00BB2CC4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"Noteikumi par mantojuma apliecību paraugiem".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Grozījumi nepieciešami, lai ieviestu to, ka turpmāk pie mantojuma apliecības kā pieliekumi</w:t>
            </w:r>
            <w:r w:rsidR="00E40D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pievienots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mantojuma saraksts un pieteikto kreditoru pretenziju saraksts.</w:t>
            </w:r>
          </w:p>
          <w:p w14:paraId="536BF069" w14:textId="2A5801C3" w:rsidR="009529AC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03.09.2013. noteikumos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737 "Noteikumi par zvērinātu notāru atlīdzības taksēm un 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to noteikšanas kārtību".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Grozījumi nepieciešami, lai precizētu </w:t>
            </w:r>
            <w:r w:rsidR="00E40D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zvērinātu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notāru atlīdzības takses pēc tam, kad stāsies spēkā Likumprojekts un kad stāsies spēkā 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Notariāta likuma 67.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pants (redakcijā, kam noteikta spēkā stāšanās 2022.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janvārī)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paredz, ka amata darbību izpildei nepieciešamo informāciju valsts iestādes zvērinātam notāram sniedz bez maksas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D94A131" w14:textId="6EF2CEAC" w:rsidR="009529AC" w:rsidRPr="006001A9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4) Ministru kabineta 19.11.2019. noteikumos Nr. 543 "</w:t>
            </w:r>
            <w:r w:rsidRPr="00BB2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Mantojuma inventāra saraksta sastādīšanas kārtība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". Grozījumi nepieciešami, lai terminoloģiski salāgotu konkrētos noteikumu ar Likumprojekta regulējumu.</w:t>
            </w:r>
          </w:p>
        </w:tc>
      </w:tr>
      <w:tr w:rsidR="009529AC" w:rsidRPr="006001A9" w14:paraId="1C654BCE" w14:textId="77777777" w:rsidTr="003B74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B837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41821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9775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Tieslietu ministrija</w:t>
            </w:r>
          </w:p>
        </w:tc>
      </w:tr>
      <w:tr w:rsidR="009529AC" w:rsidRPr="006001A9" w14:paraId="20F1E994" w14:textId="77777777" w:rsidTr="003B74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F1AE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83DD" w14:textId="77777777" w:rsidR="009529AC" w:rsidRPr="006001A9" w:rsidRDefault="009529AC" w:rsidP="00952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A59B" w14:textId="77777777" w:rsidR="009529AC" w:rsidRPr="006001A9" w:rsidRDefault="009529AC" w:rsidP="0095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Visi minētie likumprojekti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sekretāru sanāksmē 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izsludināti vienlaicīgi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527DEC7" w14:textId="1A4FBD61" w:rsidR="003B7483" w:rsidRDefault="003B7483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7483" w:rsidRPr="00E5323B" w14:paraId="17712947" w14:textId="77777777" w:rsidTr="00CC2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4F97" w14:textId="77777777" w:rsidR="003B7483" w:rsidRPr="00E66B18" w:rsidRDefault="003B7483" w:rsidP="00CC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1" w:name="_Hlk67922164"/>
            <w:r w:rsidRPr="00E66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7483" w:rsidRPr="009E1AA1" w14:paraId="74017014" w14:textId="77777777" w:rsidTr="00CC2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3EF7" w14:textId="30BFF2A7" w:rsidR="003B7483" w:rsidRPr="00E66B18" w:rsidRDefault="003A754D" w:rsidP="00CC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6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Likump</w:t>
            </w:r>
            <w:r w:rsidR="003B7483" w:rsidRPr="00E66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  <w:r w:rsidRPr="00E66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bookmarkEnd w:id="1"/>
    </w:tbl>
    <w:p w14:paraId="2C6D529A" w14:textId="77777777" w:rsidR="003B7483" w:rsidRPr="006001A9" w:rsidRDefault="003B7483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76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001A9" w:rsidRPr="006001A9" w14:paraId="2ADA1F74" w14:textId="77777777" w:rsidTr="005268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368A" w14:textId="77777777" w:rsidR="0052682D" w:rsidRPr="006001A9" w:rsidRDefault="0052682D" w:rsidP="006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001A9" w:rsidRPr="006001A9" w14:paraId="34AB4CE2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57E62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35E4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63FD2" w14:textId="79CF4A7E" w:rsidR="0052682D" w:rsidRPr="006001A9" w:rsidRDefault="0052682D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 šī </w:t>
            </w:r>
            <w:r w:rsidR="003A7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ikumprojekta nav plānota atsevišķa sabiedrības līdzdalība. Vienlaikus </w:t>
            </w:r>
            <w:r w:rsidR="003A7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ikumprojekts tiks izsludināts </w:t>
            </w:r>
            <w:r w:rsidR="003A7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sekretāru sanāksmē un būs publiski pieejams.</w:t>
            </w:r>
          </w:p>
        </w:tc>
      </w:tr>
      <w:tr w:rsidR="003B7483" w:rsidRPr="006001A9" w14:paraId="0445A5B1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13BAA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C01F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95D86" w14:textId="2579868E" w:rsidR="003B7483" w:rsidRPr="006001A9" w:rsidRDefault="003B7483" w:rsidP="003B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līdzdalība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 </w:t>
            </w: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īstenota likumprojekta "Grozījumi Civillikumā"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tiek virzīts vienlaikus ar Likumprojektu, izstrādes procesā</w:t>
            </w: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ņemot vērā, ka mantojuma tiesības regulē Civillikuma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otrā daļa "</w:t>
            </w: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Mantojuma tiesīb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as"</w:t>
            </w:r>
            <w:r w:rsidRPr="0053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ar minēto likumprojektu tiek ieviestas galvenās pārmaiņas mantošanas procesā.</w:t>
            </w:r>
          </w:p>
        </w:tc>
      </w:tr>
      <w:tr w:rsidR="003B7483" w:rsidRPr="006001A9" w14:paraId="2BB04B55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19C4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6353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2903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3B7483" w:rsidRPr="006001A9" w14:paraId="7B010617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BD4B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AFAE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59FE" w14:textId="77777777" w:rsidR="003B7483" w:rsidRPr="006001A9" w:rsidRDefault="003B7483" w:rsidP="003B7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6B3E7B7" w14:textId="2ECD166C" w:rsidR="0052682D" w:rsidRPr="006001A9" w:rsidRDefault="0052682D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1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001A9" w:rsidRPr="006001A9" w14:paraId="785344B2" w14:textId="77777777" w:rsidTr="005268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E40C" w14:textId="77777777" w:rsidR="0052682D" w:rsidRPr="006001A9" w:rsidRDefault="0052682D" w:rsidP="0060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001A9" w:rsidRPr="006001A9" w14:paraId="4AA45032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648B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E711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1DFD" w14:textId="2B739190" w:rsidR="0052682D" w:rsidRPr="006001A9" w:rsidRDefault="00321D03" w:rsidP="0060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Zvērināti notāri</w:t>
            </w:r>
          </w:p>
        </w:tc>
      </w:tr>
      <w:tr w:rsidR="006001A9" w:rsidRPr="006001A9" w14:paraId="543EEA6C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D7A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9699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40AA" w14:textId="467F1D71" w:rsidR="00321D03" w:rsidRDefault="00321D03" w:rsidP="0032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82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 izpilde tieši neattiecas uz pārvaldes funkcijām un institucionālo struktūru, kā arī jaunu institūciju izveidi, esošu institūciju likvidāciju vai reorganizāciju, to ietekmi uz institūcijas cilvēkresursiem.</w:t>
            </w:r>
          </w:p>
          <w:p w14:paraId="15995770" w14:textId="046771E2" w:rsidR="00321D03" w:rsidRPr="00E82672" w:rsidRDefault="00321D03" w:rsidP="0032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Ziņu noskaidrošana mantojuma lietas ietvaros ietilpst zvērinātu notāru darbā, līdz ar ko</w:t>
            </w:r>
            <w:r w:rsidR="009C0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ielūkošanās Kredītu reģistrā pēc būtības netiek uzskatīta par jaunu darbību noteikšanu notāriem.</w:t>
            </w:r>
          </w:p>
          <w:p w14:paraId="014F24AE" w14:textId="2DB03231" w:rsidR="0052682D" w:rsidRPr="006001A9" w:rsidRDefault="0052682D" w:rsidP="003B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001A9" w:rsidRPr="006001A9" w14:paraId="37A79D39" w14:textId="77777777" w:rsidTr="0052682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40875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1990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97D5" w14:textId="77777777" w:rsidR="0052682D" w:rsidRPr="006001A9" w:rsidRDefault="0052682D" w:rsidP="00600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0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CE1F6E4" w14:textId="53C95182" w:rsidR="0052682D" w:rsidRPr="006001A9" w:rsidRDefault="0052682D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8F1E72F" w14:textId="4113BFA5" w:rsidR="006001A9" w:rsidRPr="006001A9" w:rsidRDefault="006001A9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001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Iesniedzējs:</w:t>
      </w:r>
    </w:p>
    <w:p w14:paraId="21A57E1E" w14:textId="7EABC4A9" w:rsidR="00894C55" w:rsidRPr="006001A9" w:rsidRDefault="00C31A92" w:rsidP="006001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001A9">
        <w:rPr>
          <w:rFonts w:ascii="Times New Roman" w:hAnsi="Times New Roman" w:cs="Times New Roman"/>
          <w:sz w:val="24"/>
          <w:szCs w:val="24"/>
        </w:rPr>
        <w:t>Tieslietu</w:t>
      </w:r>
      <w:r w:rsidR="00894C55" w:rsidRPr="00600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55" w:rsidRPr="006001A9">
        <w:rPr>
          <w:rFonts w:ascii="Times New Roman" w:hAnsi="Times New Roman" w:cs="Times New Roman"/>
          <w:sz w:val="24"/>
          <w:szCs w:val="24"/>
        </w:rPr>
        <w:t>ministr</w:t>
      </w:r>
      <w:r w:rsidR="006001A9" w:rsidRPr="006001A9">
        <w:rPr>
          <w:rFonts w:ascii="Times New Roman" w:hAnsi="Times New Roman" w:cs="Times New Roman"/>
          <w:sz w:val="24"/>
          <w:szCs w:val="24"/>
        </w:rPr>
        <w:t>tijas</w:t>
      </w:r>
      <w:proofErr w:type="spellEnd"/>
      <w:r w:rsidR="006001A9" w:rsidRPr="006001A9">
        <w:rPr>
          <w:rFonts w:ascii="Times New Roman" w:hAnsi="Times New Roman" w:cs="Times New Roman"/>
          <w:sz w:val="24"/>
          <w:szCs w:val="24"/>
        </w:rPr>
        <w:t xml:space="preserve"> valsts sekretārs</w:t>
      </w:r>
      <w:r w:rsidR="00894C55" w:rsidRPr="006001A9">
        <w:rPr>
          <w:rFonts w:ascii="Times New Roman" w:hAnsi="Times New Roman" w:cs="Times New Roman"/>
          <w:sz w:val="24"/>
          <w:szCs w:val="24"/>
        </w:rPr>
        <w:tab/>
      </w:r>
      <w:r w:rsidR="006001A9" w:rsidRPr="006001A9">
        <w:rPr>
          <w:rFonts w:ascii="Times New Roman" w:hAnsi="Times New Roman" w:cs="Times New Roman"/>
          <w:sz w:val="24"/>
          <w:szCs w:val="24"/>
        </w:rPr>
        <w:tab/>
      </w:r>
      <w:r w:rsidR="006001A9" w:rsidRPr="006001A9">
        <w:rPr>
          <w:rFonts w:ascii="Times New Roman" w:hAnsi="Times New Roman" w:cs="Times New Roman"/>
          <w:sz w:val="24"/>
          <w:szCs w:val="24"/>
        </w:rPr>
        <w:tab/>
      </w:r>
      <w:r w:rsidR="006001A9" w:rsidRPr="006001A9">
        <w:rPr>
          <w:rFonts w:ascii="Times New Roman" w:hAnsi="Times New Roman" w:cs="Times New Roman"/>
          <w:sz w:val="24"/>
          <w:szCs w:val="24"/>
        </w:rPr>
        <w:tab/>
      </w:r>
      <w:r w:rsidR="006001A9">
        <w:rPr>
          <w:rFonts w:ascii="Times New Roman" w:hAnsi="Times New Roman" w:cs="Times New Roman"/>
          <w:sz w:val="24"/>
          <w:szCs w:val="24"/>
        </w:rPr>
        <w:tab/>
      </w:r>
      <w:r w:rsidR="006001A9" w:rsidRPr="006001A9">
        <w:rPr>
          <w:rFonts w:ascii="Times New Roman" w:hAnsi="Times New Roman" w:cs="Times New Roman"/>
          <w:sz w:val="24"/>
          <w:szCs w:val="24"/>
        </w:rPr>
        <w:t>Raivis Kronbergs</w:t>
      </w:r>
    </w:p>
    <w:p w14:paraId="64E3FA65" w14:textId="77777777" w:rsidR="00894C55" w:rsidRPr="006001A9" w:rsidRDefault="00894C55" w:rsidP="00600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76C0A" w14:textId="77777777" w:rsidR="00894C55" w:rsidRPr="006001A9" w:rsidRDefault="00894C55" w:rsidP="006001A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87482" w14:textId="6BC72F95" w:rsidR="00894C55" w:rsidRPr="006001A9" w:rsidRDefault="00C31A92" w:rsidP="006001A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01A9">
        <w:rPr>
          <w:rFonts w:ascii="Times New Roman" w:hAnsi="Times New Roman" w:cs="Times New Roman"/>
          <w:sz w:val="24"/>
          <w:szCs w:val="28"/>
        </w:rPr>
        <w:t>Bērziņš</w:t>
      </w:r>
      <w:r w:rsidR="00D133F8" w:rsidRPr="006001A9">
        <w:rPr>
          <w:rFonts w:ascii="Times New Roman" w:hAnsi="Times New Roman" w:cs="Times New Roman"/>
          <w:sz w:val="24"/>
          <w:szCs w:val="28"/>
        </w:rPr>
        <w:t xml:space="preserve"> 670</w:t>
      </w:r>
      <w:r w:rsidRPr="006001A9">
        <w:rPr>
          <w:rFonts w:ascii="Times New Roman" w:hAnsi="Times New Roman" w:cs="Times New Roman"/>
          <w:sz w:val="24"/>
          <w:szCs w:val="28"/>
        </w:rPr>
        <w:t>36934</w:t>
      </w:r>
    </w:p>
    <w:p w14:paraId="44FA4D88" w14:textId="12CC9113" w:rsidR="00894C55" w:rsidRPr="006001A9" w:rsidRDefault="00C31A92" w:rsidP="006001A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01A9">
        <w:rPr>
          <w:rFonts w:ascii="Times New Roman" w:hAnsi="Times New Roman" w:cs="Times New Roman"/>
          <w:sz w:val="24"/>
          <w:szCs w:val="28"/>
        </w:rPr>
        <w:t>janis</w:t>
      </w:r>
      <w:r w:rsidR="00894C55" w:rsidRPr="006001A9">
        <w:rPr>
          <w:rFonts w:ascii="Times New Roman" w:hAnsi="Times New Roman" w:cs="Times New Roman"/>
          <w:sz w:val="24"/>
          <w:szCs w:val="28"/>
        </w:rPr>
        <w:t>.</w:t>
      </w:r>
      <w:r w:rsidRPr="006001A9">
        <w:rPr>
          <w:rFonts w:ascii="Times New Roman" w:hAnsi="Times New Roman" w:cs="Times New Roman"/>
          <w:sz w:val="24"/>
          <w:szCs w:val="28"/>
        </w:rPr>
        <w:t>berzins</w:t>
      </w:r>
      <w:r w:rsidR="00894C55" w:rsidRPr="006001A9">
        <w:rPr>
          <w:rFonts w:ascii="Times New Roman" w:hAnsi="Times New Roman" w:cs="Times New Roman"/>
          <w:sz w:val="24"/>
          <w:szCs w:val="28"/>
        </w:rPr>
        <w:t>@</w:t>
      </w:r>
      <w:r w:rsidRPr="006001A9">
        <w:rPr>
          <w:rFonts w:ascii="Times New Roman" w:hAnsi="Times New Roman" w:cs="Times New Roman"/>
          <w:sz w:val="24"/>
          <w:szCs w:val="28"/>
        </w:rPr>
        <w:t>tm</w:t>
      </w:r>
      <w:r w:rsidR="00894C55" w:rsidRPr="006001A9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6001A9" w:rsidSect="009A265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C580" w14:textId="77777777" w:rsidR="008F34D8" w:rsidRDefault="008F34D8" w:rsidP="00894C55">
      <w:pPr>
        <w:spacing w:after="0" w:line="240" w:lineRule="auto"/>
      </w:pPr>
      <w:r>
        <w:separator/>
      </w:r>
    </w:p>
  </w:endnote>
  <w:endnote w:type="continuationSeparator" w:id="0">
    <w:p w14:paraId="3EEDC211" w14:textId="77777777" w:rsidR="008F34D8" w:rsidRDefault="008F34D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E84A" w14:textId="5CD6D103" w:rsidR="006916B7" w:rsidRPr="00072B27" w:rsidRDefault="006916B7" w:rsidP="00072B27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40DA7">
      <w:rPr>
        <w:rFonts w:ascii="Times New Roman" w:hAnsi="Times New Roman" w:cs="Times New Roman"/>
        <w:noProof/>
        <w:sz w:val="20"/>
        <w:szCs w:val="20"/>
      </w:rPr>
      <w:t>TMAnot_090421_Groz_KRL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081F" w14:textId="381D3955" w:rsidR="006916B7" w:rsidRPr="00072B27" w:rsidRDefault="006916B7" w:rsidP="00072B27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40DA7">
      <w:rPr>
        <w:rFonts w:ascii="Times New Roman" w:hAnsi="Times New Roman" w:cs="Times New Roman"/>
        <w:noProof/>
        <w:sz w:val="20"/>
        <w:szCs w:val="20"/>
      </w:rPr>
      <w:t>TMAnot_090421_Groz_KRL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5D96" w14:textId="77777777" w:rsidR="008F34D8" w:rsidRDefault="008F34D8" w:rsidP="00894C55">
      <w:pPr>
        <w:spacing w:after="0" w:line="240" w:lineRule="auto"/>
      </w:pPr>
      <w:r>
        <w:separator/>
      </w:r>
    </w:p>
  </w:footnote>
  <w:footnote w:type="continuationSeparator" w:id="0">
    <w:p w14:paraId="0EB12B66" w14:textId="77777777" w:rsidR="008F34D8" w:rsidRDefault="008F34D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1196EAD" w14:textId="77777777" w:rsidR="006916B7" w:rsidRPr="00C25B49" w:rsidRDefault="006916B7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ttēls 1" o:spid="_x0000_i1026" type="#_x0000_t75" style="width:12pt;height:11.5pt;visibility:visible;mso-wrap-style:square" o:bullet="t">
        <v:imagedata r:id="rId1" o:title=""/>
      </v:shape>
    </w:pict>
  </w:numPicBullet>
  <w:abstractNum w:abstractNumId="0" w15:restartNumberingAfterBreak="0">
    <w:nsid w:val="00056D23"/>
    <w:multiLevelType w:val="hybridMultilevel"/>
    <w:tmpl w:val="2CA4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3F"/>
    <w:multiLevelType w:val="hybridMultilevel"/>
    <w:tmpl w:val="ABD0D3BE"/>
    <w:lvl w:ilvl="0" w:tplc="624C6C8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B3E"/>
    <w:multiLevelType w:val="hybridMultilevel"/>
    <w:tmpl w:val="ADC84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D5C"/>
    <w:multiLevelType w:val="hybridMultilevel"/>
    <w:tmpl w:val="4B0C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0BC5"/>
    <w:multiLevelType w:val="hybridMultilevel"/>
    <w:tmpl w:val="80FCC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1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06CEB"/>
    <w:multiLevelType w:val="hybridMultilevel"/>
    <w:tmpl w:val="A678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CB9"/>
    <w:multiLevelType w:val="hybridMultilevel"/>
    <w:tmpl w:val="653C0DD4"/>
    <w:lvl w:ilvl="0" w:tplc="FFE47016">
      <w:start w:val="1"/>
      <w:numFmt w:val="decimal"/>
      <w:lvlText w:val="%1)"/>
      <w:lvlJc w:val="left"/>
      <w:pPr>
        <w:ind w:left="730" w:hanging="37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931A1"/>
    <w:multiLevelType w:val="hybridMultilevel"/>
    <w:tmpl w:val="F3AC94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05A0"/>
    <w:multiLevelType w:val="hybridMultilevel"/>
    <w:tmpl w:val="25B601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C53"/>
    <w:multiLevelType w:val="hybridMultilevel"/>
    <w:tmpl w:val="1EC00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13E8"/>
    <w:multiLevelType w:val="hybridMultilevel"/>
    <w:tmpl w:val="32D44FFE"/>
    <w:lvl w:ilvl="0" w:tplc="71BA7A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733"/>
    <w:multiLevelType w:val="hybridMultilevel"/>
    <w:tmpl w:val="5A48F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F7"/>
    <w:multiLevelType w:val="hybridMultilevel"/>
    <w:tmpl w:val="49629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F2B47"/>
    <w:multiLevelType w:val="hybridMultilevel"/>
    <w:tmpl w:val="33BCFC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3BF7"/>
    <w:multiLevelType w:val="hybridMultilevel"/>
    <w:tmpl w:val="26ACFF2E"/>
    <w:lvl w:ilvl="0" w:tplc="71BA7A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6C3C"/>
    <w:multiLevelType w:val="hybridMultilevel"/>
    <w:tmpl w:val="226034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5D05"/>
    <w:multiLevelType w:val="hybridMultilevel"/>
    <w:tmpl w:val="C732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1FA"/>
    <w:multiLevelType w:val="hybridMultilevel"/>
    <w:tmpl w:val="AE8C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5241"/>
    <w:multiLevelType w:val="hybridMultilevel"/>
    <w:tmpl w:val="AD38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726B8"/>
    <w:multiLevelType w:val="hybridMultilevel"/>
    <w:tmpl w:val="35A441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5181"/>
    <w:multiLevelType w:val="hybridMultilevel"/>
    <w:tmpl w:val="3612C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94D"/>
    <w:multiLevelType w:val="hybridMultilevel"/>
    <w:tmpl w:val="EFA2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5"/>
  </w:num>
  <w:num w:numId="5">
    <w:abstractNumId w:val="1"/>
  </w:num>
  <w:num w:numId="6">
    <w:abstractNumId w:val="17"/>
  </w:num>
  <w:num w:numId="7">
    <w:abstractNumId w:val="12"/>
  </w:num>
  <w:num w:numId="8">
    <w:abstractNumId w:val="22"/>
  </w:num>
  <w:num w:numId="9">
    <w:abstractNumId w:val="13"/>
  </w:num>
  <w:num w:numId="10">
    <w:abstractNumId w:val="19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7"/>
  </w:num>
  <w:num w:numId="19">
    <w:abstractNumId w:val="10"/>
  </w:num>
  <w:num w:numId="20">
    <w:abstractNumId w:val="16"/>
  </w:num>
  <w:num w:numId="21">
    <w:abstractNumId w:val="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22C1"/>
    <w:rsid w:val="00002BEF"/>
    <w:rsid w:val="0000345C"/>
    <w:rsid w:val="00010A31"/>
    <w:rsid w:val="00010B0E"/>
    <w:rsid w:val="00014A02"/>
    <w:rsid w:val="000168B1"/>
    <w:rsid w:val="0002153D"/>
    <w:rsid w:val="00023205"/>
    <w:rsid w:val="00023383"/>
    <w:rsid w:val="00024A0C"/>
    <w:rsid w:val="0002760F"/>
    <w:rsid w:val="00030D4A"/>
    <w:rsid w:val="0003692E"/>
    <w:rsid w:val="00041734"/>
    <w:rsid w:val="00042BFB"/>
    <w:rsid w:val="00047D9E"/>
    <w:rsid w:val="000524C0"/>
    <w:rsid w:val="00055DDC"/>
    <w:rsid w:val="000570F6"/>
    <w:rsid w:val="00061C5A"/>
    <w:rsid w:val="000661B3"/>
    <w:rsid w:val="000719AD"/>
    <w:rsid w:val="00071B54"/>
    <w:rsid w:val="00072B27"/>
    <w:rsid w:val="00083700"/>
    <w:rsid w:val="00085753"/>
    <w:rsid w:val="0008597A"/>
    <w:rsid w:val="000936F9"/>
    <w:rsid w:val="0009507F"/>
    <w:rsid w:val="000A637C"/>
    <w:rsid w:val="000B30B3"/>
    <w:rsid w:val="000B49D5"/>
    <w:rsid w:val="000C06B4"/>
    <w:rsid w:val="000C4B1F"/>
    <w:rsid w:val="000C5F86"/>
    <w:rsid w:val="000C76D3"/>
    <w:rsid w:val="000D3A0B"/>
    <w:rsid w:val="000D4BB6"/>
    <w:rsid w:val="000E3863"/>
    <w:rsid w:val="000E63F3"/>
    <w:rsid w:val="000E6F6F"/>
    <w:rsid w:val="000E7CF0"/>
    <w:rsid w:val="000F2483"/>
    <w:rsid w:val="000F45FE"/>
    <w:rsid w:val="00101DED"/>
    <w:rsid w:val="001079F5"/>
    <w:rsid w:val="00110227"/>
    <w:rsid w:val="00110F84"/>
    <w:rsid w:val="00116BC9"/>
    <w:rsid w:val="0012350B"/>
    <w:rsid w:val="00124459"/>
    <w:rsid w:val="00126CDF"/>
    <w:rsid w:val="001279FE"/>
    <w:rsid w:val="00130F7C"/>
    <w:rsid w:val="0013726E"/>
    <w:rsid w:val="00145FB6"/>
    <w:rsid w:val="001500C9"/>
    <w:rsid w:val="00150EE6"/>
    <w:rsid w:val="001526C6"/>
    <w:rsid w:val="00153000"/>
    <w:rsid w:val="00153B97"/>
    <w:rsid w:val="00155D69"/>
    <w:rsid w:val="00160B70"/>
    <w:rsid w:val="00165ACB"/>
    <w:rsid w:val="00165BF1"/>
    <w:rsid w:val="00170BBA"/>
    <w:rsid w:val="0017300E"/>
    <w:rsid w:val="001735FF"/>
    <w:rsid w:val="00181D92"/>
    <w:rsid w:val="00182181"/>
    <w:rsid w:val="0018629C"/>
    <w:rsid w:val="00192050"/>
    <w:rsid w:val="00194510"/>
    <w:rsid w:val="001970C9"/>
    <w:rsid w:val="001A3C08"/>
    <w:rsid w:val="001B3835"/>
    <w:rsid w:val="001B680D"/>
    <w:rsid w:val="001D21A8"/>
    <w:rsid w:val="001D5A29"/>
    <w:rsid w:val="001E4A0B"/>
    <w:rsid w:val="001E6662"/>
    <w:rsid w:val="001E6825"/>
    <w:rsid w:val="001F0AC0"/>
    <w:rsid w:val="001F1526"/>
    <w:rsid w:val="001F1754"/>
    <w:rsid w:val="001F304E"/>
    <w:rsid w:val="00200D0A"/>
    <w:rsid w:val="00201DF8"/>
    <w:rsid w:val="00203783"/>
    <w:rsid w:val="00207AEE"/>
    <w:rsid w:val="0021359E"/>
    <w:rsid w:val="00215388"/>
    <w:rsid w:val="0022768D"/>
    <w:rsid w:val="0023362C"/>
    <w:rsid w:val="00234722"/>
    <w:rsid w:val="00236F38"/>
    <w:rsid w:val="00237175"/>
    <w:rsid w:val="00240E51"/>
    <w:rsid w:val="00241F21"/>
    <w:rsid w:val="00242AB8"/>
    <w:rsid w:val="00243426"/>
    <w:rsid w:val="002473AE"/>
    <w:rsid w:val="0025347F"/>
    <w:rsid w:val="00257A69"/>
    <w:rsid w:val="00270910"/>
    <w:rsid w:val="00280057"/>
    <w:rsid w:val="002813B0"/>
    <w:rsid w:val="002819E7"/>
    <w:rsid w:val="00281A36"/>
    <w:rsid w:val="002A01FC"/>
    <w:rsid w:val="002A5897"/>
    <w:rsid w:val="002A68FB"/>
    <w:rsid w:val="002A6D95"/>
    <w:rsid w:val="002B499F"/>
    <w:rsid w:val="002B586E"/>
    <w:rsid w:val="002D6A82"/>
    <w:rsid w:val="002E0A97"/>
    <w:rsid w:val="002E0E18"/>
    <w:rsid w:val="002E1C05"/>
    <w:rsid w:val="002E3AA7"/>
    <w:rsid w:val="002E534F"/>
    <w:rsid w:val="002E543A"/>
    <w:rsid w:val="002E6171"/>
    <w:rsid w:val="002F0A0D"/>
    <w:rsid w:val="002F2574"/>
    <w:rsid w:val="003003F1"/>
    <w:rsid w:val="00300719"/>
    <w:rsid w:val="00303D40"/>
    <w:rsid w:val="00303E4F"/>
    <w:rsid w:val="00307A00"/>
    <w:rsid w:val="003103F4"/>
    <w:rsid w:val="003117E0"/>
    <w:rsid w:val="00311FE3"/>
    <w:rsid w:val="00314083"/>
    <w:rsid w:val="00315142"/>
    <w:rsid w:val="00316CE1"/>
    <w:rsid w:val="0032066B"/>
    <w:rsid w:val="00321D03"/>
    <w:rsid w:val="00324430"/>
    <w:rsid w:val="0032718C"/>
    <w:rsid w:val="0033484C"/>
    <w:rsid w:val="0033713E"/>
    <w:rsid w:val="003371EE"/>
    <w:rsid w:val="003372ED"/>
    <w:rsid w:val="00345640"/>
    <w:rsid w:val="003458F4"/>
    <w:rsid w:val="003503FF"/>
    <w:rsid w:val="00355B7A"/>
    <w:rsid w:val="00361B60"/>
    <w:rsid w:val="00364698"/>
    <w:rsid w:val="00366E1D"/>
    <w:rsid w:val="0037677A"/>
    <w:rsid w:val="003768B4"/>
    <w:rsid w:val="00382B9B"/>
    <w:rsid w:val="00385503"/>
    <w:rsid w:val="00393131"/>
    <w:rsid w:val="00394C81"/>
    <w:rsid w:val="003A2DFD"/>
    <w:rsid w:val="003A3ECC"/>
    <w:rsid w:val="003A4C33"/>
    <w:rsid w:val="003A6246"/>
    <w:rsid w:val="003A6E17"/>
    <w:rsid w:val="003A754D"/>
    <w:rsid w:val="003B0BF9"/>
    <w:rsid w:val="003B1E92"/>
    <w:rsid w:val="003B6A1D"/>
    <w:rsid w:val="003B7299"/>
    <w:rsid w:val="003B7483"/>
    <w:rsid w:val="003B7A96"/>
    <w:rsid w:val="003C063F"/>
    <w:rsid w:val="003C13BD"/>
    <w:rsid w:val="003C2893"/>
    <w:rsid w:val="003C2BF7"/>
    <w:rsid w:val="003C6EDD"/>
    <w:rsid w:val="003D379D"/>
    <w:rsid w:val="003D4D38"/>
    <w:rsid w:val="003D4EB0"/>
    <w:rsid w:val="003E0791"/>
    <w:rsid w:val="003E43DD"/>
    <w:rsid w:val="003E767A"/>
    <w:rsid w:val="003E7784"/>
    <w:rsid w:val="003F28AC"/>
    <w:rsid w:val="0040181E"/>
    <w:rsid w:val="00403BB5"/>
    <w:rsid w:val="00403BCA"/>
    <w:rsid w:val="00405279"/>
    <w:rsid w:val="0040672E"/>
    <w:rsid w:val="0040731F"/>
    <w:rsid w:val="00412E3F"/>
    <w:rsid w:val="004130B6"/>
    <w:rsid w:val="004157B7"/>
    <w:rsid w:val="00415864"/>
    <w:rsid w:val="004222E4"/>
    <w:rsid w:val="00423200"/>
    <w:rsid w:val="004258E4"/>
    <w:rsid w:val="00432199"/>
    <w:rsid w:val="00433733"/>
    <w:rsid w:val="004404EB"/>
    <w:rsid w:val="00444597"/>
    <w:rsid w:val="00444686"/>
    <w:rsid w:val="004446AA"/>
    <w:rsid w:val="0044536B"/>
    <w:rsid w:val="004454FE"/>
    <w:rsid w:val="00452BB2"/>
    <w:rsid w:val="00456E40"/>
    <w:rsid w:val="00460F7B"/>
    <w:rsid w:val="00462414"/>
    <w:rsid w:val="00462FF6"/>
    <w:rsid w:val="00464709"/>
    <w:rsid w:val="004653F1"/>
    <w:rsid w:val="00467429"/>
    <w:rsid w:val="00471F27"/>
    <w:rsid w:val="00475064"/>
    <w:rsid w:val="00475266"/>
    <w:rsid w:val="0047581B"/>
    <w:rsid w:val="00481ECE"/>
    <w:rsid w:val="00492560"/>
    <w:rsid w:val="00495715"/>
    <w:rsid w:val="0049772B"/>
    <w:rsid w:val="004A1513"/>
    <w:rsid w:val="004B2CE3"/>
    <w:rsid w:val="004B3668"/>
    <w:rsid w:val="004B548C"/>
    <w:rsid w:val="004B6F2C"/>
    <w:rsid w:val="004C4E15"/>
    <w:rsid w:val="004C4F96"/>
    <w:rsid w:val="004C6395"/>
    <w:rsid w:val="004C6A46"/>
    <w:rsid w:val="004C7DEC"/>
    <w:rsid w:val="004D10EA"/>
    <w:rsid w:val="004D117F"/>
    <w:rsid w:val="004D2B92"/>
    <w:rsid w:val="004D482C"/>
    <w:rsid w:val="004E124D"/>
    <w:rsid w:val="004F042C"/>
    <w:rsid w:val="004F3C84"/>
    <w:rsid w:val="004F441C"/>
    <w:rsid w:val="004F5252"/>
    <w:rsid w:val="004F6D52"/>
    <w:rsid w:val="0050178F"/>
    <w:rsid w:val="00501FAA"/>
    <w:rsid w:val="005025A2"/>
    <w:rsid w:val="00514117"/>
    <w:rsid w:val="00515474"/>
    <w:rsid w:val="00516BC0"/>
    <w:rsid w:val="0052682D"/>
    <w:rsid w:val="00527D16"/>
    <w:rsid w:val="00533852"/>
    <w:rsid w:val="00534B29"/>
    <w:rsid w:val="00534BF9"/>
    <w:rsid w:val="005358A3"/>
    <w:rsid w:val="00544A01"/>
    <w:rsid w:val="00547178"/>
    <w:rsid w:val="005522D2"/>
    <w:rsid w:val="005547C8"/>
    <w:rsid w:val="00554A9B"/>
    <w:rsid w:val="00564AA0"/>
    <w:rsid w:val="00564DB8"/>
    <w:rsid w:val="005663A5"/>
    <w:rsid w:val="00575A7D"/>
    <w:rsid w:val="005763AB"/>
    <w:rsid w:val="0058530A"/>
    <w:rsid w:val="00586BF8"/>
    <w:rsid w:val="00586E13"/>
    <w:rsid w:val="00587486"/>
    <w:rsid w:val="00587B47"/>
    <w:rsid w:val="00587E78"/>
    <w:rsid w:val="0059311B"/>
    <w:rsid w:val="005A6657"/>
    <w:rsid w:val="005B4DD5"/>
    <w:rsid w:val="005B6C20"/>
    <w:rsid w:val="005B6DF0"/>
    <w:rsid w:val="005C3C29"/>
    <w:rsid w:val="005C5A95"/>
    <w:rsid w:val="005D124F"/>
    <w:rsid w:val="005D6D83"/>
    <w:rsid w:val="005E47D8"/>
    <w:rsid w:val="005E61D4"/>
    <w:rsid w:val="005F2F03"/>
    <w:rsid w:val="005F33CA"/>
    <w:rsid w:val="005F443B"/>
    <w:rsid w:val="005F4F49"/>
    <w:rsid w:val="005F5AFA"/>
    <w:rsid w:val="006001A9"/>
    <w:rsid w:val="00601AF7"/>
    <w:rsid w:val="00602D17"/>
    <w:rsid w:val="00612BB0"/>
    <w:rsid w:val="00616E58"/>
    <w:rsid w:val="00620264"/>
    <w:rsid w:val="0062150A"/>
    <w:rsid w:val="00622040"/>
    <w:rsid w:val="006237F5"/>
    <w:rsid w:val="006358E6"/>
    <w:rsid w:val="0064027E"/>
    <w:rsid w:val="00647B05"/>
    <w:rsid w:val="00651408"/>
    <w:rsid w:val="006548E0"/>
    <w:rsid w:val="00655F2C"/>
    <w:rsid w:val="00656219"/>
    <w:rsid w:val="006562B7"/>
    <w:rsid w:val="00657879"/>
    <w:rsid w:val="00657E80"/>
    <w:rsid w:val="006628D8"/>
    <w:rsid w:val="00662D13"/>
    <w:rsid w:val="00664F3C"/>
    <w:rsid w:val="006716CC"/>
    <w:rsid w:val="0067177C"/>
    <w:rsid w:val="00674677"/>
    <w:rsid w:val="006764FD"/>
    <w:rsid w:val="00681DAC"/>
    <w:rsid w:val="00681FF0"/>
    <w:rsid w:val="006825A8"/>
    <w:rsid w:val="00683C98"/>
    <w:rsid w:val="00687F37"/>
    <w:rsid w:val="006916B7"/>
    <w:rsid w:val="006A5232"/>
    <w:rsid w:val="006A526F"/>
    <w:rsid w:val="006A5272"/>
    <w:rsid w:val="006A6C49"/>
    <w:rsid w:val="006B0103"/>
    <w:rsid w:val="006B0387"/>
    <w:rsid w:val="006B3D26"/>
    <w:rsid w:val="006B5CA3"/>
    <w:rsid w:val="006C3D10"/>
    <w:rsid w:val="006C542B"/>
    <w:rsid w:val="006D0AFA"/>
    <w:rsid w:val="006D1122"/>
    <w:rsid w:val="006D4209"/>
    <w:rsid w:val="006D432D"/>
    <w:rsid w:val="006D4F2E"/>
    <w:rsid w:val="006E01FF"/>
    <w:rsid w:val="006E1081"/>
    <w:rsid w:val="006F1A07"/>
    <w:rsid w:val="006F1C16"/>
    <w:rsid w:val="006F1F89"/>
    <w:rsid w:val="006F5D87"/>
    <w:rsid w:val="006F6918"/>
    <w:rsid w:val="00700C36"/>
    <w:rsid w:val="007047F1"/>
    <w:rsid w:val="007054CF"/>
    <w:rsid w:val="007057C0"/>
    <w:rsid w:val="00707383"/>
    <w:rsid w:val="00707AF3"/>
    <w:rsid w:val="00720585"/>
    <w:rsid w:val="007254F5"/>
    <w:rsid w:val="007258F9"/>
    <w:rsid w:val="00725ED8"/>
    <w:rsid w:val="00730B44"/>
    <w:rsid w:val="00732006"/>
    <w:rsid w:val="00732291"/>
    <w:rsid w:val="0073392A"/>
    <w:rsid w:val="007360CD"/>
    <w:rsid w:val="00741517"/>
    <w:rsid w:val="00750DBD"/>
    <w:rsid w:val="00751BE1"/>
    <w:rsid w:val="00751ED4"/>
    <w:rsid w:val="00752F3A"/>
    <w:rsid w:val="00763259"/>
    <w:rsid w:val="00763B97"/>
    <w:rsid w:val="007652CC"/>
    <w:rsid w:val="00773697"/>
    <w:rsid w:val="00773AF6"/>
    <w:rsid w:val="00773F75"/>
    <w:rsid w:val="007740C8"/>
    <w:rsid w:val="00781782"/>
    <w:rsid w:val="00781BFA"/>
    <w:rsid w:val="00782911"/>
    <w:rsid w:val="00782EE0"/>
    <w:rsid w:val="007836D5"/>
    <w:rsid w:val="0079239E"/>
    <w:rsid w:val="0079356E"/>
    <w:rsid w:val="00795646"/>
    <w:rsid w:val="00795975"/>
    <w:rsid w:val="00795F71"/>
    <w:rsid w:val="007969B5"/>
    <w:rsid w:val="007A0FF7"/>
    <w:rsid w:val="007A33C0"/>
    <w:rsid w:val="007A3459"/>
    <w:rsid w:val="007A34A8"/>
    <w:rsid w:val="007A4EBC"/>
    <w:rsid w:val="007B5435"/>
    <w:rsid w:val="007B6DD9"/>
    <w:rsid w:val="007B7CA7"/>
    <w:rsid w:val="007C0BAD"/>
    <w:rsid w:val="007C4AC2"/>
    <w:rsid w:val="007C591D"/>
    <w:rsid w:val="007C5DE9"/>
    <w:rsid w:val="007D1FA6"/>
    <w:rsid w:val="007D36A1"/>
    <w:rsid w:val="007D66FF"/>
    <w:rsid w:val="007E02BB"/>
    <w:rsid w:val="007E352F"/>
    <w:rsid w:val="007E395A"/>
    <w:rsid w:val="007E395F"/>
    <w:rsid w:val="007E4F9B"/>
    <w:rsid w:val="007E5F7A"/>
    <w:rsid w:val="007E7143"/>
    <w:rsid w:val="007E73AB"/>
    <w:rsid w:val="007F0C3C"/>
    <w:rsid w:val="008026BF"/>
    <w:rsid w:val="00804E35"/>
    <w:rsid w:val="0080568F"/>
    <w:rsid w:val="00805E42"/>
    <w:rsid w:val="00806465"/>
    <w:rsid w:val="00806851"/>
    <w:rsid w:val="0081097D"/>
    <w:rsid w:val="008115AF"/>
    <w:rsid w:val="00812A20"/>
    <w:rsid w:val="00816C11"/>
    <w:rsid w:val="0081707D"/>
    <w:rsid w:val="00832411"/>
    <w:rsid w:val="0084226D"/>
    <w:rsid w:val="00843DDB"/>
    <w:rsid w:val="008507EA"/>
    <w:rsid w:val="00853EEE"/>
    <w:rsid w:val="00855AC7"/>
    <w:rsid w:val="008602BD"/>
    <w:rsid w:val="00860756"/>
    <w:rsid w:val="008653E3"/>
    <w:rsid w:val="00872126"/>
    <w:rsid w:val="00872383"/>
    <w:rsid w:val="0087443F"/>
    <w:rsid w:val="00877821"/>
    <w:rsid w:val="00877F4F"/>
    <w:rsid w:val="00881E8F"/>
    <w:rsid w:val="00883CF0"/>
    <w:rsid w:val="00885970"/>
    <w:rsid w:val="0088619B"/>
    <w:rsid w:val="00894C55"/>
    <w:rsid w:val="008952A5"/>
    <w:rsid w:val="00896791"/>
    <w:rsid w:val="008A006C"/>
    <w:rsid w:val="008B1866"/>
    <w:rsid w:val="008B5886"/>
    <w:rsid w:val="008B70A0"/>
    <w:rsid w:val="008D7935"/>
    <w:rsid w:val="008E10B9"/>
    <w:rsid w:val="008E4A2C"/>
    <w:rsid w:val="008E526E"/>
    <w:rsid w:val="008F34D8"/>
    <w:rsid w:val="008F6F11"/>
    <w:rsid w:val="00900323"/>
    <w:rsid w:val="009152D7"/>
    <w:rsid w:val="009178C6"/>
    <w:rsid w:val="0092453B"/>
    <w:rsid w:val="00925754"/>
    <w:rsid w:val="00925998"/>
    <w:rsid w:val="00926090"/>
    <w:rsid w:val="0093277A"/>
    <w:rsid w:val="00933222"/>
    <w:rsid w:val="00934D07"/>
    <w:rsid w:val="009352AB"/>
    <w:rsid w:val="00937F8C"/>
    <w:rsid w:val="009424D6"/>
    <w:rsid w:val="00944CE5"/>
    <w:rsid w:val="00947A25"/>
    <w:rsid w:val="00952359"/>
    <w:rsid w:val="009528FC"/>
    <w:rsid w:val="009529AC"/>
    <w:rsid w:val="00955495"/>
    <w:rsid w:val="009608A6"/>
    <w:rsid w:val="009823DA"/>
    <w:rsid w:val="00982EE0"/>
    <w:rsid w:val="00983DF8"/>
    <w:rsid w:val="0098717A"/>
    <w:rsid w:val="009876F2"/>
    <w:rsid w:val="009904C1"/>
    <w:rsid w:val="00994D9B"/>
    <w:rsid w:val="009A0B6C"/>
    <w:rsid w:val="009A2654"/>
    <w:rsid w:val="009A4275"/>
    <w:rsid w:val="009A7968"/>
    <w:rsid w:val="009B0E2F"/>
    <w:rsid w:val="009B532F"/>
    <w:rsid w:val="009C0292"/>
    <w:rsid w:val="009C1730"/>
    <w:rsid w:val="009C359E"/>
    <w:rsid w:val="009C4735"/>
    <w:rsid w:val="009C5E44"/>
    <w:rsid w:val="009D5EB0"/>
    <w:rsid w:val="009E25D1"/>
    <w:rsid w:val="009E3A4D"/>
    <w:rsid w:val="009E3EFB"/>
    <w:rsid w:val="009F6A55"/>
    <w:rsid w:val="00A00A3B"/>
    <w:rsid w:val="00A057B5"/>
    <w:rsid w:val="00A0647A"/>
    <w:rsid w:val="00A1022C"/>
    <w:rsid w:val="00A10FC3"/>
    <w:rsid w:val="00A3078A"/>
    <w:rsid w:val="00A37970"/>
    <w:rsid w:val="00A4080D"/>
    <w:rsid w:val="00A42257"/>
    <w:rsid w:val="00A46E47"/>
    <w:rsid w:val="00A47DE4"/>
    <w:rsid w:val="00A50BD0"/>
    <w:rsid w:val="00A521E5"/>
    <w:rsid w:val="00A53476"/>
    <w:rsid w:val="00A540AB"/>
    <w:rsid w:val="00A54C84"/>
    <w:rsid w:val="00A552ED"/>
    <w:rsid w:val="00A55585"/>
    <w:rsid w:val="00A5681A"/>
    <w:rsid w:val="00A6073E"/>
    <w:rsid w:val="00A61653"/>
    <w:rsid w:val="00A61F8A"/>
    <w:rsid w:val="00A621E6"/>
    <w:rsid w:val="00A637AB"/>
    <w:rsid w:val="00A63D4D"/>
    <w:rsid w:val="00A64B48"/>
    <w:rsid w:val="00A654D9"/>
    <w:rsid w:val="00A6623D"/>
    <w:rsid w:val="00A739E2"/>
    <w:rsid w:val="00A74580"/>
    <w:rsid w:val="00A76641"/>
    <w:rsid w:val="00A77494"/>
    <w:rsid w:val="00A77D2A"/>
    <w:rsid w:val="00A8284D"/>
    <w:rsid w:val="00A83BCB"/>
    <w:rsid w:val="00A90D1B"/>
    <w:rsid w:val="00A9241F"/>
    <w:rsid w:val="00A963C3"/>
    <w:rsid w:val="00AA43A7"/>
    <w:rsid w:val="00AC18B1"/>
    <w:rsid w:val="00AC3F69"/>
    <w:rsid w:val="00AC4802"/>
    <w:rsid w:val="00AC68CB"/>
    <w:rsid w:val="00AC69A2"/>
    <w:rsid w:val="00AC7BC4"/>
    <w:rsid w:val="00AD0F81"/>
    <w:rsid w:val="00AD5DB5"/>
    <w:rsid w:val="00AE394F"/>
    <w:rsid w:val="00AE48DE"/>
    <w:rsid w:val="00AE4B53"/>
    <w:rsid w:val="00AE5567"/>
    <w:rsid w:val="00AF1239"/>
    <w:rsid w:val="00AF4D4D"/>
    <w:rsid w:val="00AF4F76"/>
    <w:rsid w:val="00AF5D3A"/>
    <w:rsid w:val="00B01303"/>
    <w:rsid w:val="00B04A69"/>
    <w:rsid w:val="00B06644"/>
    <w:rsid w:val="00B077BF"/>
    <w:rsid w:val="00B16480"/>
    <w:rsid w:val="00B203C0"/>
    <w:rsid w:val="00B2128C"/>
    <w:rsid w:val="00B2165C"/>
    <w:rsid w:val="00B21C8E"/>
    <w:rsid w:val="00B26666"/>
    <w:rsid w:val="00B344BB"/>
    <w:rsid w:val="00B406D4"/>
    <w:rsid w:val="00B452EC"/>
    <w:rsid w:val="00B52C36"/>
    <w:rsid w:val="00B53AF6"/>
    <w:rsid w:val="00B55CB0"/>
    <w:rsid w:val="00B600A1"/>
    <w:rsid w:val="00B60284"/>
    <w:rsid w:val="00B60B51"/>
    <w:rsid w:val="00B6202F"/>
    <w:rsid w:val="00B625A0"/>
    <w:rsid w:val="00B6262F"/>
    <w:rsid w:val="00B6459A"/>
    <w:rsid w:val="00B7021F"/>
    <w:rsid w:val="00B71E48"/>
    <w:rsid w:val="00B724B2"/>
    <w:rsid w:val="00B76C6D"/>
    <w:rsid w:val="00B8083C"/>
    <w:rsid w:val="00B83513"/>
    <w:rsid w:val="00B84C18"/>
    <w:rsid w:val="00B85817"/>
    <w:rsid w:val="00B859C1"/>
    <w:rsid w:val="00B862DE"/>
    <w:rsid w:val="00B943E2"/>
    <w:rsid w:val="00BA120F"/>
    <w:rsid w:val="00BA1CA4"/>
    <w:rsid w:val="00BA20AA"/>
    <w:rsid w:val="00BA41E3"/>
    <w:rsid w:val="00BA7808"/>
    <w:rsid w:val="00BB098A"/>
    <w:rsid w:val="00BC2272"/>
    <w:rsid w:val="00BC4922"/>
    <w:rsid w:val="00BD0519"/>
    <w:rsid w:val="00BD3409"/>
    <w:rsid w:val="00BD3429"/>
    <w:rsid w:val="00BD3C22"/>
    <w:rsid w:val="00BD4425"/>
    <w:rsid w:val="00BD73B2"/>
    <w:rsid w:val="00BE2154"/>
    <w:rsid w:val="00BE4A23"/>
    <w:rsid w:val="00BE522D"/>
    <w:rsid w:val="00BF4612"/>
    <w:rsid w:val="00BF6925"/>
    <w:rsid w:val="00C00812"/>
    <w:rsid w:val="00C01936"/>
    <w:rsid w:val="00C034DA"/>
    <w:rsid w:val="00C06162"/>
    <w:rsid w:val="00C06867"/>
    <w:rsid w:val="00C1049B"/>
    <w:rsid w:val="00C10A7C"/>
    <w:rsid w:val="00C2181D"/>
    <w:rsid w:val="00C241C1"/>
    <w:rsid w:val="00C25B49"/>
    <w:rsid w:val="00C308C4"/>
    <w:rsid w:val="00C31258"/>
    <w:rsid w:val="00C31A92"/>
    <w:rsid w:val="00C36F12"/>
    <w:rsid w:val="00C40821"/>
    <w:rsid w:val="00C40A4D"/>
    <w:rsid w:val="00C412AE"/>
    <w:rsid w:val="00C437E3"/>
    <w:rsid w:val="00C458DA"/>
    <w:rsid w:val="00C47681"/>
    <w:rsid w:val="00C50587"/>
    <w:rsid w:val="00C51159"/>
    <w:rsid w:val="00C52213"/>
    <w:rsid w:val="00C5396A"/>
    <w:rsid w:val="00C5580A"/>
    <w:rsid w:val="00C60459"/>
    <w:rsid w:val="00C60B99"/>
    <w:rsid w:val="00C611B6"/>
    <w:rsid w:val="00C64129"/>
    <w:rsid w:val="00C64DDC"/>
    <w:rsid w:val="00C65FDE"/>
    <w:rsid w:val="00C70F27"/>
    <w:rsid w:val="00C71B4E"/>
    <w:rsid w:val="00C723E7"/>
    <w:rsid w:val="00C756CC"/>
    <w:rsid w:val="00C76E92"/>
    <w:rsid w:val="00C77467"/>
    <w:rsid w:val="00C83598"/>
    <w:rsid w:val="00C83D34"/>
    <w:rsid w:val="00C90183"/>
    <w:rsid w:val="00C96020"/>
    <w:rsid w:val="00C964D8"/>
    <w:rsid w:val="00C97911"/>
    <w:rsid w:val="00C97D95"/>
    <w:rsid w:val="00CA11E2"/>
    <w:rsid w:val="00CA2BFB"/>
    <w:rsid w:val="00CA3EB1"/>
    <w:rsid w:val="00CA641A"/>
    <w:rsid w:val="00CA76C7"/>
    <w:rsid w:val="00CB17B5"/>
    <w:rsid w:val="00CB46A7"/>
    <w:rsid w:val="00CB4E3D"/>
    <w:rsid w:val="00CB6A12"/>
    <w:rsid w:val="00CB7656"/>
    <w:rsid w:val="00CB78B9"/>
    <w:rsid w:val="00CC0D2D"/>
    <w:rsid w:val="00CC3D68"/>
    <w:rsid w:val="00CC72F1"/>
    <w:rsid w:val="00CD2C89"/>
    <w:rsid w:val="00CD3405"/>
    <w:rsid w:val="00CE1D09"/>
    <w:rsid w:val="00CE5657"/>
    <w:rsid w:val="00CE583D"/>
    <w:rsid w:val="00CE61CF"/>
    <w:rsid w:val="00CF2EFA"/>
    <w:rsid w:val="00CF469D"/>
    <w:rsid w:val="00CF5026"/>
    <w:rsid w:val="00CF6917"/>
    <w:rsid w:val="00CF7B93"/>
    <w:rsid w:val="00D02569"/>
    <w:rsid w:val="00D038E5"/>
    <w:rsid w:val="00D044D8"/>
    <w:rsid w:val="00D0765F"/>
    <w:rsid w:val="00D07EFF"/>
    <w:rsid w:val="00D101E6"/>
    <w:rsid w:val="00D133F8"/>
    <w:rsid w:val="00D14A3E"/>
    <w:rsid w:val="00D16CBB"/>
    <w:rsid w:val="00D269FA"/>
    <w:rsid w:val="00D302DD"/>
    <w:rsid w:val="00D35417"/>
    <w:rsid w:val="00D369DF"/>
    <w:rsid w:val="00D41F05"/>
    <w:rsid w:val="00D5068D"/>
    <w:rsid w:val="00D72098"/>
    <w:rsid w:val="00D8185A"/>
    <w:rsid w:val="00D94415"/>
    <w:rsid w:val="00D94685"/>
    <w:rsid w:val="00D9531E"/>
    <w:rsid w:val="00D97893"/>
    <w:rsid w:val="00DA0D8B"/>
    <w:rsid w:val="00DA655C"/>
    <w:rsid w:val="00DA6C12"/>
    <w:rsid w:val="00DB230C"/>
    <w:rsid w:val="00DB474C"/>
    <w:rsid w:val="00DC10A9"/>
    <w:rsid w:val="00DC2A25"/>
    <w:rsid w:val="00DC4D17"/>
    <w:rsid w:val="00DC631E"/>
    <w:rsid w:val="00DE2981"/>
    <w:rsid w:val="00DE44DC"/>
    <w:rsid w:val="00DE5F1A"/>
    <w:rsid w:val="00DF0C77"/>
    <w:rsid w:val="00DF1F7B"/>
    <w:rsid w:val="00DF3449"/>
    <w:rsid w:val="00DF34D4"/>
    <w:rsid w:val="00DF66B6"/>
    <w:rsid w:val="00DF6A38"/>
    <w:rsid w:val="00E07AC6"/>
    <w:rsid w:val="00E20CFA"/>
    <w:rsid w:val="00E253AF"/>
    <w:rsid w:val="00E25C30"/>
    <w:rsid w:val="00E26FBD"/>
    <w:rsid w:val="00E30A07"/>
    <w:rsid w:val="00E32AAE"/>
    <w:rsid w:val="00E35515"/>
    <w:rsid w:val="00E3716B"/>
    <w:rsid w:val="00E40DA7"/>
    <w:rsid w:val="00E5323B"/>
    <w:rsid w:val="00E576AD"/>
    <w:rsid w:val="00E626F8"/>
    <w:rsid w:val="00E66B18"/>
    <w:rsid w:val="00E76AC8"/>
    <w:rsid w:val="00E83DA6"/>
    <w:rsid w:val="00E8554A"/>
    <w:rsid w:val="00E86889"/>
    <w:rsid w:val="00E8749E"/>
    <w:rsid w:val="00E90C01"/>
    <w:rsid w:val="00E96529"/>
    <w:rsid w:val="00E97A84"/>
    <w:rsid w:val="00EA486E"/>
    <w:rsid w:val="00EA7111"/>
    <w:rsid w:val="00EB3A68"/>
    <w:rsid w:val="00EB3CD5"/>
    <w:rsid w:val="00EB6116"/>
    <w:rsid w:val="00EC0D63"/>
    <w:rsid w:val="00EC2147"/>
    <w:rsid w:val="00EC6DBF"/>
    <w:rsid w:val="00ED0433"/>
    <w:rsid w:val="00ED160C"/>
    <w:rsid w:val="00ED3F4D"/>
    <w:rsid w:val="00ED42D6"/>
    <w:rsid w:val="00ED6E2A"/>
    <w:rsid w:val="00EE2308"/>
    <w:rsid w:val="00EE3D9F"/>
    <w:rsid w:val="00EE420B"/>
    <w:rsid w:val="00EF1988"/>
    <w:rsid w:val="00EF6715"/>
    <w:rsid w:val="00F01CCF"/>
    <w:rsid w:val="00F02B27"/>
    <w:rsid w:val="00F12FA8"/>
    <w:rsid w:val="00F139C4"/>
    <w:rsid w:val="00F14B2A"/>
    <w:rsid w:val="00F21D3B"/>
    <w:rsid w:val="00F31375"/>
    <w:rsid w:val="00F334A6"/>
    <w:rsid w:val="00F33867"/>
    <w:rsid w:val="00F360E3"/>
    <w:rsid w:val="00F36D4F"/>
    <w:rsid w:val="00F4251E"/>
    <w:rsid w:val="00F50C7B"/>
    <w:rsid w:val="00F53736"/>
    <w:rsid w:val="00F53844"/>
    <w:rsid w:val="00F57B0C"/>
    <w:rsid w:val="00F6424B"/>
    <w:rsid w:val="00F65DE4"/>
    <w:rsid w:val="00F67B77"/>
    <w:rsid w:val="00F714D2"/>
    <w:rsid w:val="00F73198"/>
    <w:rsid w:val="00F7554C"/>
    <w:rsid w:val="00F80D90"/>
    <w:rsid w:val="00F9089C"/>
    <w:rsid w:val="00F96F4C"/>
    <w:rsid w:val="00F97C37"/>
    <w:rsid w:val="00FA1943"/>
    <w:rsid w:val="00FA78BC"/>
    <w:rsid w:val="00FB0B59"/>
    <w:rsid w:val="00FB659E"/>
    <w:rsid w:val="00FB6718"/>
    <w:rsid w:val="00FB67CA"/>
    <w:rsid w:val="00FC2AFC"/>
    <w:rsid w:val="00FC7238"/>
    <w:rsid w:val="00FC7B37"/>
    <w:rsid w:val="00FD20BC"/>
    <w:rsid w:val="00FD5C57"/>
    <w:rsid w:val="00FD66EA"/>
    <w:rsid w:val="00FD70F8"/>
    <w:rsid w:val="00FE045D"/>
    <w:rsid w:val="00FE0AEF"/>
    <w:rsid w:val="00FE21E1"/>
    <w:rsid w:val="00FE4077"/>
    <w:rsid w:val="00FF23C0"/>
    <w:rsid w:val="00FF54B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75FB"/>
  <w15:docId w15:val="{E62E2E1F-084D-4142-A205-2542533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214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3A6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3A68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3A6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0C06B4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DF6A38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6E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6E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6E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6E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6E8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0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sites/tm/files/2020-01/Documents/mantosanas-petijuma-gala-nodevums-20102017-fin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8CF7B21CED498F41FF114B1F0247" ma:contentTypeVersion="8" ma:contentTypeDescription="Create a new document." ma:contentTypeScope="" ma:versionID="48821e81968b41d521539931bd1c8ea0">
  <xsd:schema xmlns:xsd="http://www.w3.org/2001/XMLSchema" xmlns:xs="http://www.w3.org/2001/XMLSchema" xmlns:p="http://schemas.microsoft.com/office/2006/metadata/properties" xmlns:ns3="c6a08149-3d66-4691-9b5b-a1e857427a4b" xmlns:ns4="f66a1808-ad8a-4c59-a14d-afdf39c1ba94" targetNamespace="http://schemas.microsoft.com/office/2006/metadata/properties" ma:root="true" ma:fieldsID="ecf04f4cd99f4237ceb64a385d747e57" ns3:_="" ns4:_="">
    <xsd:import namespace="c6a08149-3d66-4691-9b5b-a1e857427a4b"/>
    <xsd:import namespace="f66a1808-ad8a-4c59-a14d-afdf39c1ba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8149-3d66-4691-9b5b-a1e85742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1808-ad8a-4c59-a14d-afdf39c1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2F05A-EAB1-4E60-9CBF-9693F768D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3CFC1-67CE-4843-9051-611566B55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08149-3d66-4691-9b5b-a1e857427a4b"/>
    <ds:schemaRef ds:uri="f66a1808-ad8a-4c59-a14d-afdf39c1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DC5CE-54CA-4500-9F35-7B18FF0F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0DB53-B0E5-413D-8231-6325CF8D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6300</Words>
  <Characters>3592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Kredītu reģistra likumā" sākotnējās ietekmes novērtējuma ziņojums (anotācija)</vt:lpstr>
      <vt:lpstr>Likumprojekta "Grozījumi Kredītu reģistra likumā" sākotnējās ietekmes novērtējuma ziņojums (anotācija)</vt:lpstr>
    </vt:vector>
  </TitlesOfParts>
  <Company>Tieslietu ministrija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Kredītu reģistra likumā" sākotnējās ietekmes novērtējuma ziņojums (anotācija)</dc:title>
  <dc:subject>Anotācija</dc:subject>
  <dc:creator>Jānis Bērziņš</dc:creator>
  <cp:keywords/>
  <dc:description>67036934, janis.berzins@tm.gov.lv</dc:description>
  <cp:lastModifiedBy>Jānis Bērziņš</cp:lastModifiedBy>
  <cp:revision>3</cp:revision>
  <dcterms:created xsi:type="dcterms:W3CDTF">2021-04-09T13:20:00Z</dcterms:created>
  <dcterms:modified xsi:type="dcterms:W3CDTF">2021-04-09T13:21:00Z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0x01010057538CF7B21CED498F41FF114B1F0247</vt:lpwstr>
  </property>
</Properties>
</file>