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5C48" w:rsidR="00894C55" w:rsidP="00894C55" w:rsidRDefault="005D5F73" w14:paraId="19FC22AC" w14:textId="39F7096E">
      <w:pPr>
        <w:shd w:val="clear" w:color="auto" w:fill="FFFFFF"/>
        <w:spacing w:after="0" w:line="240" w:lineRule="auto"/>
        <w:jc w:val="center"/>
        <w:rPr>
          <w:rFonts w:ascii="Times New Roman" w:hAnsi="Times New Roman" w:eastAsia="Times New Roman" w:cs="Times New Roman"/>
          <w:b/>
          <w:bCs/>
          <w:color w:val="000000" w:themeColor="text1"/>
          <w:sz w:val="24"/>
          <w:lang w:eastAsia="lv-LV"/>
        </w:rPr>
      </w:pPr>
      <w:r w:rsidRPr="00545C48">
        <w:rPr>
          <w:rFonts w:ascii="Times New Roman" w:hAnsi="Times New Roman" w:eastAsia="Times New Roman" w:cs="Times New Roman"/>
          <w:b/>
          <w:bCs/>
          <w:color w:val="000000" w:themeColor="text1"/>
          <w:sz w:val="24"/>
          <w:lang w:eastAsia="lv-LV"/>
        </w:rPr>
        <w:t xml:space="preserve">Ministru kabineta noteikumu </w:t>
      </w:r>
      <w:r w:rsidRPr="00545C48" w:rsidR="00894C55">
        <w:rPr>
          <w:rFonts w:ascii="Times New Roman" w:hAnsi="Times New Roman" w:eastAsia="Times New Roman" w:cs="Times New Roman"/>
          <w:b/>
          <w:bCs/>
          <w:color w:val="000000" w:themeColor="text1"/>
          <w:sz w:val="24"/>
          <w:lang w:eastAsia="lv-LV"/>
        </w:rPr>
        <w:t>projekta</w:t>
      </w:r>
      <w:r w:rsidRPr="00545C48" w:rsidR="00AD4A17">
        <w:rPr>
          <w:rFonts w:ascii="Times New Roman" w:hAnsi="Times New Roman" w:eastAsia="Times New Roman" w:cs="Times New Roman"/>
          <w:b/>
          <w:bCs/>
          <w:color w:val="000000" w:themeColor="text1"/>
          <w:sz w:val="24"/>
          <w:lang w:eastAsia="lv-LV"/>
        </w:rPr>
        <w:t xml:space="preserve"> </w:t>
      </w:r>
      <w:r w:rsidRPr="00545C48" w:rsidR="00804A2E">
        <w:rPr>
          <w:rFonts w:ascii="Times New Roman" w:hAnsi="Times New Roman" w:eastAsia="Times New Roman" w:cs="Times New Roman"/>
          <w:b/>
          <w:bCs/>
          <w:color w:val="000000" w:themeColor="text1"/>
          <w:sz w:val="24"/>
          <w:lang w:eastAsia="lv-LV"/>
        </w:rPr>
        <w:t>"Preču zīmju reģistrācijas pieteikumu, tiesību uz preču zīmi pārejas un licencēšanas noteikumi" sākotnējās ietekmes novērtējuma ziņojums (anotācija)</w:t>
      </w:r>
    </w:p>
    <w:p w:rsidRPr="00545C48" w:rsidR="00E5323B" w:rsidP="00894C55" w:rsidRDefault="00E5323B" w14:paraId="78CAD023"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828"/>
        <w:gridCol w:w="6227"/>
      </w:tblGrid>
      <w:tr w:rsidRPr="00545C48" w:rsidR="003C6569" w:rsidTr="00E5323B" w14:paraId="66147EA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545C48" w:rsidR="00655F2C" w:rsidP="003060C7" w:rsidRDefault="00E5323B" w14:paraId="179FBCA3"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Tiesību akta projekta anotācijas kopsavilkums</w:t>
            </w:r>
          </w:p>
        </w:tc>
      </w:tr>
      <w:tr w:rsidRPr="00545C48" w:rsidR="003C6569" w:rsidTr="004754BE" w14:paraId="42EBD3B9" w14:textId="77777777">
        <w:trPr>
          <w:tblCellSpacing w:w="15" w:type="dxa"/>
        </w:trPr>
        <w:tc>
          <w:tcPr>
            <w:tcW w:w="1536" w:type="pct"/>
            <w:tcBorders>
              <w:top w:val="outset" w:color="auto" w:sz="6" w:space="0"/>
              <w:left w:val="outset" w:color="auto" w:sz="6" w:space="0"/>
              <w:bottom w:val="outset" w:color="auto" w:sz="6" w:space="0"/>
              <w:right w:val="outset" w:color="auto" w:sz="6" w:space="0"/>
            </w:tcBorders>
            <w:hideMark/>
          </w:tcPr>
          <w:p w:rsidRPr="00545C48" w:rsidR="00E5323B" w:rsidP="003060C7" w:rsidRDefault="00E5323B" w14:paraId="3B4C74EF"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Mērķis, risinājums un projekta spēkā stāšanās laiks (500 zīmes bez atstarpēm)</w:t>
            </w:r>
          </w:p>
        </w:tc>
        <w:tc>
          <w:tcPr>
            <w:tcW w:w="3414" w:type="pct"/>
            <w:tcBorders>
              <w:top w:val="outset" w:color="auto" w:sz="6" w:space="0"/>
              <w:left w:val="outset" w:color="auto" w:sz="6" w:space="0"/>
              <w:bottom w:val="outset" w:color="auto" w:sz="6" w:space="0"/>
              <w:right w:val="outset" w:color="auto" w:sz="6" w:space="0"/>
            </w:tcBorders>
            <w:hideMark/>
          </w:tcPr>
          <w:p w:rsidR="00DF7194" w:rsidP="00447F1F" w:rsidRDefault="000A5A6A" w14:paraId="5607A3EE" w14:textId="0287792C">
            <w:pPr>
              <w:spacing w:after="0" w:line="240" w:lineRule="auto"/>
              <w:jc w:val="both"/>
              <w:rPr>
                <w:rFonts w:ascii="Times New Roman" w:hAnsi="Times New Roman"/>
                <w:sz w:val="24"/>
                <w:szCs w:val="24"/>
              </w:rPr>
            </w:pPr>
            <w:r>
              <w:rPr>
                <w:rFonts w:ascii="Times New Roman" w:hAnsi="Times New Roman" w:eastAsia="Times New Roman" w:cs="Times New Roman"/>
                <w:iCs/>
                <w:color w:val="000000" w:themeColor="text1"/>
                <w:sz w:val="24"/>
                <w:szCs w:val="24"/>
                <w:lang w:eastAsia="lv-LV"/>
              </w:rPr>
              <w:t xml:space="preserve">        </w:t>
            </w:r>
            <w:r w:rsidR="00161C49">
              <w:rPr>
                <w:rFonts w:ascii="Times New Roman" w:hAnsi="Times New Roman" w:eastAsia="Times New Roman" w:cs="Times New Roman"/>
                <w:iCs/>
                <w:color w:val="000000" w:themeColor="text1"/>
                <w:sz w:val="24"/>
                <w:szCs w:val="24"/>
                <w:lang w:eastAsia="lv-LV"/>
              </w:rPr>
              <w:t>Projekts izstrādāts</w:t>
            </w:r>
            <w:r w:rsidR="00DF7194">
              <w:rPr>
                <w:rFonts w:ascii="Times New Roman" w:hAnsi="Times New Roman"/>
                <w:sz w:val="24"/>
                <w:szCs w:val="24"/>
              </w:rPr>
              <w:t>:</w:t>
            </w:r>
          </w:p>
          <w:p w:rsidRPr="009878E5" w:rsidR="00DF7194" w:rsidP="009878E5" w:rsidRDefault="00CD0A56" w14:paraId="2A686DEB" w14:textId="271D7DD2">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00DF7194">
              <w:rPr>
                <w:rFonts w:ascii="Times New Roman" w:hAnsi="Times New Roman"/>
                <w:sz w:val="24"/>
                <w:szCs w:val="24"/>
              </w:rPr>
              <w:t>ai</w:t>
            </w:r>
            <w:r w:rsidR="00B347DD">
              <w:rPr>
                <w:rFonts w:ascii="Times New Roman" w:hAnsi="Times New Roman"/>
                <w:sz w:val="24"/>
                <w:szCs w:val="24"/>
              </w:rPr>
              <w:t xml:space="preserve"> piemērotu </w:t>
            </w:r>
            <w:r w:rsidRPr="009878E5" w:rsidR="00F76981">
              <w:rPr>
                <w:rFonts w:ascii="Times New Roman" w:hAnsi="Times New Roman"/>
                <w:sz w:val="24"/>
                <w:szCs w:val="24"/>
              </w:rPr>
              <w:t>Preču zīmju likum</w:t>
            </w:r>
            <w:r w:rsidR="00B347DD">
              <w:rPr>
                <w:rFonts w:ascii="Times New Roman" w:hAnsi="Times New Roman"/>
                <w:sz w:val="24"/>
                <w:szCs w:val="24"/>
              </w:rPr>
              <w:t>a</w:t>
            </w:r>
            <w:r w:rsidRPr="009878E5" w:rsidR="00F76981">
              <w:rPr>
                <w:rFonts w:ascii="Times New Roman" w:hAnsi="Times New Roman"/>
                <w:sz w:val="24"/>
                <w:szCs w:val="24"/>
              </w:rPr>
              <w:t xml:space="preserve"> (spēkā ar 2020. gada 6. martu)</w:t>
            </w:r>
            <w:r w:rsidR="00B347DD">
              <w:rPr>
                <w:rFonts w:ascii="Times New Roman" w:hAnsi="Times New Roman"/>
                <w:sz w:val="24"/>
                <w:szCs w:val="24"/>
              </w:rPr>
              <w:t xml:space="preserve"> normas, ar kurām ir pārņemtas</w:t>
            </w:r>
            <w:r w:rsidRPr="009878E5" w:rsidR="00B70752">
              <w:rPr>
                <w:rFonts w:ascii="Times New Roman" w:hAnsi="Times New Roman"/>
                <w:sz w:val="24"/>
                <w:szCs w:val="24"/>
              </w:rPr>
              <w:t xml:space="preserve"> Eiropas Parlamenta un Padomes 2015. gada 16. decembra direktīv</w:t>
            </w:r>
            <w:r w:rsidRPr="009878E5" w:rsidR="00936CA3">
              <w:rPr>
                <w:rFonts w:ascii="Times New Roman" w:hAnsi="Times New Roman"/>
                <w:sz w:val="24"/>
                <w:szCs w:val="24"/>
              </w:rPr>
              <w:t>as</w:t>
            </w:r>
            <w:r w:rsidRPr="009878E5" w:rsidR="00B70752">
              <w:rPr>
                <w:rFonts w:ascii="Times New Roman" w:hAnsi="Times New Roman"/>
                <w:sz w:val="24"/>
                <w:szCs w:val="24"/>
              </w:rPr>
              <w:t xml:space="preserve"> (ES) 2015/2436, ar ko tuvina dalībvalstu tiesību aktus attiecībā uz preču zīmēm</w:t>
            </w:r>
            <w:r w:rsidRPr="009878E5" w:rsidR="00936CA3">
              <w:rPr>
                <w:rFonts w:ascii="Times New Roman" w:hAnsi="Times New Roman"/>
                <w:sz w:val="24"/>
                <w:szCs w:val="24"/>
              </w:rPr>
              <w:t>,</w:t>
            </w:r>
            <w:r w:rsidRPr="009878E5" w:rsidR="00B70752">
              <w:rPr>
                <w:rFonts w:ascii="Times New Roman" w:hAnsi="Times New Roman"/>
                <w:sz w:val="24"/>
                <w:szCs w:val="24"/>
              </w:rPr>
              <w:t xml:space="preserve"> </w:t>
            </w:r>
            <w:r w:rsidRPr="009878E5" w:rsidR="00F76981">
              <w:rPr>
                <w:rFonts w:ascii="Times New Roman" w:hAnsi="Times New Roman"/>
                <w:sz w:val="24"/>
                <w:szCs w:val="24"/>
              </w:rPr>
              <w:t>prasības</w:t>
            </w:r>
            <w:r w:rsidRPr="009878E5" w:rsidR="00DF7194">
              <w:rPr>
                <w:rFonts w:ascii="Times New Roman" w:hAnsi="Times New Roman"/>
                <w:sz w:val="24"/>
                <w:szCs w:val="24"/>
              </w:rPr>
              <w:t>;</w:t>
            </w:r>
            <w:r w:rsidRPr="009878E5" w:rsidR="00F76981">
              <w:rPr>
                <w:rFonts w:ascii="Times New Roman" w:hAnsi="Times New Roman"/>
                <w:sz w:val="24"/>
                <w:szCs w:val="24"/>
              </w:rPr>
              <w:t xml:space="preserve"> </w:t>
            </w:r>
          </w:p>
          <w:p w:rsidRPr="009878E5" w:rsidR="00447F1F" w:rsidP="009878E5" w:rsidRDefault="005711F3" w14:paraId="1AD01976" w14:textId="070DEF0D">
            <w:pPr>
              <w:pStyle w:val="ListParagraph"/>
              <w:numPr>
                <w:ilvl w:val="0"/>
                <w:numId w:val="3"/>
              </w:numPr>
              <w:spacing w:after="0" w:line="240" w:lineRule="auto"/>
              <w:jc w:val="both"/>
              <w:rPr>
                <w:rFonts w:ascii="Times New Roman" w:hAnsi="Times New Roman"/>
                <w:sz w:val="24"/>
                <w:szCs w:val="24"/>
              </w:rPr>
            </w:pPr>
            <w:r w:rsidRPr="009878E5">
              <w:rPr>
                <w:rFonts w:ascii="Times New Roman" w:hAnsi="Times New Roman"/>
                <w:sz w:val="24"/>
                <w:szCs w:val="24"/>
              </w:rPr>
              <w:t>pamatojoties uz</w:t>
            </w:r>
            <w:r w:rsidRPr="009878E5" w:rsidR="005A5F0E">
              <w:rPr>
                <w:rFonts w:ascii="Times New Roman" w:hAnsi="Times New Roman"/>
                <w:sz w:val="24"/>
                <w:szCs w:val="24"/>
              </w:rPr>
              <w:t xml:space="preserve"> 2006. gada 27. marta Singapūras līgumu par preču zīmēm,</w:t>
            </w:r>
            <w:r w:rsidRPr="009878E5" w:rsidR="004B1DEA">
              <w:rPr>
                <w:rFonts w:ascii="Times New Roman" w:hAnsi="Times New Roman"/>
                <w:sz w:val="24"/>
                <w:szCs w:val="24"/>
              </w:rPr>
              <w:t xml:space="preserve"> kas</w:t>
            </w:r>
            <w:r w:rsidRPr="009878E5" w:rsidR="005A5F0E">
              <w:rPr>
                <w:rFonts w:ascii="Times New Roman" w:hAnsi="Times New Roman"/>
                <w:sz w:val="24"/>
                <w:szCs w:val="24"/>
              </w:rPr>
              <w:t xml:space="preserve"> Latvijā spēkā ar 2009. gada 16. martu</w:t>
            </w:r>
            <w:r w:rsidRPr="009878E5" w:rsidR="00447F1F">
              <w:rPr>
                <w:rFonts w:ascii="Times New Roman" w:hAnsi="Times New Roman"/>
                <w:sz w:val="24"/>
                <w:szCs w:val="24"/>
              </w:rPr>
              <w:t>.</w:t>
            </w:r>
          </w:p>
          <w:p w:rsidR="00936CA3" w:rsidP="000A5A6A" w:rsidRDefault="000A5A6A" w14:paraId="40A0F513" w14:textId="5F96E9C4">
            <w:pPr>
              <w:spacing w:after="0" w:line="240" w:lineRule="auto"/>
              <w:jc w:val="both"/>
              <w:rPr>
                <w:rFonts w:ascii="Times New Roman" w:hAnsi="Times New Roman" w:cs="Times New Roman"/>
                <w:color w:val="000000"/>
                <w:sz w:val="24"/>
              </w:rPr>
            </w:pPr>
            <w:r>
              <w:rPr>
                <w:rFonts w:ascii="Times New Roman" w:hAnsi="Times New Roman"/>
                <w:sz w:val="24"/>
                <w:szCs w:val="24"/>
              </w:rPr>
              <w:t xml:space="preserve">        </w:t>
            </w:r>
            <w:r w:rsidR="005A5F0E">
              <w:rPr>
                <w:rFonts w:ascii="Times New Roman" w:hAnsi="Times New Roman"/>
                <w:sz w:val="24"/>
                <w:szCs w:val="24"/>
              </w:rPr>
              <w:t xml:space="preserve">Projekta mērķis ir </w:t>
            </w:r>
            <w:r w:rsidRPr="00545C48" w:rsidR="00447F1F">
              <w:rPr>
                <w:rFonts w:ascii="Times New Roman" w:hAnsi="Times New Roman"/>
                <w:sz w:val="24"/>
                <w:szCs w:val="24"/>
              </w:rPr>
              <w:t xml:space="preserve">precizēt atsevišķu preču zīmju reģistrācijas un </w:t>
            </w:r>
            <w:proofErr w:type="spellStart"/>
            <w:r w:rsidRPr="00545C48" w:rsidR="00447F1F">
              <w:rPr>
                <w:rFonts w:ascii="Times New Roman" w:hAnsi="Times New Roman"/>
                <w:sz w:val="24"/>
                <w:szCs w:val="24"/>
              </w:rPr>
              <w:t>pēcreģistrācijas</w:t>
            </w:r>
            <w:proofErr w:type="spellEnd"/>
            <w:r w:rsidRPr="00545C48" w:rsidR="00447F1F">
              <w:rPr>
                <w:rFonts w:ascii="Times New Roman" w:hAnsi="Times New Roman"/>
                <w:sz w:val="24"/>
                <w:szCs w:val="24"/>
              </w:rPr>
              <w:t xml:space="preserve"> procedūru kārtību</w:t>
            </w:r>
            <w:r w:rsidR="005D0743">
              <w:rPr>
                <w:rFonts w:ascii="Times New Roman" w:hAnsi="Times New Roman"/>
                <w:sz w:val="24"/>
                <w:szCs w:val="24"/>
              </w:rPr>
              <w:t>.</w:t>
            </w:r>
          </w:p>
          <w:p w:rsidRPr="00545C48" w:rsidR="00447F1F" w:rsidP="009878E5" w:rsidRDefault="00447F1F" w14:paraId="7F2ED69A" w14:textId="4F57F31B">
            <w:pPr>
              <w:spacing w:after="0" w:line="240" w:lineRule="auto"/>
              <w:ind w:firstLine="502"/>
              <w:jc w:val="both"/>
              <w:rPr>
                <w:rFonts w:ascii="Times New Roman" w:hAnsi="Times New Roman" w:eastAsia="Times New Roman" w:cs="Times New Roman"/>
                <w:iCs/>
                <w:color w:val="000000" w:themeColor="text1"/>
                <w:sz w:val="24"/>
                <w:lang w:eastAsia="lv-LV"/>
              </w:rPr>
            </w:pPr>
            <w:r w:rsidRPr="008441D6">
              <w:rPr>
                <w:rFonts w:ascii="Times New Roman" w:hAnsi="Times New Roman" w:cs="Times New Roman"/>
                <w:color w:val="000000"/>
                <w:sz w:val="24"/>
              </w:rPr>
              <w:t xml:space="preserve">Projekts stāsies spēkā </w:t>
            </w:r>
            <w:r w:rsidR="00936CA3">
              <w:rPr>
                <w:rFonts w:ascii="Times New Roman" w:hAnsi="Times New Roman" w:cs="Times New Roman"/>
                <w:color w:val="000000"/>
                <w:sz w:val="24"/>
              </w:rPr>
              <w:t>vispārējā kārtībā</w:t>
            </w:r>
            <w:r w:rsidRPr="008441D6">
              <w:rPr>
                <w:rFonts w:ascii="Times New Roman" w:hAnsi="Times New Roman" w:cs="Times New Roman"/>
                <w:color w:val="000000"/>
                <w:sz w:val="24"/>
              </w:rPr>
              <w:t>.</w:t>
            </w:r>
          </w:p>
        </w:tc>
      </w:tr>
    </w:tbl>
    <w:p w:rsidRPr="00545C48" w:rsidR="00E5323B" w:rsidP="00B70752" w:rsidRDefault="00E5323B" w14:paraId="6C262AC2"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Pr="00545C48" w:rsidR="003C6569" w:rsidTr="00E5323B" w14:paraId="238A9AC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45C48" w:rsidR="00655F2C" w:rsidP="00B70752" w:rsidRDefault="00E5323B" w14:paraId="0F434A6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I. Tiesību akta projekta izstrādes nepieciešamība</w:t>
            </w:r>
          </w:p>
        </w:tc>
      </w:tr>
      <w:tr w:rsidRPr="00545C48" w:rsidR="003C6569" w:rsidTr="004754BE" w14:paraId="615DC7AC"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545C48" w:rsidR="00655F2C" w:rsidP="00B70752" w:rsidRDefault="00E5323B" w14:paraId="175F9437"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1.</w:t>
            </w:r>
          </w:p>
        </w:tc>
        <w:tc>
          <w:tcPr>
            <w:tcW w:w="1301" w:type="pct"/>
            <w:tcBorders>
              <w:top w:val="outset" w:color="auto" w:sz="6" w:space="0"/>
              <w:left w:val="outset" w:color="auto" w:sz="6" w:space="0"/>
              <w:bottom w:val="outset" w:color="auto" w:sz="6" w:space="0"/>
              <w:right w:val="outset" w:color="auto" w:sz="6" w:space="0"/>
            </w:tcBorders>
            <w:hideMark/>
          </w:tcPr>
          <w:p w:rsidRPr="00545C48" w:rsidR="00E5323B" w:rsidP="00B70752" w:rsidRDefault="00E5323B" w14:paraId="48C5BB00"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Pamatojums</w:t>
            </w:r>
          </w:p>
        </w:tc>
        <w:tc>
          <w:tcPr>
            <w:tcW w:w="3336" w:type="pct"/>
            <w:tcBorders>
              <w:top w:val="outset" w:color="auto" w:sz="6" w:space="0"/>
              <w:left w:val="outset" w:color="auto" w:sz="6" w:space="0"/>
              <w:bottom w:val="outset" w:color="auto" w:sz="6" w:space="0"/>
              <w:right w:val="outset" w:color="auto" w:sz="6" w:space="0"/>
            </w:tcBorders>
            <w:hideMark/>
          </w:tcPr>
          <w:p w:rsidRPr="00545C48" w:rsidR="00E5323B" w:rsidP="00000545" w:rsidRDefault="00792FE9" w14:paraId="374B5DE4" w14:textId="1C1569C1">
            <w:pPr>
              <w:spacing w:after="0" w:line="240" w:lineRule="auto"/>
              <w:jc w:val="both"/>
              <w:rPr>
                <w:rFonts w:ascii="Times New Roman" w:hAnsi="Times New Roman" w:cs="Times New Roman"/>
                <w:iCs/>
                <w:color w:val="000000" w:themeColor="text1"/>
                <w:sz w:val="24"/>
                <w:szCs w:val="24"/>
                <w:shd w:val="clear" w:color="auto" w:fill="FFFFFF"/>
              </w:rPr>
            </w:pPr>
            <w:r w:rsidRPr="00545C48">
              <w:rPr>
                <w:rFonts w:ascii="Times New Roman" w:hAnsi="Times New Roman"/>
                <w:sz w:val="24"/>
                <w:szCs w:val="24"/>
              </w:rPr>
              <w:t xml:space="preserve">            </w:t>
            </w:r>
            <w:r w:rsidR="00936CA3">
              <w:rPr>
                <w:rFonts w:ascii="Times New Roman" w:hAnsi="Times New Roman" w:eastAsia="Times New Roman" w:cs="Times New Roman"/>
                <w:iCs/>
                <w:color w:val="000000" w:themeColor="text1"/>
                <w:sz w:val="24"/>
                <w:szCs w:val="24"/>
                <w:lang w:eastAsia="lv-LV"/>
              </w:rPr>
              <w:t>Ministru kabineta noteikumu projekts "Preču zīmju reģistrācijas pieteikumu, tiesību uz preču zīmi pārejas un licencēšanas noteikumi" (turpmāk – Projekts)</w:t>
            </w:r>
            <w:r w:rsidRPr="00545C48" w:rsidR="00804A2E">
              <w:rPr>
                <w:rFonts w:ascii="Times New Roman" w:hAnsi="Times New Roman"/>
                <w:sz w:val="24"/>
                <w:szCs w:val="24"/>
              </w:rPr>
              <w:t xml:space="preserve"> izstrādāts</w:t>
            </w:r>
            <w:r w:rsidR="009852A4">
              <w:rPr>
                <w:rFonts w:ascii="Times New Roman" w:hAnsi="Times New Roman"/>
                <w:sz w:val="24"/>
                <w:szCs w:val="24"/>
              </w:rPr>
              <w:t xml:space="preserve">, pamatojoties uz </w:t>
            </w:r>
            <w:r w:rsidRPr="00545C48" w:rsidR="00804A2E">
              <w:rPr>
                <w:rFonts w:ascii="Times New Roman" w:hAnsi="Times New Roman"/>
                <w:sz w:val="24"/>
                <w:szCs w:val="24"/>
              </w:rPr>
              <w:t>Preču zīmju likuma 28. panta astot</w:t>
            </w:r>
            <w:r w:rsidR="00653B59">
              <w:rPr>
                <w:rFonts w:ascii="Times New Roman" w:hAnsi="Times New Roman"/>
                <w:sz w:val="24"/>
                <w:szCs w:val="24"/>
              </w:rPr>
              <w:t>ajā</w:t>
            </w:r>
            <w:r w:rsidRPr="00545C48" w:rsidR="00804A2E">
              <w:rPr>
                <w:rFonts w:ascii="Times New Roman" w:hAnsi="Times New Roman"/>
                <w:sz w:val="24"/>
                <w:szCs w:val="24"/>
              </w:rPr>
              <w:t xml:space="preserve"> daļ</w:t>
            </w:r>
            <w:r w:rsidR="00653B59">
              <w:rPr>
                <w:rFonts w:ascii="Times New Roman" w:hAnsi="Times New Roman"/>
                <w:sz w:val="24"/>
                <w:szCs w:val="24"/>
              </w:rPr>
              <w:t>ā</w:t>
            </w:r>
            <w:r w:rsidRPr="00545C48" w:rsidR="00804A2E">
              <w:rPr>
                <w:rFonts w:ascii="Times New Roman" w:hAnsi="Times New Roman"/>
                <w:sz w:val="24"/>
                <w:szCs w:val="24"/>
              </w:rPr>
              <w:t>, 29. panta vienpadsmit</w:t>
            </w:r>
            <w:r w:rsidR="00653B59">
              <w:rPr>
                <w:rFonts w:ascii="Times New Roman" w:hAnsi="Times New Roman"/>
                <w:sz w:val="24"/>
                <w:szCs w:val="24"/>
              </w:rPr>
              <w:t>ajā</w:t>
            </w:r>
            <w:r w:rsidRPr="00545C48" w:rsidR="00804A2E">
              <w:rPr>
                <w:rFonts w:ascii="Times New Roman" w:hAnsi="Times New Roman"/>
                <w:sz w:val="24"/>
                <w:szCs w:val="24"/>
              </w:rPr>
              <w:t xml:space="preserve"> daļ</w:t>
            </w:r>
            <w:r w:rsidR="00653B59">
              <w:rPr>
                <w:rFonts w:ascii="Times New Roman" w:hAnsi="Times New Roman"/>
                <w:sz w:val="24"/>
                <w:szCs w:val="24"/>
              </w:rPr>
              <w:t>ā</w:t>
            </w:r>
            <w:r w:rsidRPr="00545C48" w:rsidR="00804A2E">
              <w:rPr>
                <w:rFonts w:ascii="Times New Roman" w:hAnsi="Times New Roman"/>
                <w:sz w:val="24"/>
                <w:szCs w:val="24"/>
              </w:rPr>
              <w:t xml:space="preserve"> un 30. panta sest</w:t>
            </w:r>
            <w:r w:rsidR="00653B59">
              <w:rPr>
                <w:rFonts w:ascii="Times New Roman" w:hAnsi="Times New Roman"/>
                <w:sz w:val="24"/>
                <w:szCs w:val="24"/>
              </w:rPr>
              <w:t>ajā</w:t>
            </w:r>
            <w:r w:rsidRPr="00545C48" w:rsidR="00804A2E">
              <w:rPr>
                <w:rFonts w:ascii="Times New Roman" w:hAnsi="Times New Roman"/>
                <w:sz w:val="24"/>
                <w:szCs w:val="24"/>
              </w:rPr>
              <w:t xml:space="preserve"> daļ</w:t>
            </w:r>
            <w:r w:rsidR="00653B59">
              <w:rPr>
                <w:rFonts w:ascii="Times New Roman" w:hAnsi="Times New Roman"/>
                <w:sz w:val="24"/>
                <w:szCs w:val="24"/>
              </w:rPr>
              <w:t>ā noteikto deleģējumu</w:t>
            </w:r>
            <w:r w:rsidR="00FE5BEF">
              <w:rPr>
                <w:rFonts w:ascii="Times New Roman" w:hAnsi="Times New Roman"/>
                <w:sz w:val="24"/>
                <w:szCs w:val="24"/>
              </w:rPr>
              <w:t xml:space="preserve">, </w:t>
            </w:r>
            <w:r w:rsidR="00000545">
              <w:rPr>
                <w:rFonts w:ascii="Times New Roman" w:hAnsi="Times New Roman"/>
                <w:sz w:val="24"/>
                <w:szCs w:val="24"/>
              </w:rPr>
              <w:t xml:space="preserve">tādā veidā piemērojot </w:t>
            </w:r>
            <w:r w:rsidR="00FE5BEF">
              <w:rPr>
                <w:rFonts w:ascii="Times New Roman" w:hAnsi="Times New Roman"/>
                <w:sz w:val="24"/>
                <w:szCs w:val="24"/>
              </w:rPr>
              <w:t>Preču zīmju likum</w:t>
            </w:r>
            <w:r w:rsidR="00000545">
              <w:rPr>
                <w:rFonts w:ascii="Times New Roman" w:hAnsi="Times New Roman"/>
                <w:sz w:val="24"/>
                <w:szCs w:val="24"/>
              </w:rPr>
              <w:t>a normas, ar kurām pārņemtas</w:t>
            </w:r>
            <w:r w:rsidR="00FE5BEF">
              <w:rPr>
                <w:rFonts w:ascii="Times New Roman" w:hAnsi="Times New Roman"/>
                <w:sz w:val="24"/>
                <w:szCs w:val="24"/>
              </w:rPr>
              <w:t xml:space="preserve"> </w:t>
            </w:r>
            <w:r w:rsidRPr="00545C48" w:rsidR="00936CA3">
              <w:rPr>
                <w:rFonts w:ascii="Times New Roman" w:hAnsi="Times New Roman"/>
                <w:sz w:val="24"/>
                <w:szCs w:val="24"/>
              </w:rPr>
              <w:t>Eiropas Parlamenta un Padomes 2015. gada 16. decembra direktīv</w:t>
            </w:r>
            <w:r w:rsidR="00936CA3">
              <w:rPr>
                <w:rFonts w:ascii="Times New Roman" w:hAnsi="Times New Roman"/>
                <w:sz w:val="24"/>
                <w:szCs w:val="24"/>
              </w:rPr>
              <w:t>ā</w:t>
            </w:r>
            <w:r w:rsidRPr="00545C48" w:rsidR="00936CA3">
              <w:rPr>
                <w:rFonts w:ascii="Times New Roman" w:hAnsi="Times New Roman"/>
                <w:sz w:val="24"/>
                <w:szCs w:val="24"/>
              </w:rPr>
              <w:t xml:space="preserve"> (ES) 2015/2436, ar ko tuvina dalībvalstu tiesību aktus attiecībā uz preču zīmēm</w:t>
            </w:r>
            <w:r w:rsidR="00DF7194">
              <w:rPr>
                <w:rFonts w:ascii="Times New Roman" w:hAnsi="Times New Roman"/>
                <w:sz w:val="24"/>
                <w:szCs w:val="24"/>
              </w:rPr>
              <w:t>,</w:t>
            </w:r>
            <w:r w:rsidRPr="00545C48" w:rsidR="00936CA3">
              <w:rPr>
                <w:rFonts w:ascii="Times New Roman" w:hAnsi="Times New Roman"/>
                <w:sz w:val="24"/>
                <w:szCs w:val="24"/>
              </w:rPr>
              <w:t xml:space="preserve"> (turpmāk – Preču zīmju direktīva)</w:t>
            </w:r>
            <w:r w:rsidR="00936CA3">
              <w:rPr>
                <w:rFonts w:ascii="Times New Roman" w:hAnsi="Times New Roman"/>
                <w:sz w:val="24"/>
                <w:szCs w:val="24"/>
              </w:rPr>
              <w:t xml:space="preserve"> </w:t>
            </w:r>
            <w:r w:rsidR="00447F1F">
              <w:rPr>
                <w:rFonts w:ascii="Times New Roman" w:hAnsi="Times New Roman"/>
                <w:sz w:val="24"/>
                <w:szCs w:val="24"/>
              </w:rPr>
              <w:t>paredzētās prasības</w:t>
            </w:r>
            <w:r w:rsidRPr="00545C48" w:rsidR="00804A2E">
              <w:rPr>
                <w:rFonts w:ascii="Times New Roman" w:hAnsi="Times New Roman"/>
                <w:sz w:val="24"/>
                <w:szCs w:val="24"/>
              </w:rPr>
              <w:t xml:space="preserve">, kā arī </w:t>
            </w:r>
            <w:r w:rsidR="00447F1F">
              <w:rPr>
                <w:rFonts w:ascii="Times New Roman" w:hAnsi="Times New Roman"/>
                <w:sz w:val="24"/>
                <w:szCs w:val="24"/>
              </w:rPr>
              <w:t>pamatojoties uz</w:t>
            </w:r>
            <w:r w:rsidRPr="00545C48" w:rsidR="00804A2E">
              <w:rPr>
                <w:rFonts w:ascii="Times New Roman" w:hAnsi="Times New Roman"/>
                <w:sz w:val="24"/>
                <w:szCs w:val="24"/>
              </w:rPr>
              <w:t xml:space="preserve"> </w:t>
            </w:r>
            <w:r w:rsidRPr="00545C48" w:rsidR="00936CA3">
              <w:rPr>
                <w:rFonts w:ascii="Times New Roman" w:hAnsi="Times New Roman"/>
                <w:sz w:val="24"/>
                <w:szCs w:val="24"/>
              </w:rPr>
              <w:t>2006. gada 27. marta Singapūras līgumu par preču zīmēm,</w:t>
            </w:r>
            <w:r w:rsidR="00936CA3">
              <w:rPr>
                <w:rFonts w:ascii="Times New Roman" w:hAnsi="Times New Roman"/>
                <w:sz w:val="24"/>
                <w:szCs w:val="24"/>
              </w:rPr>
              <w:t xml:space="preserve"> kas</w:t>
            </w:r>
            <w:r w:rsidRPr="00545C48" w:rsidR="00936CA3">
              <w:rPr>
                <w:rFonts w:ascii="Times New Roman" w:hAnsi="Times New Roman"/>
                <w:sz w:val="24"/>
                <w:szCs w:val="24"/>
              </w:rPr>
              <w:t xml:space="preserve"> Latvijā spēkā ar 2009.</w:t>
            </w:r>
            <w:r w:rsidR="00936CA3">
              <w:rPr>
                <w:rFonts w:ascii="Times New Roman" w:hAnsi="Times New Roman"/>
                <w:sz w:val="24"/>
                <w:szCs w:val="24"/>
              </w:rPr>
              <w:t> </w:t>
            </w:r>
            <w:r w:rsidRPr="00545C48" w:rsidR="00936CA3">
              <w:rPr>
                <w:rFonts w:ascii="Times New Roman" w:hAnsi="Times New Roman"/>
                <w:sz w:val="24"/>
                <w:szCs w:val="24"/>
              </w:rPr>
              <w:t>gada 16.</w:t>
            </w:r>
            <w:r w:rsidR="00936CA3">
              <w:rPr>
                <w:rFonts w:ascii="Times New Roman" w:hAnsi="Times New Roman"/>
                <w:sz w:val="24"/>
                <w:szCs w:val="24"/>
              </w:rPr>
              <w:t> </w:t>
            </w:r>
            <w:r w:rsidRPr="00545C48" w:rsidR="00936CA3">
              <w:rPr>
                <w:rFonts w:ascii="Times New Roman" w:hAnsi="Times New Roman"/>
                <w:sz w:val="24"/>
                <w:szCs w:val="24"/>
              </w:rPr>
              <w:t>martu</w:t>
            </w:r>
            <w:r w:rsidR="00936CA3">
              <w:rPr>
                <w:rFonts w:ascii="Times New Roman" w:hAnsi="Times New Roman"/>
                <w:sz w:val="24"/>
                <w:szCs w:val="24"/>
              </w:rPr>
              <w:t xml:space="preserve"> (turpmāk – Singapūras līgums)</w:t>
            </w:r>
            <w:r w:rsidRPr="00545C48" w:rsidR="00804A2E">
              <w:rPr>
                <w:rFonts w:ascii="Times New Roman" w:hAnsi="Times New Roman"/>
                <w:sz w:val="24"/>
                <w:szCs w:val="24"/>
              </w:rPr>
              <w:t>,</w:t>
            </w:r>
            <w:r w:rsidR="004B1DEA">
              <w:rPr>
                <w:rFonts w:ascii="Times New Roman" w:hAnsi="Times New Roman"/>
                <w:sz w:val="24"/>
                <w:szCs w:val="24"/>
              </w:rPr>
              <w:t xml:space="preserve"> kas nosaka</w:t>
            </w:r>
            <w:r w:rsidRPr="00545C48" w:rsidR="00804A2E">
              <w:rPr>
                <w:rFonts w:ascii="Times New Roman" w:hAnsi="Times New Roman"/>
                <w:sz w:val="24"/>
                <w:szCs w:val="24"/>
              </w:rPr>
              <w:t xml:space="preserve"> preču zīmju reģistrācijas administratīvo procedūru elementus šā līguma dalībvalstīs.</w:t>
            </w:r>
          </w:p>
        </w:tc>
      </w:tr>
      <w:tr w:rsidRPr="00545C48" w:rsidR="003C6569" w:rsidTr="009878E5" w14:paraId="6FB4FAE3" w14:textId="77777777">
        <w:trPr>
          <w:trHeight w:val="1196"/>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545C48" w:rsidR="00655F2C" w:rsidP="00E5323B" w:rsidRDefault="00E5323B" w14:paraId="65C1F523"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2.</w:t>
            </w:r>
          </w:p>
        </w:tc>
        <w:tc>
          <w:tcPr>
            <w:tcW w:w="1301" w:type="pct"/>
            <w:tcBorders>
              <w:top w:val="outset" w:color="auto" w:sz="6" w:space="0"/>
              <w:left w:val="outset" w:color="auto" w:sz="6" w:space="0"/>
              <w:bottom w:val="outset" w:color="auto" w:sz="6" w:space="0"/>
              <w:right w:val="outset" w:color="auto" w:sz="6" w:space="0"/>
            </w:tcBorders>
            <w:hideMark/>
          </w:tcPr>
          <w:p w:rsidRPr="00545C48" w:rsidR="00E5323B" w:rsidP="00834D90" w:rsidRDefault="00E5323B" w14:paraId="34744F64"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Pr="00545C48" w:rsidR="009863C4" w:rsidP="009863C4" w:rsidRDefault="009863C4" w14:paraId="11ADA9EC" w14:textId="77777777">
            <w:pPr>
              <w:rPr>
                <w:rFonts w:ascii="Times New Roman" w:hAnsi="Times New Roman" w:eastAsia="Times New Roman" w:cs="Times New Roman"/>
                <w:sz w:val="24"/>
                <w:szCs w:val="24"/>
                <w:lang w:eastAsia="lv-LV"/>
              </w:rPr>
            </w:pPr>
          </w:p>
          <w:p w:rsidRPr="00545C48" w:rsidR="009863C4" w:rsidP="009863C4" w:rsidRDefault="009863C4" w14:paraId="4BBCCC76" w14:textId="77777777">
            <w:pPr>
              <w:rPr>
                <w:rFonts w:ascii="Times New Roman" w:hAnsi="Times New Roman" w:eastAsia="Times New Roman" w:cs="Times New Roman"/>
                <w:sz w:val="24"/>
                <w:szCs w:val="24"/>
                <w:lang w:eastAsia="lv-LV"/>
              </w:rPr>
            </w:pPr>
          </w:p>
          <w:p w:rsidRPr="00545C48" w:rsidR="009863C4" w:rsidP="009863C4" w:rsidRDefault="009863C4" w14:paraId="0CEB328C" w14:textId="77777777">
            <w:pPr>
              <w:rPr>
                <w:rFonts w:ascii="Times New Roman" w:hAnsi="Times New Roman" w:eastAsia="Times New Roman" w:cs="Times New Roman"/>
                <w:sz w:val="24"/>
                <w:szCs w:val="24"/>
                <w:lang w:eastAsia="lv-LV"/>
              </w:rPr>
            </w:pPr>
          </w:p>
          <w:p w:rsidRPr="00545C48" w:rsidR="009863C4" w:rsidP="009863C4" w:rsidRDefault="009863C4" w14:paraId="0E7E98BE" w14:textId="77777777">
            <w:pPr>
              <w:rPr>
                <w:rFonts w:ascii="Times New Roman" w:hAnsi="Times New Roman" w:eastAsia="Times New Roman" w:cs="Times New Roman"/>
                <w:sz w:val="24"/>
                <w:szCs w:val="24"/>
                <w:lang w:eastAsia="lv-LV"/>
              </w:rPr>
            </w:pPr>
          </w:p>
          <w:p w:rsidRPr="00545C48" w:rsidR="009863C4" w:rsidP="009863C4" w:rsidRDefault="009863C4" w14:paraId="568D84E9" w14:textId="77777777">
            <w:pPr>
              <w:rPr>
                <w:rFonts w:ascii="Times New Roman" w:hAnsi="Times New Roman" w:eastAsia="Times New Roman" w:cs="Times New Roman"/>
                <w:sz w:val="24"/>
                <w:szCs w:val="24"/>
                <w:lang w:eastAsia="lv-LV"/>
              </w:rPr>
            </w:pPr>
          </w:p>
          <w:p w:rsidRPr="00545C48" w:rsidR="009863C4" w:rsidP="009863C4" w:rsidRDefault="009863C4" w14:paraId="7FEE2A06" w14:textId="77777777">
            <w:pPr>
              <w:rPr>
                <w:rFonts w:ascii="Times New Roman" w:hAnsi="Times New Roman" w:eastAsia="Times New Roman" w:cs="Times New Roman"/>
                <w:sz w:val="24"/>
                <w:szCs w:val="24"/>
                <w:lang w:eastAsia="lv-LV"/>
              </w:rPr>
            </w:pPr>
          </w:p>
          <w:p w:rsidRPr="00545C48" w:rsidR="009863C4" w:rsidP="009863C4" w:rsidRDefault="009863C4" w14:paraId="1B27D68B" w14:textId="77777777">
            <w:pPr>
              <w:rPr>
                <w:rFonts w:ascii="Times New Roman" w:hAnsi="Times New Roman" w:eastAsia="Times New Roman" w:cs="Times New Roman"/>
                <w:sz w:val="24"/>
                <w:szCs w:val="24"/>
                <w:lang w:eastAsia="lv-LV"/>
              </w:rPr>
            </w:pPr>
          </w:p>
          <w:p w:rsidRPr="00545C48" w:rsidR="009863C4" w:rsidP="009863C4" w:rsidRDefault="009863C4" w14:paraId="566CEA98" w14:textId="77777777">
            <w:pPr>
              <w:rPr>
                <w:rFonts w:ascii="Times New Roman" w:hAnsi="Times New Roman" w:eastAsia="Times New Roman" w:cs="Times New Roman"/>
                <w:sz w:val="24"/>
                <w:szCs w:val="24"/>
                <w:lang w:eastAsia="lv-LV"/>
              </w:rPr>
            </w:pPr>
          </w:p>
          <w:p w:rsidRPr="00545C48" w:rsidR="009863C4" w:rsidP="009863C4" w:rsidRDefault="009863C4" w14:paraId="1A96CED9" w14:textId="77777777">
            <w:pPr>
              <w:rPr>
                <w:rFonts w:ascii="Times New Roman" w:hAnsi="Times New Roman" w:eastAsia="Times New Roman" w:cs="Times New Roman"/>
                <w:sz w:val="24"/>
                <w:szCs w:val="24"/>
                <w:lang w:eastAsia="lv-LV"/>
              </w:rPr>
            </w:pPr>
          </w:p>
          <w:p w:rsidRPr="00545C48" w:rsidR="009863C4" w:rsidP="009863C4" w:rsidRDefault="009863C4" w14:paraId="1CA0D85A" w14:textId="77777777">
            <w:pPr>
              <w:rPr>
                <w:rFonts w:ascii="Times New Roman" w:hAnsi="Times New Roman" w:eastAsia="Times New Roman" w:cs="Times New Roman"/>
                <w:sz w:val="24"/>
                <w:szCs w:val="24"/>
                <w:lang w:eastAsia="lv-LV"/>
              </w:rPr>
            </w:pPr>
          </w:p>
          <w:p w:rsidRPr="00545C48" w:rsidR="009863C4" w:rsidP="00A44135" w:rsidRDefault="009863C4" w14:paraId="3ACE56C2" w14:textId="77777777">
            <w:pPr>
              <w:ind w:firstLine="720"/>
              <w:rPr>
                <w:rFonts w:ascii="Times New Roman" w:hAnsi="Times New Roman" w:eastAsia="Times New Roman" w:cs="Times New Roman"/>
                <w:sz w:val="24"/>
                <w:szCs w:val="24"/>
                <w:lang w:eastAsia="lv-LV"/>
              </w:rPr>
            </w:pPr>
          </w:p>
          <w:p w:rsidRPr="00545C48" w:rsidR="009863C4" w:rsidP="009863C4" w:rsidRDefault="009863C4" w14:paraId="5BD00EA2" w14:textId="77777777">
            <w:pPr>
              <w:rPr>
                <w:rFonts w:ascii="Times New Roman" w:hAnsi="Times New Roman" w:eastAsia="Times New Roman" w:cs="Times New Roman"/>
                <w:iCs/>
                <w:color w:val="000000" w:themeColor="text1"/>
                <w:sz w:val="24"/>
                <w:szCs w:val="24"/>
                <w:lang w:eastAsia="lv-LV"/>
              </w:rPr>
            </w:pPr>
          </w:p>
          <w:p w:rsidRPr="00545C48" w:rsidR="009863C4" w:rsidP="009863C4" w:rsidRDefault="009863C4" w14:paraId="5CE62FE2" w14:textId="18E31CAE">
            <w:pPr>
              <w:ind w:firstLine="720"/>
              <w:rPr>
                <w:rFonts w:ascii="Times New Roman" w:hAnsi="Times New Roman" w:eastAsia="Times New Roman" w:cs="Times New Roman"/>
                <w:sz w:val="24"/>
                <w:szCs w:val="24"/>
                <w:lang w:eastAsia="lv-LV"/>
              </w:rPr>
            </w:pPr>
          </w:p>
        </w:tc>
        <w:tc>
          <w:tcPr>
            <w:tcW w:w="3336" w:type="pct"/>
            <w:tcBorders>
              <w:top w:val="outset" w:color="auto" w:sz="6" w:space="0"/>
              <w:left w:val="outset" w:color="auto" w:sz="6" w:space="0"/>
              <w:bottom w:val="outset" w:color="auto" w:sz="6" w:space="0"/>
              <w:right w:val="outset" w:color="auto" w:sz="6" w:space="0"/>
            </w:tcBorders>
            <w:shd w:val="clear" w:color="auto" w:fill="auto"/>
            <w:hideMark/>
          </w:tcPr>
          <w:p w:rsidRPr="00545C48" w:rsidR="00804A2E" w:rsidP="00804A2E" w:rsidRDefault="00792FE9" w14:paraId="10ABC7D4" w14:textId="275A01BE">
            <w:pPr>
              <w:pStyle w:val="Body"/>
              <w:spacing w:line="240" w:lineRule="auto"/>
              <w:jc w:val="both"/>
              <w:rPr>
                <w:rFonts w:ascii="Times New Roman" w:hAnsi="Times New Roman"/>
                <w:sz w:val="24"/>
                <w:szCs w:val="24"/>
              </w:rPr>
            </w:pPr>
            <w:r w:rsidRPr="00545C48">
              <w:rPr>
                <w:rFonts w:ascii="Times New Roman" w:hAnsi="Times New Roman"/>
                <w:sz w:val="24"/>
                <w:szCs w:val="24"/>
              </w:rPr>
              <w:lastRenderedPageBreak/>
              <w:t xml:space="preserve">            </w:t>
            </w:r>
            <w:r w:rsidR="000A5A6A">
              <w:rPr>
                <w:rFonts w:ascii="Times New Roman" w:hAnsi="Times New Roman"/>
                <w:sz w:val="24"/>
                <w:szCs w:val="24"/>
              </w:rPr>
              <w:t xml:space="preserve">Līdz šim atsevišķa preču zīmju reģistrācijas un </w:t>
            </w:r>
            <w:proofErr w:type="spellStart"/>
            <w:r w:rsidR="000A5A6A">
              <w:rPr>
                <w:rFonts w:ascii="Times New Roman" w:hAnsi="Times New Roman"/>
                <w:sz w:val="24"/>
                <w:szCs w:val="24"/>
              </w:rPr>
              <w:t>pēcreģistrācijas</w:t>
            </w:r>
            <w:proofErr w:type="spellEnd"/>
            <w:r w:rsidR="000A5A6A">
              <w:rPr>
                <w:rFonts w:ascii="Times New Roman" w:hAnsi="Times New Roman"/>
                <w:sz w:val="24"/>
                <w:szCs w:val="24"/>
              </w:rPr>
              <w:t xml:space="preserve"> procedūru kārtība nav tikusi</w:t>
            </w:r>
            <w:r w:rsidR="00CA19E8">
              <w:rPr>
                <w:rFonts w:ascii="Times New Roman" w:hAnsi="Times New Roman"/>
                <w:sz w:val="24"/>
                <w:szCs w:val="24"/>
              </w:rPr>
              <w:t xml:space="preserve"> detalizēti aprakstīta un</w:t>
            </w:r>
            <w:r w:rsidR="000A5A6A">
              <w:rPr>
                <w:rFonts w:ascii="Times New Roman" w:hAnsi="Times New Roman"/>
                <w:sz w:val="24"/>
                <w:szCs w:val="24"/>
              </w:rPr>
              <w:t xml:space="preserve"> regulēta nevienā normatīvā aktā. </w:t>
            </w:r>
            <w:r w:rsidRPr="00545C48" w:rsidR="00804A2E">
              <w:rPr>
                <w:rFonts w:ascii="Times New Roman" w:hAnsi="Times New Roman"/>
                <w:sz w:val="24"/>
                <w:szCs w:val="24"/>
              </w:rPr>
              <w:t>Tas izskaidrojams vispirms ar to apstākli, ka vienkāršāki bija tie apzīmējumu veidi, kurus līdz Preču zīmju likuma spēkā stāšanās brīdim bija iespējams reģistrēt kā preču zīmes (tie bija tikai tādi apzīmējumi, kurus viegli varēja attēlot grafiski), kā arī ar to, ka tiesību uz preču zīmi pārejas procedūrās, kā arī licenču līgumu reģistrācijas procedūrās Patentu valde un tās klienti vadījās no vispārpieņemtiem iesniedzamo dokumentu un reģistrā iekļaujamo datu izvērtēšanas nosacījumiem, tostarp arī no Dokumentu juridiskā spēka likuma normām</w:t>
            </w:r>
            <w:r w:rsidRPr="004B1DEA" w:rsidR="00804A2E">
              <w:rPr>
                <w:rFonts w:ascii="Times New Roman" w:hAnsi="Times New Roman"/>
                <w:sz w:val="24"/>
                <w:szCs w:val="24"/>
              </w:rPr>
              <w:t>.</w:t>
            </w:r>
            <w:r w:rsidR="00900842">
              <w:rPr>
                <w:rFonts w:ascii="Times New Roman" w:hAnsi="Times New Roman"/>
                <w:sz w:val="24"/>
                <w:szCs w:val="24"/>
              </w:rPr>
              <w:t xml:space="preserve"> </w:t>
            </w:r>
            <w:r w:rsidRPr="00545C48" w:rsidR="00804A2E">
              <w:rPr>
                <w:rFonts w:ascii="Times New Roman" w:hAnsi="Times New Roman"/>
                <w:sz w:val="24"/>
                <w:szCs w:val="24"/>
              </w:rPr>
              <w:t xml:space="preserve">Patentu valde savā darbā ir mācījusies no citu valstu preču zīmju reģistrācijas iestāžu ilgstošā darbībā izstrādātajām pieejām, kā arī vadījusies no starptautisko līgumu, īpaši Singapūras līguma </w:t>
            </w:r>
            <w:r w:rsidRPr="00545C48" w:rsidR="00804A2E">
              <w:rPr>
                <w:rFonts w:ascii="Times New Roman" w:hAnsi="Times New Roman"/>
                <w:sz w:val="24"/>
                <w:szCs w:val="24"/>
              </w:rPr>
              <w:lastRenderedPageBreak/>
              <w:t xml:space="preserve">noteikumiem. Bija </w:t>
            </w:r>
            <w:r w:rsidR="00C74DA7">
              <w:rPr>
                <w:rFonts w:ascii="Times New Roman" w:hAnsi="Times New Roman"/>
                <w:sz w:val="24"/>
                <w:szCs w:val="24"/>
              </w:rPr>
              <w:t>nepieciešams</w:t>
            </w:r>
            <w:r w:rsidRPr="00545C48" w:rsidR="00804A2E">
              <w:rPr>
                <w:rFonts w:ascii="Times New Roman" w:hAnsi="Times New Roman"/>
                <w:sz w:val="24"/>
                <w:szCs w:val="24"/>
              </w:rPr>
              <w:t xml:space="preserve"> šos noteikumus ietvert īpaši šim nolūkam paredzētā normatīvajā aktā arī tāpēc, ka starptautisko nolīgumu normas nevar piemērot tiešā veidā. Turklāt detalizētas prasības attiecībā uz specifisku procedūru norisi neiederas likumā; šādam regulējumam piemērotāka forma ir Ministru kabineta noteikumi.</w:t>
            </w:r>
          </w:p>
          <w:p w:rsidRPr="00545C48" w:rsidR="00804A2E" w:rsidP="00804A2E" w:rsidRDefault="00792FE9" w14:paraId="469A8177" w14:textId="26692457">
            <w:pPr>
              <w:pStyle w:val="Body"/>
              <w:spacing w:line="240" w:lineRule="auto"/>
              <w:jc w:val="both"/>
              <w:rPr>
                <w:rFonts w:ascii="Times New Roman" w:hAnsi="Times New Roman"/>
                <w:sz w:val="24"/>
                <w:szCs w:val="24"/>
              </w:rPr>
            </w:pPr>
            <w:r w:rsidRPr="00545C48">
              <w:rPr>
                <w:rFonts w:ascii="Times New Roman" w:hAnsi="Times New Roman"/>
                <w:sz w:val="24"/>
                <w:szCs w:val="24"/>
              </w:rPr>
              <w:t xml:space="preserve">            </w:t>
            </w:r>
            <w:r w:rsidRPr="00545C48" w:rsidR="00804A2E">
              <w:rPr>
                <w:rFonts w:ascii="Times New Roman" w:hAnsi="Times New Roman"/>
                <w:sz w:val="24"/>
                <w:szCs w:val="24"/>
              </w:rPr>
              <w:t xml:space="preserve">Preču zīmju likuma 28. panta astotajā daļā ir noteikts, ka Ministru kabinets nosaka kārtību, kādā preču zīmes reģistrācijas un reģistrācijas pieteikuma pāreja izskatāma un reģistrējama Patentu valdē; šie noteikumi ir ietverti </w:t>
            </w:r>
            <w:r w:rsidR="005B467A">
              <w:rPr>
                <w:rFonts w:ascii="Times New Roman" w:hAnsi="Times New Roman"/>
                <w:sz w:val="24"/>
                <w:szCs w:val="24"/>
              </w:rPr>
              <w:t>P</w:t>
            </w:r>
            <w:r w:rsidRPr="00545C48" w:rsidR="00804A2E">
              <w:rPr>
                <w:rFonts w:ascii="Times New Roman" w:hAnsi="Times New Roman"/>
                <w:sz w:val="24"/>
                <w:szCs w:val="24"/>
              </w:rPr>
              <w:t>rojekta III nodaļā (1</w:t>
            </w:r>
            <w:r w:rsidR="005466DE">
              <w:rPr>
                <w:rFonts w:ascii="Times New Roman" w:hAnsi="Times New Roman"/>
                <w:sz w:val="24"/>
                <w:szCs w:val="24"/>
              </w:rPr>
              <w:t>1</w:t>
            </w:r>
            <w:r w:rsidRPr="00545C48" w:rsidR="00804A2E">
              <w:rPr>
                <w:rFonts w:ascii="Times New Roman" w:hAnsi="Times New Roman"/>
                <w:sz w:val="24"/>
                <w:szCs w:val="24"/>
              </w:rPr>
              <w:t>.–</w:t>
            </w:r>
            <w:r w:rsidR="00B41109">
              <w:rPr>
                <w:rFonts w:ascii="Times New Roman" w:hAnsi="Times New Roman"/>
                <w:sz w:val="24"/>
                <w:szCs w:val="24"/>
              </w:rPr>
              <w:t>19</w:t>
            </w:r>
            <w:r w:rsidRPr="00545C48" w:rsidR="00804A2E">
              <w:rPr>
                <w:rFonts w:ascii="Times New Roman" w:hAnsi="Times New Roman"/>
                <w:sz w:val="24"/>
                <w:szCs w:val="24"/>
              </w:rPr>
              <w:t>. punkts). Preču zīmju likuma 29. panta vienpadsmitajā daļā ir noteikts, ka Ministru kabinets nosaka kārtību, kādā Patentu valde izskata un reģistrē licences līgumus, grozī</w:t>
            </w:r>
            <w:r w:rsidRPr="00894E54" w:rsidR="00804A2E">
              <w:rPr>
                <w:rFonts w:ascii="Times New Roman" w:hAnsi="Times New Roman"/>
                <w:sz w:val="24"/>
                <w:szCs w:val="24"/>
              </w:rPr>
              <w:t>jumus tajos un to darb</w:t>
            </w:r>
            <w:r w:rsidRPr="00545C48" w:rsidR="00804A2E">
              <w:rPr>
                <w:rFonts w:ascii="Times New Roman" w:hAnsi="Times New Roman"/>
                <w:sz w:val="24"/>
                <w:szCs w:val="24"/>
              </w:rPr>
              <w:t xml:space="preserve">ības izbeigšanu; šie noteikumi ir </w:t>
            </w:r>
            <w:r w:rsidR="005B467A">
              <w:rPr>
                <w:rFonts w:ascii="Times New Roman" w:hAnsi="Times New Roman"/>
                <w:sz w:val="24"/>
                <w:szCs w:val="24"/>
              </w:rPr>
              <w:t>P</w:t>
            </w:r>
            <w:r w:rsidRPr="00545C48" w:rsidR="00804A2E">
              <w:rPr>
                <w:rFonts w:ascii="Times New Roman" w:hAnsi="Times New Roman"/>
                <w:sz w:val="24"/>
                <w:szCs w:val="24"/>
              </w:rPr>
              <w:t>rojekta IV nodaļā (</w:t>
            </w:r>
            <w:r w:rsidR="005466DE">
              <w:rPr>
                <w:rFonts w:ascii="Times New Roman" w:hAnsi="Times New Roman"/>
                <w:sz w:val="24"/>
                <w:szCs w:val="24"/>
              </w:rPr>
              <w:t>2</w:t>
            </w:r>
            <w:r w:rsidR="00B41109">
              <w:rPr>
                <w:rFonts w:ascii="Times New Roman" w:hAnsi="Times New Roman"/>
                <w:sz w:val="24"/>
                <w:szCs w:val="24"/>
              </w:rPr>
              <w:t>0</w:t>
            </w:r>
            <w:r w:rsidRPr="00545C48" w:rsidR="00804A2E">
              <w:rPr>
                <w:rFonts w:ascii="Times New Roman" w:hAnsi="Times New Roman"/>
                <w:sz w:val="24"/>
                <w:szCs w:val="24"/>
              </w:rPr>
              <w:t>.–3</w:t>
            </w:r>
            <w:r w:rsidR="00B41109">
              <w:rPr>
                <w:rFonts w:ascii="Times New Roman" w:hAnsi="Times New Roman"/>
                <w:sz w:val="24"/>
                <w:szCs w:val="24"/>
              </w:rPr>
              <w:t>3</w:t>
            </w:r>
            <w:r w:rsidRPr="002B67AC" w:rsidR="00804A2E">
              <w:rPr>
                <w:rFonts w:ascii="Times New Roman" w:hAnsi="Times New Roman"/>
                <w:sz w:val="24"/>
                <w:szCs w:val="24"/>
              </w:rPr>
              <w:t>.</w:t>
            </w:r>
            <w:r w:rsidR="009A048B">
              <w:rPr>
                <w:rFonts w:ascii="Times New Roman" w:hAnsi="Times New Roman"/>
                <w:sz w:val="24"/>
                <w:szCs w:val="24"/>
              </w:rPr>
              <w:t> </w:t>
            </w:r>
            <w:r w:rsidRPr="002B67AC" w:rsidR="00804A2E">
              <w:rPr>
                <w:rFonts w:ascii="Times New Roman" w:hAnsi="Times New Roman"/>
                <w:sz w:val="24"/>
                <w:szCs w:val="24"/>
              </w:rPr>
              <w:t>punkts). Preču zīmju likuma 30. panta sestajā daļā ir noteikts, ka Ministru kabinets nosaka prasī</w:t>
            </w:r>
            <w:r w:rsidRPr="00894E54" w:rsidR="00804A2E">
              <w:rPr>
                <w:rFonts w:ascii="Times New Roman" w:hAnsi="Times New Roman"/>
                <w:sz w:val="24"/>
                <w:szCs w:val="24"/>
              </w:rPr>
              <w:t>bas attiec</w:t>
            </w:r>
            <w:r w:rsidRPr="00545C48" w:rsidR="00804A2E">
              <w:rPr>
                <w:rFonts w:ascii="Times New Roman" w:hAnsi="Times New Roman"/>
                <w:sz w:val="24"/>
                <w:szCs w:val="24"/>
              </w:rPr>
              <w:t xml:space="preserve">ībā uz preču zīmju veidu reģistrācijas pieteikumiem; šīs prasības ir ietvertas </w:t>
            </w:r>
            <w:r w:rsidR="005B467A">
              <w:rPr>
                <w:rFonts w:ascii="Times New Roman" w:hAnsi="Times New Roman"/>
                <w:sz w:val="24"/>
                <w:szCs w:val="24"/>
              </w:rPr>
              <w:t>P</w:t>
            </w:r>
            <w:r w:rsidRPr="00545C48" w:rsidR="00804A2E">
              <w:rPr>
                <w:rFonts w:ascii="Times New Roman" w:hAnsi="Times New Roman"/>
                <w:sz w:val="24"/>
                <w:szCs w:val="24"/>
              </w:rPr>
              <w:t>rojekta II nodaļā (2.–</w:t>
            </w:r>
            <w:r w:rsidR="005466DE">
              <w:rPr>
                <w:rFonts w:ascii="Times New Roman" w:hAnsi="Times New Roman"/>
                <w:sz w:val="24"/>
                <w:szCs w:val="24"/>
              </w:rPr>
              <w:t>10</w:t>
            </w:r>
            <w:r w:rsidRPr="00545C48" w:rsidR="00804A2E">
              <w:rPr>
                <w:rFonts w:ascii="Times New Roman" w:hAnsi="Times New Roman"/>
                <w:sz w:val="24"/>
                <w:szCs w:val="24"/>
              </w:rPr>
              <w:t>.</w:t>
            </w:r>
            <w:r w:rsidR="00545C48">
              <w:rPr>
                <w:rFonts w:ascii="Times New Roman" w:hAnsi="Times New Roman"/>
                <w:sz w:val="24"/>
                <w:szCs w:val="24"/>
              </w:rPr>
              <w:t> </w:t>
            </w:r>
            <w:r w:rsidRPr="00545C48" w:rsidR="00804A2E">
              <w:rPr>
                <w:rFonts w:ascii="Times New Roman" w:hAnsi="Times New Roman"/>
                <w:sz w:val="24"/>
                <w:szCs w:val="24"/>
              </w:rPr>
              <w:t xml:space="preserve">punkts). </w:t>
            </w:r>
            <w:r w:rsidR="00DF7194">
              <w:rPr>
                <w:rFonts w:ascii="Times New Roman" w:hAnsi="Times New Roman"/>
                <w:sz w:val="24"/>
                <w:szCs w:val="24"/>
              </w:rPr>
              <w:t>P</w:t>
            </w:r>
            <w:r w:rsidRPr="00545C48" w:rsidR="00804A2E">
              <w:rPr>
                <w:rFonts w:ascii="Times New Roman" w:hAnsi="Times New Roman"/>
                <w:sz w:val="24"/>
                <w:szCs w:val="24"/>
              </w:rPr>
              <w:t xml:space="preserve">rojekta nodaļu secība tātad nav gluži tāda pati, kā attiecīgo pilnvarojumu atrašanās vietas </w:t>
            </w:r>
            <w:r w:rsidR="00346BE2">
              <w:rPr>
                <w:rFonts w:ascii="Times New Roman" w:hAnsi="Times New Roman"/>
                <w:sz w:val="24"/>
                <w:szCs w:val="24"/>
              </w:rPr>
              <w:t xml:space="preserve">Preču zīmju </w:t>
            </w:r>
            <w:r w:rsidRPr="00545C48" w:rsidR="00804A2E">
              <w:rPr>
                <w:rFonts w:ascii="Times New Roman" w:hAnsi="Times New Roman"/>
                <w:sz w:val="24"/>
                <w:szCs w:val="24"/>
              </w:rPr>
              <w:t xml:space="preserve">likumā. No </w:t>
            </w:r>
            <w:r w:rsidR="005B467A">
              <w:rPr>
                <w:rFonts w:ascii="Times New Roman" w:hAnsi="Times New Roman"/>
                <w:sz w:val="24"/>
                <w:szCs w:val="24"/>
              </w:rPr>
              <w:t>P</w:t>
            </w:r>
            <w:r w:rsidRPr="00545C48" w:rsidR="00804A2E">
              <w:rPr>
                <w:rFonts w:ascii="Times New Roman" w:hAnsi="Times New Roman"/>
                <w:sz w:val="24"/>
                <w:szCs w:val="24"/>
              </w:rPr>
              <w:t>rojektā aptv</w:t>
            </w:r>
            <w:r w:rsidRPr="002B67AC" w:rsidR="00804A2E">
              <w:rPr>
                <w:rFonts w:ascii="Times New Roman" w:hAnsi="Times New Roman"/>
                <w:sz w:val="24"/>
                <w:szCs w:val="24"/>
              </w:rPr>
              <w:t>erto noteikumu satura loģikas izriet, ka prasībām attiecībā uz preču zīmju reģistrācijas pieteikumiem ir jāatrodas šā dokumenta sākumdaļā, jo ar reģistrācijas pieteikuma iesniegšanu sākas katras preču zīmes reģistrācijas procedūra. Sekojošajās šo noteikumu</w:t>
            </w:r>
            <w:r w:rsidRPr="00545C48" w:rsidR="00804A2E">
              <w:rPr>
                <w:rFonts w:ascii="Times New Roman" w:hAnsi="Times New Roman"/>
                <w:sz w:val="24"/>
                <w:szCs w:val="24"/>
              </w:rPr>
              <w:t xml:space="preserve"> nodaļās tiek aptverts regulējums par tiesību uz preču zīmi pārejas pieteikšanu un reģistrēšanu, bet vēl pēc tam – par kārtību, kādā piesaka un reģistrē licences līgumu, tā grozījumus un darbības izbeigšanos.  </w:t>
            </w:r>
          </w:p>
          <w:p w:rsidRPr="00545C48" w:rsidR="00804A2E" w:rsidP="00804A2E" w:rsidRDefault="00792FE9" w14:paraId="30659FB4" w14:textId="1A144CEA">
            <w:pPr>
              <w:pStyle w:val="Body"/>
              <w:spacing w:before="24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 xml:space="preserve">            </w:t>
            </w:r>
            <w:r w:rsidR="005B467A">
              <w:rPr>
                <w:rFonts w:ascii="Times New Roman" w:hAnsi="Times New Roman"/>
                <w:sz w:val="24"/>
                <w:szCs w:val="24"/>
              </w:rPr>
              <w:t>V</w:t>
            </w:r>
            <w:r w:rsidRPr="00545C48" w:rsidR="00804A2E">
              <w:rPr>
                <w:rFonts w:ascii="Times New Roman" w:hAnsi="Times New Roman"/>
                <w:sz w:val="24"/>
                <w:szCs w:val="24"/>
              </w:rPr>
              <w:t>iena no galvenajām izmaiņām, kas ieviesta ar Preču zīmju direktīvu, ir preču zīmes grafiskā atveidojuma prasības atcelšana. Šīs prasības atcelšana dod iespēju reģistrēt jaunu veidu preču zīmes un pieņemt preču zīmju atveidojumus formātos, kas valstu vai reģionālajās sistēmās agrāk nebija paredzēti, piemēram, audio</w:t>
            </w:r>
            <w:r w:rsidR="00050346">
              <w:rPr>
                <w:rFonts w:ascii="Times New Roman" w:hAnsi="Times New Roman"/>
                <w:sz w:val="24"/>
                <w:szCs w:val="24"/>
              </w:rPr>
              <w:t>datnes</w:t>
            </w:r>
            <w:r w:rsidRPr="00545C48" w:rsidR="00804A2E">
              <w:rPr>
                <w:rFonts w:ascii="Times New Roman" w:hAnsi="Times New Roman"/>
                <w:sz w:val="24"/>
                <w:szCs w:val="24"/>
              </w:rPr>
              <w:t xml:space="preserve"> un video</w:t>
            </w:r>
            <w:r w:rsidR="005B467A">
              <w:rPr>
                <w:rFonts w:ascii="Times New Roman" w:hAnsi="Times New Roman"/>
                <w:sz w:val="24"/>
                <w:szCs w:val="24"/>
              </w:rPr>
              <w:t>datnes</w:t>
            </w:r>
            <w:r w:rsidRPr="00545C48" w:rsidR="00804A2E">
              <w:rPr>
                <w:rFonts w:ascii="Times New Roman" w:hAnsi="Times New Roman"/>
                <w:sz w:val="24"/>
                <w:szCs w:val="24"/>
              </w:rPr>
              <w:t xml:space="preserve">. Turklāt tas atvieglos dažu jau atzītu preču zīmju veidu atveidošanu un uzlabos atveidojumu precizitāti. Preču zīmju likuma 4. pantā ir uzskaitīti apzīmējumi, kas var veidot preču zīmi. Projektā šo preču zīmju </w:t>
            </w:r>
            <w:r w:rsidRPr="002B67AC" w:rsidR="00804A2E">
              <w:rPr>
                <w:rFonts w:ascii="Times New Roman" w:hAnsi="Times New Roman"/>
                <w:sz w:val="24"/>
                <w:szCs w:val="24"/>
              </w:rPr>
              <w:t>atveidošanas kārtība atkarībā no tās veida tiek uzskaitīta un aprakstīta ievērojami detalizētāk, lai preču zīmju pieteicējam būtu saprotamāka reģistrācijai piesakāmo apzīmējumu atveidošanas kārtība.</w:t>
            </w:r>
          </w:p>
          <w:p w:rsidRPr="00545C48" w:rsidR="00804A2E" w:rsidP="00804A2E" w:rsidRDefault="00792FE9" w14:paraId="4C6B5A1A" w14:textId="17D76DAC">
            <w:pPr>
              <w:pStyle w:val="Body"/>
              <w:spacing w:before="24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 xml:space="preserve">            </w:t>
            </w:r>
            <w:r w:rsidRPr="00545C48" w:rsidR="00804A2E">
              <w:rPr>
                <w:rFonts w:ascii="Times New Roman" w:hAnsi="Times New Roman"/>
                <w:sz w:val="24"/>
                <w:szCs w:val="24"/>
              </w:rPr>
              <w:t>Singapūras līgums regulē preču zīmju reģistrācijas administratīvās procedūras līguma dalībvalstīs. Tā mērķis ir iepriekš minētās procedūras iespējami vienkāršot un starptautiski saskaņot, tādējādi atvieglojot</w:t>
            </w:r>
            <w:r w:rsidRPr="002B67AC" w:rsidR="00804A2E">
              <w:rPr>
                <w:rFonts w:ascii="Times New Roman" w:hAnsi="Times New Roman"/>
                <w:sz w:val="24"/>
                <w:szCs w:val="24"/>
              </w:rPr>
              <w:t xml:space="preserve"> preču zīmju pieteicējiem un īpašniekiem </w:t>
            </w:r>
            <w:r w:rsidR="005B467A">
              <w:rPr>
                <w:rFonts w:ascii="Times New Roman" w:hAnsi="Times New Roman"/>
                <w:sz w:val="24"/>
                <w:szCs w:val="24"/>
              </w:rPr>
              <w:t>to darbību veikšanu</w:t>
            </w:r>
            <w:r w:rsidRPr="002B67AC" w:rsidR="00804A2E">
              <w:rPr>
                <w:rFonts w:ascii="Times New Roman" w:hAnsi="Times New Roman"/>
                <w:sz w:val="24"/>
                <w:szCs w:val="24"/>
              </w:rPr>
              <w:t xml:space="preserve">, kas saistītas ar preču zīmju tiesību iegūšanu un uzturēšanu spēkā dažādās </w:t>
            </w:r>
            <w:r w:rsidRPr="002B67AC" w:rsidR="00804A2E">
              <w:rPr>
                <w:rFonts w:ascii="Times New Roman" w:hAnsi="Times New Roman"/>
                <w:sz w:val="24"/>
                <w:szCs w:val="24"/>
              </w:rPr>
              <w:lastRenderedPageBreak/>
              <w:t>valstīs. Singapūras līgumā ir ietverti noteikumi, ka katra līgumslēdzējpuse šo līgumu piemēro visiem tiem apzīmējumu veidiem, kurus tā ļauj reģistrēt kā preču zīmes, ieskaitot netradicionālos preču zīmju veidus, pi</w:t>
            </w:r>
            <w:r w:rsidRPr="00545C48" w:rsidR="00804A2E">
              <w:rPr>
                <w:rFonts w:ascii="Times New Roman" w:hAnsi="Times New Roman"/>
                <w:sz w:val="24"/>
                <w:szCs w:val="24"/>
              </w:rPr>
              <w:t>emēram, hologrammas, skaņu un kustību zīmes, turklāt puses brīvi var izvēlēties pieteicēja komunikācijas formas ar tās preču zīmju iestādi, ieskaitot elektroniskos saziņas veidus.</w:t>
            </w:r>
          </w:p>
          <w:p w:rsidRPr="00545C48" w:rsidR="00804A2E" w:rsidP="00804A2E" w:rsidRDefault="00792FE9" w14:paraId="4D6C751B" w14:textId="73699585">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 xml:space="preserve">            </w:t>
            </w:r>
            <w:r w:rsidRPr="00545C48" w:rsidR="00804A2E">
              <w:rPr>
                <w:rFonts w:ascii="Times New Roman" w:hAnsi="Times New Roman"/>
                <w:sz w:val="24"/>
                <w:szCs w:val="24"/>
              </w:rPr>
              <w:t>Galvenie Singapūras līgumā ietvertie noteikumi ir šādi:</w:t>
            </w:r>
          </w:p>
          <w:p w:rsidRPr="00545C48" w:rsidR="00804A2E" w:rsidP="00804A2E" w:rsidRDefault="00804A2E" w14:paraId="54D56898" w14:textId="7777777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1) katra līgumslēdzējpuse šo līgumu piemēro visiem tiem apzīmējumu veidiem, kurus tā ļauj reģistrēt kā preču zīmes;</w:t>
            </w:r>
          </w:p>
          <w:p w:rsidRPr="00545C48" w:rsidR="00804A2E" w:rsidP="00804A2E" w:rsidRDefault="00804A2E" w14:paraId="1A1A7C9E" w14:textId="7777777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2) līgumslēdzējpuses brīvi izvēlas pieteicēja komunikācijas formas ar tās preču zīmju iestādi, ieskaitot elektroniskos saziņas veidus;</w:t>
            </w:r>
          </w:p>
          <w:p w:rsidRPr="00545C48" w:rsidR="00804A2E" w:rsidP="00804A2E" w:rsidRDefault="00804A2E" w14:paraId="052B745F" w14:textId="7777777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3) noteikumi attiecībā uz preču zīmes reģistrācijas īpašumtiesību maiņu (tiesību pāreju citai personai);</w:t>
            </w:r>
          </w:p>
          <w:p w:rsidRPr="00545C48" w:rsidR="00804A2E" w:rsidP="00804A2E" w:rsidRDefault="00804A2E" w14:paraId="6F1C121D" w14:textId="7777777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4) noteikumi attiecībā uz licenču reģistrāciju un sekām, ko izraisa licences reģistrēšana vai nereģistrēšana.</w:t>
            </w:r>
          </w:p>
          <w:p w:rsidRPr="00545C48" w:rsidR="00804A2E" w:rsidP="00804A2E" w:rsidRDefault="00804A2E" w14:paraId="22EFC5D1" w14:textId="77777777">
            <w:pPr>
              <w:pStyle w:val="Body"/>
              <w:spacing w:after="0" w:line="240" w:lineRule="auto"/>
              <w:jc w:val="both"/>
              <w:rPr>
                <w:rFonts w:ascii="Times New Roman" w:hAnsi="Times New Roman" w:eastAsia="Times New Roman" w:cs="Times New Roman"/>
                <w:sz w:val="24"/>
                <w:szCs w:val="24"/>
              </w:rPr>
            </w:pPr>
          </w:p>
          <w:p w:rsidRPr="00545C48" w:rsidR="00804A2E" w:rsidP="00804A2E" w:rsidRDefault="00792FE9" w14:paraId="426EE9E9" w14:textId="27AEDD1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 xml:space="preserve">            </w:t>
            </w:r>
            <w:r w:rsidRPr="00545C48" w:rsidR="00804A2E">
              <w:rPr>
                <w:rFonts w:ascii="Times New Roman" w:hAnsi="Times New Roman"/>
                <w:sz w:val="24"/>
                <w:szCs w:val="24"/>
              </w:rPr>
              <w:t>Ņemot vērā pašreizējo situāciju Latvijas normatīvajos aktos, secināms, ka līdz šim detalizēti noteikumi par prasībām attiecībā uz preču zīmju veidu reģistrācijas pieteikumiem, preču zīmes reģistrāciju un reģistrācijas pieteikuma pāreju izskatīšanu un licences līgumu izskatīšanu un reģistrēšanu Patentu valdē nav izstrādāti, līdz ar to, lai atvieglotu procedūru preču zīmju pieteicējiem, nepieciešams izstrādāt Projektu, kurā šī informācija tiktu ietverta.</w:t>
            </w:r>
          </w:p>
          <w:p w:rsidRPr="00545C48" w:rsidR="00804A2E" w:rsidP="00804A2E" w:rsidRDefault="00804A2E" w14:paraId="3410575A" w14:textId="7777777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Projektā ietvertais regulējums paredz:</w:t>
            </w:r>
          </w:p>
          <w:p w:rsidRPr="00545C48" w:rsidR="00804A2E" w:rsidP="00804A2E" w:rsidRDefault="00804A2E" w14:paraId="71F3EB03" w14:textId="77777777">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1) prasības attiecībā uz preču zīmju veidu reģistrācijas pieteikumiem;</w:t>
            </w:r>
          </w:p>
          <w:p w:rsidRPr="00545C48" w:rsidR="00804A2E" w:rsidP="00804A2E" w:rsidRDefault="00804A2E" w14:paraId="358BD1B2" w14:textId="2B6E21B6">
            <w:pPr>
              <w:pStyle w:val="Body"/>
              <w:spacing w:after="0" w:line="240" w:lineRule="auto"/>
              <w:jc w:val="both"/>
              <w:rPr>
                <w:rFonts w:ascii="Times New Roman" w:hAnsi="Times New Roman" w:eastAsia="Times New Roman" w:cs="Times New Roman"/>
                <w:sz w:val="24"/>
                <w:szCs w:val="24"/>
              </w:rPr>
            </w:pPr>
            <w:r w:rsidRPr="00545C48">
              <w:rPr>
                <w:rFonts w:ascii="Times New Roman" w:hAnsi="Times New Roman"/>
                <w:sz w:val="24"/>
                <w:szCs w:val="24"/>
              </w:rPr>
              <w:t xml:space="preserve">2) tiesību uz preču zīmi pārejas </w:t>
            </w:r>
            <w:r w:rsidR="002D10D2">
              <w:rPr>
                <w:rFonts w:ascii="Times New Roman" w:hAnsi="Times New Roman"/>
                <w:sz w:val="24"/>
                <w:szCs w:val="24"/>
              </w:rPr>
              <w:t>izskatīšanas</w:t>
            </w:r>
            <w:r w:rsidRPr="00545C48" w:rsidR="002D10D2">
              <w:rPr>
                <w:rFonts w:ascii="Times New Roman" w:hAnsi="Times New Roman"/>
                <w:sz w:val="24"/>
                <w:szCs w:val="24"/>
              </w:rPr>
              <w:t xml:space="preserve"> </w:t>
            </w:r>
            <w:r w:rsidRPr="00545C48">
              <w:rPr>
                <w:rFonts w:ascii="Times New Roman" w:hAnsi="Times New Roman"/>
                <w:sz w:val="24"/>
                <w:szCs w:val="24"/>
              </w:rPr>
              <w:t>un reģistrēšanas kārtību;</w:t>
            </w:r>
          </w:p>
          <w:p w:rsidRPr="002B67AC" w:rsidR="004B5F78" w:rsidP="00804A2E" w:rsidRDefault="00804A2E" w14:paraId="43B7E6F6" w14:textId="0CF04F8B">
            <w:pPr>
              <w:pStyle w:val="Body"/>
              <w:spacing w:line="240" w:lineRule="auto"/>
              <w:jc w:val="both"/>
              <w:rPr>
                <w:rFonts w:ascii="Times New Roman" w:hAnsi="Times New Roman"/>
                <w:sz w:val="24"/>
                <w:szCs w:val="24"/>
              </w:rPr>
            </w:pPr>
            <w:r w:rsidRPr="002B67AC">
              <w:rPr>
                <w:rFonts w:ascii="Times New Roman" w:hAnsi="Times New Roman"/>
                <w:sz w:val="24"/>
                <w:szCs w:val="24"/>
              </w:rPr>
              <w:t>3) preču zīmes licences līguma, tā grozījumu un d</w:t>
            </w:r>
            <w:r w:rsidRPr="002B67AC" w:rsidR="00C972EA">
              <w:rPr>
                <w:rFonts w:ascii="Times New Roman" w:hAnsi="Times New Roman"/>
                <w:sz w:val="24"/>
                <w:szCs w:val="24"/>
              </w:rPr>
              <w:t xml:space="preserve">arbības izbeigšanās </w:t>
            </w:r>
            <w:r w:rsidR="00CA19E8">
              <w:rPr>
                <w:rFonts w:ascii="Times New Roman" w:hAnsi="Times New Roman"/>
                <w:sz w:val="24"/>
                <w:szCs w:val="24"/>
              </w:rPr>
              <w:t>izskatīšanas</w:t>
            </w:r>
            <w:r w:rsidRPr="00545C48" w:rsidR="00CA19E8">
              <w:rPr>
                <w:rFonts w:ascii="Times New Roman" w:hAnsi="Times New Roman"/>
                <w:sz w:val="24"/>
                <w:szCs w:val="24"/>
              </w:rPr>
              <w:t xml:space="preserve"> </w:t>
            </w:r>
            <w:r w:rsidRPr="00545C48" w:rsidR="00C972EA">
              <w:rPr>
                <w:rFonts w:ascii="Times New Roman" w:hAnsi="Times New Roman"/>
                <w:sz w:val="24"/>
                <w:szCs w:val="24"/>
              </w:rPr>
              <w:t>un reģistrēšanas kārtību</w:t>
            </w:r>
            <w:r w:rsidRPr="00545C48">
              <w:rPr>
                <w:rFonts w:ascii="Times New Roman" w:hAnsi="Times New Roman"/>
                <w:sz w:val="24"/>
                <w:szCs w:val="24"/>
              </w:rPr>
              <w:t>.</w:t>
            </w:r>
          </w:p>
          <w:p w:rsidR="004576D8" w:rsidP="00804A2E" w:rsidRDefault="007B5143" w14:paraId="42D46DF5" w14:textId="77777777">
            <w:pPr>
              <w:pStyle w:val="Body"/>
              <w:spacing w:line="240" w:lineRule="auto"/>
              <w:jc w:val="both"/>
              <w:rPr>
                <w:rFonts w:ascii="Times New Roman" w:hAnsi="Times New Roman" w:cs="Times New Roman"/>
                <w:sz w:val="24"/>
                <w:szCs w:val="24"/>
              </w:rPr>
            </w:pPr>
            <w:r w:rsidRPr="00894E54">
              <w:rPr>
                <w:rFonts w:ascii="Times New Roman" w:hAnsi="Times New Roman" w:eastAsia="Times New Roman" w:cs="Times New Roman"/>
                <w:bCs/>
                <w:iCs/>
                <w:color w:val="000000" w:themeColor="text1"/>
                <w:sz w:val="24"/>
                <w:szCs w:val="24"/>
              </w:rPr>
              <w:t xml:space="preserve">            Ar nolūku nodrošināt preču zīmju reģistrācijas pieteicējiem iespēju, ka dažādi apzīmējumu veidi ar vienādām sekmēm var tikt aizsargāti kā preču zīmes gan Latvijā, gan jebkurā citā E</w:t>
            </w:r>
            <w:r w:rsidR="00F76981">
              <w:rPr>
                <w:rFonts w:ascii="Times New Roman" w:hAnsi="Times New Roman" w:eastAsia="Times New Roman" w:cs="Times New Roman"/>
                <w:bCs/>
                <w:iCs/>
                <w:color w:val="000000" w:themeColor="text1"/>
                <w:sz w:val="24"/>
                <w:szCs w:val="24"/>
              </w:rPr>
              <w:t xml:space="preserve">iropas </w:t>
            </w:r>
            <w:r w:rsidRPr="00894E54">
              <w:rPr>
                <w:rFonts w:ascii="Times New Roman" w:hAnsi="Times New Roman" w:eastAsia="Times New Roman" w:cs="Times New Roman"/>
                <w:bCs/>
                <w:iCs/>
                <w:color w:val="000000" w:themeColor="text1"/>
                <w:sz w:val="24"/>
                <w:szCs w:val="24"/>
              </w:rPr>
              <w:t>S</w:t>
            </w:r>
            <w:r w:rsidR="00F76981">
              <w:rPr>
                <w:rFonts w:ascii="Times New Roman" w:hAnsi="Times New Roman" w:eastAsia="Times New Roman" w:cs="Times New Roman"/>
                <w:bCs/>
                <w:iCs/>
                <w:color w:val="000000" w:themeColor="text1"/>
                <w:sz w:val="24"/>
                <w:szCs w:val="24"/>
              </w:rPr>
              <w:t>avienības</w:t>
            </w:r>
            <w:r w:rsidRPr="00894E54">
              <w:rPr>
                <w:rFonts w:ascii="Times New Roman" w:hAnsi="Times New Roman" w:eastAsia="Times New Roman" w:cs="Times New Roman"/>
                <w:bCs/>
                <w:iCs/>
                <w:color w:val="000000" w:themeColor="text1"/>
                <w:sz w:val="24"/>
                <w:szCs w:val="24"/>
              </w:rPr>
              <w:t xml:space="preserve"> un E</w:t>
            </w:r>
            <w:r w:rsidR="00F76981">
              <w:rPr>
                <w:rFonts w:ascii="Times New Roman" w:hAnsi="Times New Roman" w:eastAsia="Times New Roman" w:cs="Times New Roman"/>
                <w:bCs/>
                <w:iCs/>
                <w:color w:val="000000" w:themeColor="text1"/>
                <w:sz w:val="24"/>
                <w:szCs w:val="24"/>
              </w:rPr>
              <w:t xml:space="preserve">iropas </w:t>
            </w:r>
            <w:r w:rsidRPr="00894E54">
              <w:rPr>
                <w:rFonts w:ascii="Times New Roman" w:hAnsi="Times New Roman" w:eastAsia="Times New Roman" w:cs="Times New Roman"/>
                <w:bCs/>
                <w:iCs/>
                <w:color w:val="000000" w:themeColor="text1"/>
                <w:sz w:val="24"/>
                <w:szCs w:val="24"/>
              </w:rPr>
              <w:t>E</w:t>
            </w:r>
            <w:r w:rsidR="00F76981">
              <w:rPr>
                <w:rFonts w:ascii="Times New Roman" w:hAnsi="Times New Roman" w:eastAsia="Times New Roman" w:cs="Times New Roman"/>
                <w:bCs/>
                <w:iCs/>
                <w:color w:val="000000" w:themeColor="text1"/>
                <w:sz w:val="24"/>
                <w:szCs w:val="24"/>
              </w:rPr>
              <w:t>konomikas zonas</w:t>
            </w:r>
            <w:r w:rsidRPr="00894E54">
              <w:rPr>
                <w:rFonts w:ascii="Times New Roman" w:hAnsi="Times New Roman" w:eastAsia="Times New Roman" w:cs="Times New Roman"/>
                <w:bCs/>
                <w:iCs/>
                <w:color w:val="000000" w:themeColor="text1"/>
                <w:sz w:val="24"/>
                <w:szCs w:val="24"/>
              </w:rPr>
              <w:t xml:space="preserve"> dalībvalstī, gan arī kā Eiropas Savienības preču zīmes – visā E</w:t>
            </w:r>
            <w:r w:rsidR="00F76981">
              <w:rPr>
                <w:rFonts w:ascii="Times New Roman" w:hAnsi="Times New Roman" w:eastAsia="Times New Roman" w:cs="Times New Roman"/>
                <w:bCs/>
                <w:iCs/>
                <w:color w:val="000000" w:themeColor="text1"/>
                <w:sz w:val="24"/>
                <w:szCs w:val="24"/>
              </w:rPr>
              <w:t xml:space="preserve">iropas </w:t>
            </w:r>
            <w:r w:rsidRPr="00894E54">
              <w:rPr>
                <w:rFonts w:ascii="Times New Roman" w:hAnsi="Times New Roman" w:eastAsia="Times New Roman" w:cs="Times New Roman"/>
                <w:bCs/>
                <w:iCs/>
                <w:color w:val="000000" w:themeColor="text1"/>
                <w:sz w:val="24"/>
                <w:szCs w:val="24"/>
              </w:rPr>
              <w:t>S</w:t>
            </w:r>
            <w:r w:rsidR="00F76981">
              <w:rPr>
                <w:rFonts w:ascii="Times New Roman" w:hAnsi="Times New Roman" w:eastAsia="Times New Roman" w:cs="Times New Roman"/>
                <w:bCs/>
                <w:iCs/>
                <w:color w:val="000000" w:themeColor="text1"/>
                <w:sz w:val="24"/>
                <w:szCs w:val="24"/>
              </w:rPr>
              <w:t>avienībā</w:t>
            </w:r>
            <w:r w:rsidRPr="00894E54">
              <w:rPr>
                <w:rFonts w:ascii="Times New Roman" w:hAnsi="Times New Roman" w:eastAsia="Times New Roman" w:cs="Times New Roman"/>
                <w:bCs/>
                <w:iCs/>
                <w:color w:val="000000" w:themeColor="text1"/>
                <w:sz w:val="24"/>
                <w:szCs w:val="24"/>
              </w:rPr>
              <w:t xml:space="preserve">, šā </w:t>
            </w:r>
            <w:r w:rsidR="005B467A">
              <w:rPr>
                <w:rFonts w:ascii="Times New Roman" w:hAnsi="Times New Roman" w:eastAsia="Times New Roman" w:cs="Times New Roman"/>
                <w:bCs/>
                <w:iCs/>
                <w:color w:val="000000" w:themeColor="text1"/>
                <w:sz w:val="24"/>
                <w:szCs w:val="24"/>
              </w:rPr>
              <w:t>P</w:t>
            </w:r>
            <w:r w:rsidRPr="00894E54">
              <w:rPr>
                <w:rFonts w:ascii="Times New Roman" w:hAnsi="Times New Roman" w:eastAsia="Times New Roman" w:cs="Times New Roman"/>
                <w:bCs/>
                <w:iCs/>
                <w:color w:val="000000" w:themeColor="text1"/>
                <w:sz w:val="24"/>
                <w:szCs w:val="24"/>
              </w:rPr>
              <w:t>rojekta II nodaļa (2.–</w:t>
            </w:r>
            <w:r w:rsidR="005466DE">
              <w:rPr>
                <w:rFonts w:ascii="Times New Roman" w:hAnsi="Times New Roman" w:eastAsia="Times New Roman" w:cs="Times New Roman"/>
                <w:bCs/>
                <w:iCs/>
                <w:color w:val="000000" w:themeColor="text1"/>
                <w:sz w:val="24"/>
                <w:szCs w:val="24"/>
              </w:rPr>
              <w:t>10</w:t>
            </w:r>
            <w:r w:rsidRPr="00894E54">
              <w:rPr>
                <w:rFonts w:ascii="Times New Roman" w:hAnsi="Times New Roman" w:eastAsia="Times New Roman" w:cs="Times New Roman"/>
                <w:bCs/>
                <w:iCs/>
                <w:color w:val="000000" w:themeColor="text1"/>
                <w:sz w:val="24"/>
                <w:szCs w:val="24"/>
              </w:rPr>
              <w:t>.</w:t>
            </w:r>
            <w:r w:rsidRPr="00894E54" w:rsidR="00924D41">
              <w:rPr>
                <w:rFonts w:ascii="Times New Roman" w:hAnsi="Times New Roman" w:eastAsia="Times New Roman" w:cs="Times New Roman"/>
                <w:bCs/>
                <w:iCs/>
                <w:color w:val="000000" w:themeColor="text1"/>
                <w:sz w:val="24"/>
                <w:szCs w:val="24"/>
              </w:rPr>
              <w:t> </w:t>
            </w:r>
            <w:r w:rsidRPr="00894E54">
              <w:rPr>
                <w:rFonts w:ascii="Times New Roman" w:hAnsi="Times New Roman" w:eastAsia="Times New Roman" w:cs="Times New Roman"/>
                <w:bCs/>
                <w:iCs/>
                <w:color w:val="000000" w:themeColor="text1"/>
                <w:sz w:val="24"/>
                <w:szCs w:val="24"/>
              </w:rPr>
              <w:t xml:space="preserve">punkts) ar noteikumiem par dažādu apzīmējumu veidu pieteikšanu ir veidota saskaņā ar Eiropas Parlamenta un Padomes </w:t>
            </w:r>
            <w:r w:rsidRPr="00894E54" w:rsidR="00DF7194">
              <w:rPr>
                <w:rFonts w:ascii="Times New Roman" w:hAnsi="Times New Roman" w:eastAsia="Times New Roman" w:cs="Times New Roman"/>
                <w:bCs/>
                <w:iCs/>
                <w:color w:val="000000" w:themeColor="text1"/>
                <w:sz w:val="24"/>
                <w:szCs w:val="24"/>
              </w:rPr>
              <w:t>2017. gada 14. jūnij</w:t>
            </w:r>
            <w:r w:rsidR="00DF7194">
              <w:rPr>
                <w:rFonts w:ascii="Times New Roman" w:hAnsi="Times New Roman" w:eastAsia="Times New Roman" w:cs="Times New Roman"/>
                <w:bCs/>
                <w:iCs/>
                <w:color w:val="000000" w:themeColor="text1"/>
                <w:sz w:val="24"/>
                <w:szCs w:val="24"/>
              </w:rPr>
              <w:t>a</w:t>
            </w:r>
            <w:r w:rsidRPr="00894E54" w:rsidR="00DF7194">
              <w:rPr>
                <w:rFonts w:ascii="Times New Roman" w:hAnsi="Times New Roman" w:eastAsia="Times New Roman" w:cs="Times New Roman"/>
                <w:bCs/>
                <w:iCs/>
                <w:color w:val="000000" w:themeColor="text1"/>
                <w:sz w:val="24"/>
                <w:szCs w:val="24"/>
              </w:rPr>
              <w:t xml:space="preserve"> </w:t>
            </w:r>
            <w:r w:rsidRPr="00894E54">
              <w:rPr>
                <w:rFonts w:ascii="Times New Roman" w:hAnsi="Times New Roman" w:eastAsia="Times New Roman" w:cs="Times New Roman"/>
                <w:bCs/>
                <w:iCs/>
                <w:color w:val="000000" w:themeColor="text1"/>
                <w:sz w:val="24"/>
                <w:szCs w:val="24"/>
              </w:rPr>
              <w:t>Regulas (ES) 2017/1001 par Eiropas Savienības preču zīmi 31.</w:t>
            </w:r>
            <w:r w:rsidRPr="00894E54" w:rsidR="00924D41">
              <w:rPr>
                <w:rFonts w:ascii="Times New Roman" w:hAnsi="Times New Roman" w:eastAsia="Times New Roman" w:cs="Times New Roman"/>
                <w:bCs/>
                <w:iCs/>
                <w:color w:val="000000" w:themeColor="text1"/>
                <w:sz w:val="24"/>
                <w:szCs w:val="24"/>
              </w:rPr>
              <w:t> </w:t>
            </w:r>
            <w:r w:rsidRPr="00894E54">
              <w:rPr>
                <w:rFonts w:ascii="Times New Roman" w:hAnsi="Times New Roman" w:eastAsia="Times New Roman" w:cs="Times New Roman"/>
                <w:bCs/>
                <w:iCs/>
                <w:color w:val="000000" w:themeColor="text1"/>
                <w:sz w:val="24"/>
                <w:szCs w:val="24"/>
              </w:rPr>
              <w:t xml:space="preserve">panta nosacījumiem attiecībā uz preču zīmes pieteikumu, kā arī pilnībā atbilst Komisijas </w:t>
            </w:r>
            <w:r w:rsidRPr="00894E54" w:rsidR="00CA3147">
              <w:rPr>
                <w:rFonts w:ascii="Times New Roman" w:hAnsi="Times New Roman" w:eastAsia="Times New Roman" w:cs="Times New Roman"/>
                <w:bCs/>
                <w:iCs/>
                <w:color w:val="000000" w:themeColor="text1"/>
                <w:sz w:val="24"/>
                <w:szCs w:val="24"/>
              </w:rPr>
              <w:t>2018. gada 5. mart</w:t>
            </w:r>
            <w:r w:rsidR="00CA3147">
              <w:rPr>
                <w:rFonts w:ascii="Times New Roman" w:hAnsi="Times New Roman" w:eastAsia="Times New Roman" w:cs="Times New Roman"/>
                <w:bCs/>
                <w:iCs/>
                <w:color w:val="000000" w:themeColor="text1"/>
                <w:sz w:val="24"/>
                <w:szCs w:val="24"/>
              </w:rPr>
              <w:t>a</w:t>
            </w:r>
            <w:r w:rsidRPr="00894E54" w:rsidR="00CA3147">
              <w:rPr>
                <w:rFonts w:ascii="Times New Roman" w:hAnsi="Times New Roman" w:eastAsia="Times New Roman" w:cs="Times New Roman"/>
                <w:bCs/>
                <w:iCs/>
                <w:color w:val="000000" w:themeColor="text1"/>
                <w:sz w:val="24"/>
                <w:szCs w:val="24"/>
              </w:rPr>
              <w:t xml:space="preserve"> </w:t>
            </w:r>
            <w:r w:rsidRPr="00894E54">
              <w:rPr>
                <w:rFonts w:ascii="Times New Roman" w:hAnsi="Times New Roman" w:eastAsia="Times New Roman" w:cs="Times New Roman"/>
                <w:bCs/>
                <w:iCs/>
                <w:color w:val="000000" w:themeColor="text1"/>
                <w:sz w:val="24"/>
                <w:szCs w:val="24"/>
              </w:rPr>
              <w:t>Īstenošanas regulas (ES) 2018/626, ar ko paredz sīki izstrādātus noteikumus, kas vajadzīgi, lai īstenotu konkrētus noteikumus Eiropas Parlamenta un Padomes Regulā (ES) 2017/1001 par Eiropas Savienības preču zīmi, un atceļ Īstenošanas regulu (ES) 2017/1431, 3.</w:t>
            </w:r>
            <w:r w:rsidRPr="00894E54" w:rsidR="00924D41">
              <w:rPr>
                <w:rFonts w:ascii="Times New Roman" w:hAnsi="Times New Roman" w:eastAsia="Times New Roman" w:cs="Times New Roman"/>
                <w:bCs/>
                <w:iCs/>
                <w:color w:val="000000" w:themeColor="text1"/>
                <w:sz w:val="24"/>
                <w:szCs w:val="24"/>
              </w:rPr>
              <w:t> </w:t>
            </w:r>
            <w:r w:rsidRPr="00894E54">
              <w:rPr>
                <w:rFonts w:ascii="Times New Roman" w:hAnsi="Times New Roman" w:eastAsia="Times New Roman" w:cs="Times New Roman"/>
                <w:bCs/>
                <w:iCs/>
                <w:color w:val="000000" w:themeColor="text1"/>
                <w:sz w:val="24"/>
                <w:szCs w:val="24"/>
              </w:rPr>
              <w:t xml:space="preserve">panta </w:t>
            </w:r>
            <w:r w:rsidR="00DF7194">
              <w:rPr>
                <w:rFonts w:ascii="Times New Roman" w:hAnsi="Times New Roman" w:eastAsia="Times New Roman" w:cs="Times New Roman"/>
                <w:bCs/>
                <w:iCs/>
                <w:color w:val="000000" w:themeColor="text1"/>
                <w:sz w:val="24"/>
                <w:szCs w:val="24"/>
              </w:rPr>
              <w:t>"</w:t>
            </w:r>
            <w:r w:rsidRPr="00894E54">
              <w:rPr>
                <w:rFonts w:ascii="Times New Roman" w:hAnsi="Times New Roman" w:eastAsia="Times New Roman" w:cs="Times New Roman"/>
                <w:bCs/>
                <w:iCs/>
                <w:color w:val="000000" w:themeColor="text1"/>
                <w:sz w:val="24"/>
                <w:szCs w:val="24"/>
              </w:rPr>
              <w:t>Preču zīmes atveidojums</w:t>
            </w:r>
            <w:r w:rsidR="00DF7194">
              <w:rPr>
                <w:rFonts w:ascii="Times New Roman" w:hAnsi="Times New Roman" w:eastAsia="Times New Roman" w:cs="Times New Roman"/>
                <w:bCs/>
                <w:iCs/>
                <w:color w:val="000000" w:themeColor="text1"/>
                <w:sz w:val="24"/>
                <w:szCs w:val="24"/>
              </w:rPr>
              <w:t>"</w:t>
            </w:r>
            <w:r w:rsidR="009878E5">
              <w:rPr>
                <w:rFonts w:ascii="Times New Roman" w:hAnsi="Times New Roman" w:eastAsia="Times New Roman" w:cs="Times New Roman"/>
                <w:bCs/>
                <w:iCs/>
                <w:color w:val="000000" w:themeColor="text1"/>
                <w:sz w:val="24"/>
                <w:szCs w:val="24"/>
              </w:rPr>
              <w:t xml:space="preserve"> </w:t>
            </w:r>
            <w:r w:rsidRPr="00894E54">
              <w:rPr>
                <w:rFonts w:ascii="Times New Roman" w:hAnsi="Times New Roman" w:eastAsia="Times New Roman" w:cs="Times New Roman"/>
                <w:bCs/>
                <w:iCs/>
                <w:color w:val="000000" w:themeColor="text1"/>
                <w:sz w:val="24"/>
                <w:szCs w:val="24"/>
              </w:rPr>
              <w:t>noteikumiem</w:t>
            </w:r>
            <w:r w:rsidRPr="004576D8">
              <w:rPr>
                <w:rFonts w:ascii="Times New Roman" w:hAnsi="Times New Roman" w:eastAsia="Times New Roman" w:cs="Times New Roman"/>
                <w:bCs/>
                <w:iCs/>
                <w:color w:val="000000" w:themeColor="text1"/>
                <w:sz w:val="24"/>
                <w:szCs w:val="24"/>
              </w:rPr>
              <w:t>.</w:t>
            </w:r>
            <w:r w:rsidR="004576D8">
              <w:rPr>
                <w:rFonts w:ascii="Times New Roman" w:hAnsi="Times New Roman" w:eastAsia="Times New Roman" w:cs="Times New Roman"/>
                <w:bCs/>
                <w:iCs/>
                <w:color w:val="000000" w:themeColor="text1"/>
                <w:sz w:val="24"/>
                <w:szCs w:val="24"/>
              </w:rPr>
              <w:t xml:space="preserve"> Abu iepriekš nosaukto r</w:t>
            </w:r>
            <w:r w:rsidRPr="004576D8" w:rsidR="00884158">
              <w:rPr>
                <w:rFonts w:ascii="Times New Roman" w:hAnsi="Times New Roman" w:eastAsia="Times New Roman" w:cs="Times New Roman"/>
                <w:bCs/>
                <w:iCs/>
                <w:color w:val="000000" w:themeColor="text1"/>
                <w:sz w:val="24"/>
                <w:szCs w:val="24"/>
              </w:rPr>
              <w:t xml:space="preserve">egulu </w:t>
            </w:r>
            <w:r w:rsidRPr="004576D8" w:rsidR="00884158">
              <w:rPr>
                <w:rFonts w:ascii="Times New Roman" w:hAnsi="Times New Roman" w:eastAsia="Times New Roman" w:cs="Times New Roman"/>
                <w:bCs/>
                <w:iCs/>
                <w:color w:val="000000" w:themeColor="text1"/>
                <w:sz w:val="24"/>
                <w:szCs w:val="24"/>
              </w:rPr>
              <w:lastRenderedPageBreak/>
              <w:t>prasības netiek pārņemtas, bet pielā</w:t>
            </w:r>
            <w:r w:rsidRPr="004576D8" w:rsidR="004576D8">
              <w:rPr>
                <w:rFonts w:ascii="Times New Roman" w:hAnsi="Times New Roman" w:eastAsia="Times New Roman" w:cs="Times New Roman"/>
                <w:bCs/>
                <w:iCs/>
                <w:color w:val="000000" w:themeColor="text1"/>
                <w:sz w:val="24"/>
                <w:szCs w:val="24"/>
              </w:rPr>
              <w:t>gotas tikai to prasības, j</w:t>
            </w:r>
            <w:r w:rsidRPr="005466DE" w:rsidR="004576D8">
              <w:rPr>
                <w:rFonts w:ascii="Times New Roman" w:hAnsi="Times New Roman" w:cs="Times New Roman"/>
                <w:sz w:val="24"/>
                <w:szCs w:val="24"/>
              </w:rPr>
              <w:t xml:space="preserve">o minētās regulas attiecas vienīgi uz Eiropas Savienības preču zīmi, bet </w:t>
            </w:r>
            <w:r w:rsidR="004B1DEA">
              <w:rPr>
                <w:rFonts w:ascii="Times New Roman" w:hAnsi="Times New Roman" w:cs="Times New Roman"/>
                <w:sz w:val="24"/>
                <w:szCs w:val="24"/>
              </w:rPr>
              <w:t>Projekts</w:t>
            </w:r>
            <w:r w:rsidRPr="005466DE" w:rsidR="004576D8">
              <w:rPr>
                <w:rFonts w:ascii="Times New Roman" w:hAnsi="Times New Roman" w:cs="Times New Roman"/>
                <w:sz w:val="24"/>
                <w:szCs w:val="24"/>
              </w:rPr>
              <w:t xml:space="preserve"> tikai salāgo  atsevišķas prasības par dažādu preču zīmju veidu pieteikšanu preču zīmju procedūrā Latvijā (nacionālajā reģistrācijas procedūrā).</w:t>
            </w:r>
          </w:p>
          <w:p w:rsidRPr="00B41109" w:rsidR="00B41109" w:rsidP="006F2F41" w:rsidRDefault="00021A27" w14:paraId="34BA7205" w14:textId="5945CF52">
            <w:pPr>
              <w:pStyle w:val="Body"/>
              <w:spacing w:line="240" w:lineRule="auto"/>
              <w:jc w:val="both"/>
              <w:rPr>
                <w:rFonts w:ascii="Times New Roman" w:hAnsi="Times New Roman" w:cs="Times New Roman"/>
                <w:sz w:val="24"/>
                <w:szCs w:val="24"/>
              </w:rPr>
            </w:pPr>
            <w:r w:rsidRPr="00B41109">
              <w:rPr>
                <w:rFonts w:ascii="Times New Roman" w:hAnsi="Times New Roman" w:cs="Times New Roman"/>
                <w:sz w:val="24"/>
                <w:szCs w:val="24"/>
              </w:rPr>
              <w:t xml:space="preserve">Lai saņemtu Projektā minētos pakalpojumus, dokumentus </w:t>
            </w:r>
            <w:r w:rsidR="006F2F41">
              <w:rPr>
                <w:rFonts w:ascii="Times New Roman" w:hAnsi="Times New Roman" w:cs="Times New Roman"/>
                <w:sz w:val="24"/>
                <w:szCs w:val="24"/>
              </w:rPr>
              <w:t>iepriekšminēto</w:t>
            </w:r>
            <w:r w:rsidRPr="00B41109" w:rsidR="00B41109">
              <w:rPr>
                <w:rFonts w:ascii="Times New Roman" w:hAnsi="Times New Roman" w:cs="Times New Roman"/>
                <w:sz w:val="24"/>
                <w:szCs w:val="24"/>
              </w:rPr>
              <w:t xml:space="preserve"> pakalpojumu saņemšanai var iesniegt </w:t>
            </w:r>
            <w:proofErr w:type="spellStart"/>
            <w:r w:rsidRPr="00B41109" w:rsidR="00B41109">
              <w:rPr>
                <w:rFonts w:ascii="Times New Roman" w:hAnsi="Times New Roman" w:cs="Times New Roman"/>
                <w:sz w:val="24"/>
                <w:szCs w:val="24"/>
              </w:rPr>
              <w:t>rakstveidā</w:t>
            </w:r>
            <w:proofErr w:type="spellEnd"/>
            <w:r w:rsidRPr="00B41109" w:rsidR="00B41109">
              <w:rPr>
                <w:rFonts w:ascii="Times New Roman" w:hAnsi="Times New Roman" w:cs="Times New Roman"/>
                <w:sz w:val="24"/>
                <w:szCs w:val="24"/>
              </w:rPr>
              <w:t xml:space="preserve"> papīra formā – klātienē vai izmantojot pasta pakalpojumus – vai elektroniski – nosūtot to</w:t>
            </w:r>
            <w:r w:rsidR="00DA562B">
              <w:rPr>
                <w:rFonts w:ascii="Times New Roman" w:hAnsi="Times New Roman" w:cs="Times New Roman"/>
                <w:sz w:val="24"/>
                <w:szCs w:val="24"/>
              </w:rPr>
              <w:t>s uz</w:t>
            </w:r>
            <w:r w:rsidRPr="00B41109" w:rsidR="00B41109">
              <w:rPr>
                <w:rFonts w:ascii="Times New Roman" w:hAnsi="Times New Roman" w:cs="Times New Roman"/>
                <w:sz w:val="24"/>
                <w:szCs w:val="24"/>
              </w:rPr>
              <w:t xml:space="preserve"> </w:t>
            </w:r>
            <w:r w:rsidRPr="00B41109" w:rsidR="006F2F41">
              <w:rPr>
                <w:rFonts w:ascii="Times New Roman" w:hAnsi="Times New Roman" w:cs="Times New Roman"/>
                <w:sz w:val="24"/>
                <w:szCs w:val="24"/>
              </w:rPr>
              <w:t>oficiālo elektronisko adresi</w:t>
            </w:r>
            <w:r w:rsidR="006F2F41">
              <w:rPr>
                <w:rFonts w:ascii="Times New Roman" w:hAnsi="Times New Roman" w:cs="Times New Roman"/>
                <w:sz w:val="24"/>
                <w:szCs w:val="24"/>
              </w:rPr>
              <w:t xml:space="preserve"> vai elektroniskā pasta adresi</w:t>
            </w:r>
            <w:r w:rsidRPr="00B41109">
              <w:rPr>
                <w:rFonts w:ascii="Times New Roman" w:hAnsi="Times New Roman" w:cs="Times New Roman"/>
                <w:sz w:val="24"/>
                <w:szCs w:val="24"/>
              </w:rPr>
              <w:t xml:space="preserve">. </w:t>
            </w:r>
            <w:bookmarkStart w:name="_GoBack" w:id="0"/>
            <w:bookmarkEnd w:id="0"/>
          </w:p>
        </w:tc>
      </w:tr>
      <w:tr w:rsidRPr="00545C48" w:rsidR="003C6569" w:rsidTr="004754BE" w14:paraId="08BE2AA5"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545C48" w:rsidR="00655F2C" w:rsidP="00E5323B" w:rsidRDefault="00E5323B" w14:paraId="0D09D057"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lastRenderedPageBreak/>
              <w:t>3.</w:t>
            </w:r>
          </w:p>
        </w:tc>
        <w:tc>
          <w:tcPr>
            <w:tcW w:w="1301" w:type="pct"/>
            <w:tcBorders>
              <w:top w:val="outset" w:color="auto" w:sz="6" w:space="0"/>
              <w:left w:val="outset" w:color="auto" w:sz="6" w:space="0"/>
              <w:bottom w:val="outset" w:color="auto" w:sz="6" w:space="0"/>
              <w:right w:val="outset" w:color="auto" w:sz="6" w:space="0"/>
            </w:tcBorders>
            <w:hideMark/>
          </w:tcPr>
          <w:p w:rsidRPr="00545C48" w:rsidR="00E5323B" w:rsidP="003060C7" w:rsidRDefault="00E5323B" w14:paraId="4C8A4AD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336" w:type="pct"/>
            <w:tcBorders>
              <w:top w:val="outset" w:color="auto" w:sz="6" w:space="0"/>
              <w:left w:val="outset" w:color="auto" w:sz="6" w:space="0"/>
              <w:bottom w:val="outset" w:color="auto" w:sz="6" w:space="0"/>
              <w:right w:val="outset" w:color="auto" w:sz="6" w:space="0"/>
            </w:tcBorders>
            <w:hideMark/>
          </w:tcPr>
          <w:p w:rsidRPr="00545C48" w:rsidR="00E5323B" w:rsidP="00E5323B" w:rsidRDefault="00F90BA0" w14:paraId="7065B42E" w14:textId="627FD2F6">
            <w:pPr>
              <w:spacing w:after="0" w:line="240" w:lineRule="auto"/>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Patentu valde.</w:t>
            </w:r>
          </w:p>
        </w:tc>
      </w:tr>
      <w:tr w:rsidRPr="00545C48" w:rsidR="003C6569" w:rsidTr="004754BE" w14:paraId="62BC81DE"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545C48" w:rsidR="00655F2C" w:rsidP="00E5323B" w:rsidRDefault="00E5323B" w14:paraId="0276BF02"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4.</w:t>
            </w:r>
          </w:p>
        </w:tc>
        <w:tc>
          <w:tcPr>
            <w:tcW w:w="1301" w:type="pct"/>
            <w:tcBorders>
              <w:top w:val="outset" w:color="auto" w:sz="6" w:space="0"/>
              <w:left w:val="outset" w:color="auto" w:sz="6" w:space="0"/>
              <w:bottom w:val="outset" w:color="auto" w:sz="6" w:space="0"/>
              <w:right w:val="outset" w:color="auto" w:sz="6" w:space="0"/>
            </w:tcBorders>
            <w:hideMark/>
          </w:tcPr>
          <w:p w:rsidRPr="00545C48" w:rsidR="00E5323B" w:rsidP="003060C7" w:rsidRDefault="00E5323B" w14:paraId="208A52A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Cita informācija</w:t>
            </w:r>
          </w:p>
        </w:tc>
        <w:tc>
          <w:tcPr>
            <w:tcW w:w="3336" w:type="pct"/>
            <w:tcBorders>
              <w:top w:val="outset" w:color="auto" w:sz="6" w:space="0"/>
              <w:left w:val="outset" w:color="auto" w:sz="6" w:space="0"/>
              <w:bottom w:val="outset" w:color="auto" w:sz="6" w:space="0"/>
              <w:right w:val="outset" w:color="auto" w:sz="6" w:space="0"/>
            </w:tcBorders>
            <w:hideMark/>
          </w:tcPr>
          <w:p w:rsidRPr="00545C48" w:rsidR="00E5323B" w:rsidP="003060C7" w:rsidRDefault="00E5323B" w14:paraId="75915025" w14:textId="3D5AD727">
            <w:pPr>
              <w:spacing w:after="0" w:line="240" w:lineRule="auto"/>
              <w:jc w:val="both"/>
              <w:rPr>
                <w:rFonts w:ascii="Times New Roman" w:hAnsi="Times New Roman" w:cs="Times New Roman"/>
                <w:iCs/>
                <w:color w:val="000000" w:themeColor="text1"/>
                <w:sz w:val="24"/>
                <w:szCs w:val="24"/>
                <w:shd w:val="clear" w:color="auto" w:fill="FFFFFF"/>
              </w:rPr>
            </w:pPr>
            <w:r w:rsidRPr="00545C48">
              <w:rPr>
                <w:rFonts w:ascii="Times New Roman" w:hAnsi="Times New Roman" w:cs="Times New Roman"/>
                <w:iCs/>
                <w:color w:val="000000" w:themeColor="text1"/>
                <w:sz w:val="24"/>
                <w:szCs w:val="24"/>
                <w:shd w:val="clear" w:color="auto" w:fill="FFFFFF"/>
              </w:rPr>
              <w:t>Nav</w:t>
            </w:r>
            <w:r w:rsidRPr="00545C48" w:rsidR="006D3187">
              <w:rPr>
                <w:rFonts w:ascii="Times New Roman" w:hAnsi="Times New Roman" w:cs="Times New Roman"/>
                <w:iCs/>
                <w:color w:val="000000" w:themeColor="text1"/>
                <w:sz w:val="24"/>
                <w:szCs w:val="24"/>
                <w:shd w:val="clear" w:color="auto" w:fill="FFFFFF"/>
              </w:rPr>
              <w:t>.</w:t>
            </w:r>
          </w:p>
        </w:tc>
      </w:tr>
    </w:tbl>
    <w:p w:rsidRPr="00545C48" w:rsidR="00E5323B" w:rsidP="00E5323B" w:rsidRDefault="00E5323B" w14:paraId="74CF072C"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45C48" w:rsidR="003C6569" w:rsidTr="00E5323B" w14:paraId="222ED21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45C48" w:rsidR="00655F2C" w:rsidP="00F66BEF" w:rsidRDefault="00E5323B" w14:paraId="455327E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545C48" w:rsidR="003C6569" w:rsidTr="00BB3290" w14:paraId="1239CE29" w14:textId="77777777">
        <w:trPr>
          <w:trHeight w:val="918"/>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BB3290" w:rsidP="00BB3290" w:rsidRDefault="00BB3290" w14:paraId="793F6C69"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545C48" w:rsidR="00BB3290" w:rsidP="003060C7" w:rsidRDefault="00BB3290" w14:paraId="112EFC19"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 xml:space="preserve">Sabiedrības </w:t>
            </w:r>
            <w:proofErr w:type="spellStart"/>
            <w:r w:rsidRPr="00545C48">
              <w:rPr>
                <w:rFonts w:ascii="Times New Roman" w:hAnsi="Times New Roman" w:eastAsia="Times New Roman" w:cs="Times New Roman"/>
                <w:iCs/>
                <w:color w:val="000000" w:themeColor="text1"/>
                <w:sz w:val="24"/>
                <w:szCs w:val="24"/>
                <w:lang w:eastAsia="lv-LV"/>
              </w:rPr>
              <w:t>mērķgrupas</w:t>
            </w:r>
            <w:proofErr w:type="spellEnd"/>
            <w:r w:rsidRPr="00545C48">
              <w:rPr>
                <w:rFonts w:ascii="Times New Roman" w:hAnsi="Times New Roman" w:eastAsia="Times New Roman" w:cs="Times New Roman"/>
                <w:iCs/>
                <w:color w:val="000000" w:themeColor="text1"/>
                <w:sz w:val="24"/>
                <w:szCs w:val="24"/>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545C48" w:rsidR="00BB3290" w:rsidP="009878E5" w:rsidRDefault="00804A2E" w14:paraId="5289F99D" w14:textId="0EE0A7CA">
            <w:pPr>
              <w:pStyle w:val="Body"/>
              <w:spacing w:after="0" w:line="240" w:lineRule="auto"/>
              <w:jc w:val="both"/>
              <w:rPr>
                <w:rFonts w:ascii="Times New Roman" w:hAnsi="Times New Roman" w:eastAsia="Times New Roman" w:cs="Times New Roman"/>
                <w:color w:val="000000" w:themeColor="text1"/>
                <w:sz w:val="24"/>
                <w:szCs w:val="24"/>
              </w:rPr>
            </w:pPr>
            <w:r w:rsidRPr="00545C48">
              <w:rPr>
                <w:rFonts w:ascii="Times New Roman" w:hAnsi="Times New Roman"/>
                <w:sz w:val="24"/>
                <w:szCs w:val="24"/>
              </w:rPr>
              <w:t>Rūpnieciskā īpašuma tiesību pieteicēji</w:t>
            </w:r>
            <w:r w:rsidR="005B467A">
              <w:rPr>
                <w:rFonts w:ascii="Times New Roman" w:hAnsi="Times New Roman"/>
                <w:sz w:val="24"/>
                <w:szCs w:val="24"/>
              </w:rPr>
              <w:t xml:space="preserve"> (</w:t>
            </w:r>
            <w:r w:rsidR="005202C2">
              <w:rPr>
                <w:rFonts w:ascii="Times New Roman" w:hAnsi="Times New Roman"/>
                <w:sz w:val="24"/>
                <w:szCs w:val="24"/>
              </w:rPr>
              <w:t xml:space="preserve">tostarp </w:t>
            </w:r>
            <w:r w:rsidR="005B467A">
              <w:rPr>
                <w:rFonts w:ascii="Times New Roman" w:hAnsi="Times New Roman"/>
                <w:sz w:val="24"/>
                <w:szCs w:val="24"/>
              </w:rPr>
              <w:t xml:space="preserve">ārvalstu </w:t>
            </w:r>
            <w:r w:rsidR="00CA19E8">
              <w:rPr>
                <w:rFonts w:ascii="Times New Roman" w:hAnsi="Times New Roman"/>
                <w:sz w:val="24"/>
                <w:szCs w:val="24"/>
              </w:rPr>
              <w:t>personas)</w:t>
            </w:r>
            <w:r w:rsidRPr="00545C48">
              <w:rPr>
                <w:rFonts w:ascii="Times New Roman" w:hAnsi="Times New Roman"/>
                <w:sz w:val="24"/>
                <w:szCs w:val="24"/>
              </w:rPr>
              <w:t xml:space="preserve">, īpašnieki (Patentu valdes pakalpojumu lietotāji), šo personu pārstāvji. </w:t>
            </w:r>
            <w:proofErr w:type="spellStart"/>
            <w:r w:rsidRPr="00545C48">
              <w:rPr>
                <w:rFonts w:ascii="Times New Roman" w:hAnsi="Times New Roman"/>
                <w:sz w:val="24"/>
                <w:szCs w:val="24"/>
              </w:rPr>
              <w:t>Mērķgrupas</w:t>
            </w:r>
            <w:proofErr w:type="spellEnd"/>
            <w:r w:rsidRPr="00545C48">
              <w:rPr>
                <w:rFonts w:ascii="Times New Roman" w:hAnsi="Times New Roman"/>
                <w:sz w:val="24"/>
                <w:szCs w:val="24"/>
              </w:rPr>
              <w:t xml:space="preserve"> aptuveno lielumu vai īpatsvaru nav iespējams precīzi noteikt, jo ietver Patentu valdes pakalpojumu lietotājus gan Latvijā, gan citās valstīs.</w:t>
            </w:r>
            <w:r w:rsidR="005202C2">
              <w:rPr>
                <w:rFonts w:ascii="Times New Roman" w:hAnsi="Times New Roman"/>
                <w:sz w:val="24"/>
                <w:szCs w:val="24"/>
              </w:rPr>
              <w:t xml:space="preserve"> </w:t>
            </w:r>
            <w:r w:rsidRPr="00545C48">
              <w:rPr>
                <w:rFonts w:ascii="Times New Roman" w:hAnsi="Times New Roman"/>
                <w:sz w:val="24"/>
                <w:szCs w:val="24"/>
              </w:rPr>
              <w:t xml:space="preserve">Tās ir gan juridiskas, gan fiziskas personas, galvenokārt tie ir </w:t>
            </w:r>
            <w:r w:rsidR="005202C2">
              <w:rPr>
                <w:rFonts w:ascii="Times New Roman" w:hAnsi="Times New Roman"/>
                <w:sz w:val="24"/>
                <w:szCs w:val="24"/>
              </w:rPr>
              <w:t xml:space="preserve">saimnieciskās darbības veicēji, </w:t>
            </w:r>
            <w:r w:rsidRPr="00545C48">
              <w:rPr>
                <w:rFonts w:ascii="Times New Roman" w:hAnsi="Times New Roman"/>
                <w:sz w:val="24"/>
                <w:szCs w:val="24"/>
              </w:rPr>
              <w:t>rūpniecības uzņēmumu</w:t>
            </w:r>
            <w:r w:rsidR="009878E5">
              <w:rPr>
                <w:rFonts w:ascii="Times New Roman" w:hAnsi="Times New Roman"/>
                <w:sz w:val="24"/>
                <w:szCs w:val="24"/>
              </w:rPr>
              <w:t xml:space="preserve"> </w:t>
            </w:r>
            <w:r w:rsidRPr="00545C48">
              <w:rPr>
                <w:rFonts w:ascii="Times New Roman" w:hAnsi="Times New Roman"/>
                <w:sz w:val="24"/>
                <w:szCs w:val="24"/>
              </w:rPr>
              <w:t xml:space="preserve">pārstāvji un profesionālie </w:t>
            </w:r>
            <w:proofErr w:type="spellStart"/>
            <w:r w:rsidRPr="00545C48">
              <w:rPr>
                <w:rFonts w:ascii="Times New Roman" w:hAnsi="Times New Roman"/>
                <w:sz w:val="24"/>
                <w:szCs w:val="24"/>
              </w:rPr>
              <w:t>patentpilnvarnieki</w:t>
            </w:r>
            <w:proofErr w:type="spellEnd"/>
            <w:r w:rsidRPr="00545C48">
              <w:rPr>
                <w:rFonts w:ascii="Times New Roman" w:hAnsi="Times New Roman"/>
                <w:sz w:val="24"/>
                <w:szCs w:val="24"/>
              </w:rPr>
              <w:t>.</w:t>
            </w:r>
          </w:p>
        </w:tc>
      </w:tr>
      <w:tr w:rsidRPr="00545C48" w:rsidR="003C6569" w:rsidTr="00BB3290" w14:paraId="531569E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BB3290" w:rsidP="00BB3290" w:rsidRDefault="00BB3290" w14:paraId="4EA6B15E"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545C48" w:rsidR="00BB3290" w:rsidP="003060C7" w:rsidRDefault="00BB3290" w14:paraId="6BEF3F02"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Pr="00545C48" w:rsidR="00BB3290" w:rsidP="00325E86" w:rsidRDefault="00804A2E" w14:paraId="47E263A4" w14:textId="50A9D3C0">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sz w:val="24"/>
                <w:szCs w:val="24"/>
              </w:rPr>
              <w:t>Projektā ietvertais regulējums padara personām pieejamākus Patentu valdes pakalpojumus. Projekts nodrošina personām tiesības un iespējas izmantot Projektā noteikto regulējumu un būtiski samazina iespēju, ka preču zīmes reģistrācijas pieteicējam vai īpašniekam un reģistrācijas iestādei – Patentu valdei – varētu būt atšķirīgi viedokļi par to, kā īstenojama dažādu apzīmējumu veidu pieteikšana reģistrācijai, kā kārtojama tiesību uz preču zīmi pāreja citai personai, kā arī licences līguma reģistrācija, tā grozīšana un izbeigšana.</w:t>
            </w:r>
          </w:p>
        </w:tc>
      </w:tr>
      <w:tr w:rsidRPr="00545C48" w:rsidR="00312938" w:rsidTr="00BB3290" w14:paraId="3EF580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312938" w:rsidP="00312938" w:rsidRDefault="00312938" w14:paraId="778C0519"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545C48" w:rsidR="00312938" w:rsidP="003060C7" w:rsidRDefault="00312938" w14:paraId="51AC95E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545C48" w:rsidR="00312938" w:rsidP="00312938" w:rsidRDefault="0089045E" w14:paraId="64FFA8A4" w14:textId="249F7AB6">
            <w:pPr>
              <w:pStyle w:val="naisf"/>
              <w:ind w:firstLine="0"/>
            </w:pPr>
            <w:r w:rsidRPr="00545C48">
              <w:t>P</w:t>
            </w:r>
            <w:r w:rsidRPr="00545C48" w:rsidR="00312938">
              <w:t>rojekts šo jomu neskar.</w:t>
            </w:r>
          </w:p>
        </w:tc>
      </w:tr>
      <w:tr w:rsidRPr="00545C48" w:rsidR="00312938" w:rsidTr="00BB3290" w14:paraId="1CB640C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312938" w:rsidP="00312938" w:rsidRDefault="00312938" w14:paraId="6B586803"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545C48" w:rsidR="00312938" w:rsidP="003060C7" w:rsidRDefault="00312938" w14:paraId="399B3260"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545C48" w:rsidR="00312938" w:rsidP="00312938" w:rsidRDefault="0089045E" w14:paraId="11E86D50" w14:textId="3A44F2AE">
            <w:pPr>
              <w:pStyle w:val="naisf"/>
              <w:ind w:firstLine="0"/>
            </w:pPr>
            <w:r w:rsidRPr="00545C48">
              <w:t>P</w:t>
            </w:r>
            <w:r w:rsidRPr="00545C48" w:rsidR="00312938">
              <w:t>rojekts šo jomu neskar.</w:t>
            </w:r>
          </w:p>
        </w:tc>
      </w:tr>
      <w:tr w:rsidRPr="00545C48" w:rsidR="003C6569" w:rsidTr="00BB3290" w14:paraId="477A703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BB3290" w:rsidP="00BB3290" w:rsidRDefault="00BB3290" w14:paraId="16DFB3F0"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545C48" w:rsidR="00BB3290" w:rsidP="003060C7" w:rsidRDefault="00BB3290" w14:paraId="1F06C70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545C48" w:rsidR="00BB3290" w:rsidP="00BB3290" w:rsidRDefault="00BB3290" w14:paraId="620DD392" w14:textId="4B2044ED">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Nav</w:t>
            </w:r>
            <w:r w:rsidRPr="00545C48" w:rsidR="0089045E">
              <w:rPr>
                <w:rFonts w:ascii="Times New Roman" w:hAnsi="Times New Roman" w:eastAsia="Times New Roman" w:cs="Times New Roman"/>
                <w:iCs/>
                <w:color w:val="000000" w:themeColor="text1"/>
                <w:sz w:val="24"/>
                <w:szCs w:val="24"/>
                <w:lang w:eastAsia="lv-LV"/>
              </w:rPr>
              <w:t>.</w:t>
            </w:r>
          </w:p>
        </w:tc>
      </w:tr>
    </w:tbl>
    <w:p w:rsidRPr="00545C48" w:rsidR="00635199" w:rsidP="00E5323B" w:rsidRDefault="00E5323B" w14:paraId="210B9FDC" w14:textId="0491F288">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45C48" w:rsidR="003C6569" w:rsidTr="00E5323B" w14:paraId="066BC3B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45C48" w:rsidR="00655F2C" w:rsidP="00F66BEF" w:rsidRDefault="00E5323B" w14:paraId="019684A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III. Tiesību akta projekta ietekme uz valsts budžetu un pašvaldību budžetiem</w:t>
            </w:r>
          </w:p>
        </w:tc>
      </w:tr>
      <w:tr w:rsidRPr="00545C48" w:rsidR="00A95EEB" w:rsidTr="00A95EEB" w14:paraId="15C3C4EF" w14:textId="77777777">
        <w:trPr>
          <w:trHeight w:val="90"/>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45C48" w:rsidR="00A95EEB" w:rsidP="00A95EEB" w:rsidRDefault="009F51CD" w14:paraId="6F406DDE" w14:textId="3246EC8C">
            <w:pPr>
              <w:spacing w:after="0" w:line="240" w:lineRule="auto"/>
              <w:jc w:val="center"/>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lastRenderedPageBreak/>
              <w:t>P</w:t>
            </w:r>
            <w:r w:rsidRPr="00545C48" w:rsidR="00A95EEB">
              <w:rPr>
                <w:rFonts w:ascii="Times New Roman" w:hAnsi="Times New Roman" w:eastAsia="Times New Roman" w:cs="Times New Roman"/>
                <w:iCs/>
                <w:color w:val="000000" w:themeColor="text1"/>
                <w:sz w:val="24"/>
                <w:szCs w:val="24"/>
                <w:lang w:eastAsia="lv-LV"/>
              </w:rPr>
              <w:t>rojekts šo jomu neskar.</w:t>
            </w:r>
          </w:p>
        </w:tc>
      </w:tr>
    </w:tbl>
    <w:p w:rsidRPr="00545C48" w:rsidR="00E5323B" w:rsidP="00E5323B" w:rsidRDefault="00E5323B" w14:paraId="1266D2FA" w14:textId="44728048">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45C48" w:rsidR="003C6569" w:rsidTr="00E5323B" w14:paraId="7AEA5B6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45C48" w:rsidR="00655F2C" w:rsidP="003060C7" w:rsidRDefault="00E5323B" w14:paraId="0DB8859C"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545C48" w:rsidR="006F5279" w:rsidTr="006F5279" w14:paraId="1A233FE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545C48" w:rsidR="006F5279" w:rsidP="006F5279" w:rsidRDefault="00FD34A4" w14:paraId="0BC1854B" w14:textId="5155652A">
            <w:pPr>
              <w:spacing w:after="0" w:line="240" w:lineRule="auto"/>
              <w:jc w:val="center"/>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color w:val="000000" w:themeColor="text1"/>
                <w:sz w:val="24"/>
                <w:szCs w:val="24"/>
                <w:lang w:eastAsia="lv-LV"/>
              </w:rPr>
              <w:t>P</w:t>
            </w:r>
            <w:r w:rsidRPr="00545C48" w:rsidR="006F5279">
              <w:rPr>
                <w:rFonts w:ascii="Times New Roman" w:hAnsi="Times New Roman" w:eastAsia="Times New Roman" w:cs="Times New Roman"/>
                <w:color w:val="000000" w:themeColor="text1"/>
                <w:sz w:val="24"/>
                <w:szCs w:val="24"/>
                <w:lang w:eastAsia="lv-LV"/>
              </w:rPr>
              <w:t>rojekts šo jomu neskar.</w:t>
            </w:r>
          </w:p>
        </w:tc>
      </w:tr>
    </w:tbl>
    <w:p w:rsidRPr="00545C48" w:rsidR="00E5323B" w:rsidP="00E5323B" w:rsidRDefault="00E5323B" w14:paraId="55582AFB"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45C48" w:rsidR="00264AD2" w:rsidTr="00781438" w14:paraId="4331403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45C48" w:rsidR="00264AD2" w:rsidP="00781438" w:rsidRDefault="00264AD2" w14:paraId="1D683E78" w14:textId="77777777">
            <w:pPr>
              <w:spacing w:after="0" w:line="240" w:lineRule="auto"/>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545C48" w:rsidR="00264AD2" w:rsidTr="00781438" w14:paraId="7EB83A5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537A11F1"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0D0F23B8"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346BE2" w14:paraId="18DA032B" w14:textId="7DA499A2">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Projekts šo jomu neskar</w:t>
            </w:r>
            <w:r w:rsidR="008F6C62">
              <w:rPr>
                <w:rFonts w:ascii="Times New Roman" w:hAnsi="Times New Roman" w:eastAsia="Times New Roman" w:cs="Times New Roman"/>
                <w:iCs/>
                <w:color w:val="000000" w:themeColor="text1"/>
                <w:sz w:val="24"/>
                <w:szCs w:val="24"/>
                <w:lang w:eastAsia="lv-LV"/>
              </w:rPr>
              <w:t>.</w:t>
            </w:r>
          </w:p>
        </w:tc>
      </w:tr>
      <w:tr w:rsidRPr="00545C48" w:rsidR="00264AD2" w:rsidTr="00781438" w14:paraId="72615E6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7CA43FBA"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442DAE18"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277C9B5F" w14:textId="20D5BFF6">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Singapūras līgums.</w:t>
            </w:r>
          </w:p>
        </w:tc>
      </w:tr>
      <w:tr w:rsidRPr="00545C48" w:rsidR="00264AD2" w:rsidTr="00781438" w14:paraId="7FB76FB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1C6EAB66"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5CB21AC8"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37BA435F" w14:textId="58AB8AEB">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Nav.</w:t>
            </w:r>
          </w:p>
        </w:tc>
      </w:tr>
    </w:tbl>
    <w:p w:rsidRPr="00894E54" w:rsidR="00264AD2" w:rsidP="00264AD2" w:rsidRDefault="00264AD2" w14:paraId="3B46E33B" w14:textId="77777777">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40"/>
        <w:gridCol w:w="3223"/>
        <w:gridCol w:w="3592"/>
      </w:tblGrid>
      <w:tr w:rsidRPr="00545C48" w:rsidR="00264AD2" w:rsidTr="00781438" w14:paraId="64EE749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94E54" w:rsidR="00264AD2" w:rsidP="00264AD2" w:rsidRDefault="00264AD2" w14:paraId="29881731"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94E54">
              <w:rPr>
                <w:rFonts w:ascii="Times New Roman" w:hAnsi="Times New Roman" w:eastAsia="Times New Roman" w:cs="Times New Roman"/>
                <w:b/>
                <w:bCs/>
                <w:iCs/>
                <w:color w:val="000000" w:themeColor="text1"/>
                <w:sz w:val="24"/>
                <w:szCs w:val="24"/>
                <w:lang w:eastAsia="lv-LV"/>
              </w:rPr>
              <w:t>1. tabula</w:t>
            </w:r>
            <w:r w:rsidRPr="00894E54">
              <w:rPr>
                <w:rFonts w:ascii="Times New Roman" w:hAnsi="Times New Roman" w:eastAsia="Times New Roman" w:cs="Times New Roman"/>
                <w:b/>
                <w:bCs/>
                <w:iCs/>
                <w:color w:val="000000" w:themeColor="text1"/>
                <w:sz w:val="24"/>
                <w:szCs w:val="24"/>
                <w:lang w:eastAsia="lv-LV"/>
              </w:rPr>
              <w:br/>
              <w:t>Tiesību akta projekta atbilstība ES tiesību aktiem</w:t>
            </w:r>
          </w:p>
        </w:tc>
      </w:tr>
      <w:tr w:rsidRPr="00545C48" w:rsidR="00264AD2" w:rsidTr="00781438" w14:paraId="371AB76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894E54" w:rsidR="00264AD2" w:rsidP="00E23E84" w:rsidRDefault="00E23E84" w14:paraId="592D3A19" w14:textId="650D2535">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color w:val="000000" w:themeColor="text1"/>
                <w:sz w:val="24"/>
                <w:szCs w:val="24"/>
                <w:lang w:eastAsia="lv-LV"/>
              </w:rPr>
              <w:t>Projekts šo jomu neskar.</w:t>
            </w:r>
          </w:p>
        </w:tc>
      </w:tr>
      <w:tr w:rsidRPr="00545C48" w:rsidR="00264AD2" w:rsidTr="00781438" w14:paraId="6609322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45C48" w:rsidR="00264AD2" w:rsidP="00264AD2" w:rsidRDefault="00264AD2" w14:paraId="0C02E49E"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2. tabula</w:t>
            </w:r>
            <w:r w:rsidRPr="00545C48">
              <w:rPr>
                <w:rFonts w:ascii="Times New Roman" w:hAnsi="Times New Roman" w:eastAsia="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545C48">
              <w:rPr>
                <w:rFonts w:ascii="Times New Roman" w:hAnsi="Times New Roman" w:eastAsia="Times New Roman" w:cs="Times New Roman"/>
                <w:b/>
                <w:bCs/>
                <w:iCs/>
                <w:color w:val="000000" w:themeColor="text1"/>
                <w:sz w:val="24"/>
                <w:szCs w:val="24"/>
                <w:lang w:eastAsia="lv-LV"/>
              </w:rPr>
              <w:br/>
              <w:t>Pasākumi šo saistību izpildei</w:t>
            </w:r>
          </w:p>
        </w:tc>
      </w:tr>
      <w:tr w:rsidRPr="00545C48" w:rsidR="00264AD2" w:rsidTr="00264AD2" w14:paraId="61E764A3"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09D55BC5"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734" w:type="pct"/>
            <w:gridSpan w:val="2"/>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592E57B3" w14:textId="4D42C75A">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sz w:val="24"/>
                <w:szCs w:val="24"/>
              </w:rPr>
              <w:t>2006. gada 27. marta Singap</w:t>
            </w:r>
            <w:r w:rsidRPr="00545C48">
              <w:rPr>
                <w:rFonts w:ascii="Times New Roman" w:hAnsi="Times New Roman"/>
                <w:sz w:val="24"/>
                <w:szCs w:val="24"/>
              </w:rPr>
              <w:t>ū</w:t>
            </w:r>
            <w:r w:rsidRPr="00894E54">
              <w:rPr>
                <w:rFonts w:ascii="Times New Roman" w:hAnsi="Times New Roman"/>
                <w:sz w:val="24"/>
                <w:szCs w:val="24"/>
              </w:rPr>
              <w:t>ras l</w:t>
            </w:r>
            <w:r w:rsidRPr="00545C48">
              <w:rPr>
                <w:rFonts w:ascii="Times New Roman" w:hAnsi="Times New Roman"/>
                <w:sz w:val="24"/>
                <w:szCs w:val="24"/>
              </w:rPr>
              <w:t>ī</w:t>
            </w:r>
            <w:r w:rsidRPr="00894E54">
              <w:rPr>
                <w:rFonts w:ascii="Times New Roman" w:hAnsi="Times New Roman"/>
                <w:sz w:val="24"/>
                <w:szCs w:val="24"/>
              </w:rPr>
              <w:t>gums par pre</w:t>
            </w:r>
            <w:r w:rsidRPr="00545C48">
              <w:rPr>
                <w:rFonts w:ascii="Times New Roman" w:hAnsi="Times New Roman"/>
                <w:sz w:val="24"/>
                <w:szCs w:val="24"/>
              </w:rPr>
              <w:t>ču zīmēm.</w:t>
            </w:r>
          </w:p>
        </w:tc>
      </w:tr>
      <w:tr w:rsidRPr="00545C48" w:rsidR="00264AD2" w:rsidTr="00264AD2" w14:paraId="48135AA2"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vAlign w:val="center"/>
            <w:hideMark/>
          </w:tcPr>
          <w:p w:rsidRPr="00894E54" w:rsidR="00264AD2" w:rsidP="00781438" w:rsidRDefault="00264AD2" w14:paraId="050CAFAA" w14:textId="77777777">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eastAsia="Times New Roman" w:cs="Times New Roman"/>
                <w:iCs/>
                <w:color w:val="000000" w:themeColor="text1"/>
                <w:sz w:val="24"/>
                <w:szCs w:val="24"/>
                <w:lang w:eastAsia="lv-LV"/>
              </w:rPr>
              <w:t>A</w:t>
            </w:r>
          </w:p>
        </w:tc>
        <w:tc>
          <w:tcPr>
            <w:tcW w:w="1769" w:type="pct"/>
            <w:tcBorders>
              <w:top w:val="outset" w:color="auto" w:sz="6" w:space="0"/>
              <w:left w:val="outset" w:color="auto" w:sz="6" w:space="0"/>
              <w:bottom w:val="outset" w:color="auto" w:sz="6" w:space="0"/>
              <w:right w:val="outset" w:color="auto" w:sz="6" w:space="0"/>
            </w:tcBorders>
            <w:vAlign w:val="center"/>
            <w:hideMark/>
          </w:tcPr>
          <w:p w:rsidRPr="00894E54" w:rsidR="00264AD2" w:rsidP="00781438" w:rsidRDefault="00264AD2" w14:paraId="52BBB631" w14:textId="77777777">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eastAsia="Times New Roman" w:cs="Times New Roman"/>
                <w:iCs/>
                <w:color w:val="000000" w:themeColor="text1"/>
                <w:sz w:val="24"/>
                <w:szCs w:val="24"/>
                <w:lang w:eastAsia="lv-LV"/>
              </w:rPr>
              <w:t>B</w:t>
            </w:r>
          </w:p>
        </w:tc>
        <w:tc>
          <w:tcPr>
            <w:tcW w:w="1949" w:type="pct"/>
            <w:tcBorders>
              <w:top w:val="outset" w:color="auto" w:sz="6" w:space="0"/>
              <w:left w:val="outset" w:color="auto" w:sz="6" w:space="0"/>
              <w:bottom w:val="outset" w:color="auto" w:sz="6" w:space="0"/>
              <w:right w:val="outset" w:color="auto" w:sz="6" w:space="0"/>
            </w:tcBorders>
            <w:vAlign w:val="center"/>
            <w:hideMark/>
          </w:tcPr>
          <w:p w:rsidRPr="00894E54" w:rsidR="00264AD2" w:rsidP="00781438" w:rsidRDefault="00264AD2" w14:paraId="064960CD" w14:textId="77777777">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eastAsia="Times New Roman" w:cs="Times New Roman"/>
                <w:iCs/>
                <w:color w:val="000000" w:themeColor="text1"/>
                <w:sz w:val="24"/>
                <w:szCs w:val="24"/>
                <w:lang w:eastAsia="lv-LV"/>
              </w:rPr>
              <w:t>C</w:t>
            </w:r>
          </w:p>
        </w:tc>
      </w:tr>
      <w:tr w:rsidRPr="00545C48" w:rsidR="00264AD2" w:rsidTr="00264AD2" w14:paraId="0EA8F96A"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2988E19A"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Starptautiskās saistības (pēc būtības), kas izriet no norādītā starptautiskā dokumenta.</w:t>
            </w:r>
            <w:r w:rsidRPr="00545C48">
              <w:rPr>
                <w:rFonts w:ascii="Times New Roman" w:hAnsi="Times New Roman" w:eastAsia="Times New Roman" w:cs="Times New Roman"/>
                <w:iCs/>
                <w:color w:val="000000" w:themeColor="text1"/>
                <w:sz w:val="24"/>
                <w:szCs w:val="24"/>
                <w:lang w:eastAsia="lv-LV"/>
              </w:rPr>
              <w:br/>
              <w:t>Konkrēti veicamie pasākumi vai uzdevumi, kas nepieciešami šo starptautisko saistību izpildei</w:t>
            </w:r>
          </w:p>
        </w:tc>
        <w:tc>
          <w:tcPr>
            <w:tcW w:w="1769"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0343A83E"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5599F716"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Informācija par to, vai starptautiskās saistības, kas minētas šīs tabulas A ailē, tiek izpildītas pilnībā vai daļēji.</w:t>
            </w:r>
            <w:r w:rsidRPr="00545C48">
              <w:rPr>
                <w:rFonts w:ascii="Times New Roman" w:hAnsi="Times New Roman" w:eastAsia="Times New Roman" w:cs="Times New Roman"/>
                <w:iCs/>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545C48">
              <w:rPr>
                <w:rFonts w:ascii="Times New Roman" w:hAnsi="Times New Roman" w:eastAsia="Times New Roman" w:cs="Times New Roman"/>
                <w:iCs/>
                <w:color w:val="000000" w:themeColor="text1"/>
                <w:sz w:val="24"/>
                <w:szCs w:val="24"/>
                <w:lang w:eastAsia="lv-LV"/>
              </w:rPr>
              <w:br/>
              <w:t>Norāda institūciju, kas ir atbildīga par šo saistību izpildi pilnībā</w:t>
            </w:r>
          </w:p>
        </w:tc>
      </w:tr>
      <w:tr w:rsidRPr="00545C48" w:rsidR="00264AD2" w:rsidTr="00264AD2" w14:paraId="7A61AEDE"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037509A4" w14:textId="2B2C7759">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sz w:val="24"/>
                <w:szCs w:val="24"/>
              </w:rPr>
              <w:t xml:space="preserve">Preču zīmes reģistrācijas vai </w:t>
            </w:r>
            <w:r w:rsidRPr="00545C48">
              <w:rPr>
                <w:rFonts w:ascii="Times New Roman" w:hAnsi="Times New Roman"/>
                <w:sz w:val="24"/>
                <w:szCs w:val="24"/>
              </w:rPr>
              <w:lastRenderedPageBreak/>
              <w:t>reģistrācijas pieteikuma īpašumtiesību maiņa, tās pieteikšana, izskatīšana un reģistrēšana; - Singapūras līguma par preču zīmēm 11. pants</w:t>
            </w:r>
          </w:p>
        </w:tc>
        <w:tc>
          <w:tcPr>
            <w:tcW w:w="1769"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3BFF798C" w14:textId="5FBCD673">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sz w:val="24"/>
                <w:szCs w:val="24"/>
              </w:rPr>
              <w:lastRenderedPageBreak/>
              <w:t>Projekta 1</w:t>
            </w:r>
            <w:r w:rsidR="005466DE">
              <w:rPr>
                <w:rFonts w:ascii="Times New Roman" w:hAnsi="Times New Roman"/>
                <w:sz w:val="24"/>
                <w:szCs w:val="24"/>
              </w:rPr>
              <w:t>1</w:t>
            </w:r>
            <w:r w:rsidRPr="00545C48">
              <w:rPr>
                <w:rFonts w:ascii="Times New Roman" w:hAnsi="Times New Roman"/>
                <w:sz w:val="24"/>
                <w:szCs w:val="24"/>
              </w:rPr>
              <w:t>.–</w:t>
            </w:r>
            <w:r w:rsidR="00B41109">
              <w:rPr>
                <w:rFonts w:ascii="Times New Roman" w:hAnsi="Times New Roman"/>
                <w:sz w:val="24"/>
                <w:szCs w:val="24"/>
              </w:rPr>
              <w:t>19</w:t>
            </w:r>
            <w:r w:rsidRPr="00545C48">
              <w:rPr>
                <w:rFonts w:ascii="Times New Roman" w:hAnsi="Times New Roman"/>
                <w:sz w:val="24"/>
                <w:szCs w:val="24"/>
              </w:rPr>
              <w:t>. punkts.</w:t>
            </w:r>
          </w:p>
        </w:tc>
        <w:tc>
          <w:tcPr>
            <w:tcW w:w="1949"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52E6C6B3" w14:textId="6E054F4A">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sz w:val="24"/>
                <w:szCs w:val="24"/>
              </w:rPr>
              <w:t>Starptautiskās saistības tiek izpildītas pilnībā.</w:t>
            </w:r>
          </w:p>
        </w:tc>
      </w:tr>
      <w:tr w:rsidRPr="00545C48" w:rsidR="00264AD2" w:rsidTr="00264AD2" w14:paraId="2417ADF4"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tcPr>
          <w:p w:rsidRPr="00545C48" w:rsidR="00264AD2" w:rsidP="00781438" w:rsidRDefault="00264AD2" w14:paraId="77ED087C" w14:textId="447CF554">
            <w:pPr>
              <w:spacing w:after="0" w:line="240" w:lineRule="auto"/>
              <w:rPr>
                <w:rFonts w:ascii="Times New Roman" w:hAnsi="Times New Roman"/>
                <w:sz w:val="24"/>
                <w:szCs w:val="24"/>
              </w:rPr>
            </w:pPr>
            <w:r w:rsidRPr="00545C48">
              <w:rPr>
                <w:rFonts w:ascii="Times New Roman" w:hAnsi="Times New Roman"/>
                <w:sz w:val="24"/>
                <w:szCs w:val="24"/>
              </w:rPr>
              <w:t>Licences lī</w:t>
            </w:r>
            <w:r w:rsidRPr="00894E54">
              <w:rPr>
                <w:rFonts w:ascii="Times New Roman" w:hAnsi="Times New Roman"/>
                <w:sz w:val="24"/>
                <w:szCs w:val="24"/>
              </w:rPr>
              <w:t>guma pieteik</w:t>
            </w:r>
            <w:r w:rsidRPr="00545C48">
              <w:rPr>
                <w:rFonts w:ascii="Times New Roman" w:hAnsi="Times New Roman"/>
                <w:sz w:val="24"/>
                <w:szCs w:val="24"/>
              </w:rPr>
              <w:t>š</w:t>
            </w:r>
            <w:r w:rsidRPr="00894E54">
              <w:rPr>
                <w:rFonts w:ascii="Times New Roman" w:hAnsi="Times New Roman"/>
                <w:sz w:val="24"/>
                <w:szCs w:val="24"/>
              </w:rPr>
              <w:t>ana ierakstam re</w:t>
            </w:r>
            <w:r w:rsidRPr="00545C48">
              <w:rPr>
                <w:rFonts w:ascii="Times New Roman" w:hAnsi="Times New Roman"/>
                <w:sz w:val="24"/>
                <w:szCs w:val="24"/>
              </w:rPr>
              <w:t>ģistrā</w:t>
            </w:r>
            <w:r w:rsidRPr="00894E54">
              <w:rPr>
                <w:rFonts w:ascii="Times New Roman" w:hAnsi="Times New Roman"/>
                <w:sz w:val="24"/>
                <w:szCs w:val="24"/>
              </w:rPr>
              <w:t>, licences ieraksta groz</w:t>
            </w:r>
            <w:r w:rsidRPr="00545C48">
              <w:rPr>
                <w:rFonts w:ascii="Times New Roman" w:hAnsi="Times New Roman"/>
                <w:sz w:val="24"/>
                <w:szCs w:val="24"/>
              </w:rPr>
              <w:t>īšana un anulēšana; - Singapū</w:t>
            </w:r>
            <w:r w:rsidRPr="00894E54">
              <w:rPr>
                <w:rFonts w:ascii="Times New Roman" w:hAnsi="Times New Roman"/>
                <w:sz w:val="24"/>
                <w:szCs w:val="24"/>
              </w:rPr>
              <w:t>ras l</w:t>
            </w:r>
            <w:r w:rsidRPr="00545C48">
              <w:rPr>
                <w:rFonts w:ascii="Times New Roman" w:hAnsi="Times New Roman"/>
                <w:sz w:val="24"/>
                <w:szCs w:val="24"/>
              </w:rPr>
              <w:t>ī</w:t>
            </w:r>
            <w:r w:rsidRPr="00894E54">
              <w:rPr>
                <w:rFonts w:ascii="Times New Roman" w:hAnsi="Times New Roman"/>
                <w:sz w:val="24"/>
                <w:szCs w:val="24"/>
              </w:rPr>
              <w:t>guma par pre</w:t>
            </w:r>
            <w:r w:rsidRPr="00545C48">
              <w:rPr>
                <w:rFonts w:ascii="Times New Roman" w:hAnsi="Times New Roman"/>
                <w:sz w:val="24"/>
                <w:szCs w:val="24"/>
              </w:rPr>
              <w:t>ču zīmēm 17</w:t>
            </w:r>
            <w:r w:rsidR="00D94DAC">
              <w:rPr>
                <w:rFonts w:ascii="Times New Roman" w:hAnsi="Times New Roman"/>
                <w:sz w:val="24"/>
                <w:szCs w:val="24"/>
              </w:rPr>
              <w:t>.</w:t>
            </w:r>
            <w:r w:rsidRPr="00545C48">
              <w:rPr>
                <w:rFonts w:ascii="Times New Roman" w:hAnsi="Times New Roman"/>
                <w:sz w:val="24"/>
                <w:szCs w:val="24"/>
              </w:rPr>
              <w:t xml:space="preserve"> un 18. pants, Singapū</w:t>
            </w:r>
            <w:r w:rsidRPr="00894E54">
              <w:rPr>
                <w:rFonts w:ascii="Times New Roman" w:hAnsi="Times New Roman"/>
                <w:sz w:val="24"/>
                <w:szCs w:val="24"/>
              </w:rPr>
              <w:t>ras l</w:t>
            </w:r>
            <w:r w:rsidRPr="00545C48">
              <w:rPr>
                <w:rFonts w:ascii="Times New Roman" w:hAnsi="Times New Roman"/>
                <w:sz w:val="24"/>
                <w:szCs w:val="24"/>
              </w:rPr>
              <w:t>ī</w:t>
            </w:r>
            <w:r w:rsidRPr="00894E54">
              <w:rPr>
                <w:rFonts w:ascii="Times New Roman" w:hAnsi="Times New Roman"/>
                <w:sz w:val="24"/>
                <w:szCs w:val="24"/>
              </w:rPr>
              <w:t>guma par pre</w:t>
            </w:r>
            <w:r w:rsidRPr="00545C48">
              <w:rPr>
                <w:rFonts w:ascii="Times New Roman" w:hAnsi="Times New Roman"/>
                <w:sz w:val="24"/>
                <w:szCs w:val="24"/>
              </w:rPr>
              <w:t>ču zīmē</w:t>
            </w:r>
            <w:r w:rsidRPr="00894E54">
              <w:rPr>
                <w:rFonts w:ascii="Times New Roman" w:hAnsi="Times New Roman"/>
                <w:sz w:val="24"/>
                <w:szCs w:val="24"/>
              </w:rPr>
              <w:t>m Reglamenta 10.</w:t>
            </w:r>
            <w:r w:rsidRPr="00545C48">
              <w:rPr>
                <w:rFonts w:ascii="Times New Roman" w:hAnsi="Times New Roman"/>
                <w:sz w:val="24"/>
                <w:szCs w:val="24"/>
              </w:rPr>
              <w:t> noteikums</w:t>
            </w:r>
          </w:p>
        </w:tc>
        <w:tc>
          <w:tcPr>
            <w:tcW w:w="1769" w:type="pct"/>
            <w:tcBorders>
              <w:top w:val="outset" w:color="auto" w:sz="6" w:space="0"/>
              <w:left w:val="outset" w:color="auto" w:sz="6" w:space="0"/>
              <w:bottom w:val="outset" w:color="auto" w:sz="6" w:space="0"/>
              <w:right w:val="outset" w:color="auto" w:sz="6" w:space="0"/>
            </w:tcBorders>
          </w:tcPr>
          <w:p w:rsidRPr="002B67AC" w:rsidR="00264AD2" w:rsidP="0025410D" w:rsidRDefault="00264AD2" w14:paraId="5B6B68B8" w14:textId="28222CFC">
            <w:pPr>
              <w:spacing w:after="0" w:line="240" w:lineRule="auto"/>
              <w:rPr>
                <w:rFonts w:ascii="Times New Roman" w:hAnsi="Times New Roman"/>
                <w:sz w:val="24"/>
                <w:szCs w:val="24"/>
              </w:rPr>
            </w:pPr>
            <w:r w:rsidRPr="00545C48">
              <w:rPr>
                <w:rFonts w:ascii="Times New Roman" w:hAnsi="Times New Roman"/>
                <w:sz w:val="24"/>
                <w:szCs w:val="24"/>
              </w:rPr>
              <w:t xml:space="preserve">Projekta </w:t>
            </w:r>
            <w:r w:rsidR="005466DE">
              <w:rPr>
                <w:rFonts w:ascii="Times New Roman" w:hAnsi="Times New Roman"/>
                <w:sz w:val="24"/>
                <w:szCs w:val="24"/>
              </w:rPr>
              <w:t>2</w:t>
            </w:r>
            <w:r w:rsidR="00B41109">
              <w:rPr>
                <w:rFonts w:ascii="Times New Roman" w:hAnsi="Times New Roman"/>
                <w:sz w:val="24"/>
                <w:szCs w:val="24"/>
              </w:rPr>
              <w:t>0</w:t>
            </w:r>
            <w:r w:rsidRPr="00545C48">
              <w:rPr>
                <w:rFonts w:ascii="Times New Roman" w:hAnsi="Times New Roman"/>
                <w:sz w:val="24"/>
                <w:szCs w:val="24"/>
              </w:rPr>
              <w:t>.–3</w:t>
            </w:r>
            <w:r w:rsidR="00B41109">
              <w:rPr>
                <w:rFonts w:ascii="Times New Roman" w:hAnsi="Times New Roman"/>
                <w:sz w:val="24"/>
                <w:szCs w:val="24"/>
              </w:rPr>
              <w:t>3</w:t>
            </w:r>
            <w:r w:rsidRPr="002B67AC">
              <w:rPr>
                <w:rFonts w:ascii="Times New Roman" w:hAnsi="Times New Roman"/>
                <w:sz w:val="24"/>
                <w:szCs w:val="24"/>
              </w:rPr>
              <w:t>. punkts.</w:t>
            </w:r>
          </w:p>
        </w:tc>
        <w:tc>
          <w:tcPr>
            <w:tcW w:w="1949" w:type="pct"/>
            <w:tcBorders>
              <w:top w:val="outset" w:color="auto" w:sz="6" w:space="0"/>
              <w:left w:val="outset" w:color="auto" w:sz="6" w:space="0"/>
              <w:bottom w:val="outset" w:color="auto" w:sz="6" w:space="0"/>
              <w:right w:val="outset" w:color="auto" w:sz="6" w:space="0"/>
            </w:tcBorders>
          </w:tcPr>
          <w:p w:rsidRPr="00545C48" w:rsidR="00264AD2" w:rsidP="00781438" w:rsidRDefault="00264AD2" w14:paraId="429D356F" w14:textId="4EC42C23">
            <w:pPr>
              <w:spacing w:after="0" w:line="240" w:lineRule="auto"/>
              <w:rPr>
                <w:rFonts w:ascii="Times New Roman" w:hAnsi="Times New Roman"/>
                <w:sz w:val="24"/>
                <w:szCs w:val="24"/>
              </w:rPr>
            </w:pPr>
            <w:r w:rsidRPr="002B67AC">
              <w:rPr>
                <w:rFonts w:ascii="Times New Roman" w:hAnsi="Times New Roman"/>
                <w:sz w:val="24"/>
                <w:szCs w:val="24"/>
              </w:rPr>
              <w:t xml:space="preserve">Starptautiskās saistības tiek </w:t>
            </w:r>
            <w:r w:rsidRPr="00545C48">
              <w:rPr>
                <w:rFonts w:ascii="Times New Roman" w:hAnsi="Times New Roman"/>
                <w:sz w:val="24"/>
                <w:szCs w:val="24"/>
              </w:rPr>
              <w:t>izpildītas pilnībā.</w:t>
            </w:r>
          </w:p>
        </w:tc>
      </w:tr>
      <w:tr w:rsidRPr="00545C48" w:rsidR="00264AD2" w:rsidTr="00264AD2" w14:paraId="78A737F1"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107E85CB"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734" w:type="pct"/>
            <w:gridSpan w:val="2"/>
            <w:tcBorders>
              <w:top w:val="outset" w:color="auto" w:sz="6" w:space="0"/>
              <w:left w:val="outset" w:color="auto" w:sz="6" w:space="0"/>
              <w:bottom w:val="outset" w:color="auto" w:sz="6" w:space="0"/>
              <w:right w:val="outset" w:color="auto" w:sz="6" w:space="0"/>
            </w:tcBorders>
            <w:hideMark/>
          </w:tcPr>
          <w:p w:rsidRPr="00545C48" w:rsidR="00264AD2" w:rsidP="00781438" w:rsidRDefault="00264AD2" w14:paraId="60DF7C0F" w14:textId="394E8587">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sz w:val="24"/>
                <w:szCs w:val="24"/>
                <w:u w:color="A6A6A6"/>
              </w:rPr>
              <w:t xml:space="preserve">Projekts </w:t>
            </w:r>
            <w:r w:rsidRPr="00545C48">
              <w:rPr>
                <w:rFonts w:ascii="Times New Roman" w:hAnsi="Times New Roman"/>
                <w:sz w:val="24"/>
                <w:szCs w:val="24"/>
                <w:u w:color="A6A6A6"/>
              </w:rPr>
              <w:t>šo jomu neskar.</w:t>
            </w:r>
          </w:p>
        </w:tc>
      </w:tr>
      <w:tr w:rsidRPr="00545C48" w:rsidR="00264AD2" w:rsidTr="00264AD2" w14:paraId="2FCDA868"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894E54" w:rsidR="00264AD2" w:rsidP="00781438" w:rsidRDefault="00264AD2" w14:paraId="421A195A" w14:textId="77777777">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eastAsia="Times New Roman" w:cs="Times New Roman"/>
                <w:iCs/>
                <w:color w:val="000000" w:themeColor="text1"/>
                <w:sz w:val="24"/>
                <w:szCs w:val="24"/>
                <w:lang w:eastAsia="lv-LV"/>
              </w:rPr>
              <w:t>Cita informācija</w:t>
            </w:r>
          </w:p>
        </w:tc>
        <w:tc>
          <w:tcPr>
            <w:tcW w:w="3734" w:type="pct"/>
            <w:gridSpan w:val="2"/>
            <w:tcBorders>
              <w:top w:val="outset" w:color="auto" w:sz="6" w:space="0"/>
              <w:left w:val="outset" w:color="auto" w:sz="6" w:space="0"/>
              <w:bottom w:val="outset" w:color="auto" w:sz="6" w:space="0"/>
              <w:right w:val="outset" w:color="auto" w:sz="6" w:space="0"/>
            </w:tcBorders>
            <w:hideMark/>
          </w:tcPr>
          <w:p w:rsidRPr="00894E54" w:rsidR="00264AD2" w:rsidP="00781438" w:rsidRDefault="00264AD2" w14:paraId="7E4B74D2" w14:textId="7D1C1786">
            <w:pPr>
              <w:spacing w:after="0" w:line="240" w:lineRule="auto"/>
              <w:rPr>
                <w:rFonts w:ascii="Times New Roman" w:hAnsi="Times New Roman" w:eastAsia="Times New Roman" w:cs="Times New Roman"/>
                <w:iCs/>
                <w:color w:val="000000" w:themeColor="text1"/>
                <w:sz w:val="24"/>
                <w:szCs w:val="24"/>
                <w:lang w:eastAsia="lv-LV"/>
              </w:rPr>
            </w:pPr>
            <w:r w:rsidRPr="00894E54">
              <w:rPr>
                <w:rFonts w:ascii="Times New Roman" w:hAnsi="Times New Roman" w:eastAsia="Times New Roman" w:cs="Times New Roman"/>
                <w:iCs/>
                <w:color w:val="000000" w:themeColor="text1"/>
                <w:sz w:val="24"/>
                <w:szCs w:val="24"/>
                <w:lang w:eastAsia="lv-LV"/>
              </w:rPr>
              <w:t>Nav.</w:t>
            </w:r>
          </w:p>
        </w:tc>
      </w:tr>
    </w:tbl>
    <w:p w:rsidRPr="00545C48" w:rsidR="00C45CCA" w:rsidP="00E5323B" w:rsidRDefault="00C45CCA" w14:paraId="6F3ABCA3" w14:textId="39E3A45B">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Pr="00545C48" w:rsidR="00C45CCA" w:rsidTr="00AD5028" w14:paraId="7B48D59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45C48" w:rsidR="00C45CCA" w:rsidP="00B321B5" w:rsidRDefault="00C45CCA" w14:paraId="3B63B5F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545C48" w:rsidR="00C45CCA" w:rsidTr="00B321B5" w14:paraId="4AD402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3435F9C9"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545C48">
              <w:rPr>
                <w:rFonts w:ascii="Times New Roman" w:hAnsi="Times New Roman" w:eastAsia="Times New Roman" w:cs="Times New Roman"/>
                <w:iCs/>
                <w:color w:val="000000" w:themeColor="text1"/>
                <w:sz w:val="24"/>
                <w:szCs w:val="24"/>
                <w:lang w:eastAsia="lv-LV"/>
              </w:rPr>
              <w:t>1.</w:t>
            </w:r>
          </w:p>
        </w:tc>
        <w:tc>
          <w:tcPr>
            <w:tcW w:w="1459"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15BC7342"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3179" w:type="pct"/>
            <w:tcBorders>
              <w:top w:val="outset" w:color="auto" w:sz="6" w:space="0"/>
              <w:left w:val="outset" w:color="auto" w:sz="6" w:space="0"/>
              <w:bottom w:val="outset" w:color="auto" w:sz="6" w:space="0"/>
              <w:right w:val="outset" w:color="auto" w:sz="6" w:space="0"/>
            </w:tcBorders>
            <w:hideMark/>
          </w:tcPr>
          <w:p w:rsidRPr="00545C48" w:rsidR="00C45CCA" w:rsidP="00BA1468" w:rsidRDefault="00264AD2" w14:paraId="799E5947" w14:textId="3FDA1C22">
            <w:pPr>
              <w:spacing w:after="0" w:line="240" w:lineRule="auto"/>
              <w:jc w:val="both"/>
              <w:rPr>
                <w:rFonts w:ascii="Times New Roman" w:hAnsi="Times New Roman" w:eastAsia="Times New Roman" w:cs="Times New Roman"/>
                <w:iCs/>
                <w:color w:val="000000" w:themeColor="text1"/>
                <w:sz w:val="24"/>
                <w:szCs w:val="24"/>
                <w:lang w:eastAsia="lv-LV"/>
              </w:rPr>
            </w:pPr>
            <w:r w:rsidRPr="00545C48">
              <w:rPr>
                <w:rFonts w:ascii="Times New Roman" w:hAnsi="Times New Roman"/>
                <w:sz w:val="24"/>
                <w:szCs w:val="24"/>
              </w:rPr>
              <w:t>Tieslietu ministrijas tīmekļvietnē un Patentu valdes tīmekļvietnē tika publicēts paziņojums par līdzdalības iespējām Projekta izstrādes stadijā.</w:t>
            </w:r>
          </w:p>
        </w:tc>
      </w:tr>
      <w:tr w:rsidRPr="00545C48" w:rsidR="00C45CCA" w:rsidTr="00B321B5" w14:paraId="68EADE0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4279CF92"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545C48">
              <w:rPr>
                <w:rFonts w:ascii="Times New Roman" w:hAnsi="Times New Roman" w:eastAsia="Times New Roman" w:cs="Times New Roman"/>
                <w:iCs/>
                <w:color w:val="000000" w:themeColor="text1"/>
                <w:sz w:val="24"/>
                <w:szCs w:val="24"/>
                <w:lang w:eastAsia="lv-LV"/>
              </w:rPr>
              <w:t>2.</w:t>
            </w:r>
          </w:p>
        </w:tc>
        <w:tc>
          <w:tcPr>
            <w:tcW w:w="1459"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561CF5BF"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Sabiedrības līdzdalība projekta izstrādē</w:t>
            </w:r>
          </w:p>
        </w:tc>
        <w:tc>
          <w:tcPr>
            <w:tcW w:w="3179" w:type="pct"/>
            <w:tcBorders>
              <w:top w:val="outset" w:color="auto" w:sz="6" w:space="0"/>
              <w:left w:val="outset" w:color="auto" w:sz="6" w:space="0"/>
              <w:bottom w:val="outset" w:color="auto" w:sz="6" w:space="0"/>
              <w:right w:val="outset" w:color="auto" w:sz="6" w:space="0"/>
            </w:tcBorders>
            <w:hideMark/>
          </w:tcPr>
          <w:p w:rsidRPr="00545C48" w:rsidR="00C45CCA" w:rsidP="00650152" w:rsidRDefault="00264AD2" w14:paraId="300C74D5" w14:textId="3BF4DC16">
            <w:pPr>
              <w:spacing w:line="270" w:lineRule="atLeast"/>
              <w:jc w:val="both"/>
              <w:rPr>
                <w:rFonts w:ascii="Times New Roman" w:hAnsi="Times New Roman" w:cs="Times New Roman"/>
                <w:sz w:val="24"/>
                <w:szCs w:val="24"/>
              </w:rPr>
            </w:pPr>
            <w:r w:rsidRPr="00545C48">
              <w:rPr>
                <w:rFonts w:ascii="Times New Roman" w:hAnsi="Times New Roman"/>
                <w:sz w:val="24"/>
                <w:szCs w:val="24"/>
              </w:rPr>
              <w:t xml:space="preserve">Sabiedrības pārstāvji varēja līdzdarboties Projekta izstrādē, </w:t>
            </w:r>
            <w:proofErr w:type="spellStart"/>
            <w:r w:rsidRPr="00545C48">
              <w:rPr>
                <w:rFonts w:ascii="Times New Roman" w:hAnsi="Times New Roman"/>
                <w:sz w:val="24"/>
                <w:szCs w:val="24"/>
              </w:rPr>
              <w:t>rakstveidā</w:t>
            </w:r>
            <w:proofErr w:type="spellEnd"/>
            <w:r w:rsidRPr="00545C48">
              <w:rPr>
                <w:rFonts w:ascii="Times New Roman" w:hAnsi="Times New Roman"/>
                <w:sz w:val="24"/>
                <w:szCs w:val="24"/>
              </w:rPr>
              <w:t xml:space="preserve"> sniedzot viedokļus par Projektu, kas tika publicēts 2019. gada 16. septembrī Tieslietu ministrijas tīmekļvietnē </w:t>
            </w:r>
            <w:hyperlink w:history="1" r:id="rId8">
              <w:r w:rsidRPr="00545C48">
                <w:rPr>
                  <w:rStyle w:val="Hyperlink0"/>
                  <w:rFonts w:ascii="Times New Roman" w:hAnsi="Times New Roman"/>
                  <w:sz w:val="24"/>
                  <w:szCs w:val="24"/>
                </w:rPr>
                <w:t>https://www.tm.gov.lv/lv/cits/pazinojums-par-sabiedribas-lidzdalibas-iespejam-ministru-kabineta-noteikumu-projekta-precu-zimju-reg</w:t>
              </w:r>
            </w:hyperlink>
            <w:r w:rsidRPr="00545C48">
              <w:rPr>
                <w:rFonts w:ascii="Times New Roman" w:hAnsi="Times New Roman"/>
                <w:sz w:val="24"/>
                <w:szCs w:val="24"/>
              </w:rPr>
              <w:t xml:space="preserve"> un Patentu valdes tīmekļvietnē </w:t>
            </w:r>
            <w:hyperlink w:history="1" r:id="rId9">
              <w:r w:rsidRPr="00545C48">
                <w:rPr>
                  <w:rStyle w:val="Hyperlink0"/>
                  <w:rFonts w:ascii="Times New Roman" w:hAnsi="Times New Roman"/>
                  <w:sz w:val="24"/>
                  <w:szCs w:val="24"/>
                </w:rPr>
                <w:t>https://www.lrpv.gov.lv/lv/patentu-valde/sabiedribas-lidzdaliba/lidzdaliba-tiesibu-aktu-izstrade</w:t>
              </w:r>
            </w:hyperlink>
            <w:r w:rsidRPr="00545C48">
              <w:rPr>
                <w:rFonts w:ascii="Times New Roman" w:hAnsi="Times New Roman"/>
                <w:sz w:val="24"/>
                <w:szCs w:val="24"/>
              </w:rPr>
              <w:t>.</w:t>
            </w:r>
          </w:p>
        </w:tc>
      </w:tr>
      <w:tr w:rsidRPr="00545C48" w:rsidR="00C45CCA" w:rsidTr="00B321B5" w14:paraId="7354E36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15558E4A"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545C48">
              <w:rPr>
                <w:rFonts w:ascii="Times New Roman" w:hAnsi="Times New Roman" w:eastAsia="Times New Roman" w:cs="Times New Roman"/>
                <w:iCs/>
                <w:color w:val="000000" w:themeColor="text1"/>
                <w:sz w:val="24"/>
                <w:szCs w:val="24"/>
                <w:lang w:eastAsia="lv-LV"/>
              </w:rPr>
              <w:lastRenderedPageBreak/>
              <w:t>3.</w:t>
            </w:r>
          </w:p>
        </w:tc>
        <w:tc>
          <w:tcPr>
            <w:tcW w:w="1459"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0E406023"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Sabiedrības līdzdalības rezultāti</w:t>
            </w:r>
          </w:p>
        </w:tc>
        <w:tc>
          <w:tcPr>
            <w:tcW w:w="3179" w:type="pct"/>
            <w:tcBorders>
              <w:top w:val="outset" w:color="auto" w:sz="6" w:space="0"/>
              <w:left w:val="outset" w:color="auto" w:sz="6" w:space="0"/>
              <w:bottom w:val="outset" w:color="auto" w:sz="6" w:space="0"/>
              <w:right w:val="outset" w:color="auto" w:sz="6" w:space="0"/>
            </w:tcBorders>
            <w:hideMark/>
          </w:tcPr>
          <w:p w:rsidRPr="00545C48" w:rsidR="00C45CCA" w:rsidP="00333106" w:rsidRDefault="00C45CCA" w14:paraId="56B4DB7B" w14:textId="1F1908EE">
            <w:pPr>
              <w:spacing w:line="240" w:lineRule="auto"/>
              <w:jc w:val="both"/>
              <w:rPr>
                <w:rFonts w:ascii="Times New Roman" w:hAnsi="Times New Roman" w:cs="Times New Roman"/>
                <w:spacing w:val="-2"/>
                <w:sz w:val="24"/>
                <w:szCs w:val="24"/>
              </w:rPr>
            </w:pPr>
            <w:r w:rsidRPr="00545C48">
              <w:rPr>
                <w:rFonts w:ascii="Times New Roman" w:hAnsi="Times New Roman" w:cs="Times New Roman"/>
                <w:spacing w:val="-2"/>
                <w:sz w:val="24"/>
                <w:szCs w:val="24"/>
              </w:rPr>
              <w:t xml:space="preserve">Organizētās sabiedrības līdzdalības ietvaros rakstiski viedokļi par </w:t>
            </w:r>
            <w:r w:rsidRPr="00545C48" w:rsidR="008847A4">
              <w:rPr>
                <w:rFonts w:ascii="Times New Roman" w:hAnsi="Times New Roman" w:cs="Times New Roman"/>
                <w:spacing w:val="-2"/>
                <w:sz w:val="24"/>
                <w:szCs w:val="24"/>
              </w:rPr>
              <w:t>P</w:t>
            </w:r>
            <w:r w:rsidRPr="00545C48" w:rsidR="00D57222">
              <w:rPr>
                <w:rFonts w:ascii="Times New Roman" w:hAnsi="Times New Roman" w:cs="Times New Roman"/>
                <w:spacing w:val="-2"/>
                <w:sz w:val="24"/>
                <w:szCs w:val="24"/>
              </w:rPr>
              <w:t xml:space="preserve">rojektu </w:t>
            </w:r>
            <w:r w:rsidRPr="00545C48">
              <w:rPr>
                <w:rFonts w:ascii="Times New Roman" w:hAnsi="Times New Roman" w:cs="Times New Roman"/>
                <w:spacing w:val="-2"/>
                <w:sz w:val="24"/>
                <w:szCs w:val="24"/>
              </w:rPr>
              <w:t>nav saņemti.</w:t>
            </w:r>
          </w:p>
        </w:tc>
      </w:tr>
      <w:tr w:rsidRPr="00545C48" w:rsidR="00C45CCA" w:rsidTr="00B321B5" w14:paraId="3B3B5A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1AA60CCB"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545C48">
              <w:rPr>
                <w:rFonts w:ascii="Times New Roman" w:hAnsi="Times New Roman" w:eastAsia="Times New Roman" w:cs="Times New Roman"/>
                <w:iCs/>
                <w:color w:val="000000" w:themeColor="text1"/>
                <w:sz w:val="24"/>
                <w:szCs w:val="24"/>
                <w:lang w:eastAsia="lv-LV"/>
              </w:rPr>
              <w:t>4.</w:t>
            </w:r>
          </w:p>
        </w:tc>
        <w:tc>
          <w:tcPr>
            <w:tcW w:w="1459" w:type="pct"/>
            <w:tcBorders>
              <w:top w:val="outset" w:color="auto" w:sz="6" w:space="0"/>
              <w:left w:val="outset" w:color="auto" w:sz="6" w:space="0"/>
              <w:bottom w:val="outset" w:color="auto" w:sz="6" w:space="0"/>
              <w:right w:val="outset" w:color="auto" w:sz="6" w:space="0"/>
            </w:tcBorders>
            <w:hideMark/>
          </w:tcPr>
          <w:p w:rsidRPr="00545C48" w:rsidR="00C45CCA" w:rsidP="00AD5028" w:rsidRDefault="00C45CCA" w14:paraId="6F4577C6"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Cita informācija</w:t>
            </w:r>
          </w:p>
        </w:tc>
        <w:tc>
          <w:tcPr>
            <w:tcW w:w="3179" w:type="pct"/>
            <w:tcBorders>
              <w:top w:val="outset" w:color="auto" w:sz="6" w:space="0"/>
              <w:left w:val="outset" w:color="auto" w:sz="6" w:space="0"/>
              <w:bottom w:val="outset" w:color="auto" w:sz="6" w:space="0"/>
              <w:right w:val="outset" w:color="auto" w:sz="6" w:space="0"/>
            </w:tcBorders>
            <w:hideMark/>
          </w:tcPr>
          <w:p w:rsidRPr="00545C48" w:rsidR="00C45CCA" w:rsidP="00333106" w:rsidRDefault="00DF29D4" w14:paraId="5710D154" w14:textId="34084FB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 xml:space="preserve">Sabiedrība pēc normatīvā akta pieņemšanas tiks informēta ar publikāciju oficiālajā izdevumā </w:t>
            </w:r>
            <w:r w:rsidR="002A66A2">
              <w:rPr>
                <w:rFonts w:ascii="Times New Roman" w:hAnsi="Times New Roman" w:eastAsia="Times New Roman" w:cs="Times New Roman"/>
                <w:iCs/>
                <w:color w:val="000000" w:themeColor="text1"/>
                <w:sz w:val="24"/>
                <w:szCs w:val="24"/>
                <w:lang w:eastAsia="lv-LV"/>
              </w:rPr>
              <w:t>"</w:t>
            </w:r>
            <w:r w:rsidRPr="00545C48">
              <w:rPr>
                <w:rFonts w:ascii="Times New Roman" w:hAnsi="Times New Roman" w:eastAsia="Times New Roman" w:cs="Times New Roman"/>
                <w:iCs/>
                <w:color w:val="000000" w:themeColor="text1"/>
                <w:sz w:val="24"/>
                <w:szCs w:val="24"/>
                <w:lang w:eastAsia="lv-LV"/>
              </w:rPr>
              <w:t>Latvijas Vēstnesis</w:t>
            </w:r>
            <w:r w:rsidR="002A66A2">
              <w:rPr>
                <w:rFonts w:ascii="Times New Roman" w:hAnsi="Times New Roman" w:eastAsia="Times New Roman" w:cs="Times New Roman"/>
                <w:iCs/>
                <w:color w:val="000000" w:themeColor="text1"/>
                <w:sz w:val="24"/>
                <w:szCs w:val="24"/>
                <w:lang w:eastAsia="lv-LV"/>
              </w:rPr>
              <w:t>"</w:t>
            </w:r>
            <w:r w:rsidRPr="00545C48">
              <w:rPr>
                <w:rFonts w:ascii="Times New Roman" w:hAnsi="Times New Roman" w:eastAsia="Times New Roman" w:cs="Times New Roman"/>
                <w:iCs/>
                <w:color w:val="000000" w:themeColor="text1"/>
                <w:sz w:val="24"/>
                <w:szCs w:val="24"/>
                <w:lang w:eastAsia="lv-LV"/>
              </w:rPr>
              <w:t xml:space="preserve"> un bezmaksas normatīvo aktu datu bāzē www.likumi.lv</w:t>
            </w:r>
            <w:r w:rsidRPr="00545C48" w:rsidR="00333106">
              <w:rPr>
                <w:rFonts w:ascii="Times New Roman" w:hAnsi="Times New Roman" w:eastAsia="Times New Roman" w:cs="Times New Roman"/>
                <w:iCs/>
                <w:color w:val="000000" w:themeColor="text1"/>
                <w:sz w:val="24"/>
                <w:szCs w:val="24"/>
                <w:lang w:eastAsia="lv-LV"/>
              </w:rPr>
              <w:t>.</w:t>
            </w:r>
          </w:p>
        </w:tc>
      </w:tr>
    </w:tbl>
    <w:p w:rsidRPr="00545C48" w:rsidR="00C45CCA" w:rsidP="00E5323B" w:rsidRDefault="00C45CCA" w14:paraId="4DA07EFB"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45C48" w:rsidR="003C6569" w:rsidTr="00E5323B" w14:paraId="53A7B6A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45C48" w:rsidR="00655F2C" w:rsidP="00B321B5" w:rsidRDefault="00E5323B" w14:paraId="501BC02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545C48">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545C48" w:rsidR="006F5279" w:rsidTr="006F5279" w14:paraId="73A9CE5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641691EF"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50E96E4A"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647C" w14:paraId="2638FF60" w14:textId="737C0ABC">
            <w:pPr>
              <w:spacing w:after="0" w:line="240" w:lineRule="auto"/>
              <w:jc w:val="both"/>
              <w:rPr>
                <w:rFonts w:ascii="Times New Roman" w:hAnsi="Times New Roman" w:eastAsia="Times New Roman" w:cs="Times New Roman"/>
                <w:color w:val="000000" w:themeColor="text1"/>
                <w:sz w:val="24"/>
                <w:szCs w:val="24"/>
                <w:lang w:eastAsia="lv-LV"/>
              </w:rPr>
            </w:pPr>
            <w:r w:rsidRPr="00545C48">
              <w:rPr>
                <w:rFonts w:ascii="Times New Roman" w:hAnsi="Times New Roman" w:eastAsia="Times New Roman" w:cs="Times New Roman"/>
                <w:color w:val="000000" w:themeColor="text1"/>
                <w:sz w:val="24"/>
                <w:szCs w:val="24"/>
                <w:lang w:eastAsia="lv-LV"/>
              </w:rPr>
              <w:t>Patentu valde</w:t>
            </w:r>
            <w:r w:rsidRPr="00545C48" w:rsidR="006F5279">
              <w:rPr>
                <w:rFonts w:ascii="Times New Roman" w:hAnsi="Times New Roman" w:eastAsia="Times New Roman" w:cs="Times New Roman"/>
                <w:color w:val="000000" w:themeColor="text1"/>
                <w:sz w:val="24"/>
                <w:szCs w:val="24"/>
                <w:lang w:eastAsia="lv-LV"/>
              </w:rPr>
              <w:t>.</w:t>
            </w:r>
          </w:p>
        </w:tc>
      </w:tr>
      <w:tr w:rsidRPr="00545C48" w:rsidR="006F5279" w:rsidTr="006F5279" w14:paraId="3C303A4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545D5F28"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1D185813"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545C48">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545C48" w:rsidR="006F5279" w:rsidP="006F5279" w:rsidRDefault="00DF29D4" w14:paraId="49F7A2E0" w14:textId="455E82F7">
            <w:pPr>
              <w:spacing w:after="0" w:line="240" w:lineRule="auto"/>
              <w:jc w:val="both"/>
              <w:rPr>
                <w:rFonts w:ascii="Times New Roman" w:hAnsi="Times New Roman" w:eastAsia="Times New Roman" w:cs="Times New Roman"/>
                <w:color w:val="000000" w:themeColor="text1"/>
                <w:sz w:val="24"/>
                <w:szCs w:val="24"/>
                <w:lang w:eastAsia="lv-LV"/>
              </w:rPr>
            </w:pPr>
            <w:r w:rsidRPr="00545C48">
              <w:rPr>
                <w:rFonts w:ascii="Times New Roman" w:hAnsi="Times New Roman" w:eastAsia="Times New Roman" w:cs="Times New Roman"/>
                <w:color w:val="000000" w:themeColor="text1"/>
                <w:sz w:val="24"/>
                <w:szCs w:val="24"/>
                <w:lang w:eastAsia="lv-LV"/>
              </w:rPr>
              <w:t xml:space="preserve">Projekts neietekmē esošo institūciju funkcijas un institucionālo struktūru, tas tiks realizēts esošo </w:t>
            </w:r>
            <w:proofErr w:type="spellStart"/>
            <w:r w:rsidRPr="00545C48">
              <w:rPr>
                <w:rFonts w:ascii="Times New Roman" w:hAnsi="Times New Roman" w:eastAsia="Times New Roman" w:cs="Times New Roman"/>
                <w:color w:val="000000" w:themeColor="text1"/>
                <w:sz w:val="24"/>
                <w:szCs w:val="24"/>
                <w:lang w:eastAsia="lv-LV"/>
              </w:rPr>
              <w:t>cilvēkvēkresursu</w:t>
            </w:r>
            <w:proofErr w:type="spellEnd"/>
            <w:r w:rsidRPr="00545C48">
              <w:rPr>
                <w:rFonts w:ascii="Times New Roman" w:hAnsi="Times New Roman" w:eastAsia="Times New Roman" w:cs="Times New Roman"/>
                <w:color w:val="000000" w:themeColor="text1"/>
                <w:sz w:val="24"/>
                <w:szCs w:val="24"/>
                <w:lang w:eastAsia="lv-LV"/>
              </w:rPr>
              <w:t xml:space="preserve"> un finansējuma ietvaros. Jaunas institūcijas netiks izveidotas, kā arī nav paredzēta esošu institūciju likvidācija vai reorganizācija.</w:t>
            </w:r>
          </w:p>
        </w:tc>
      </w:tr>
      <w:tr w:rsidRPr="00545C48" w:rsidR="006F5279" w:rsidTr="006F5279" w14:paraId="523B1D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21387389"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0DB51C06" w14:textId="77777777">
            <w:pPr>
              <w:spacing w:after="0" w:line="240" w:lineRule="auto"/>
              <w:rPr>
                <w:rFonts w:ascii="Times New Roman" w:hAnsi="Times New Roman" w:eastAsia="Times New Roman" w:cs="Times New Roman"/>
                <w:iCs/>
                <w:color w:val="000000" w:themeColor="text1"/>
                <w:sz w:val="24"/>
                <w:szCs w:val="24"/>
                <w:lang w:eastAsia="lv-LV"/>
              </w:rPr>
            </w:pPr>
            <w:r w:rsidRPr="00545C48">
              <w:rPr>
                <w:rFonts w:ascii="Times New Roman" w:hAnsi="Times New Roman" w:eastAsia="Times New Roman" w:cs="Times New Roman"/>
                <w:iCs/>
                <w:color w:val="000000" w:themeColor="text1"/>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545C48" w:rsidR="006F5279" w:rsidP="006F5279" w:rsidRDefault="006F5279" w14:paraId="7800D011" w14:textId="77777777">
            <w:pPr>
              <w:spacing w:after="0" w:line="240" w:lineRule="auto"/>
              <w:jc w:val="both"/>
              <w:rPr>
                <w:rFonts w:ascii="Times New Roman" w:hAnsi="Times New Roman" w:eastAsia="Times New Roman" w:cs="Times New Roman"/>
                <w:color w:val="000000" w:themeColor="text1"/>
                <w:sz w:val="24"/>
                <w:szCs w:val="24"/>
                <w:lang w:eastAsia="lv-LV"/>
              </w:rPr>
            </w:pPr>
            <w:r w:rsidRPr="00545C48">
              <w:rPr>
                <w:rFonts w:ascii="Times New Roman" w:hAnsi="Times New Roman" w:eastAsia="Times New Roman" w:cs="Times New Roman"/>
                <w:color w:val="000000" w:themeColor="text1"/>
                <w:sz w:val="24"/>
                <w:szCs w:val="24"/>
                <w:lang w:eastAsia="lv-LV"/>
              </w:rPr>
              <w:t>Nav.</w:t>
            </w:r>
          </w:p>
        </w:tc>
      </w:tr>
    </w:tbl>
    <w:p w:rsidRPr="00545C48" w:rsidR="00C25B49" w:rsidP="00894C55" w:rsidRDefault="00C25B49" w14:paraId="40F044A8" w14:textId="4E5966CD">
      <w:pPr>
        <w:spacing w:after="0" w:line="240" w:lineRule="auto"/>
        <w:rPr>
          <w:rFonts w:ascii="Times New Roman" w:hAnsi="Times New Roman" w:cs="Times New Roman"/>
          <w:color w:val="000000" w:themeColor="text1"/>
          <w:sz w:val="16"/>
          <w:szCs w:val="16"/>
        </w:rPr>
      </w:pPr>
    </w:p>
    <w:p w:rsidRPr="00545C48" w:rsidR="00E22383" w:rsidP="00894C55" w:rsidRDefault="00E22383" w14:paraId="56C9AD6C" w14:textId="77777777">
      <w:pPr>
        <w:spacing w:after="0" w:line="240" w:lineRule="auto"/>
        <w:rPr>
          <w:rFonts w:ascii="Times New Roman" w:hAnsi="Times New Roman" w:cs="Times New Roman"/>
          <w:color w:val="000000" w:themeColor="text1"/>
          <w:sz w:val="16"/>
          <w:szCs w:val="16"/>
        </w:rPr>
      </w:pPr>
    </w:p>
    <w:p w:rsidRPr="00545C48" w:rsidR="00E5323B" w:rsidP="00894C55" w:rsidRDefault="005D5F73" w14:paraId="5C86C3EF" w14:textId="523C3383">
      <w:pPr>
        <w:spacing w:after="0" w:line="240" w:lineRule="auto"/>
        <w:rPr>
          <w:rFonts w:ascii="Times New Roman" w:hAnsi="Times New Roman" w:cs="Times New Roman"/>
          <w:color w:val="000000" w:themeColor="text1"/>
          <w:sz w:val="24"/>
          <w:szCs w:val="24"/>
        </w:rPr>
      </w:pPr>
      <w:r w:rsidRPr="00545C48">
        <w:rPr>
          <w:rFonts w:ascii="Times New Roman" w:hAnsi="Times New Roman" w:cs="Times New Roman"/>
          <w:color w:val="000000" w:themeColor="text1"/>
          <w:sz w:val="24"/>
          <w:szCs w:val="24"/>
        </w:rPr>
        <w:t>Iesniedzējs:</w:t>
      </w:r>
    </w:p>
    <w:p w:rsidR="009A048B" w:rsidP="00306A7F" w:rsidRDefault="009A048B" w14:paraId="4C289075" w14:textId="18F614F2">
      <w:pPr>
        <w:pStyle w:val="naisf"/>
        <w:tabs>
          <w:tab w:val="left" w:pos="6521"/>
          <w:tab w:val="right" w:pos="8820"/>
        </w:tabs>
        <w:spacing w:before="0" w:after="0"/>
        <w:ind w:firstLine="0"/>
        <w:rPr>
          <w:color w:val="000000" w:themeColor="text1"/>
        </w:rPr>
      </w:pPr>
      <w:r>
        <w:rPr>
          <w:color w:val="000000" w:themeColor="text1"/>
        </w:rPr>
        <w:t>Ministru prezidenta biedrs,</w:t>
      </w:r>
    </w:p>
    <w:p w:rsidRPr="00545C48" w:rsidR="00306A7F" w:rsidP="00306A7F" w:rsidRDefault="009A048B" w14:paraId="053B0E1C" w14:textId="338E52D8">
      <w:pPr>
        <w:pStyle w:val="naisf"/>
        <w:tabs>
          <w:tab w:val="left" w:pos="6521"/>
          <w:tab w:val="right" w:pos="8820"/>
        </w:tabs>
        <w:spacing w:before="0" w:after="0"/>
        <w:ind w:firstLine="0"/>
        <w:rPr>
          <w:color w:val="000000" w:themeColor="text1"/>
        </w:rPr>
      </w:pPr>
      <w:r>
        <w:rPr>
          <w:color w:val="000000" w:themeColor="text1"/>
        </w:rPr>
        <w:t>tieslietu ministrs</w:t>
      </w:r>
      <w:r w:rsidRPr="00545C48" w:rsidR="00635199">
        <w:rPr>
          <w:color w:val="000000" w:themeColor="text1"/>
        </w:rPr>
        <w:tab/>
      </w:r>
      <w:r>
        <w:rPr>
          <w:color w:val="000000" w:themeColor="text1"/>
        </w:rPr>
        <w:t>J. </w:t>
      </w:r>
      <w:proofErr w:type="spellStart"/>
      <w:r>
        <w:rPr>
          <w:color w:val="000000" w:themeColor="text1"/>
        </w:rPr>
        <w:t>Bordāns</w:t>
      </w:r>
      <w:proofErr w:type="spellEnd"/>
    </w:p>
    <w:p w:rsidR="00894C55" w:rsidP="00306A7F" w:rsidRDefault="00894C55" w14:paraId="237A4AB7" w14:textId="336B1BD7">
      <w:pPr>
        <w:tabs>
          <w:tab w:val="left" w:pos="6237"/>
        </w:tabs>
        <w:spacing w:after="0" w:line="240" w:lineRule="auto"/>
        <w:rPr>
          <w:rFonts w:ascii="Times New Roman" w:hAnsi="Times New Roman" w:cs="Times New Roman"/>
          <w:color w:val="000000" w:themeColor="text1"/>
          <w:sz w:val="20"/>
          <w:szCs w:val="20"/>
        </w:rPr>
      </w:pPr>
    </w:p>
    <w:p w:rsidRPr="00545C48" w:rsidR="009A048B" w:rsidP="00306A7F" w:rsidRDefault="009A048B" w14:paraId="2F17D52F" w14:textId="77777777">
      <w:pPr>
        <w:tabs>
          <w:tab w:val="left" w:pos="6237"/>
        </w:tabs>
        <w:spacing w:after="0" w:line="240" w:lineRule="auto"/>
        <w:rPr>
          <w:rFonts w:ascii="Times New Roman" w:hAnsi="Times New Roman" w:cs="Times New Roman"/>
          <w:color w:val="000000" w:themeColor="text1"/>
          <w:sz w:val="20"/>
          <w:szCs w:val="20"/>
        </w:rPr>
      </w:pPr>
    </w:p>
    <w:p w:rsidRPr="00545C48" w:rsidR="00894C55" w:rsidP="00894C55" w:rsidRDefault="00DF29D4" w14:paraId="25910E65" w14:textId="3652FC15">
      <w:pPr>
        <w:tabs>
          <w:tab w:val="left" w:pos="6237"/>
        </w:tabs>
        <w:spacing w:after="0" w:line="240" w:lineRule="auto"/>
        <w:rPr>
          <w:rFonts w:ascii="Times New Roman" w:hAnsi="Times New Roman" w:cs="Times New Roman"/>
          <w:color w:val="000000" w:themeColor="text1"/>
          <w:sz w:val="20"/>
          <w:szCs w:val="20"/>
        </w:rPr>
      </w:pPr>
      <w:r w:rsidRPr="00545C48">
        <w:rPr>
          <w:rFonts w:ascii="Times New Roman" w:hAnsi="Times New Roman" w:cs="Times New Roman"/>
          <w:color w:val="000000" w:themeColor="text1"/>
          <w:sz w:val="20"/>
          <w:szCs w:val="20"/>
        </w:rPr>
        <w:t>Spalvēna</w:t>
      </w:r>
      <w:r w:rsidRPr="00545C48" w:rsidR="00D133F8">
        <w:rPr>
          <w:rFonts w:ascii="Times New Roman" w:hAnsi="Times New Roman" w:cs="Times New Roman"/>
          <w:color w:val="000000" w:themeColor="text1"/>
          <w:sz w:val="20"/>
          <w:szCs w:val="20"/>
        </w:rPr>
        <w:t xml:space="preserve"> </w:t>
      </w:r>
      <w:r w:rsidRPr="00545C48">
        <w:rPr>
          <w:rFonts w:ascii="Times New Roman" w:hAnsi="Times New Roman" w:cs="Times New Roman"/>
          <w:color w:val="000000" w:themeColor="text1"/>
          <w:sz w:val="20"/>
          <w:szCs w:val="20"/>
        </w:rPr>
        <w:t>67099635</w:t>
      </w:r>
    </w:p>
    <w:p w:rsidRPr="00274C55" w:rsidR="00894C55" w:rsidP="00B86D76" w:rsidRDefault="00792FE9" w14:paraId="7B1D5407" w14:textId="2C32561B">
      <w:pPr>
        <w:tabs>
          <w:tab w:val="left" w:pos="6237"/>
        </w:tabs>
        <w:spacing w:after="0" w:line="240" w:lineRule="auto"/>
        <w:rPr>
          <w:rFonts w:ascii="Times New Roman" w:hAnsi="Times New Roman" w:cs="Times New Roman"/>
          <w:sz w:val="20"/>
          <w:szCs w:val="20"/>
        </w:rPr>
      </w:pPr>
      <w:r w:rsidRPr="00545C48">
        <w:rPr>
          <w:rFonts w:ascii="Times New Roman" w:hAnsi="Times New Roman" w:cs="Times New Roman"/>
          <w:color w:val="000000" w:themeColor="text1"/>
          <w:sz w:val="20"/>
          <w:szCs w:val="20"/>
        </w:rPr>
        <w:t>Kintija.Spalvena</w:t>
      </w:r>
      <w:r w:rsidRPr="00545C48" w:rsidR="00894C55">
        <w:rPr>
          <w:rFonts w:ascii="Times New Roman" w:hAnsi="Times New Roman" w:cs="Times New Roman"/>
          <w:color w:val="000000" w:themeColor="text1"/>
          <w:sz w:val="20"/>
          <w:szCs w:val="20"/>
        </w:rPr>
        <w:t>@</w:t>
      </w:r>
      <w:r w:rsidRPr="00545C48" w:rsidR="004E72B4">
        <w:rPr>
          <w:rFonts w:ascii="Times New Roman" w:hAnsi="Times New Roman" w:cs="Times New Roman"/>
          <w:color w:val="000000" w:themeColor="text1"/>
          <w:sz w:val="20"/>
          <w:szCs w:val="20"/>
        </w:rPr>
        <w:t>lrpv</w:t>
      </w:r>
      <w:r w:rsidRPr="00545C48" w:rsidR="00894C55">
        <w:rPr>
          <w:rFonts w:ascii="Times New Roman" w:hAnsi="Times New Roman" w:cs="Times New Roman"/>
          <w:color w:val="000000" w:themeColor="text1"/>
          <w:sz w:val="20"/>
          <w:szCs w:val="20"/>
        </w:rPr>
        <w:t>.gov.lv</w:t>
      </w:r>
    </w:p>
    <w:sectPr w:rsidRPr="00274C55" w:rsidR="00894C55" w:rsidSect="00545C4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AB40" w14:textId="77777777" w:rsidR="00601FEB" w:rsidRDefault="00601FEB" w:rsidP="00894C55">
      <w:pPr>
        <w:spacing w:after="0" w:line="240" w:lineRule="auto"/>
      </w:pPr>
      <w:r>
        <w:separator/>
      </w:r>
    </w:p>
    <w:p w14:paraId="5D9489A5" w14:textId="77777777" w:rsidR="00601FEB" w:rsidRDefault="00601FEB"/>
  </w:endnote>
  <w:endnote w:type="continuationSeparator" w:id="0">
    <w:p w14:paraId="665C1755" w14:textId="77777777" w:rsidR="00601FEB" w:rsidRDefault="00601FEB" w:rsidP="00894C55">
      <w:pPr>
        <w:spacing w:after="0" w:line="240" w:lineRule="auto"/>
      </w:pPr>
      <w:r>
        <w:continuationSeparator/>
      </w:r>
    </w:p>
    <w:p w14:paraId="75F8129C" w14:textId="77777777" w:rsidR="00601FEB" w:rsidRDefault="0060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B930" w14:textId="35793B25" w:rsidR="0014621D" w:rsidRPr="00E42A26" w:rsidRDefault="00E42A26" w:rsidP="00E42A2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A048B">
      <w:rPr>
        <w:rFonts w:ascii="Times New Roman" w:hAnsi="Times New Roman" w:cs="Times New Roman"/>
        <w:noProof/>
        <w:sz w:val="20"/>
        <w:szCs w:val="20"/>
      </w:rPr>
      <w:t>TMAnot_</w:t>
    </w:r>
    <w:r w:rsidR="000F589E">
      <w:rPr>
        <w:rFonts w:ascii="Times New Roman" w:hAnsi="Times New Roman" w:cs="Times New Roman"/>
        <w:noProof/>
        <w:sz w:val="20"/>
        <w:szCs w:val="20"/>
      </w:rPr>
      <w:t>1003</w:t>
    </w:r>
    <w:r w:rsidR="009A048B">
      <w:rPr>
        <w:rFonts w:ascii="Times New Roman" w:hAnsi="Times New Roman" w:cs="Times New Roman"/>
        <w:noProof/>
        <w:sz w:val="20"/>
        <w:szCs w:val="20"/>
      </w:rPr>
      <w:t>21_PZreg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7ECB" w14:textId="2852613E" w:rsidR="009A2654" w:rsidRPr="00E42A26" w:rsidRDefault="00E42A26" w:rsidP="00E42A2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A048B">
      <w:rPr>
        <w:rFonts w:ascii="Times New Roman" w:hAnsi="Times New Roman" w:cs="Times New Roman"/>
        <w:noProof/>
        <w:sz w:val="20"/>
        <w:szCs w:val="20"/>
      </w:rPr>
      <w:t>TMAnot_</w:t>
    </w:r>
    <w:r w:rsidR="000F589E">
      <w:rPr>
        <w:rFonts w:ascii="Times New Roman" w:hAnsi="Times New Roman" w:cs="Times New Roman"/>
        <w:noProof/>
        <w:sz w:val="20"/>
        <w:szCs w:val="20"/>
      </w:rPr>
      <w:t>1003</w:t>
    </w:r>
    <w:r w:rsidR="009A048B">
      <w:rPr>
        <w:rFonts w:ascii="Times New Roman" w:hAnsi="Times New Roman" w:cs="Times New Roman"/>
        <w:noProof/>
        <w:sz w:val="20"/>
        <w:szCs w:val="20"/>
      </w:rPr>
      <w:t>21_PZreg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B365" w14:textId="77777777" w:rsidR="00601FEB" w:rsidRDefault="00601FEB" w:rsidP="00894C55">
      <w:pPr>
        <w:spacing w:after="0" w:line="240" w:lineRule="auto"/>
      </w:pPr>
      <w:r>
        <w:separator/>
      </w:r>
    </w:p>
    <w:p w14:paraId="20BC0328" w14:textId="77777777" w:rsidR="00601FEB" w:rsidRDefault="00601FEB"/>
  </w:footnote>
  <w:footnote w:type="continuationSeparator" w:id="0">
    <w:p w14:paraId="7B26A933" w14:textId="77777777" w:rsidR="00601FEB" w:rsidRDefault="00601FEB" w:rsidP="00894C55">
      <w:pPr>
        <w:spacing w:after="0" w:line="240" w:lineRule="auto"/>
      </w:pPr>
      <w:r>
        <w:continuationSeparator/>
      </w:r>
    </w:p>
    <w:p w14:paraId="1535FC3F" w14:textId="77777777" w:rsidR="00601FEB" w:rsidRDefault="00601F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0E38B20F" w14:textId="3B7075D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562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p w:rsidR="00A16F23" w:rsidRDefault="00A16F23" w14:paraId="3F1793A8"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4C9"/>
    <w:multiLevelType w:val="hybridMultilevel"/>
    <w:tmpl w:val="5470A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63F9F"/>
    <w:multiLevelType w:val="hybridMultilevel"/>
    <w:tmpl w:val="19D2CDD0"/>
    <w:lvl w:ilvl="0" w:tplc="F1502D6E">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6637D"/>
    <w:multiLevelType w:val="hybridMultilevel"/>
    <w:tmpl w:val="8564C54E"/>
    <w:lvl w:ilvl="0" w:tplc="05FC12A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lv-LV" w:vendorID="71" w:dllVersion="512" w:checkStyle="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LAwNjcwtjS0MDBX0lEKTi0uzszPAykwNK0FAClR2GUtAAAA"/>
  </w:docVars>
  <w:rsids>
    <w:rsidRoot w:val="00894C55"/>
    <w:rsid w:val="00000545"/>
    <w:rsid w:val="00000659"/>
    <w:rsid w:val="00010065"/>
    <w:rsid w:val="00021A27"/>
    <w:rsid w:val="00027895"/>
    <w:rsid w:val="000315D4"/>
    <w:rsid w:val="00032DDB"/>
    <w:rsid w:val="000342BC"/>
    <w:rsid w:val="00040A2A"/>
    <w:rsid w:val="000451F2"/>
    <w:rsid w:val="00045AA7"/>
    <w:rsid w:val="00050346"/>
    <w:rsid w:val="000504CA"/>
    <w:rsid w:val="00051F09"/>
    <w:rsid w:val="000667C0"/>
    <w:rsid w:val="00066954"/>
    <w:rsid w:val="00066B4B"/>
    <w:rsid w:val="000727FD"/>
    <w:rsid w:val="00073A28"/>
    <w:rsid w:val="0007454A"/>
    <w:rsid w:val="000752A0"/>
    <w:rsid w:val="00075C1C"/>
    <w:rsid w:val="0008225B"/>
    <w:rsid w:val="0008493D"/>
    <w:rsid w:val="0009141D"/>
    <w:rsid w:val="000964FB"/>
    <w:rsid w:val="000A5A6A"/>
    <w:rsid w:val="000B3699"/>
    <w:rsid w:val="000B5A94"/>
    <w:rsid w:val="000C28C2"/>
    <w:rsid w:val="000D7CD7"/>
    <w:rsid w:val="000E4539"/>
    <w:rsid w:val="000E4594"/>
    <w:rsid w:val="000F37DC"/>
    <w:rsid w:val="000F3CB7"/>
    <w:rsid w:val="000F5088"/>
    <w:rsid w:val="000F589E"/>
    <w:rsid w:val="00100825"/>
    <w:rsid w:val="0010106F"/>
    <w:rsid w:val="00106F02"/>
    <w:rsid w:val="0011605A"/>
    <w:rsid w:val="00121F56"/>
    <w:rsid w:val="00124A52"/>
    <w:rsid w:val="00126BCD"/>
    <w:rsid w:val="00126FE2"/>
    <w:rsid w:val="001308E6"/>
    <w:rsid w:val="00134436"/>
    <w:rsid w:val="0014621D"/>
    <w:rsid w:val="00161C49"/>
    <w:rsid w:val="00161CB3"/>
    <w:rsid w:val="001663FC"/>
    <w:rsid w:val="001742A0"/>
    <w:rsid w:val="001903FB"/>
    <w:rsid w:val="001912F4"/>
    <w:rsid w:val="0019144A"/>
    <w:rsid w:val="00193EB0"/>
    <w:rsid w:val="00195256"/>
    <w:rsid w:val="001977F9"/>
    <w:rsid w:val="001A73EB"/>
    <w:rsid w:val="001B0290"/>
    <w:rsid w:val="001C22C5"/>
    <w:rsid w:val="001D3891"/>
    <w:rsid w:val="001D6973"/>
    <w:rsid w:val="002145DD"/>
    <w:rsid w:val="00235AC9"/>
    <w:rsid w:val="00241D05"/>
    <w:rsid w:val="00243426"/>
    <w:rsid w:val="002539CD"/>
    <w:rsid w:val="0025410D"/>
    <w:rsid w:val="00256C8A"/>
    <w:rsid w:val="00264AD2"/>
    <w:rsid w:val="00271829"/>
    <w:rsid w:val="00273B86"/>
    <w:rsid w:val="00274C55"/>
    <w:rsid w:val="0028098F"/>
    <w:rsid w:val="002873E5"/>
    <w:rsid w:val="002A1BD3"/>
    <w:rsid w:val="002A66A2"/>
    <w:rsid w:val="002B67AC"/>
    <w:rsid w:val="002B711E"/>
    <w:rsid w:val="002C6B99"/>
    <w:rsid w:val="002D10D2"/>
    <w:rsid w:val="002E1C05"/>
    <w:rsid w:val="002E5364"/>
    <w:rsid w:val="002F1F1E"/>
    <w:rsid w:val="002F64A1"/>
    <w:rsid w:val="003060C7"/>
    <w:rsid w:val="00306A7F"/>
    <w:rsid w:val="00311566"/>
    <w:rsid w:val="00312938"/>
    <w:rsid w:val="00314951"/>
    <w:rsid w:val="00315DD5"/>
    <w:rsid w:val="003162A9"/>
    <w:rsid w:val="00320F79"/>
    <w:rsid w:val="003229CF"/>
    <w:rsid w:val="00325E86"/>
    <w:rsid w:val="0033170C"/>
    <w:rsid w:val="00332121"/>
    <w:rsid w:val="00333106"/>
    <w:rsid w:val="003337C8"/>
    <w:rsid w:val="003368B1"/>
    <w:rsid w:val="00336B09"/>
    <w:rsid w:val="00341D03"/>
    <w:rsid w:val="00345359"/>
    <w:rsid w:val="00346B09"/>
    <w:rsid w:val="00346BE2"/>
    <w:rsid w:val="003552F4"/>
    <w:rsid w:val="00356A8B"/>
    <w:rsid w:val="00357CBE"/>
    <w:rsid w:val="00361215"/>
    <w:rsid w:val="003620DD"/>
    <w:rsid w:val="003749FF"/>
    <w:rsid w:val="00377BDD"/>
    <w:rsid w:val="0038272F"/>
    <w:rsid w:val="00384C46"/>
    <w:rsid w:val="00385E5A"/>
    <w:rsid w:val="003912A6"/>
    <w:rsid w:val="00391FC2"/>
    <w:rsid w:val="0039544B"/>
    <w:rsid w:val="003971A4"/>
    <w:rsid w:val="003A3591"/>
    <w:rsid w:val="003A4AA4"/>
    <w:rsid w:val="003A74E6"/>
    <w:rsid w:val="003B0BF9"/>
    <w:rsid w:val="003B5E09"/>
    <w:rsid w:val="003B6708"/>
    <w:rsid w:val="003C194F"/>
    <w:rsid w:val="003C6569"/>
    <w:rsid w:val="003C783B"/>
    <w:rsid w:val="003D0F46"/>
    <w:rsid w:val="003D48ED"/>
    <w:rsid w:val="003E0791"/>
    <w:rsid w:val="003E411E"/>
    <w:rsid w:val="003F10A9"/>
    <w:rsid w:val="003F16FC"/>
    <w:rsid w:val="003F1C1B"/>
    <w:rsid w:val="003F28AC"/>
    <w:rsid w:val="003F71A4"/>
    <w:rsid w:val="004020B4"/>
    <w:rsid w:val="00412B14"/>
    <w:rsid w:val="0042422E"/>
    <w:rsid w:val="004454FE"/>
    <w:rsid w:val="00447F1F"/>
    <w:rsid w:val="0045138A"/>
    <w:rsid w:val="0045204E"/>
    <w:rsid w:val="00453ECE"/>
    <w:rsid w:val="00456B6B"/>
    <w:rsid w:val="00456E40"/>
    <w:rsid w:val="004576D8"/>
    <w:rsid w:val="00461859"/>
    <w:rsid w:val="00465FF0"/>
    <w:rsid w:val="00471436"/>
    <w:rsid w:val="00471F27"/>
    <w:rsid w:val="004754BE"/>
    <w:rsid w:val="00476E04"/>
    <w:rsid w:val="00485CB1"/>
    <w:rsid w:val="00486B5C"/>
    <w:rsid w:val="004969AE"/>
    <w:rsid w:val="00497113"/>
    <w:rsid w:val="004B0452"/>
    <w:rsid w:val="004B1DEA"/>
    <w:rsid w:val="004B2266"/>
    <w:rsid w:val="004B2D7F"/>
    <w:rsid w:val="004B301A"/>
    <w:rsid w:val="004B5F78"/>
    <w:rsid w:val="004C35CF"/>
    <w:rsid w:val="004C6758"/>
    <w:rsid w:val="004C7E1D"/>
    <w:rsid w:val="004E06F8"/>
    <w:rsid w:val="004E1596"/>
    <w:rsid w:val="004E72B4"/>
    <w:rsid w:val="004F0206"/>
    <w:rsid w:val="004F1A98"/>
    <w:rsid w:val="004F2123"/>
    <w:rsid w:val="004F4254"/>
    <w:rsid w:val="00500C4C"/>
    <w:rsid w:val="0050178F"/>
    <w:rsid w:val="0051332B"/>
    <w:rsid w:val="005202C2"/>
    <w:rsid w:val="00526462"/>
    <w:rsid w:val="00534464"/>
    <w:rsid w:val="00535661"/>
    <w:rsid w:val="00537DC6"/>
    <w:rsid w:val="00545C48"/>
    <w:rsid w:val="005466DE"/>
    <w:rsid w:val="00557DD5"/>
    <w:rsid w:val="0056486E"/>
    <w:rsid w:val="00567DEA"/>
    <w:rsid w:val="005711F3"/>
    <w:rsid w:val="00577397"/>
    <w:rsid w:val="00581E20"/>
    <w:rsid w:val="00584980"/>
    <w:rsid w:val="00585A2D"/>
    <w:rsid w:val="0058665B"/>
    <w:rsid w:val="0059365F"/>
    <w:rsid w:val="00597B3A"/>
    <w:rsid w:val="005A5F0E"/>
    <w:rsid w:val="005A7582"/>
    <w:rsid w:val="005B2F3D"/>
    <w:rsid w:val="005B39BC"/>
    <w:rsid w:val="005B4023"/>
    <w:rsid w:val="005B467A"/>
    <w:rsid w:val="005B5B1B"/>
    <w:rsid w:val="005B6DE3"/>
    <w:rsid w:val="005B74A9"/>
    <w:rsid w:val="005B7668"/>
    <w:rsid w:val="005C7893"/>
    <w:rsid w:val="005D0743"/>
    <w:rsid w:val="005D5CD2"/>
    <w:rsid w:val="005D5F73"/>
    <w:rsid w:val="005D6339"/>
    <w:rsid w:val="005D766E"/>
    <w:rsid w:val="005E572E"/>
    <w:rsid w:val="005E7807"/>
    <w:rsid w:val="005F02CE"/>
    <w:rsid w:val="00600ACD"/>
    <w:rsid w:val="00601FEB"/>
    <w:rsid w:val="006030D2"/>
    <w:rsid w:val="00604A0F"/>
    <w:rsid w:val="00607869"/>
    <w:rsid w:val="00611B0F"/>
    <w:rsid w:val="00617BF6"/>
    <w:rsid w:val="006230FA"/>
    <w:rsid w:val="00635199"/>
    <w:rsid w:val="00640DDA"/>
    <w:rsid w:val="00642A89"/>
    <w:rsid w:val="00650152"/>
    <w:rsid w:val="00651D28"/>
    <w:rsid w:val="00653B59"/>
    <w:rsid w:val="00655F2C"/>
    <w:rsid w:val="00657B4E"/>
    <w:rsid w:val="0067183E"/>
    <w:rsid w:val="00681DC7"/>
    <w:rsid w:val="006841B2"/>
    <w:rsid w:val="0069731A"/>
    <w:rsid w:val="006A030B"/>
    <w:rsid w:val="006A0AFD"/>
    <w:rsid w:val="006A1CC1"/>
    <w:rsid w:val="006A1CFD"/>
    <w:rsid w:val="006A6125"/>
    <w:rsid w:val="006A6D18"/>
    <w:rsid w:val="006C2EC5"/>
    <w:rsid w:val="006C35AE"/>
    <w:rsid w:val="006C4100"/>
    <w:rsid w:val="006C6823"/>
    <w:rsid w:val="006D3187"/>
    <w:rsid w:val="006D3E8A"/>
    <w:rsid w:val="006D419D"/>
    <w:rsid w:val="006D47D2"/>
    <w:rsid w:val="006E1081"/>
    <w:rsid w:val="006E4930"/>
    <w:rsid w:val="006E6E60"/>
    <w:rsid w:val="006E6EF7"/>
    <w:rsid w:val="006E7B36"/>
    <w:rsid w:val="006F2F41"/>
    <w:rsid w:val="006F3194"/>
    <w:rsid w:val="006F5279"/>
    <w:rsid w:val="006F647C"/>
    <w:rsid w:val="007076D2"/>
    <w:rsid w:val="00720585"/>
    <w:rsid w:val="00720788"/>
    <w:rsid w:val="00720F79"/>
    <w:rsid w:val="00726432"/>
    <w:rsid w:val="00743348"/>
    <w:rsid w:val="007504F2"/>
    <w:rsid w:val="00756251"/>
    <w:rsid w:val="007563C9"/>
    <w:rsid w:val="00760FF2"/>
    <w:rsid w:val="00771680"/>
    <w:rsid w:val="007716F1"/>
    <w:rsid w:val="00773AF6"/>
    <w:rsid w:val="007769E3"/>
    <w:rsid w:val="00792FE9"/>
    <w:rsid w:val="00793241"/>
    <w:rsid w:val="00795F71"/>
    <w:rsid w:val="007A240C"/>
    <w:rsid w:val="007A3175"/>
    <w:rsid w:val="007B15E2"/>
    <w:rsid w:val="007B5143"/>
    <w:rsid w:val="007B549D"/>
    <w:rsid w:val="007B7DAB"/>
    <w:rsid w:val="007C37FC"/>
    <w:rsid w:val="007C5839"/>
    <w:rsid w:val="007E05FA"/>
    <w:rsid w:val="007E0E2D"/>
    <w:rsid w:val="007E1E7D"/>
    <w:rsid w:val="007E5E90"/>
    <w:rsid w:val="007E5F7A"/>
    <w:rsid w:val="007E73AB"/>
    <w:rsid w:val="007F716C"/>
    <w:rsid w:val="00802A91"/>
    <w:rsid w:val="00804354"/>
    <w:rsid w:val="00804A2E"/>
    <w:rsid w:val="00813FEB"/>
    <w:rsid w:val="00816C11"/>
    <w:rsid w:val="00824F33"/>
    <w:rsid w:val="008260A7"/>
    <w:rsid w:val="008326E5"/>
    <w:rsid w:val="00834D90"/>
    <w:rsid w:val="008377EB"/>
    <w:rsid w:val="00840316"/>
    <w:rsid w:val="008520DE"/>
    <w:rsid w:val="00853342"/>
    <w:rsid w:val="0086214D"/>
    <w:rsid w:val="00864DDF"/>
    <w:rsid w:val="008655A0"/>
    <w:rsid w:val="00874B7C"/>
    <w:rsid w:val="008810F5"/>
    <w:rsid w:val="00884158"/>
    <w:rsid w:val="008847A4"/>
    <w:rsid w:val="00884A3B"/>
    <w:rsid w:val="00884B58"/>
    <w:rsid w:val="008862AC"/>
    <w:rsid w:val="0089045E"/>
    <w:rsid w:val="00893E7F"/>
    <w:rsid w:val="00894C55"/>
    <w:rsid w:val="00894E54"/>
    <w:rsid w:val="008A2C4B"/>
    <w:rsid w:val="008A49C4"/>
    <w:rsid w:val="008A6F33"/>
    <w:rsid w:val="008B2ABF"/>
    <w:rsid w:val="008B34B1"/>
    <w:rsid w:val="008B3A40"/>
    <w:rsid w:val="008B632F"/>
    <w:rsid w:val="008C4029"/>
    <w:rsid w:val="008D338E"/>
    <w:rsid w:val="008D6F5E"/>
    <w:rsid w:val="008E142D"/>
    <w:rsid w:val="008F2DD7"/>
    <w:rsid w:val="008F4771"/>
    <w:rsid w:val="008F6C62"/>
    <w:rsid w:val="00900842"/>
    <w:rsid w:val="009078E5"/>
    <w:rsid w:val="00910665"/>
    <w:rsid w:val="00915717"/>
    <w:rsid w:val="0091720D"/>
    <w:rsid w:val="00924D41"/>
    <w:rsid w:val="00926D0A"/>
    <w:rsid w:val="00936CA3"/>
    <w:rsid w:val="009406D6"/>
    <w:rsid w:val="009470E5"/>
    <w:rsid w:val="009473D3"/>
    <w:rsid w:val="00954434"/>
    <w:rsid w:val="00955CAA"/>
    <w:rsid w:val="00963CF7"/>
    <w:rsid w:val="00971A18"/>
    <w:rsid w:val="00983EB2"/>
    <w:rsid w:val="009852A4"/>
    <w:rsid w:val="009863C4"/>
    <w:rsid w:val="009878E5"/>
    <w:rsid w:val="00987A6D"/>
    <w:rsid w:val="00987FEB"/>
    <w:rsid w:val="009913D1"/>
    <w:rsid w:val="009A048B"/>
    <w:rsid w:val="009A2654"/>
    <w:rsid w:val="009B4C25"/>
    <w:rsid w:val="009B56C1"/>
    <w:rsid w:val="009C52DB"/>
    <w:rsid w:val="009C7DCA"/>
    <w:rsid w:val="009D0660"/>
    <w:rsid w:val="009D42E7"/>
    <w:rsid w:val="009F2D61"/>
    <w:rsid w:val="009F51CD"/>
    <w:rsid w:val="009F6E81"/>
    <w:rsid w:val="00A012A0"/>
    <w:rsid w:val="00A10FC3"/>
    <w:rsid w:val="00A12F46"/>
    <w:rsid w:val="00A16475"/>
    <w:rsid w:val="00A16F23"/>
    <w:rsid w:val="00A33DEE"/>
    <w:rsid w:val="00A34948"/>
    <w:rsid w:val="00A44135"/>
    <w:rsid w:val="00A44E04"/>
    <w:rsid w:val="00A6073E"/>
    <w:rsid w:val="00A607F6"/>
    <w:rsid w:val="00A87242"/>
    <w:rsid w:val="00A91A18"/>
    <w:rsid w:val="00A92408"/>
    <w:rsid w:val="00A94893"/>
    <w:rsid w:val="00A95EEB"/>
    <w:rsid w:val="00AA1C3A"/>
    <w:rsid w:val="00AA3C86"/>
    <w:rsid w:val="00AB1C51"/>
    <w:rsid w:val="00AB2F36"/>
    <w:rsid w:val="00AB464D"/>
    <w:rsid w:val="00AC1095"/>
    <w:rsid w:val="00AD4200"/>
    <w:rsid w:val="00AD476D"/>
    <w:rsid w:val="00AD4A17"/>
    <w:rsid w:val="00AE4744"/>
    <w:rsid w:val="00AE504A"/>
    <w:rsid w:val="00AE5567"/>
    <w:rsid w:val="00AF0DF9"/>
    <w:rsid w:val="00AF1239"/>
    <w:rsid w:val="00B1193D"/>
    <w:rsid w:val="00B11FE7"/>
    <w:rsid w:val="00B16480"/>
    <w:rsid w:val="00B2165C"/>
    <w:rsid w:val="00B321B5"/>
    <w:rsid w:val="00B347DD"/>
    <w:rsid w:val="00B35F83"/>
    <w:rsid w:val="00B41109"/>
    <w:rsid w:val="00B477BE"/>
    <w:rsid w:val="00B51D2C"/>
    <w:rsid w:val="00B62521"/>
    <w:rsid w:val="00B70752"/>
    <w:rsid w:val="00B71A06"/>
    <w:rsid w:val="00B73B96"/>
    <w:rsid w:val="00B74EB7"/>
    <w:rsid w:val="00B8292C"/>
    <w:rsid w:val="00B84EC3"/>
    <w:rsid w:val="00B8691B"/>
    <w:rsid w:val="00B86D76"/>
    <w:rsid w:val="00B908E9"/>
    <w:rsid w:val="00BA1468"/>
    <w:rsid w:val="00BA1BCC"/>
    <w:rsid w:val="00BA20AA"/>
    <w:rsid w:val="00BA4FB2"/>
    <w:rsid w:val="00BB3112"/>
    <w:rsid w:val="00BB3290"/>
    <w:rsid w:val="00BB3370"/>
    <w:rsid w:val="00BB3821"/>
    <w:rsid w:val="00BC101C"/>
    <w:rsid w:val="00BC3517"/>
    <w:rsid w:val="00BD4425"/>
    <w:rsid w:val="00BD5277"/>
    <w:rsid w:val="00BE73F8"/>
    <w:rsid w:val="00BF206C"/>
    <w:rsid w:val="00BF306E"/>
    <w:rsid w:val="00C00A80"/>
    <w:rsid w:val="00C03932"/>
    <w:rsid w:val="00C25B49"/>
    <w:rsid w:val="00C32947"/>
    <w:rsid w:val="00C34583"/>
    <w:rsid w:val="00C345D0"/>
    <w:rsid w:val="00C35CD4"/>
    <w:rsid w:val="00C41774"/>
    <w:rsid w:val="00C41A21"/>
    <w:rsid w:val="00C42721"/>
    <w:rsid w:val="00C42C03"/>
    <w:rsid w:val="00C45CCA"/>
    <w:rsid w:val="00C465B5"/>
    <w:rsid w:val="00C46DDF"/>
    <w:rsid w:val="00C65EF3"/>
    <w:rsid w:val="00C70D27"/>
    <w:rsid w:val="00C74DA7"/>
    <w:rsid w:val="00C839DC"/>
    <w:rsid w:val="00C8512F"/>
    <w:rsid w:val="00C86356"/>
    <w:rsid w:val="00C9618C"/>
    <w:rsid w:val="00C972EA"/>
    <w:rsid w:val="00CA19E8"/>
    <w:rsid w:val="00CA3147"/>
    <w:rsid w:val="00CA397D"/>
    <w:rsid w:val="00CA4A2A"/>
    <w:rsid w:val="00CB0799"/>
    <w:rsid w:val="00CB7D79"/>
    <w:rsid w:val="00CC0D2D"/>
    <w:rsid w:val="00CC5785"/>
    <w:rsid w:val="00CD0A56"/>
    <w:rsid w:val="00CE1BC1"/>
    <w:rsid w:val="00CE5657"/>
    <w:rsid w:val="00CE6B58"/>
    <w:rsid w:val="00CF78E7"/>
    <w:rsid w:val="00D132BC"/>
    <w:rsid w:val="00D133F8"/>
    <w:rsid w:val="00D14A3E"/>
    <w:rsid w:val="00D1599E"/>
    <w:rsid w:val="00D17A69"/>
    <w:rsid w:val="00D17F34"/>
    <w:rsid w:val="00D20EED"/>
    <w:rsid w:val="00D22A59"/>
    <w:rsid w:val="00D27553"/>
    <w:rsid w:val="00D27BBE"/>
    <w:rsid w:val="00D332B3"/>
    <w:rsid w:val="00D339AA"/>
    <w:rsid w:val="00D37EA4"/>
    <w:rsid w:val="00D41ABD"/>
    <w:rsid w:val="00D41D60"/>
    <w:rsid w:val="00D57222"/>
    <w:rsid w:val="00D61EBD"/>
    <w:rsid w:val="00D701BB"/>
    <w:rsid w:val="00D71A51"/>
    <w:rsid w:val="00D74368"/>
    <w:rsid w:val="00D76442"/>
    <w:rsid w:val="00D77B59"/>
    <w:rsid w:val="00D931DC"/>
    <w:rsid w:val="00D93DB6"/>
    <w:rsid w:val="00D94DAC"/>
    <w:rsid w:val="00D9745F"/>
    <w:rsid w:val="00DA0493"/>
    <w:rsid w:val="00DA562B"/>
    <w:rsid w:val="00DC368A"/>
    <w:rsid w:val="00DD0051"/>
    <w:rsid w:val="00DD1004"/>
    <w:rsid w:val="00DD1860"/>
    <w:rsid w:val="00DD2523"/>
    <w:rsid w:val="00DD5D09"/>
    <w:rsid w:val="00DE2257"/>
    <w:rsid w:val="00DE5833"/>
    <w:rsid w:val="00DF098F"/>
    <w:rsid w:val="00DF29D4"/>
    <w:rsid w:val="00DF3646"/>
    <w:rsid w:val="00DF619E"/>
    <w:rsid w:val="00DF7194"/>
    <w:rsid w:val="00E02363"/>
    <w:rsid w:val="00E03D32"/>
    <w:rsid w:val="00E10BA0"/>
    <w:rsid w:val="00E22383"/>
    <w:rsid w:val="00E23E84"/>
    <w:rsid w:val="00E3157D"/>
    <w:rsid w:val="00E3570D"/>
    <w:rsid w:val="00E3716B"/>
    <w:rsid w:val="00E37DD2"/>
    <w:rsid w:val="00E42A26"/>
    <w:rsid w:val="00E446B8"/>
    <w:rsid w:val="00E46F39"/>
    <w:rsid w:val="00E474FD"/>
    <w:rsid w:val="00E5323B"/>
    <w:rsid w:val="00E53FEA"/>
    <w:rsid w:val="00E56019"/>
    <w:rsid w:val="00E565DF"/>
    <w:rsid w:val="00E56EF5"/>
    <w:rsid w:val="00E618BE"/>
    <w:rsid w:val="00E646D2"/>
    <w:rsid w:val="00E659B3"/>
    <w:rsid w:val="00E71633"/>
    <w:rsid w:val="00E71DC1"/>
    <w:rsid w:val="00E76C4B"/>
    <w:rsid w:val="00E80D01"/>
    <w:rsid w:val="00E82D74"/>
    <w:rsid w:val="00E85BD5"/>
    <w:rsid w:val="00E8749E"/>
    <w:rsid w:val="00E90C01"/>
    <w:rsid w:val="00E90CA6"/>
    <w:rsid w:val="00EA0A35"/>
    <w:rsid w:val="00EA486E"/>
    <w:rsid w:val="00EA7AB6"/>
    <w:rsid w:val="00EA7E88"/>
    <w:rsid w:val="00EB308D"/>
    <w:rsid w:val="00EE4B53"/>
    <w:rsid w:val="00EF1490"/>
    <w:rsid w:val="00F023FD"/>
    <w:rsid w:val="00F12068"/>
    <w:rsid w:val="00F17662"/>
    <w:rsid w:val="00F21319"/>
    <w:rsid w:val="00F22A0D"/>
    <w:rsid w:val="00F23CD0"/>
    <w:rsid w:val="00F24423"/>
    <w:rsid w:val="00F248F7"/>
    <w:rsid w:val="00F263A9"/>
    <w:rsid w:val="00F330E1"/>
    <w:rsid w:val="00F34F6A"/>
    <w:rsid w:val="00F4685D"/>
    <w:rsid w:val="00F539BB"/>
    <w:rsid w:val="00F57B0C"/>
    <w:rsid w:val="00F63A9C"/>
    <w:rsid w:val="00F66BEF"/>
    <w:rsid w:val="00F71CFE"/>
    <w:rsid w:val="00F75367"/>
    <w:rsid w:val="00F76981"/>
    <w:rsid w:val="00F7727C"/>
    <w:rsid w:val="00F77423"/>
    <w:rsid w:val="00F8472D"/>
    <w:rsid w:val="00F90511"/>
    <w:rsid w:val="00F90BA0"/>
    <w:rsid w:val="00F9713C"/>
    <w:rsid w:val="00F97A90"/>
    <w:rsid w:val="00FA6AEC"/>
    <w:rsid w:val="00FB0D98"/>
    <w:rsid w:val="00FB72CE"/>
    <w:rsid w:val="00FD0EAD"/>
    <w:rsid w:val="00FD2FBD"/>
    <w:rsid w:val="00FD34A4"/>
    <w:rsid w:val="00FD6DA6"/>
    <w:rsid w:val="00FE060A"/>
    <w:rsid w:val="00FE09C4"/>
    <w:rsid w:val="00FE219E"/>
    <w:rsid w:val="00FE59AC"/>
    <w:rsid w:val="00FE5BEF"/>
    <w:rsid w:val="00FF2959"/>
    <w:rsid w:val="00FF4786"/>
    <w:rsid w:val="00FF6ED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8CA5"/>
  <w15:docId w15:val="{03D4CAD9-50B9-6940-AEF2-566A9D4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D4A17"/>
    <w:pPr>
      <w:ind w:left="720"/>
      <w:contextualSpacing/>
    </w:pPr>
  </w:style>
  <w:style w:type="paragraph" w:customStyle="1" w:styleId="naisf">
    <w:name w:val="naisf"/>
    <w:basedOn w:val="Normal"/>
    <w:rsid w:val="0031293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486B5C"/>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semiHidden/>
    <w:rsid w:val="00F12068"/>
    <w:rPr>
      <w:vertAlign w:val="superscript"/>
    </w:rPr>
  </w:style>
  <w:style w:type="character" w:styleId="CommentReference">
    <w:name w:val="annotation reference"/>
    <w:basedOn w:val="DefaultParagraphFont"/>
    <w:uiPriority w:val="99"/>
    <w:semiHidden/>
    <w:unhideWhenUsed/>
    <w:rsid w:val="00500C4C"/>
    <w:rPr>
      <w:sz w:val="16"/>
      <w:szCs w:val="16"/>
    </w:rPr>
  </w:style>
  <w:style w:type="paragraph" w:styleId="CommentText">
    <w:name w:val="annotation text"/>
    <w:basedOn w:val="Normal"/>
    <w:link w:val="CommentTextChar"/>
    <w:uiPriority w:val="99"/>
    <w:unhideWhenUsed/>
    <w:rsid w:val="00500C4C"/>
    <w:pPr>
      <w:spacing w:line="240" w:lineRule="auto"/>
    </w:pPr>
    <w:rPr>
      <w:sz w:val="20"/>
      <w:szCs w:val="20"/>
    </w:rPr>
  </w:style>
  <w:style w:type="character" w:customStyle="1" w:styleId="CommentTextChar">
    <w:name w:val="Comment Text Char"/>
    <w:basedOn w:val="DefaultParagraphFont"/>
    <w:link w:val="CommentText"/>
    <w:uiPriority w:val="99"/>
    <w:rsid w:val="00500C4C"/>
    <w:rPr>
      <w:sz w:val="20"/>
      <w:szCs w:val="20"/>
    </w:rPr>
  </w:style>
  <w:style w:type="paragraph" w:styleId="CommentSubject">
    <w:name w:val="annotation subject"/>
    <w:basedOn w:val="CommentText"/>
    <w:next w:val="CommentText"/>
    <w:link w:val="CommentSubjectChar"/>
    <w:uiPriority w:val="99"/>
    <w:semiHidden/>
    <w:unhideWhenUsed/>
    <w:rsid w:val="00500C4C"/>
    <w:rPr>
      <w:b/>
      <w:bCs/>
    </w:rPr>
  </w:style>
  <w:style w:type="character" w:customStyle="1" w:styleId="CommentSubjectChar">
    <w:name w:val="Comment Subject Char"/>
    <w:basedOn w:val="CommentTextChar"/>
    <w:link w:val="CommentSubject"/>
    <w:uiPriority w:val="99"/>
    <w:semiHidden/>
    <w:rsid w:val="00500C4C"/>
    <w:rPr>
      <w:b/>
      <w:bCs/>
      <w:sz w:val="20"/>
      <w:szCs w:val="20"/>
    </w:rPr>
  </w:style>
  <w:style w:type="character" w:customStyle="1" w:styleId="Neatrisintapieminana1">
    <w:name w:val="Neatrisināta pieminēšana1"/>
    <w:basedOn w:val="DefaultParagraphFont"/>
    <w:uiPriority w:val="99"/>
    <w:semiHidden/>
    <w:unhideWhenUsed/>
    <w:rsid w:val="00C45CCA"/>
    <w:rPr>
      <w:color w:val="605E5C"/>
      <w:shd w:val="clear" w:color="auto" w:fill="E1DFDD"/>
    </w:rPr>
  </w:style>
  <w:style w:type="paragraph" w:customStyle="1" w:styleId="Default">
    <w:name w:val="Default"/>
    <w:rsid w:val="005A7582"/>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v213">
    <w:name w:val="tv213"/>
    <w:basedOn w:val="Normal"/>
    <w:rsid w:val="00F90511"/>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UnresolvedMention1">
    <w:name w:val="Unresolved Mention1"/>
    <w:basedOn w:val="DefaultParagraphFont"/>
    <w:uiPriority w:val="99"/>
    <w:semiHidden/>
    <w:unhideWhenUsed/>
    <w:rsid w:val="0011605A"/>
    <w:rPr>
      <w:color w:val="605E5C"/>
      <w:shd w:val="clear" w:color="auto" w:fill="E1DFDD"/>
    </w:rPr>
  </w:style>
  <w:style w:type="paragraph" w:styleId="Revision">
    <w:name w:val="Revision"/>
    <w:hidden/>
    <w:uiPriority w:val="99"/>
    <w:semiHidden/>
    <w:rsid w:val="00F23CD0"/>
    <w:pPr>
      <w:spacing w:after="0" w:line="240" w:lineRule="auto"/>
    </w:pPr>
  </w:style>
  <w:style w:type="character" w:customStyle="1" w:styleId="Neatrisintapieminana2">
    <w:name w:val="Neatrisināta pieminēšana2"/>
    <w:basedOn w:val="DefaultParagraphFont"/>
    <w:uiPriority w:val="99"/>
    <w:semiHidden/>
    <w:unhideWhenUsed/>
    <w:rsid w:val="00E53FEA"/>
    <w:rPr>
      <w:color w:val="605E5C"/>
      <w:shd w:val="clear" w:color="auto" w:fill="E1DFDD"/>
    </w:rPr>
  </w:style>
  <w:style w:type="paragraph" w:customStyle="1" w:styleId="Body">
    <w:name w:val="Body"/>
    <w:rsid w:val="00804A2E"/>
    <w:pPr>
      <w:pBdr>
        <w:top w:val="nil"/>
        <w:left w:val="nil"/>
        <w:bottom w:val="nil"/>
        <w:right w:val="nil"/>
        <w:between w:val="nil"/>
        <w:bar w:val="nil"/>
      </w:pBdr>
    </w:pPr>
    <w:rPr>
      <w:rFonts w:ascii="Calibri" w:eastAsia="Calibri" w:hAnsi="Calibri" w:cs="Calibri"/>
      <w:color w:val="000000"/>
      <w:u w:color="000000"/>
      <w:bdr w:val="nil"/>
      <w:lang w:eastAsia="lv-LV"/>
      <w14:textOutline w14:w="0" w14:cap="flat" w14:cmpd="sng" w14:algn="ctr">
        <w14:noFill/>
        <w14:prstDash w14:val="solid"/>
        <w14:bevel/>
      </w14:textOutline>
    </w:rPr>
  </w:style>
  <w:style w:type="table" w:customStyle="1" w:styleId="TableNormal1">
    <w:name w:val="Table Normal1"/>
    <w:rsid w:val="00804A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character" w:customStyle="1" w:styleId="Hyperlink0">
    <w:name w:val="Hyperlink.0"/>
    <w:basedOn w:val="DefaultParagraphFont"/>
    <w:rsid w:val="00264AD2"/>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7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1010712">
      <w:bodyDiv w:val="1"/>
      <w:marLeft w:val="0"/>
      <w:marRight w:val="0"/>
      <w:marTop w:val="0"/>
      <w:marBottom w:val="0"/>
      <w:divBdr>
        <w:top w:val="none" w:sz="0" w:space="0" w:color="auto"/>
        <w:left w:val="none" w:sz="0" w:space="0" w:color="auto"/>
        <w:bottom w:val="none" w:sz="0" w:space="0" w:color="auto"/>
        <w:right w:val="none" w:sz="0" w:space="0" w:color="auto"/>
      </w:divBdr>
    </w:div>
    <w:div w:id="960186723">
      <w:bodyDiv w:val="1"/>
      <w:marLeft w:val="0"/>
      <w:marRight w:val="0"/>
      <w:marTop w:val="0"/>
      <w:marBottom w:val="0"/>
      <w:divBdr>
        <w:top w:val="none" w:sz="0" w:space="0" w:color="auto"/>
        <w:left w:val="none" w:sz="0" w:space="0" w:color="auto"/>
        <w:bottom w:val="none" w:sz="0" w:space="0" w:color="auto"/>
        <w:right w:val="none" w:sz="0" w:space="0" w:color="auto"/>
      </w:divBdr>
    </w:div>
    <w:div w:id="996763150">
      <w:bodyDiv w:val="1"/>
      <w:marLeft w:val="0"/>
      <w:marRight w:val="0"/>
      <w:marTop w:val="0"/>
      <w:marBottom w:val="0"/>
      <w:divBdr>
        <w:top w:val="none" w:sz="0" w:space="0" w:color="auto"/>
        <w:left w:val="none" w:sz="0" w:space="0" w:color="auto"/>
        <w:bottom w:val="none" w:sz="0" w:space="0" w:color="auto"/>
        <w:right w:val="none" w:sz="0" w:space="0" w:color="auto"/>
      </w:divBdr>
    </w:div>
    <w:div w:id="1377700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849822">
      <w:bodyDiv w:val="1"/>
      <w:marLeft w:val="0"/>
      <w:marRight w:val="0"/>
      <w:marTop w:val="0"/>
      <w:marBottom w:val="0"/>
      <w:divBdr>
        <w:top w:val="none" w:sz="0" w:space="0" w:color="auto"/>
        <w:left w:val="none" w:sz="0" w:space="0" w:color="auto"/>
        <w:bottom w:val="none" w:sz="0" w:space="0" w:color="auto"/>
        <w:right w:val="none" w:sz="0" w:space="0" w:color="auto"/>
      </w:divBdr>
    </w:div>
    <w:div w:id="1522553614">
      <w:bodyDiv w:val="1"/>
      <w:marLeft w:val="0"/>
      <w:marRight w:val="0"/>
      <w:marTop w:val="0"/>
      <w:marBottom w:val="0"/>
      <w:divBdr>
        <w:top w:val="none" w:sz="0" w:space="0" w:color="auto"/>
        <w:left w:val="none" w:sz="0" w:space="0" w:color="auto"/>
        <w:bottom w:val="none" w:sz="0" w:space="0" w:color="auto"/>
        <w:right w:val="none" w:sz="0" w:space="0" w:color="auto"/>
      </w:divBdr>
      <w:divsChild>
        <w:div w:id="1364598958">
          <w:marLeft w:val="0"/>
          <w:marRight w:val="0"/>
          <w:marTop w:val="0"/>
          <w:marBottom w:val="567"/>
          <w:divBdr>
            <w:top w:val="none" w:sz="0" w:space="0" w:color="auto"/>
            <w:left w:val="none" w:sz="0" w:space="0" w:color="auto"/>
            <w:bottom w:val="none" w:sz="0" w:space="0" w:color="auto"/>
            <w:right w:val="none" w:sz="0" w:space="0" w:color="auto"/>
          </w:divBdr>
        </w:div>
        <w:div w:id="1268654461">
          <w:marLeft w:val="0"/>
          <w:marRight w:val="0"/>
          <w:marTop w:val="0"/>
          <w:marBottom w:val="0"/>
          <w:divBdr>
            <w:top w:val="none" w:sz="0" w:space="0" w:color="auto"/>
            <w:left w:val="none" w:sz="0" w:space="0" w:color="auto"/>
            <w:bottom w:val="none" w:sz="0" w:space="0" w:color="auto"/>
            <w:right w:val="none" w:sz="0" w:space="0" w:color="auto"/>
          </w:divBdr>
        </w:div>
      </w:divsChild>
    </w:div>
    <w:div w:id="1559591216">
      <w:bodyDiv w:val="1"/>
      <w:marLeft w:val="0"/>
      <w:marRight w:val="0"/>
      <w:marTop w:val="0"/>
      <w:marBottom w:val="0"/>
      <w:divBdr>
        <w:top w:val="none" w:sz="0" w:space="0" w:color="auto"/>
        <w:left w:val="none" w:sz="0" w:space="0" w:color="auto"/>
        <w:bottom w:val="none" w:sz="0" w:space="0" w:color="auto"/>
        <w:right w:val="none" w:sz="0" w:space="0" w:color="auto"/>
      </w:divBdr>
    </w:div>
    <w:div w:id="1758868801">
      <w:bodyDiv w:val="1"/>
      <w:marLeft w:val="0"/>
      <w:marRight w:val="0"/>
      <w:marTop w:val="0"/>
      <w:marBottom w:val="0"/>
      <w:divBdr>
        <w:top w:val="none" w:sz="0" w:space="0" w:color="auto"/>
        <w:left w:val="none" w:sz="0" w:space="0" w:color="auto"/>
        <w:bottom w:val="none" w:sz="0" w:space="0" w:color="auto"/>
        <w:right w:val="none" w:sz="0" w:space="0" w:color="auto"/>
      </w:divBdr>
    </w:div>
    <w:div w:id="1766073013">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2038314800">
      <w:bodyDiv w:val="1"/>
      <w:marLeft w:val="0"/>
      <w:marRight w:val="0"/>
      <w:marTop w:val="0"/>
      <w:marBottom w:val="0"/>
      <w:divBdr>
        <w:top w:val="none" w:sz="0" w:space="0" w:color="auto"/>
        <w:left w:val="none" w:sz="0" w:space="0" w:color="auto"/>
        <w:bottom w:val="none" w:sz="0" w:space="0" w:color="auto"/>
        <w:right w:val="none" w:sz="0" w:space="0" w:color="auto"/>
      </w:divBdr>
    </w:div>
    <w:div w:id="2088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sabiedribas-lidzdalibas-iespejam-ministru-kabineta-noteikumu-projekta-precu-zimju-r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rpv.gov.lv/lv/patentu-valde/sabiedribas-lidzdaliba/lidzdaliba-tiesibu-aktu-izst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DAFD-4C18-4873-8E8A-17DF191C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9504</Words>
  <Characters>5418</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"Preču zīmju reģistrācijas pieteikumu, tiesību uz preču zīmi pārejas un licencēšanas noteikumi" sākotnējās ietekmes novērtējuma ziņojums (anotācija)</vt:lpstr>
      <vt:lpstr>Ministru kabineta noteikumu projekta “Preču zīmju reģistrācijas pieteikumu, tiesību uz preču zīmi pārejas un licencēšanas noteikumi” sākotnējās ietekmes novērtējuma ziņojums (anotācija)</vt:lpstr>
    </vt:vector>
  </TitlesOfParts>
  <Company>Latvijas Republikas Patentu valde</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"Preču zīmju reģistrācijas pieteikumu, tiesību uz preču zīmi pārejas un licencēšanas noteikumi" sākotnējās ietekmes novērtējuma ziņojums (anotācija)</dc:title>
  <dc:subject>Anotācija</dc:subject>
  <dc:creator>Kintija Spalvēna</dc:creator>
  <dc:description>67099635; Kintija.Spalvena@lrpv.gov.lv</dc:description>
  <cp:lastModifiedBy>Kintija Spalvēna</cp:lastModifiedBy>
  <cp:revision>7</cp:revision>
  <cp:lastPrinted>2020-09-24T09:48:00Z</cp:lastPrinted>
  <dcterms:created xsi:type="dcterms:W3CDTF">2021-02-16T12:16:00Z</dcterms:created>
  <dcterms:modified xsi:type="dcterms:W3CDTF">2021-03-10T07:22:00Z</dcterms:modified>
</cp:coreProperties>
</file>