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2682" w:rsidR="00BD5588" w:rsidP="009E6AD7" w:rsidRDefault="002C493F" w14:paraId="1016FD49" w14:textId="4DFBC3E9">
      <w:pPr>
        <w:jc w:val="center"/>
        <w:rPr>
          <w:b/>
          <w:bCs/>
        </w:rPr>
      </w:pPr>
      <w:r w:rsidRPr="000D2682">
        <w:rPr>
          <w:b/>
          <w:bCs/>
        </w:rPr>
        <w:t xml:space="preserve">Ministru kabineta </w:t>
      </w:r>
      <w:r w:rsidR="003100D5">
        <w:rPr>
          <w:b/>
          <w:bCs/>
        </w:rPr>
        <w:t>rīkojuma projekta “</w:t>
      </w:r>
      <w:r w:rsidRPr="009E6AD7" w:rsidR="009E6AD7">
        <w:rPr>
          <w:b/>
        </w:rPr>
        <w:t>Par Ieslodzījuma vietu pārvaldes, Probācijas dienesta un tieslietu sektora darbinieku, kuri sniedz kritiski svarīgus klātienes pakalpojumus</w:t>
      </w:r>
      <w:r w:rsidR="00BE0653">
        <w:rPr>
          <w:b/>
        </w:rPr>
        <w:t>,</w:t>
      </w:r>
      <w:r w:rsidRPr="009E6AD7" w:rsidR="009E6AD7">
        <w:rPr>
          <w:b/>
        </w:rPr>
        <w:t xml:space="preserve"> vakcināciju</w:t>
      </w:r>
      <w:r w:rsidR="003100D5">
        <w:rPr>
          <w:b/>
        </w:rPr>
        <w:t>”</w:t>
      </w:r>
      <w:r w:rsidR="009E6AD7">
        <w:rPr>
          <w:b/>
        </w:rPr>
        <w:t xml:space="preserve"> </w:t>
      </w:r>
      <w:r w:rsidRPr="000D2682" w:rsidR="00BD5588">
        <w:rPr>
          <w:b/>
          <w:bCs/>
        </w:rPr>
        <w:t>sākotnējā</w:t>
      </w:r>
      <w:r w:rsidRPr="000D2682" w:rsidR="00A05C37">
        <w:rPr>
          <w:b/>
          <w:bCs/>
        </w:rPr>
        <w:t xml:space="preserve">s </w:t>
      </w:r>
      <w:r w:rsidRPr="000D2682" w:rsidR="00BD5588">
        <w:rPr>
          <w:b/>
          <w:bCs/>
        </w:rPr>
        <w:t>ietekmes novērtējuma ziņojums (anotācija)</w:t>
      </w:r>
    </w:p>
    <w:p w:rsidRPr="000D2682" w:rsidR="00BD5588" w:rsidP="00BD5588" w:rsidRDefault="00BD5588" w14:paraId="5CFF95AF" w14:textId="77777777">
      <w:pPr>
        <w:pStyle w:val="Nosaukums"/>
        <w:spacing w:before="130" w:line="260" w:lineRule="exact"/>
        <w:ind w:firstLine="539"/>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Pr="000D2682" w:rsidR="00BD5588" w:rsidTr="00135AF8" w14:paraId="2ABB7F68" w14:textId="77777777">
        <w:trPr>
          <w:cantSplit/>
        </w:trPr>
        <w:tc>
          <w:tcPr>
            <w:tcW w:w="9061" w:type="dxa"/>
            <w:gridSpan w:val="2"/>
            <w:shd w:val="clear" w:color="auto" w:fill="FFFFFF"/>
            <w:vAlign w:val="center"/>
            <w:hideMark/>
          </w:tcPr>
          <w:p w:rsidRPr="000D2682" w:rsidR="00BD5588" w:rsidP="007371D2" w:rsidRDefault="00BD5588" w14:paraId="541E554E" w14:textId="77777777">
            <w:pPr>
              <w:jc w:val="center"/>
              <w:rPr>
                <w:b/>
                <w:iCs/>
                <w:lang w:eastAsia="en-US"/>
              </w:rPr>
            </w:pPr>
            <w:r w:rsidRPr="000D2682">
              <w:rPr>
                <w:b/>
                <w:iCs/>
                <w:lang w:eastAsia="en-US"/>
              </w:rPr>
              <w:t>Tiesību akta projekta anotācijas kopsavilkums</w:t>
            </w:r>
          </w:p>
        </w:tc>
      </w:tr>
      <w:tr w:rsidRPr="000D2682" w:rsidR="002C493F" w:rsidTr="00135AF8" w14:paraId="0425124E" w14:textId="77777777">
        <w:trPr>
          <w:cantSplit/>
        </w:trPr>
        <w:tc>
          <w:tcPr>
            <w:tcW w:w="2972" w:type="dxa"/>
            <w:shd w:val="clear" w:color="auto" w:fill="FFFFFF"/>
            <w:hideMark/>
          </w:tcPr>
          <w:p w:rsidRPr="000D2682" w:rsidR="00BD5588" w:rsidP="007371D2" w:rsidRDefault="00BD5588" w14:paraId="76138C19" w14:textId="77777777">
            <w:pPr>
              <w:rPr>
                <w:iCs/>
                <w:lang w:eastAsia="en-US"/>
              </w:rPr>
            </w:pPr>
            <w:r w:rsidRPr="000D2682">
              <w:rPr>
                <w:iCs/>
                <w:lang w:eastAsia="en-US"/>
              </w:rPr>
              <w:t>Mērķis, risinājums un projekta spēkā stāšanās laiks (500 zīmes bez atstarpēm)</w:t>
            </w:r>
          </w:p>
        </w:tc>
        <w:tc>
          <w:tcPr>
            <w:tcW w:w="6089" w:type="dxa"/>
            <w:shd w:val="clear" w:color="auto" w:fill="FFFFFF"/>
            <w:hideMark/>
          </w:tcPr>
          <w:p w:rsidRPr="000D2682" w:rsidR="00BD5588" w:rsidP="00EA22E5" w:rsidRDefault="00C05599" w14:paraId="66F29AAF" w14:textId="2601173D">
            <w:pPr>
              <w:jc w:val="both"/>
              <w:rPr>
                <w:i/>
                <w:iCs/>
                <w:lang w:eastAsia="en-US"/>
              </w:rPr>
            </w:pPr>
            <w:r>
              <w:rPr>
                <w:lang w:eastAsia="en-US"/>
              </w:rPr>
              <w:t>Nav attiecināms.</w:t>
            </w:r>
          </w:p>
        </w:tc>
      </w:tr>
    </w:tbl>
    <w:p w:rsidRPr="000D2682" w:rsidR="00BD5588" w:rsidP="00F93117" w:rsidRDefault="00BD5588" w14:paraId="1D3BEEF0" w14:textId="77777777">
      <w:pPr>
        <w:pStyle w:val="Nosaukums"/>
        <w:spacing w:before="130" w:line="260" w:lineRule="exact"/>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3"/>
        <w:gridCol w:w="2126"/>
        <w:gridCol w:w="6372"/>
      </w:tblGrid>
      <w:tr w:rsidRPr="000D2682" w:rsidR="00BD5588" w:rsidTr="00F93117" w14:paraId="7CC5098B" w14:textId="77777777">
        <w:trPr>
          <w:cantSplit/>
          <w:trHeight w:val="30"/>
        </w:trPr>
        <w:tc>
          <w:tcPr>
            <w:tcW w:w="5000" w:type="pct"/>
            <w:gridSpan w:val="3"/>
            <w:vAlign w:val="center"/>
            <w:hideMark/>
          </w:tcPr>
          <w:p w:rsidRPr="000D2682" w:rsidR="00BD5588" w:rsidP="007371D2" w:rsidRDefault="00BD5588" w14:paraId="1F4A344C" w14:textId="77777777">
            <w:pPr>
              <w:jc w:val="center"/>
              <w:rPr>
                <w:b/>
                <w:bCs/>
              </w:rPr>
            </w:pPr>
            <w:r w:rsidRPr="000D2682">
              <w:rPr>
                <w:b/>
                <w:bCs/>
              </w:rPr>
              <w:t>I. Tiesību akta projekta izstrādes nepieciešamība</w:t>
            </w:r>
          </w:p>
        </w:tc>
      </w:tr>
      <w:tr w:rsidRPr="000D2682" w:rsidR="00BD5588" w:rsidTr="009108E3" w14:paraId="678B3C65" w14:textId="77777777">
        <w:tc>
          <w:tcPr>
            <w:tcW w:w="311" w:type="pct"/>
            <w:hideMark/>
          </w:tcPr>
          <w:p w:rsidRPr="000D2682" w:rsidR="00BD5588" w:rsidP="007371D2" w:rsidRDefault="00BD5588" w14:paraId="2E0C13B5" w14:textId="77777777">
            <w:pPr>
              <w:jc w:val="center"/>
            </w:pPr>
            <w:r w:rsidRPr="000D2682">
              <w:t>1.</w:t>
            </w:r>
          </w:p>
        </w:tc>
        <w:tc>
          <w:tcPr>
            <w:tcW w:w="1173" w:type="pct"/>
            <w:hideMark/>
          </w:tcPr>
          <w:p w:rsidRPr="000D2682" w:rsidR="00BD5588" w:rsidP="007371D2" w:rsidRDefault="00BD5588" w14:paraId="205CC41F" w14:textId="77777777">
            <w:r w:rsidRPr="000D2682">
              <w:t>Pamatojums</w:t>
            </w:r>
          </w:p>
        </w:tc>
        <w:tc>
          <w:tcPr>
            <w:tcW w:w="3516" w:type="pct"/>
            <w:hideMark/>
          </w:tcPr>
          <w:p w:rsidR="007E51BE" w:rsidP="00611965" w:rsidRDefault="00611965" w14:paraId="679720F2" w14:textId="10DAF4B6">
            <w:pPr>
              <w:jc w:val="both"/>
            </w:pPr>
            <w:r>
              <w:rPr>
                <w:shd w:val="clear" w:color="auto" w:fill="FFFFFF"/>
              </w:rPr>
              <w:t>1. </w:t>
            </w:r>
            <w:r w:rsidRPr="00611965" w:rsidR="000B6FEE">
              <w:rPr>
                <w:shd w:val="clear" w:color="auto" w:fill="FFFFFF"/>
              </w:rPr>
              <w:t>Ministru kabineta 2021. gada 11. februāra Informatīva</w:t>
            </w:r>
            <w:r w:rsidRPr="00611965" w:rsidR="007E51BE">
              <w:rPr>
                <w:shd w:val="clear" w:color="auto" w:fill="FFFFFF"/>
              </w:rPr>
              <w:t>is</w:t>
            </w:r>
            <w:proofErr w:type="gramStart"/>
            <w:r w:rsidRPr="00611965" w:rsidR="007E51BE">
              <w:rPr>
                <w:shd w:val="clear" w:color="auto" w:fill="FFFFFF"/>
              </w:rPr>
              <w:t xml:space="preserve"> </w:t>
            </w:r>
            <w:r w:rsidRPr="00611965" w:rsidR="000B6FEE">
              <w:rPr>
                <w:shd w:val="clear" w:color="auto" w:fill="FFFFFF"/>
              </w:rPr>
              <w:t xml:space="preserve"> </w:t>
            </w:r>
            <w:proofErr w:type="gramEnd"/>
            <w:r w:rsidRPr="00611965" w:rsidR="000B6FEE">
              <w:rPr>
                <w:shd w:val="clear" w:color="auto" w:fill="FFFFFF"/>
              </w:rPr>
              <w:t>ziņojum</w:t>
            </w:r>
            <w:r w:rsidRPr="00611965" w:rsidR="007E51BE">
              <w:rPr>
                <w:shd w:val="clear" w:color="auto" w:fill="FFFFFF"/>
              </w:rPr>
              <w:t>s</w:t>
            </w:r>
            <w:r w:rsidRPr="00611965" w:rsidR="000B6FEE">
              <w:rPr>
                <w:shd w:val="clear" w:color="auto" w:fill="FFFFFF"/>
              </w:rPr>
              <w:t xml:space="preserve"> </w:t>
            </w:r>
            <w:r w:rsidRPr="0046144C" w:rsidR="000B6FEE">
              <w:t xml:space="preserve"> </w:t>
            </w:r>
            <w:r w:rsidRPr="00611965" w:rsidR="000B6FEE">
              <w:rPr>
                <w:shd w:val="clear" w:color="auto" w:fill="FFFFFF"/>
              </w:rPr>
              <w:t xml:space="preserve">"Par prioritāri vakcinējamām personu grupām" </w:t>
            </w:r>
            <w:bookmarkStart w:name="_Hlk70066629" w:id="0"/>
            <w:r w:rsidRPr="001C554E" w:rsidR="000B6FEE">
              <w:t>(prot. Nr. 1</w:t>
            </w:r>
            <w:r w:rsidR="000B6FEE">
              <w:t>5</w:t>
            </w:r>
            <w:r w:rsidRPr="001C554E" w:rsidR="000B6FEE">
              <w:t xml:space="preserve"> </w:t>
            </w:r>
            <w:r w:rsidR="000B6FEE">
              <w:t>55</w:t>
            </w:r>
            <w:r w:rsidRPr="001C554E" w:rsidR="000B6FEE">
              <w:t>. §)</w:t>
            </w:r>
            <w:r w:rsidR="007E51BE">
              <w:t>.</w:t>
            </w:r>
          </w:p>
          <w:p w:rsidRPr="00502A15" w:rsidR="00C55371" w:rsidP="003100D5" w:rsidRDefault="00611965" w14:paraId="49B0412C" w14:textId="103BC96B">
            <w:pPr>
              <w:jc w:val="both"/>
              <w:rPr>
                <w:sz w:val="22"/>
                <w:szCs w:val="22"/>
              </w:rPr>
            </w:pPr>
            <w:r>
              <w:t>2. </w:t>
            </w:r>
            <w:r w:rsidRPr="001C554E" w:rsidR="000B6FEE">
              <w:t>Ministru kabineta 2021.</w:t>
            </w:r>
            <w:r w:rsidR="000B6FEE">
              <w:t> </w:t>
            </w:r>
            <w:r w:rsidRPr="001C554E" w:rsidR="000B6FEE">
              <w:t>gada 16.</w:t>
            </w:r>
            <w:r w:rsidR="000B6FEE">
              <w:t> </w:t>
            </w:r>
            <w:r w:rsidRPr="001C554E" w:rsidR="000B6FEE">
              <w:t xml:space="preserve">februāra sēdes protokollēmuma </w:t>
            </w:r>
            <w:bookmarkEnd w:id="0"/>
            <w:r w:rsidRPr="001C554E" w:rsidR="000B6FEE">
              <w:t xml:space="preserve">(prot. Nr. 17 3. §) </w:t>
            </w:r>
            <w:r w:rsidR="000B6FEE">
              <w:t>"</w:t>
            </w:r>
            <w:r w:rsidRPr="00611965" w:rsidR="000B6FEE">
              <w:rPr>
                <w:shd w:val="clear" w:color="auto" w:fill="FFFFFF"/>
              </w:rPr>
              <w:t xml:space="preserve">Informatīvais ziņojums "Par prioritāri vakcinējamām personu grupām" </w:t>
            </w:r>
            <w:r w:rsidRPr="001C554E" w:rsidR="000B6FEE">
              <w:t>4. punkt</w:t>
            </w:r>
            <w:r>
              <w:t>s</w:t>
            </w:r>
            <w:r w:rsidR="00502A15">
              <w:t>, kas noteic p</w:t>
            </w:r>
            <w:r w:rsidRPr="00502A15" w:rsidR="00C55371">
              <w:rPr>
                <w:szCs w:val="18"/>
              </w:rPr>
              <w:t>irms V un VII prioritāri vakcinējamās grupās iekļauto sabiedrības grupu vakcinācijas uzsākšanas nozaru ministrijām nodrošināt atbilstošo organizāciju vai uzņēmumu un profesiju vai amatu sarakstu sagatavošanu un iesniegšanu apstiprināšanai Ministru kabinetā</w:t>
            </w:r>
            <w:r w:rsidR="00502A15">
              <w:rPr>
                <w:szCs w:val="18"/>
              </w:rPr>
              <w:t>.</w:t>
            </w:r>
          </w:p>
          <w:p w:rsidRPr="000D2682" w:rsidR="00291EDB" w:rsidP="00291EDB" w:rsidRDefault="00291EDB" w14:paraId="004A5CDE" w14:textId="25198B94">
            <w:pPr>
              <w:pStyle w:val="tv213"/>
              <w:shd w:val="clear" w:color="auto" w:fill="FFFFFF"/>
              <w:spacing w:before="0" w:beforeAutospacing="0" w:after="0" w:afterAutospacing="0"/>
              <w:jc w:val="both"/>
              <w:rPr>
                <w:shd w:val="clear" w:color="auto" w:fill="FFFFFF"/>
                <w:lang w:val="lv-LV"/>
              </w:rPr>
            </w:pPr>
          </w:p>
          <w:p w:rsidRPr="000D2682" w:rsidR="00291EDB" w:rsidP="00887BF0" w:rsidRDefault="00291EDB" w14:paraId="4FCC3146" w14:textId="04BA75EB">
            <w:pPr>
              <w:jc w:val="both"/>
            </w:pPr>
          </w:p>
        </w:tc>
      </w:tr>
      <w:tr w:rsidRPr="000D2682" w:rsidR="00BD5588" w:rsidTr="00135AF8" w14:paraId="51704591" w14:textId="77777777">
        <w:tc>
          <w:tcPr>
            <w:tcW w:w="311" w:type="pct"/>
            <w:hideMark/>
          </w:tcPr>
          <w:p w:rsidRPr="000D2682" w:rsidR="00BD5588" w:rsidP="007371D2" w:rsidRDefault="00BD5588" w14:paraId="6398D318" w14:textId="77777777">
            <w:pPr>
              <w:jc w:val="center"/>
            </w:pPr>
            <w:r w:rsidRPr="000D2682">
              <w:t>2.</w:t>
            </w:r>
          </w:p>
        </w:tc>
        <w:tc>
          <w:tcPr>
            <w:tcW w:w="1173" w:type="pct"/>
            <w:hideMark/>
          </w:tcPr>
          <w:p w:rsidRPr="000D2682" w:rsidR="00BD5588" w:rsidP="007371D2" w:rsidRDefault="00BD5588" w14:paraId="78E728D7" w14:textId="77777777">
            <w:r w:rsidRPr="000D2682">
              <w:t>Pašreizējā situācija un problēmas, kuru risināšanai tiesību akta projekts izstrādāts, tiesiskā regulējuma mērķis un būtība</w:t>
            </w:r>
          </w:p>
        </w:tc>
        <w:tc>
          <w:tcPr>
            <w:tcW w:w="3516" w:type="pct"/>
            <w:hideMark/>
          </w:tcPr>
          <w:p w:rsidR="00301A2D" w:rsidP="00502A15" w:rsidRDefault="00CC2662" w14:paraId="7A2DB52F" w14:textId="60AABDF9">
            <w:pPr>
              <w:pStyle w:val="xmsonormal"/>
              <w:spacing w:before="0" w:beforeAutospacing="0" w:after="0" w:afterAutospacing="0"/>
              <w:jc w:val="both"/>
              <w:rPr>
                <w:rFonts w:ascii="Segoe UI" w:hAnsi="Segoe UI" w:cs="Segoe UI"/>
                <w:color w:val="201F1E"/>
                <w:sz w:val="23"/>
                <w:szCs w:val="23"/>
              </w:rPr>
            </w:pPr>
            <w:r w:rsidRPr="000D2682">
              <w:t xml:space="preserve"> </w:t>
            </w:r>
            <w:r w:rsidR="00301A2D">
              <w:rPr>
                <w:color w:val="201F1E"/>
              </w:rPr>
              <w:t>Augsta riska apstākļos atrodas arī personas, kas strādā ieslodzījuma vietās un Valsts probācijas dienestā, ikdienā atrodoties kontaktā ar diezgan slēgtā vidē esošajām personām. Ja šajās iestādēs kāds ir inficējies ar Covid-19, tad notiek strauja infekcijas izplatība šajos kolektīvos. Jāņem vērā, ka šie cilvēki ir pakļauti sociālās atstumtības riskam, tādēļ arī viņi ir pakļauti augstam Covid-19 riskam. Šādu cilvēku vakcināciju rekomendē arī EK.</w:t>
            </w:r>
          </w:p>
          <w:p w:rsidR="00301A2D" w:rsidP="00502A15" w:rsidRDefault="00301A2D" w14:paraId="468CCEE6" w14:textId="6BCBC83A">
            <w:pPr>
              <w:pStyle w:val="xmsonormal"/>
              <w:spacing w:before="0" w:beforeAutospacing="0" w:after="0" w:afterAutospacing="0"/>
              <w:jc w:val="both"/>
              <w:rPr>
                <w:color w:val="201F1E"/>
              </w:rPr>
            </w:pPr>
            <w:r>
              <w:rPr>
                <w:color w:val="201F1E"/>
              </w:rPr>
              <w:t xml:space="preserve">No epidemioloģiskām indikācijām ir pamatots prioritāri vakcinēt personas, kuras uzturas paaugstinātas inficēšanās apstākļos, kur nav iespējams ievērot distancēšanos, </w:t>
            </w:r>
            <w:proofErr w:type="gramStart"/>
            <w:r>
              <w:rPr>
                <w:color w:val="201F1E"/>
              </w:rPr>
              <w:t>un kuras saskaras ar lielu</w:t>
            </w:r>
            <w:proofErr w:type="gramEnd"/>
            <w:r>
              <w:rPr>
                <w:color w:val="201F1E"/>
              </w:rPr>
              <w:t xml:space="preserve"> skaitu citu cilvēku. Šādas personas ir klātienē strādājoši reliģisko organizāciju garīdznieki un kalpojošais personāls, kas arī ikdien</w:t>
            </w:r>
            <w:r w:rsidR="00502A15">
              <w:rPr>
                <w:color w:val="201F1E"/>
              </w:rPr>
              <w:t>ā</w:t>
            </w:r>
            <w:r>
              <w:rPr>
                <w:color w:val="201F1E"/>
              </w:rPr>
              <w:t xml:space="preserve"> turpina savu pienākumu veikšanu, saskaroties ar salīdzinoši lielu cilvēku skaitu, kas bieži vien arī pārstāv augsta riska grupas (piem., vecākā gada gājuma personas).</w:t>
            </w:r>
          </w:p>
          <w:p w:rsidRPr="000D2682" w:rsidR="00CC2662" w:rsidP="00A25FA7" w:rsidRDefault="00A25FA7" w14:paraId="4A69A1C8" w14:textId="2BD569E8">
            <w:pPr>
              <w:pStyle w:val="xmsonormal"/>
              <w:spacing w:before="0" w:beforeAutospacing="0" w:after="0" w:afterAutospacing="0"/>
              <w:jc w:val="both"/>
            </w:pPr>
            <w:r>
              <w:t xml:space="preserve">Lai nodrošinātu </w:t>
            </w:r>
            <w:r w:rsidRPr="00A25FA7">
              <w:t>tieslietu sektora</w:t>
            </w:r>
            <w:r>
              <w:t xml:space="preserve"> iestāžu (</w:t>
            </w:r>
            <w:proofErr w:type="gramStart"/>
            <w:r>
              <w:t>piem.</w:t>
            </w:r>
            <w:proofErr w:type="gramEnd"/>
            <w:r>
              <w:t xml:space="preserve"> Satversmes tiesa, Augstākā tiesa, </w:t>
            </w:r>
            <w:r w:rsidRPr="00A25FA7">
              <w:t>Latvijas Republikas Prokuratūra</w:t>
            </w:r>
            <w:r>
              <w:t xml:space="preserve">, Tiesu administrācija, Valsts tiesu ekspertīžu birojs) pilnvērtīgu funkciju īstenošanu vairumam </w:t>
            </w:r>
            <w:r w:rsidRPr="00A25FA7">
              <w:t>darbinieku, kuri sniedzi kritiski svarīgus klātienes pakalpojumus</w:t>
            </w:r>
            <w:r>
              <w:t xml:space="preserve"> nepieciešams atgriezties klātienē, kas nozīmē paaugstinātu inficēšanās risku ne vien darba vietā darbā ar klientu, bet arī ceļā uz darbu.</w:t>
            </w:r>
          </w:p>
        </w:tc>
      </w:tr>
      <w:tr w:rsidRPr="000D2682" w:rsidR="00BD5588" w:rsidTr="00135AF8" w14:paraId="37C7FE17" w14:textId="77777777">
        <w:trPr>
          <w:cantSplit/>
        </w:trPr>
        <w:tc>
          <w:tcPr>
            <w:tcW w:w="311" w:type="pct"/>
            <w:hideMark/>
          </w:tcPr>
          <w:p w:rsidRPr="000D2682" w:rsidR="00BD5588" w:rsidP="007371D2" w:rsidRDefault="00BD5588" w14:paraId="5B29ADFB" w14:textId="77777777">
            <w:pPr>
              <w:jc w:val="center"/>
            </w:pPr>
            <w:r w:rsidRPr="000D2682">
              <w:lastRenderedPageBreak/>
              <w:t>3.</w:t>
            </w:r>
          </w:p>
        </w:tc>
        <w:tc>
          <w:tcPr>
            <w:tcW w:w="1173" w:type="pct"/>
            <w:hideMark/>
          </w:tcPr>
          <w:p w:rsidRPr="000D2682" w:rsidR="00BD5588" w:rsidP="007371D2" w:rsidRDefault="00BD5588" w14:paraId="69045C02" w14:textId="77777777">
            <w:r w:rsidRPr="000D2682">
              <w:t>Projekta izstrādē iesaistītās institūcijas un publiskas personas kapitālsabiedrības</w:t>
            </w:r>
          </w:p>
        </w:tc>
        <w:tc>
          <w:tcPr>
            <w:tcW w:w="3516" w:type="pct"/>
            <w:hideMark/>
          </w:tcPr>
          <w:p w:rsidRPr="000D2682" w:rsidR="00BD5588" w:rsidP="008404FB" w:rsidRDefault="00A05C37" w14:paraId="674AB328" w14:textId="79BF7941">
            <w:pPr>
              <w:jc w:val="both"/>
            </w:pPr>
            <w:r w:rsidRPr="000D2682">
              <w:t xml:space="preserve">Tieslietu </w:t>
            </w:r>
            <w:r w:rsidRPr="009E6AD7">
              <w:t>ministrija</w:t>
            </w:r>
            <w:r w:rsidRPr="009E6AD7" w:rsidR="00611965">
              <w:t xml:space="preserve"> (Ieslodzījumu vietu pārvalde, Valsts probācijas dienests</w:t>
            </w:r>
            <w:r w:rsidRPr="009E6AD7" w:rsidR="008404FB">
              <w:t>, Valsts zemes dienests, Tiesu administrācija, Valsts tiesu ekspertīžu birojs</w:t>
            </w:r>
            <w:r w:rsidRPr="009E6AD7" w:rsidR="00611965">
              <w:t xml:space="preserve">), </w:t>
            </w:r>
            <w:r w:rsidRPr="009E6AD7" w:rsidR="008404FB">
              <w:t>Satversmes tiesa, Augstākā tiesa, Latvijas Republikas Prokuratūra, Latvijas Zvērinātu tiesu izpildītāju padome, Latvijas Zvērinātu advokātu padome, Latvijas Zvērinātu notāru padome</w:t>
            </w:r>
            <w:proofErr w:type="gramStart"/>
            <w:r w:rsidRPr="009E6AD7" w:rsidR="008404FB">
              <w:rPr>
                <w:rFonts w:ascii="Calibri" w:hAnsi="Calibri" w:cs="Calibri"/>
                <w:b/>
                <w:bCs/>
                <w:color w:val="000000"/>
              </w:rPr>
              <w:t xml:space="preserve">  </w:t>
            </w:r>
            <w:proofErr w:type="gramEnd"/>
            <w:r w:rsidRPr="009E6AD7" w:rsidR="00611965">
              <w:t>reliģiskās organizācijas</w:t>
            </w:r>
            <w:r w:rsidRPr="009E6AD7" w:rsidR="00810B6B">
              <w:t>.</w:t>
            </w:r>
          </w:p>
        </w:tc>
      </w:tr>
      <w:tr w:rsidRPr="000D2682" w:rsidR="00BD5588" w:rsidTr="00135AF8" w14:paraId="3659D18C" w14:textId="77777777">
        <w:trPr>
          <w:cantSplit/>
        </w:trPr>
        <w:tc>
          <w:tcPr>
            <w:tcW w:w="311" w:type="pct"/>
            <w:hideMark/>
          </w:tcPr>
          <w:p w:rsidRPr="000D2682" w:rsidR="00BD5588" w:rsidP="007371D2" w:rsidRDefault="00BD5588" w14:paraId="0E6B9C2A" w14:textId="77777777">
            <w:pPr>
              <w:jc w:val="center"/>
            </w:pPr>
            <w:r w:rsidRPr="000D2682">
              <w:t>4.</w:t>
            </w:r>
          </w:p>
        </w:tc>
        <w:tc>
          <w:tcPr>
            <w:tcW w:w="1173" w:type="pct"/>
            <w:hideMark/>
          </w:tcPr>
          <w:p w:rsidRPr="000D2682" w:rsidR="00BD5588" w:rsidP="007371D2" w:rsidRDefault="00BD5588" w14:paraId="5152A8A3" w14:textId="77777777">
            <w:r w:rsidRPr="000D2682">
              <w:t>Cita informācija</w:t>
            </w:r>
          </w:p>
        </w:tc>
        <w:tc>
          <w:tcPr>
            <w:tcW w:w="3516" w:type="pct"/>
            <w:hideMark/>
          </w:tcPr>
          <w:p w:rsidRPr="000D2682" w:rsidR="00BD5588" w:rsidP="007371D2" w:rsidRDefault="00E94793" w14:paraId="6B1C4396" w14:textId="47AA7F68">
            <w:r w:rsidRPr="000D2682">
              <w:t>Nav</w:t>
            </w:r>
            <w:r w:rsidRPr="000D2682" w:rsidR="00260BD0">
              <w:t>.</w:t>
            </w:r>
          </w:p>
        </w:tc>
      </w:tr>
    </w:tbl>
    <w:p w:rsidRPr="000D2682" w:rsidR="00292409" w:rsidP="00F95A9D" w:rsidRDefault="00292409" w14:paraId="00DA7EA9" w14:textId="77777777">
      <w:pPr>
        <w:pStyle w:val="Nosaukums"/>
        <w:spacing w:before="130" w:line="260" w:lineRule="exact"/>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2"/>
        <w:gridCol w:w="2695"/>
        <w:gridCol w:w="5804"/>
      </w:tblGrid>
      <w:tr w:rsidRPr="000D2682" w:rsidR="00292409" w:rsidTr="00292409" w14:paraId="27252D90" w14:textId="77777777">
        <w:trPr>
          <w:cantSplit/>
        </w:trPr>
        <w:tc>
          <w:tcPr>
            <w:tcW w:w="5000" w:type="pct"/>
            <w:gridSpan w:val="3"/>
          </w:tcPr>
          <w:p w:rsidRPr="000D2682" w:rsidR="00292409" w:rsidP="007371D2" w:rsidRDefault="00292409" w14:paraId="636EA7B8" w14:textId="4FB02962">
            <w:pPr>
              <w:jc w:val="center"/>
              <w:rPr>
                <w:b/>
                <w:bCs/>
              </w:rPr>
            </w:pPr>
            <w:r w:rsidRPr="000D2682">
              <w:rPr>
                <w:b/>
                <w:bCs/>
              </w:rPr>
              <w:t>II. Tiesību akta projekta ietekme uz sabiedrību, tautsaimniecības attīstību un administratīvo slogu</w:t>
            </w:r>
          </w:p>
        </w:tc>
      </w:tr>
      <w:tr w:rsidRPr="000D2682" w:rsidR="00292409" w:rsidTr="00135AF8" w14:paraId="53522059" w14:textId="77777777">
        <w:trPr>
          <w:cantSplit/>
        </w:trPr>
        <w:tc>
          <w:tcPr>
            <w:tcW w:w="310" w:type="pct"/>
          </w:tcPr>
          <w:p w:rsidRPr="000D2682" w:rsidR="00292409" w:rsidP="00292409" w:rsidRDefault="00292409" w14:paraId="1F627429" w14:textId="5C0024A7">
            <w:pPr>
              <w:jc w:val="center"/>
            </w:pPr>
            <w:r w:rsidRPr="000D2682">
              <w:t>1.</w:t>
            </w:r>
          </w:p>
        </w:tc>
        <w:tc>
          <w:tcPr>
            <w:tcW w:w="1487" w:type="pct"/>
          </w:tcPr>
          <w:p w:rsidRPr="000D2682" w:rsidR="00292409" w:rsidP="00135AF8" w:rsidRDefault="00292409" w14:paraId="245D71B4" w14:textId="11397176">
            <w:r w:rsidRPr="000D2682">
              <w:t>Sabiedrības mērķgrupas, kuras tiesiskais regulējums ietekmē</w:t>
            </w:r>
            <w:proofErr w:type="gramStart"/>
            <w:r w:rsidRPr="000D2682">
              <w:t xml:space="preserve"> vai varētu ietekmēt</w:t>
            </w:r>
            <w:proofErr w:type="gramEnd"/>
          </w:p>
        </w:tc>
        <w:tc>
          <w:tcPr>
            <w:tcW w:w="3203" w:type="pct"/>
          </w:tcPr>
          <w:p w:rsidRPr="000D2682" w:rsidR="00292409" w:rsidP="00DE1FA3" w:rsidRDefault="007C16DA" w14:paraId="5851C07B" w14:textId="3E4315A1">
            <w:pPr>
              <w:jc w:val="both"/>
            </w:pPr>
            <w:r>
              <w:t>Ieslodzījumu vietu pārvaldes</w:t>
            </w:r>
            <w:r w:rsidR="002D249A">
              <w:t>,</w:t>
            </w:r>
            <w:r w:rsidR="00E13F83">
              <w:t xml:space="preserve"> Valsts probācijas dienesta</w:t>
            </w:r>
            <w:r w:rsidR="002D249A">
              <w:t>,</w:t>
            </w:r>
            <w:r w:rsidR="00E13F83">
              <w:t xml:space="preserve"> </w:t>
            </w:r>
            <w:r w:rsidRPr="002D249A" w:rsidR="002D249A">
              <w:t>Valsts zemes dienest</w:t>
            </w:r>
            <w:r w:rsidR="002D249A">
              <w:t>a</w:t>
            </w:r>
            <w:r w:rsidRPr="002D249A" w:rsidR="002D249A">
              <w:t>, Tiesu administrācija</w:t>
            </w:r>
            <w:r w:rsidR="002D249A">
              <w:t>s</w:t>
            </w:r>
            <w:r w:rsidRPr="002D249A" w:rsidR="002D249A">
              <w:t>,</w:t>
            </w:r>
            <w:r w:rsidR="002D249A">
              <w:t xml:space="preserve"> </w:t>
            </w:r>
            <w:r w:rsidRPr="002D249A" w:rsidR="002D249A">
              <w:t>Rajona (pilsētas) tiesas un apgabaltiesas</w:t>
            </w:r>
            <w:r w:rsidR="002D249A">
              <w:t>,</w:t>
            </w:r>
            <w:r w:rsidRPr="002D249A" w:rsidR="002D249A">
              <w:t xml:space="preserve"> Valsts tiesu ekspertīžu biroj</w:t>
            </w:r>
            <w:r w:rsidR="002D249A">
              <w:t>a</w:t>
            </w:r>
            <w:r w:rsidRPr="002D249A" w:rsidR="002D249A">
              <w:t>, Satversmes tiesa</w:t>
            </w:r>
            <w:r w:rsidR="002D249A">
              <w:t>s</w:t>
            </w:r>
            <w:r w:rsidRPr="002D249A" w:rsidR="002D249A">
              <w:t>, Augstākā</w:t>
            </w:r>
            <w:r w:rsidR="002D249A">
              <w:t>s</w:t>
            </w:r>
            <w:r w:rsidRPr="002D249A" w:rsidR="002D249A">
              <w:t xml:space="preserve"> tiesa</w:t>
            </w:r>
            <w:r w:rsidR="002D249A">
              <w:t>s</w:t>
            </w:r>
            <w:r w:rsidRPr="002D249A" w:rsidR="002D249A">
              <w:t>, Latvijas Republikas Prokuratūra</w:t>
            </w:r>
            <w:r w:rsidR="002D249A">
              <w:t>s</w:t>
            </w:r>
            <w:r w:rsidRPr="002D249A" w:rsidR="002D249A">
              <w:t>, Latvijas Zvērinātu tiesu izpildītāju</w:t>
            </w:r>
            <w:r w:rsidR="002D249A">
              <w:t xml:space="preserve"> </w:t>
            </w:r>
            <w:r w:rsidRPr="002D249A" w:rsidR="002D249A">
              <w:t>padome</w:t>
            </w:r>
            <w:r w:rsidR="002D249A">
              <w:t>s</w:t>
            </w:r>
            <w:r w:rsidRPr="002D249A" w:rsidR="002D249A">
              <w:t>, Zvērinātu tiesu izpildītāj</w:t>
            </w:r>
            <w:r w:rsidR="002D249A">
              <w:t>i,</w:t>
            </w:r>
            <w:r w:rsidRPr="002D249A" w:rsidR="002D249A">
              <w:t xml:space="preserve"> Latvijas Zvērinātu advokātu</w:t>
            </w:r>
            <w:r w:rsidR="002D249A">
              <w:t xml:space="preserve"> </w:t>
            </w:r>
            <w:r w:rsidRPr="002D249A" w:rsidR="002D249A">
              <w:t>padome</w:t>
            </w:r>
            <w:r w:rsidR="002D249A">
              <w:t xml:space="preserve">s un </w:t>
            </w:r>
            <w:r w:rsidRPr="002D249A" w:rsidR="002D249A">
              <w:t>Zvērināt</w:t>
            </w:r>
            <w:r w:rsidR="002D249A">
              <w:t>i</w:t>
            </w:r>
            <w:r w:rsidRPr="002D249A" w:rsidR="002D249A">
              <w:t xml:space="preserve"> advokāt</w:t>
            </w:r>
            <w:r w:rsidR="002D249A">
              <w:t>i</w:t>
            </w:r>
            <w:r w:rsidRPr="002D249A" w:rsidR="002D249A">
              <w:t>, Latvijas Zvērinātu notāru padome</w:t>
            </w:r>
            <w:r w:rsidR="002D249A">
              <w:t xml:space="preserve">s, </w:t>
            </w:r>
            <w:r w:rsidRPr="002D249A" w:rsidR="002D249A">
              <w:t>Zvērināt</w:t>
            </w:r>
            <w:r w:rsidR="002D249A">
              <w:t>i</w:t>
            </w:r>
            <w:r w:rsidRPr="002D249A" w:rsidR="002D249A">
              <w:t xml:space="preserve"> notār</w:t>
            </w:r>
            <w:r w:rsidR="002D249A">
              <w:t>i kā arī</w:t>
            </w:r>
            <w:r w:rsidRPr="002D249A" w:rsidR="002D249A">
              <w:t xml:space="preserve">  reliģiskās organizācijas</w:t>
            </w:r>
            <w:r w:rsidR="002D249A">
              <w:t xml:space="preserve"> </w:t>
            </w:r>
            <w:r w:rsidR="00E13F83">
              <w:t xml:space="preserve">reliģisko organizāciju </w:t>
            </w:r>
            <w:r w:rsidR="003144EC">
              <w:t>garīgais un kalpojošais personāls</w:t>
            </w:r>
          </w:p>
        </w:tc>
      </w:tr>
      <w:tr w:rsidRPr="000D2682" w:rsidR="00292409" w:rsidTr="00135AF8" w14:paraId="5881EF4C" w14:textId="77777777">
        <w:trPr>
          <w:cantSplit/>
        </w:trPr>
        <w:tc>
          <w:tcPr>
            <w:tcW w:w="310" w:type="pct"/>
          </w:tcPr>
          <w:p w:rsidRPr="000D2682" w:rsidR="00292409" w:rsidP="00292409" w:rsidRDefault="00292409" w14:paraId="1D873397" w14:textId="65D69391">
            <w:pPr>
              <w:jc w:val="center"/>
            </w:pPr>
            <w:r w:rsidRPr="000D2682">
              <w:t>2.</w:t>
            </w:r>
          </w:p>
        </w:tc>
        <w:tc>
          <w:tcPr>
            <w:tcW w:w="1487" w:type="pct"/>
          </w:tcPr>
          <w:p w:rsidRPr="000D2682" w:rsidR="00292409" w:rsidP="00135AF8" w:rsidRDefault="00292409" w14:paraId="357CE4BA" w14:textId="63C27EA0">
            <w:r w:rsidRPr="000D2682">
              <w:t>Tiesiskā regulējuma ietekme uz tautsaimniecību un administratīvo slogu</w:t>
            </w:r>
          </w:p>
        </w:tc>
        <w:tc>
          <w:tcPr>
            <w:tcW w:w="3203" w:type="pct"/>
          </w:tcPr>
          <w:p w:rsidRPr="000D2682" w:rsidR="00292409" w:rsidP="00292409" w:rsidRDefault="00292409" w14:paraId="0235797A" w14:textId="3293FF2E">
            <w:r w:rsidRPr="000D2682">
              <w:t>Projekts šo jomu neskar.</w:t>
            </w:r>
          </w:p>
        </w:tc>
      </w:tr>
      <w:tr w:rsidRPr="000D2682" w:rsidR="00292409" w:rsidTr="00135AF8" w14:paraId="5E7683D3" w14:textId="77777777">
        <w:trPr>
          <w:cantSplit/>
        </w:trPr>
        <w:tc>
          <w:tcPr>
            <w:tcW w:w="310" w:type="pct"/>
          </w:tcPr>
          <w:p w:rsidRPr="000D2682" w:rsidR="00292409" w:rsidP="00292409" w:rsidRDefault="00292409" w14:paraId="45235BCC" w14:textId="285209FA">
            <w:pPr>
              <w:jc w:val="center"/>
            </w:pPr>
            <w:r w:rsidRPr="000D2682">
              <w:t>3.</w:t>
            </w:r>
          </w:p>
        </w:tc>
        <w:tc>
          <w:tcPr>
            <w:tcW w:w="1487" w:type="pct"/>
          </w:tcPr>
          <w:p w:rsidRPr="000D2682" w:rsidR="00292409" w:rsidP="00135AF8" w:rsidRDefault="00292409" w14:paraId="50EF4747" w14:textId="3780BA42">
            <w:r w:rsidRPr="000D2682">
              <w:t>Administratīvo izmaksu monetārs novērtējums</w:t>
            </w:r>
          </w:p>
        </w:tc>
        <w:tc>
          <w:tcPr>
            <w:tcW w:w="3203" w:type="pct"/>
          </w:tcPr>
          <w:p w:rsidRPr="000D2682" w:rsidR="00292409" w:rsidP="00292409" w:rsidRDefault="00292409" w14:paraId="49550A3C" w14:textId="72B151F6">
            <w:r w:rsidRPr="000D2682">
              <w:t>Projekts šo jomu neskar.</w:t>
            </w:r>
          </w:p>
        </w:tc>
      </w:tr>
      <w:tr w:rsidRPr="000D2682" w:rsidR="00260BD0" w:rsidTr="00BD099B" w14:paraId="031141C8" w14:textId="77777777">
        <w:trPr>
          <w:cantSplit/>
        </w:trPr>
        <w:tc>
          <w:tcPr>
            <w:tcW w:w="310" w:type="pct"/>
          </w:tcPr>
          <w:p w:rsidRPr="000D2682" w:rsidR="00260BD0" w:rsidP="00292409" w:rsidRDefault="00260BD0" w14:paraId="783106C9" w14:textId="71C084C0">
            <w:pPr>
              <w:jc w:val="center"/>
            </w:pPr>
            <w:r w:rsidRPr="000D2682">
              <w:t>4.</w:t>
            </w:r>
          </w:p>
        </w:tc>
        <w:tc>
          <w:tcPr>
            <w:tcW w:w="1487" w:type="pct"/>
          </w:tcPr>
          <w:p w:rsidRPr="000D2682" w:rsidR="00260BD0" w:rsidP="00BD099B" w:rsidRDefault="00260BD0" w14:paraId="0BDE462F" w14:textId="2DA34195">
            <w:r w:rsidRPr="000D2682">
              <w:t>Atbilstības izmaksu monetārs novērtējums</w:t>
            </w:r>
          </w:p>
        </w:tc>
        <w:tc>
          <w:tcPr>
            <w:tcW w:w="3203" w:type="pct"/>
          </w:tcPr>
          <w:p w:rsidRPr="000D2682" w:rsidR="00260BD0" w:rsidP="00292409" w:rsidRDefault="00260BD0" w14:paraId="6937219C" w14:textId="4956FE30">
            <w:r w:rsidRPr="000D2682">
              <w:t>Projekts šo jomu neskar.</w:t>
            </w:r>
          </w:p>
        </w:tc>
      </w:tr>
      <w:tr w:rsidRPr="000D2682" w:rsidR="00292409" w:rsidTr="00135AF8" w14:paraId="7DACA5FB" w14:textId="77777777">
        <w:trPr>
          <w:cantSplit/>
        </w:trPr>
        <w:tc>
          <w:tcPr>
            <w:tcW w:w="310" w:type="pct"/>
          </w:tcPr>
          <w:p w:rsidRPr="000D2682" w:rsidR="00292409" w:rsidP="00292409" w:rsidRDefault="00260BD0" w14:paraId="3382B12F" w14:textId="4D36325A">
            <w:pPr>
              <w:jc w:val="center"/>
            </w:pPr>
            <w:r w:rsidRPr="000D2682">
              <w:t>5</w:t>
            </w:r>
            <w:r w:rsidRPr="000D2682" w:rsidR="00292409">
              <w:t>.</w:t>
            </w:r>
          </w:p>
        </w:tc>
        <w:tc>
          <w:tcPr>
            <w:tcW w:w="1487" w:type="pct"/>
          </w:tcPr>
          <w:p w:rsidRPr="000D2682" w:rsidR="00292409" w:rsidP="00135AF8" w:rsidRDefault="00292409" w14:paraId="1B3D63C2" w14:textId="607652A9">
            <w:r w:rsidRPr="000D2682">
              <w:t>Cita informācija</w:t>
            </w:r>
          </w:p>
        </w:tc>
        <w:tc>
          <w:tcPr>
            <w:tcW w:w="3203" w:type="pct"/>
          </w:tcPr>
          <w:p w:rsidRPr="000D2682" w:rsidR="00292409" w:rsidP="00292409" w:rsidRDefault="00292409" w14:paraId="03AC224D" w14:textId="17A24ACC">
            <w:r w:rsidRPr="000D2682">
              <w:t>Nav.</w:t>
            </w:r>
          </w:p>
        </w:tc>
      </w:tr>
    </w:tbl>
    <w:p w:rsidRPr="000D2682" w:rsidR="00BD5588" w:rsidRDefault="00BD5588" w14:paraId="10AFE53B" w14:textId="77777777"/>
    <w:tbl>
      <w:tblPr>
        <w:tblW w:w="5002"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065"/>
      </w:tblGrid>
      <w:tr w:rsidRPr="000D2682" w:rsidR="00BD5588" w:rsidTr="00135AF8" w14:paraId="74ADB6B2" w14:textId="77777777">
        <w:trPr>
          <w:cantSplit/>
        </w:trPr>
        <w:tc>
          <w:tcPr>
            <w:tcW w:w="9065" w:type="dxa"/>
            <w:shd w:val="clear" w:color="auto" w:fill="auto"/>
            <w:vAlign w:val="center"/>
            <w:hideMark/>
          </w:tcPr>
          <w:p w:rsidRPr="000D2682" w:rsidR="00BD5588" w:rsidP="007371D2" w:rsidRDefault="00BD5588" w14:paraId="46F9B551" w14:textId="77777777">
            <w:pPr>
              <w:jc w:val="center"/>
              <w:rPr>
                <w:b/>
                <w:bCs/>
                <w:lang w:eastAsia="en-US"/>
              </w:rPr>
            </w:pPr>
            <w:r w:rsidRPr="000D2682">
              <w:rPr>
                <w:b/>
                <w:bCs/>
                <w:lang w:eastAsia="en-US"/>
              </w:rPr>
              <w:t>III. Tiesību akta projekta ietekme uz valsts budžetu un pašvaldību budžetiem</w:t>
            </w:r>
          </w:p>
        </w:tc>
      </w:tr>
      <w:tr w:rsidRPr="000D2682" w:rsidR="00D55EBA" w:rsidTr="00135AF8" w14:paraId="7EAB5D61" w14:textId="77777777">
        <w:trPr>
          <w:cantSplit/>
        </w:trPr>
        <w:tc>
          <w:tcPr>
            <w:tcW w:w="9065" w:type="dxa"/>
            <w:shd w:val="clear" w:color="auto" w:fill="auto"/>
            <w:vAlign w:val="center"/>
          </w:tcPr>
          <w:p w:rsidRPr="000D2682" w:rsidR="00D55EBA" w:rsidP="007371D2" w:rsidRDefault="00D55EBA" w14:paraId="4746B570" w14:textId="77777777">
            <w:pPr>
              <w:jc w:val="center"/>
              <w:rPr>
                <w:lang w:eastAsia="en-US"/>
              </w:rPr>
            </w:pPr>
            <w:r w:rsidRPr="000D2682">
              <w:rPr>
                <w:lang w:eastAsia="en-US"/>
              </w:rPr>
              <w:t>Projekts šo jomu neskar.</w:t>
            </w:r>
          </w:p>
        </w:tc>
      </w:tr>
    </w:tbl>
    <w:p w:rsidRPr="000D2682" w:rsidR="00135AF8" w:rsidP="00135AF8" w:rsidRDefault="00135AF8" w14:paraId="382457DC" w14:textId="77777777"/>
    <w:tbl>
      <w:tblPr>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59"/>
      </w:tblGrid>
      <w:tr w:rsidRPr="000D2682" w:rsidR="00135AF8" w:rsidTr="00FE7A75" w14:paraId="1ACBD8AD" w14:textId="77777777">
        <w:trPr>
          <w:cantSplit/>
        </w:trPr>
        <w:tc>
          <w:tcPr>
            <w:tcW w:w="9059" w:type="dxa"/>
            <w:vAlign w:val="center"/>
            <w:hideMark/>
          </w:tcPr>
          <w:p w:rsidRPr="000D2682" w:rsidR="00135AF8" w:rsidP="00FE7A75" w:rsidRDefault="00135AF8" w14:paraId="654B74C7" w14:textId="77777777">
            <w:pPr>
              <w:jc w:val="center"/>
              <w:rPr>
                <w:b/>
                <w:bCs/>
              </w:rPr>
            </w:pPr>
            <w:r w:rsidRPr="000D2682">
              <w:rPr>
                <w:b/>
                <w:bCs/>
              </w:rPr>
              <w:t>IV. Tiesību akta projekta ietekme uz spēkā esošo tiesību normu sistēmu</w:t>
            </w:r>
          </w:p>
        </w:tc>
      </w:tr>
      <w:tr w:rsidRPr="000D2682" w:rsidR="00135AF8" w:rsidTr="00FE7A75" w14:paraId="673D391A" w14:textId="77777777">
        <w:trPr>
          <w:cantSplit/>
        </w:trPr>
        <w:tc>
          <w:tcPr>
            <w:tcW w:w="9059" w:type="dxa"/>
            <w:hideMark/>
          </w:tcPr>
          <w:p w:rsidRPr="000D2682" w:rsidR="00135AF8" w:rsidP="00FE7A75" w:rsidRDefault="00135AF8" w14:paraId="19442B48" w14:textId="77777777">
            <w:pPr>
              <w:jc w:val="center"/>
              <w:rPr>
                <w:lang w:eastAsia="en-US"/>
              </w:rPr>
            </w:pPr>
            <w:r w:rsidRPr="000D2682">
              <w:rPr>
                <w:lang w:eastAsia="en-US"/>
              </w:rPr>
              <w:t>Projekts šo jomu neskar.</w:t>
            </w:r>
          </w:p>
        </w:tc>
      </w:tr>
    </w:tbl>
    <w:p w:rsidRPr="000D2682" w:rsidR="00D55EBA" w:rsidRDefault="00D55EBA" w14:paraId="0F2A4E53" w14:textId="77777777"/>
    <w:tbl>
      <w:tblPr>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59"/>
      </w:tblGrid>
      <w:tr w:rsidRPr="000D2682" w:rsidR="00BD5588" w:rsidTr="00135AF8" w14:paraId="031AF49D" w14:textId="77777777">
        <w:trPr>
          <w:cantSplit/>
        </w:trPr>
        <w:tc>
          <w:tcPr>
            <w:tcW w:w="9059" w:type="dxa"/>
            <w:vAlign w:val="center"/>
          </w:tcPr>
          <w:p w:rsidRPr="000D2682" w:rsidR="00BD5588" w:rsidP="007371D2" w:rsidRDefault="00135AF8" w14:paraId="650B71D5" w14:textId="7EFEE72F">
            <w:pPr>
              <w:jc w:val="center"/>
              <w:rPr>
                <w:b/>
                <w:bCs/>
              </w:rPr>
            </w:pPr>
            <w:r w:rsidRPr="000D2682">
              <w:rPr>
                <w:b/>
                <w:bCs/>
              </w:rPr>
              <w:t>V. Tiesību akta projekta atbilstība Latvijas Republikas starptautiskajām saistībām</w:t>
            </w:r>
          </w:p>
        </w:tc>
      </w:tr>
      <w:tr w:rsidRPr="000D2682" w:rsidR="00292409" w:rsidTr="00894DF8" w14:paraId="7CA31514" w14:textId="77777777">
        <w:trPr>
          <w:cantSplit/>
        </w:trPr>
        <w:tc>
          <w:tcPr>
            <w:tcW w:w="9059" w:type="dxa"/>
            <w:hideMark/>
          </w:tcPr>
          <w:p w:rsidRPr="000D2682" w:rsidR="00292409" w:rsidP="00135AF8" w:rsidRDefault="00292409" w14:paraId="27EAFAC5" w14:textId="0FC9BC68">
            <w:pPr>
              <w:jc w:val="center"/>
              <w:rPr>
                <w:lang w:eastAsia="en-US"/>
              </w:rPr>
            </w:pPr>
            <w:r w:rsidRPr="000D2682">
              <w:rPr>
                <w:lang w:eastAsia="en-US"/>
              </w:rPr>
              <w:t>Projekts šo jomu neskar.</w:t>
            </w:r>
          </w:p>
        </w:tc>
      </w:tr>
    </w:tbl>
    <w:tbl>
      <w:tblPr>
        <w:tblpPr w:leftFromText="180" w:rightFromText="180" w:vertAnchor="text" w:horzAnchor="margin" w:tblpY="305"/>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0D2682" w:rsidR="00F96E9A" w:rsidTr="00F96E9A" w14:paraId="77CD1D13" w14:textId="77777777">
        <w:tc>
          <w:tcPr>
            <w:tcW w:w="5000" w:type="pct"/>
            <w:gridSpan w:val="3"/>
            <w:vAlign w:val="center"/>
            <w:hideMark/>
          </w:tcPr>
          <w:p w:rsidRPr="000D2682" w:rsidR="00F96E9A" w:rsidP="00F96E9A" w:rsidRDefault="00F96E9A" w14:paraId="58B0201F" w14:textId="77777777">
            <w:pPr>
              <w:jc w:val="center"/>
              <w:rPr>
                <w:b/>
                <w:bCs/>
              </w:rPr>
            </w:pPr>
            <w:r w:rsidRPr="000D2682">
              <w:rPr>
                <w:b/>
                <w:bCs/>
              </w:rPr>
              <w:t>VI. Sabiedrības līdzdalība un komunikācijas aktivitātes</w:t>
            </w:r>
          </w:p>
        </w:tc>
      </w:tr>
      <w:tr w:rsidRPr="000D2682" w:rsidR="00F96E9A" w:rsidTr="00F96E9A" w14:paraId="11DDDC01" w14:textId="77777777">
        <w:tc>
          <w:tcPr>
            <w:tcW w:w="311" w:type="pct"/>
            <w:hideMark/>
          </w:tcPr>
          <w:p w:rsidRPr="000D2682" w:rsidR="00F96E9A" w:rsidP="00F96E9A" w:rsidRDefault="00F96E9A" w14:paraId="12E15D9D" w14:textId="77777777">
            <w:pPr>
              <w:jc w:val="center"/>
            </w:pPr>
            <w:r w:rsidRPr="000D2682">
              <w:t>1.</w:t>
            </w:r>
          </w:p>
        </w:tc>
        <w:tc>
          <w:tcPr>
            <w:tcW w:w="1479" w:type="pct"/>
            <w:hideMark/>
          </w:tcPr>
          <w:p w:rsidRPr="000D2682" w:rsidR="00F96E9A" w:rsidP="00F96E9A" w:rsidRDefault="00F96E9A" w14:paraId="6AD0FF50" w14:textId="77777777">
            <w:r w:rsidRPr="000D2682">
              <w:t>Plānotās sabiedrības līdzdalības un komunikācijas aktivitātes saistībā ar projektu</w:t>
            </w:r>
          </w:p>
        </w:tc>
        <w:tc>
          <w:tcPr>
            <w:tcW w:w="3210" w:type="pct"/>
            <w:hideMark/>
          </w:tcPr>
          <w:p w:rsidRPr="000D2682" w:rsidR="00EA22E5" w:rsidP="00EA22E5" w:rsidRDefault="001A565B" w14:paraId="6EDF9180" w14:textId="6B23EE53">
            <w:pPr>
              <w:jc w:val="both"/>
            </w:pPr>
            <w:r>
              <w:t>Sabiedrības līdzdalība nav plānota, jo projektā ietvertais tiesiskais regulējums sabiedrību kopumā neietekmēs.</w:t>
            </w:r>
          </w:p>
        </w:tc>
      </w:tr>
      <w:tr w:rsidRPr="000D2682" w:rsidR="00F96E9A" w:rsidTr="00F96E9A" w14:paraId="4829C654" w14:textId="77777777">
        <w:tc>
          <w:tcPr>
            <w:tcW w:w="311" w:type="pct"/>
            <w:hideMark/>
          </w:tcPr>
          <w:p w:rsidRPr="000D2682" w:rsidR="00F96E9A" w:rsidP="00F96E9A" w:rsidRDefault="00F96E9A" w14:paraId="074DD9A0" w14:textId="77777777">
            <w:pPr>
              <w:jc w:val="center"/>
            </w:pPr>
            <w:r w:rsidRPr="000D2682">
              <w:t>2.</w:t>
            </w:r>
          </w:p>
        </w:tc>
        <w:tc>
          <w:tcPr>
            <w:tcW w:w="1479" w:type="pct"/>
            <w:hideMark/>
          </w:tcPr>
          <w:p w:rsidRPr="000D2682" w:rsidR="00F96E9A" w:rsidP="00F96E9A" w:rsidRDefault="00F96E9A" w14:paraId="50A278A2" w14:textId="77777777">
            <w:r w:rsidRPr="000D2682">
              <w:t>Sabiedrības līdzdalība projekta izstrādē</w:t>
            </w:r>
          </w:p>
        </w:tc>
        <w:tc>
          <w:tcPr>
            <w:tcW w:w="3210" w:type="pct"/>
            <w:hideMark/>
          </w:tcPr>
          <w:p w:rsidRPr="000D2682" w:rsidR="00F96E9A" w:rsidP="0075148B" w:rsidRDefault="00FE1F43" w14:paraId="03FAD0D2" w14:textId="02F0788E">
            <w:pPr>
              <w:jc w:val="both"/>
            </w:pPr>
            <w:r>
              <w:t>Projekts šo jomu neskar</w:t>
            </w:r>
          </w:p>
        </w:tc>
      </w:tr>
      <w:tr w:rsidRPr="000D2682" w:rsidR="00F96E9A" w:rsidTr="00F96E9A" w14:paraId="360914D1" w14:textId="77777777">
        <w:tc>
          <w:tcPr>
            <w:tcW w:w="311" w:type="pct"/>
            <w:hideMark/>
          </w:tcPr>
          <w:p w:rsidRPr="000D2682" w:rsidR="00F96E9A" w:rsidP="00F96E9A" w:rsidRDefault="00F96E9A" w14:paraId="05AA6DA5" w14:textId="77777777">
            <w:pPr>
              <w:jc w:val="center"/>
            </w:pPr>
            <w:r w:rsidRPr="000D2682">
              <w:lastRenderedPageBreak/>
              <w:t>3.</w:t>
            </w:r>
          </w:p>
        </w:tc>
        <w:tc>
          <w:tcPr>
            <w:tcW w:w="1479" w:type="pct"/>
            <w:hideMark/>
          </w:tcPr>
          <w:p w:rsidRPr="000D2682" w:rsidR="00F96E9A" w:rsidP="00F96E9A" w:rsidRDefault="00F96E9A" w14:paraId="763D0058" w14:textId="77777777">
            <w:r w:rsidRPr="000D2682">
              <w:t>Sabiedrības līdzdalības rezultāti</w:t>
            </w:r>
          </w:p>
        </w:tc>
        <w:tc>
          <w:tcPr>
            <w:tcW w:w="3210" w:type="pct"/>
            <w:hideMark/>
          </w:tcPr>
          <w:p w:rsidRPr="000D2682" w:rsidR="00F96E9A" w:rsidP="0075148B" w:rsidRDefault="00FE1F43" w14:paraId="1D433305" w14:textId="1DBFDFC1">
            <w:pPr>
              <w:jc w:val="both"/>
            </w:pPr>
            <w:r>
              <w:t>Projekts šo jomu neskar</w:t>
            </w:r>
          </w:p>
        </w:tc>
      </w:tr>
      <w:tr w:rsidRPr="000D2682" w:rsidR="00F96E9A" w:rsidTr="00F96E9A" w14:paraId="7BA6A38D" w14:textId="77777777">
        <w:tc>
          <w:tcPr>
            <w:tcW w:w="311" w:type="pct"/>
            <w:hideMark/>
          </w:tcPr>
          <w:p w:rsidRPr="000D2682" w:rsidR="00F96E9A" w:rsidP="00F96E9A" w:rsidRDefault="00F96E9A" w14:paraId="15707324" w14:textId="77777777">
            <w:pPr>
              <w:jc w:val="center"/>
            </w:pPr>
            <w:r w:rsidRPr="000D2682">
              <w:t>4.</w:t>
            </w:r>
          </w:p>
        </w:tc>
        <w:tc>
          <w:tcPr>
            <w:tcW w:w="1479" w:type="pct"/>
            <w:hideMark/>
          </w:tcPr>
          <w:p w:rsidRPr="000D2682" w:rsidR="00F96E9A" w:rsidP="00F96E9A" w:rsidRDefault="00F96E9A" w14:paraId="15FDDE0F" w14:textId="77777777">
            <w:r w:rsidRPr="000D2682">
              <w:t>Cita informācija</w:t>
            </w:r>
          </w:p>
        </w:tc>
        <w:tc>
          <w:tcPr>
            <w:tcW w:w="3210" w:type="pct"/>
            <w:hideMark/>
          </w:tcPr>
          <w:p w:rsidRPr="000D2682" w:rsidR="00F96E9A" w:rsidP="00F96E9A" w:rsidRDefault="00F96E9A" w14:paraId="473C9ED8" w14:textId="72E81991">
            <w:r w:rsidRPr="000D2682">
              <w:t>Nav</w:t>
            </w:r>
            <w:r w:rsidRPr="000D2682" w:rsidR="00FC1728">
              <w:t>.</w:t>
            </w:r>
          </w:p>
        </w:tc>
      </w:tr>
    </w:tbl>
    <w:p w:rsidRPr="000D2682" w:rsidR="00135AF8" w:rsidRDefault="00135AF8" w14:paraId="4CD11ABC" w14:textId="40DE30E7"/>
    <w:p w:rsidRPr="000D2682" w:rsidR="003F1E88" w:rsidRDefault="003F1E88" w14:paraId="6885E93D" w14:textId="7451C7DC"/>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3"/>
        <w:gridCol w:w="2976"/>
        <w:gridCol w:w="5522"/>
      </w:tblGrid>
      <w:tr w:rsidRPr="000D2682" w:rsidR="00BD5588" w:rsidTr="003B594B" w14:paraId="46683A06" w14:textId="77777777">
        <w:tc>
          <w:tcPr>
            <w:tcW w:w="5000" w:type="pct"/>
            <w:gridSpan w:val="3"/>
            <w:vAlign w:val="center"/>
            <w:hideMark/>
          </w:tcPr>
          <w:p w:rsidRPr="000D2682" w:rsidR="00BD5588" w:rsidP="007371D2" w:rsidRDefault="00BD5588" w14:paraId="0216F957" w14:textId="77777777">
            <w:pPr>
              <w:jc w:val="center"/>
              <w:rPr>
                <w:b/>
                <w:bCs/>
              </w:rPr>
            </w:pPr>
            <w:r w:rsidRPr="000D2682">
              <w:rPr>
                <w:b/>
                <w:bCs/>
              </w:rPr>
              <w:t>VII. Tiesību akta projekta izpildes nodrošināšana un tās ietekme uz institūcijām</w:t>
            </w:r>
          </w:p>
        </w:tc>
      </w:tr>
      <w:tr w:rsidRPr="000D2682" w:rsidR="00BD5588" w:rsidTr="003F1E88" w14:paraId="49B5CE77" w14:textId="77777777">
        <w:tc>
          <w:tcPr>
            <w:tcW w:w="311" w:type="pct"/>
            <w:hideMark/>
          </w:tcPr>
          <w:p w:rsidRPr="000D2682" w:rsidR="00BD5588" w:rsidP="007371D2" w:rsidRDefault="00BD5588" w14:paraId="2786D399" w14:textId="77777777">
            <w:pPr>
              <w:jc w:val="center"/>
            </w:pPr>
            <w:r w:rsidRPr="000D2682">
              <w:t>1.</w:t>
            </w:r>
          </w:p>
        </w:tc>
        <w:tc>
          <w:tcPr>
            <w:tcW w:w="1642" w:type="pct"/>
            <w:hideMark/>
          </w:tcPr>
          <w:p w:rsidRPr="000D2682" w:rsidR="00BD5588" w:rsidP="007371D2" w:rsidRDefault="00BD5588" w14:paraId="7A704FC6" w14:textId="77777777">
            <w:r w:rsidRPr="000D2682">
              <w:t>Projekta izpildē iesaistītās institūcijas</w:t>
            </w:r>
          </w:p>
        </w:tc>
        <w:tc>
          <w:tcPr>
            <w:tcW w:w="3047" w:type="pct"/>
            <w:hideMark/>
          </w:tcPr>
          <w:p w:rsidRPr="000D2682" w:rsidR="00203039" w:rsidP="008404FB" w:rsidRDefault="00203039" w14:paraId="41B14BCD" w14:textId="42CA9406">
            <w:pPr>
              <w:jc w:val="both"/>
            </w:pPr>
            <w:r w:rsidRPr="000D2682">
              <w:t xml:space="preserve">Tieslietu </w:t>
            </w:r>
            <w:r w:rsidRPr="009E6AD7">
              <w:t>ministrija</w:t>
            </w:r>
            <w:r w:rsidRPr="009E6AD7" w:rsidR="00C423AE">
              <w:t xml:space="preserve"> (Ieslodzījumu vietu pārvalde, Valsts probācijas dienests</w:t>
            </w:r>
            <w:r w:rsidRPr="009E6AD7" w:rsidR="008404FB">
              <w:t xml:space="preserve"> Valsts zemes dienests, Tiesu administrācija, Valsts tiesu ekspertīžu birojs), Satversmes tiesa, Augstākā tiesa, Latvijas Republikas Prokuratūra, Latvijas Zvērinātu tiesu izpildītāju padome, Latvijas Zvērinātu advokātu padome, Latvijas Zvērinātu notāru padome</w:t>
            </w:r>
            <w:proofErr w:type="gramStart"/>
            <w:r w:rsidRPr="009E6AD7" w:rsidR="008404FB">
              <w:rPr>
                <w:rFonts w:ascii="Calibri" w:hAnsi="Calibri" w:cs="Calibri"/>
                <w:b/>
                <w:bCs/>
                <w:color w:val="000000"/>
              </w:rPr>
              <w:t xml:space="preserve">  </w:t>
            </w:r>
            <w:proofErr w:type="gramEnd"/>
            <w:r w:rsidRPr="009E6AD7" w:rsidR="008404FB">
              <w:t>reliģiskās organizācijas</w:t>
            </w:r>
            <w:r w:rsidRPr="009E6AD7" w:rsidR="00C423AE">
              <w:t>), reliģiskās organizācijas</w:t>
            </w:r>
            <w:r w:rsidR="00C423AE">
              <w:t xml:space="preserve"> </w:t>
            </w:r>
          </w:p>
        </w:tc>
      </w:tr>
      <w:tr w:rsidRPr="000D2682" w:rsidR="00BD5588" w:rsidTr="003F1E88" w14:paraId="5220F330" w14:textId="77777777">
        <w:tc>
          <w:tcPr>
            <w:tcW w:w="311" w:type="pct"/>
            <w:hideMark/>
          </w:tcPr>
          <w:p w:rsidRPr="000D2682" w:rsidR="00BD5588" w:rsidP="007371D2" w:rsidRDefault="00BD5588" w14:paraId="5EBE80A6" w14:textId="77777777">
            <w:pPr>
              <w:jc w:val="center"/>
            </w:pPr>
            <w:r w:rsidRPr="000D2682">
              <w:t>2.</w:t>
            </w:r>
          </w:p>
        </w:tc>
        <w:tc>
          <w:tcPr>
            <w:tcW w:w="1642" w:type="pct"/>
            <w:hideMark/>
          </w:tcPr>
          <w:p w:rsidRPr="000D2682" w:rsidR="00BD5588" w:rsidP="007371D2" w:rsidRDefault="00BD5588" w14:paraId="4D5A3CD7" w14:textId="77777777">
            <w:r w:rsidRPr="000D2682">
              <w:t>Projekta izpildes ietekme uz pārvaldes funkcijām un institucionālo struktūru.</w:t>
            </w:r>
            <w:r w:rsidRPr="000D2682">
              <w:br/>
              <w:t>Jaunu institūciju izveide, esošu institūciju likvidācija vai reorganizācija, to ietekme uz institūcijas cilvēkresursiem</w:t>
            </w:r>
          </w:p>
        </w:tc>
        <w:tc>
          <w:tcPr>
            <w:tcW w:w="3047" w:type="pct"/>
            <w:hideMark/>
          </w:tcPr>
          <w:p w:rsidRPr="000D2682" w:rsidR="00203039" w:rsidP="00496F4F" w:rsidRDefault="008C26BD" w14:paraId="75978D9F" w14:textId="650FD818">
            <w:pPr>
              <w:jc w:val="both"/>
            </w:pPr>
            <w:r>
              <w:rPr>
                <w:rFonts w:eastAsia="Calibri"/>
              </w:rPr>
              <w:t>Projekts neparedz jaunu institūciju veidošanu, kā arī neparedz esošo institūciju funkciju paplašināšanu. Ar noteikumu projektu noteiktā funkcija tiks īstenota esošo cilvēkresursu ietvaros.</w:t>
            </w:r>
          </w:p>
        </w:tc>
      </w:tr>
      <w:tr w:rsidRPr="00C74635" w:rsidR="00BD5588" w:rsidTr="003F1E88" w14:paraId="57122E9E" w14:textId="77777777">
        <w:tc>
          <w:tcPr>
            <w:tcW w:w="311" w:type="pct"/>
            <w:hideMark/>
          </w:tcPr>
          <w:p w:rsidRPr="000D2682" w:rsidR="00BD5588" w:rsidP="007371D2" w:rsidRDefault="00BD5588" w14:paraId="551E5DF7" w14:textId="77777777">
            <w:pPr>
              <w:jc w:val="center"/>
            </w:pPr>
            <w:r w:rsidRPr="000D2682">
              <w:t>3.</w:t>
            </w:r>
          </w:p>
        </w:tc>
        <w:tc>
          <w:tcPr>
            <w:tcW w:w="1642" w:type="pct"/>
            <w:hideMark/>
          </w:tcPr>
          <w:p w:rsidRPr="000D2682" w:rsidR="00BD5588" w:rsidP="007371D2" w:rsidRDefault="00BD5588" w14:paraId="0907AB4B" w14:textId="77777777">
            <w:r w:rsidRPr="000D2682">
              <w:t>Cita informācija</w:t>
            </w:r>
          </w:p>
        </w:tc>
        <w:tc>
          <w:tcPr>
            <w:tcW w:w="3047" w:type="pct"/>
            <w:hideMark/>
          </w:tcPr>
          <w:p w:rsidRPr="00C74635" w:rsidR="00BD5588" w:rsidP="00DD1832" w:rsidRDefault="00C74635" w14:paraId="06431891" w14:textId="4C163392">
            <w:pPr>
              <w:jc w:val="both"/>
            </w:pPr>
            <w:r w:rsidRPr="00C74635">
              <w:t>Nav</w:t>
            </w:r>
          </w:p>
        </w:tc>
      </w:tr>
    </w:tbl>
    <w:p w:rsidRPr="000D2682" w:rsidR="00E44472" w:rsidRDefault="00E44472" w14:paraId="6F934939" w14:textId="77777777"/>
    <w:p w:rsidR="00D33D06" w:rsidP="00D33D06" w:rsidRDefault="00D33D06" w14:paraId="6DEC24E3" w14:textId="77777777">
      <w:pPr>
        <w:pStyle w:val="StyleRight"/>
        <w:spacing w:after="0"/>
        <w:ind w:firstLine="0"/>
        <w:jc w:val="both"/>
        <w:rPr>
          <w:sz w:val="24"/>
          <w:szCs w:val="24"/>
        </w:rPr>
      </w:pPr>
      <w:bookmarkStart w:name="_Hlk25760399" w:id="1"/>
      <w:r>
        <w:rPr>
          <w:sz w:val="24"/>
          <w:szCs w:val="24"/>
        </w:rPr>
        <w:t>Iesniedzējs:</w:t>
      </w:r>
    </w:p>
    <w:p w:rsidR="00D33D06" w:rsidP="00D33D06" w:rsidRDefault="00D33D06" w14:paraId="17501320" w14:textId="77777777">
      <w:r>
        <w:t xml:space="preserve">Ministru prezidenta biedrs, </w:t>
      </w:r>
    </w:p>
    <w:p w:rsidR="00D33D06" w:rsidP="00D33D06" w:rsidRDefault="00D33D06" w14:paraId="75FA736F" w14:textId="77777777">
      <w:r>
        <w:t>tieslietu ministrs</w:t>
      </w:r>
      <w:r>
        <w:tab/>
      </w:r>
      <w:r>
        <w:tab/>
      </w:r>
      <w:r>
        <w:tab/>
      </w:r>
      <w:r>
        <w:tab/>
      </w:r>
      <w:r>
        <w:tab/>
      </w:r>
      <w:r>
        <w:tab/>
      </w:r>
      <w:r>
        <w:tab/>
      </w:r>
      <w:r>
        <w:tab/>
        <w:t>Jānis Bordāns</w:t>
      </w:r>
    </w:p>
    <w:p w:rsidR="00D33D06" w:rsidP="00D33D06" w:rsidRDefault="00D33D06" w14:paraId="242B6E19" w14:textId="77777777"/>
    <w:p w:rsidRPr="000D2682" w:rsidR="00496F4F" w:rsidP="00496F4F" w:rsidRDefault="00496F4F" w14:paraId="393428E8" w14:textId="77777777">
      <w:pPr>
        <w:pStyle w:val="StyleRight"/>
        <w:spacing w:after="0"/>
        <w:ind w:firstLine="0"/>
        <w:jc w:val="both"/>
        <w:rPr>
          <w:sz w:val="22"/>
          <w:szCs w:val="22"/>
        </w:rPr>
      </w:pPr>
    </w:p>
    <w:p w:rsidRPr="000D2682" w:rsidR="00496F4F" w:rsidP="00496F4F" w:rsidRDefault="00A25FA7" w14:paraId="211228D2" w14:textId="7C8DF480">
      <w:pPr>
        <w:rPr>
          <w:sz w:val="22"/>
          <w:szCs w:val="22"/>
        </w:rPr>
      </w:pPr>
      <w:r>
        <w:t>Rēķis</w:t>
      </w:r>
      <w:r w:rsidRPr="000D2682" w:rsidR="00524B1D">
        <w:t xml:space="preserve"> </w:t>
      </w:r>
      <w:r>
        <w:t>67036806</w:t>
      </w:r>
    </w:p>
    <w:p w:rsidRPr="000D2682" w:rsidR="00203039" w:rsidRDefault="00A25FA7" w14:paraId="41414247" w14:textId="4BAE733A">
      <w:r>
        <w:t>Eriks.Rekis</w:t>
      </w:r>
      <w:r w:rsidRPr="000D2682" w:rsidR="00496F4F">
        <w:t>@tm.gov.lv</w:t>
      </w:r>
      <w:bookmarkEnd w:id="1"/>
    </w:p>
    <w:sectPr w:rsidRPr="000D2682" w:rsidR="00203039" w:rsidSect="002B7CC1">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2530" w14:textId="77777777" w:rsidR="003E18C8" w:rsidRDefault="003E18C8" w:rsidP="002B7CC1">
      <w:r>
        <w:separator/>
      </w:r>
    </w:p>
  </w:endnote>
  <w:endnote w:type="continuationSeparator" w:id="0">
    <w:p w14:paraId="644BC905" w14:textId="77777777" w:rsidR="003E18C8" w:rsidRDefault="003E18C8" w:rsidP="002B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8A19" w14:textId="26B1808F" w:rsidR="002B7CC1" w:rsidRPr="002B7CC1" w:rsidRDefault="005A7684">
    <w:pPr>
      <w:pStyle w:val="Kjene"/>
      <w:rPr>
        <w:sz w:val="20"/>
        <w:szCs w:val="20"/>
      </w:rPr>
    </w:pPr>
    <w:r w:rsidRPr="002B7CC1">
      <w:rPr>
        <w:sz w:val="20"/>
        <w:szCs w:val="20"/>
      </w:rPr>
      <w:t>TMAnot_</w:t>
    </w:r>
    <w:r>
      <w:rPr>
        <w:sz w:val="20"/>
        <w:szCs w:val="20"/>
      </w:rPr>
      <w:t>2</w:t>
    </w:r>
    <w:r w:rsidR="00C74635">
      <w:rPr>
        <w:sz w:val="20"/>
        <w:szCs w:val="20"/>
      </w:rPr>
      <w:t>304</w:t>
    </w:r>
    <w:r>
      <w:rPr>
        <w:sz w:val="20"/>
        <w:szCs w:val="20"/>
      </w:rPr>
      <w:t>21</w:t>
    </w:r>
    <w:r w:rsidRPr="002B7CC1">
      <w:rPr>
        <w:sz w:val="20"/>
        <w:szCs w:val="20"/>
      </w:rPr>
      <w:t>_</w:t>
    </w:r>
    <w:r w:rsidR="00C74635">
      <w:rPr>
        <w:sz w:val="20"/>
        <w:szCs w:val="20"/>
      </w:rPr>
      <w:t>prioritarasgrupas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AE3" w14:textId="2E8356D0" w:rsidR="002B7CC1" w:rsidRPr="00C74635" w:rsidRDefault="00C74635" w:rsidP="00C74635">
    <w:pPr>
      <w:pStyle w:val="Kjene"/>
      <w:rPr>
        <w:sz w:val="20"/>
        <w:szCs w:val="20"/>
      </w:rPr>
    </w:pPr>
    <w:r w:rsidRPr="002B7CC1">
      <w:rPr>
        <w:sz w:val="20"/>
        <w:szCs w:val="20"/>
      </w:rPr>
      <w:t>TMAnot_</w:t>
    </w:r>
    <w:r>
      <w:rPr>
        <w:sz w:val="20"/>
        <w:szCs w:val="20"/>
      </w:rPr>
      <w:t>230421</w:t>
    </w:r>
    <w:r w:rsidRPr="002B7CC1">
      <w:rPr>
        <w:sz w:val="20"/>
        <w:szCs w:val="20"/>
      </w:rPr>
      <w:t>_</w:t>
    </w:r>
    <w:r>
      <w:rPr>
        <w:sz w:val="20"/>
        <w:szCs w:val="20"/>
      </w:rPr>
      <w:t>prioritarasgrupas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073B" w14:textId="77777777" w:rsidR="003E18C8" w:rsidRDefault="003E18C8" w:rsidP="002B7CC1">
      <w:r>
        <w:separator/>
      </w:r>
    </w:p>
  </w:footnote>
  <w:footnote w:type="continuationSeparator" w:id="0">
    <w:p w14:paraId="3E17D4B1" w14:textId="77777777" w:rsidR="003E18C8" w:rsidRDefault="003E18C8" w:rsidP="002B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50341"/>
      <w:docPartObj>
        <w:docPartGallery w:val="Page Numbers (Top of Page)"/>
        <w:docPartUnique/>
      </w:docPartObj>
    </w:sdtPr>
    <w:sdtEndPr/>
    <w:sdtContent>
      <w:p w:rsidR="002B7CC1" w:rsidRDefault="002B7CC1" w14:paraId="38AD9812" w14:textId="4FDB4123">
        <w:pPr>
          <w:pStyle w:val="Galvene"/>
          <w:jc w:val="center"/>
        </w:pPr>
        <w:r>
          <w:fldChar w:fldCharType="begin"/>
        </w:r>
        <w:r>
          <w:instrText>PAGE   \* MERGEFORMAT</w:instrText>
        </w:r>
        <w:r>
          <w:fldChar w:fldCharType="separate"/>
        </w:r>
        <w:r>
          <w:t>2</w:t>
        </w:r>
        <w:r>
          <w:fldChar w:fldCharType="end"/>
        </w:r>
      </w:p>
    </w:sdtContent>
  </w:sdt>
  <w:p w:rsidR="002B7CC1" w:rsidRDefault="002B7CC1" w14:paraId="75B688C4"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1231"/>
    <w:multiLevelType w:val="hybridMultilevel"/>
    <w:tmpl w:val="5F0822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6AB3"/>
    <w:rsid w:val="000157C3"/>
    <w:rsid w:val="00017942"/>
    <w:rsid w:val="000269F2"/>
    <w:rsid w:val="00031D76"/>
    <w:rsid w:val="000331A9"/>
    <w:rsid w:val="00036198"/>
    <w:rsid w:val="000566B3"/>
    <w:rsid w:val="00065192"/>
    <w:rsid w:val="00081466"/>
    <w:rsid w:val="0008372F"/>
    <w:rsid w:val="00087833"/>
    <w:rsid w:val="000B14A2"/>
    <w:rsid w:val="000B6FEE"/>
    <w:rsid w:val="000D0214"/>
    <w:rsid w:val="000D2682"/>
    <w:rsid w:val="00101CC7"/>
    <w:rsid w:val="00110077"/>
    <w:rsid w:val="001144D8"/>
    <w:rsid w:val="00135AF8"/>
    <w:rsid w:val="00170382"/>
    <w:rsid w:val="0018503C"/>
    <w:rsid w:val="001A565B"/>
    <w:rsid w:val="001D32BD"/>
    <w:rsid w:val="001D5CDA"/>
    <w:rsid w:val="00203039"/>
    <w:rsid w:val="00242967"/>
    <w:rsid w:val="00260BD0"/>
    <w:rsid w:val="00277A24"/>
    <w:rsid w:val="00291EDB"/>
    <w:rsid w:val="00292409"/>
    <w:rsid w:val="002A6A32"/>
    <w:rsid w:val="002B7CC1"/>
    <w:rsid w:val="002C493F"/>
    <w:rsid w:val="002D249A"/>
    <w:rsid w:val="002D3F19"/>
    <w:rsid w:val="00301406"/>
    <w:rsid w:val="00301A2D"/>
    <w:rsid w:val="00307C93"/>
    <w:rsid w:val="003100D5"/>
    <w:rsid w:val="003144EC"/>
    <w:rsid w:val="00314D77"/>
    <w:rsid w:val="00325C09"/>
    <w:rsid w:val="0033114F"/>
    <w:rsid w:val="00377BBA"/>
    <w:rsid w:val="003A3D37"/>
    <w:rsid w:val="003B0F99"/>
    <w:rsid w:val="003B594B"/>
    <w:rsid w:val="003E18C8"/>
    <w:rsid w:val="003F1E88"/>
    <w:rsid w:val="00412720"/>
    <w:rsid w:val="00415BE7"/>
    <w:rsid w:val="00423239"/>
    <w:rsid w:val="00440AB8"/>
    <w:rsid w:val="00442A8A"/>
    <w:rsid w:val="004629A0"/>
    <w:rsid w:val="00484DD7"/>
    <w:rsid w:val="00485751"/>
    <w:rsid w:val="00486FD7"/>
    <w:rsid w:val="00493C20"/>
    <w:rsid w:val="00496F4F"/>
    <w:rsid w:val="00497E0D"/>
    <w:rsid w:val="004D1D50"/>
    <w:rsid w:val="004D3484"/>
    <w:rsid w:val="004D5044"/>
    <w:rsid w:val="004E278E"/>
    <w:rsid w:val="00502A15"/>
    <w:rsid w:val="00512C7A"/>
    <w:rsid w:val="00524B1D"/>
    <w:rsid w:val="005321AA"/>
    <w:rsid w:val="005633AE"/>
    <w:rsid w:val="005920B1"/>
    <w:rsid w:val="00595931"/>
    <w:rsid w:val="005A0BA6"/>
    <w:rsid w:val="005A7684"/>
    <w:rsid w:val="00611965"/>
    <w:rsid w:val="00624125"/>
    <w:rsid w:val="0069062F"/>
    <w:rsid w:val="0069695B"/>
    <w:rsid w:val="006C3887"/>
    <w:rsid w:val="006C3BD7"/>
    <w:rsid w:val="00712CA2"/>
    <w:rsid w:val="00731112"/>
    <w:rsid w:val="00736702"/>
    <w:rsid w:val="007371D2"/>
    <w:rsid w:val="0075148B"/>
    <w:rsid w:val="0076444E"/>
    <w:rsid w:val="00770855"/>
    <w:rsid w:val="007732C6"/>
    <w:rsid w:val="0079481D"/>
    <w:rsid w:val="007C16DA"/>
    <w:rsid w:val="007D09DF"/>
    <w:rsid w:val="007D771C"/>
    <w:rsid w:val="007E51BE"/>
    <w:rsid w:val="007F07F4"/>
    <w:rsid w:val="0080614B"/>
    <w:rsid w:val="00810B6B"/>
    <w:rsid w:val="008404FB"/>
    <w:rsid w:val="008479FE"/>
    <w:rsid w:val="00850C02"/>
    <w:rsid w:val="00861AFD"/>
    <w:rsid w:val="00887BF0"/>
    <w:rsid w:val="00895F98"/>
    <w:rsid w:val="008C26BD"/>
    <w:rsid w:val="008D3775"/>
    <w:rsid w:val="008E288E"/>
    <w:rsid w:val="008E79B7"/>
    <w:rsid w:val="008F31BD"/>
    <w:rsid w:val="008F3611"/>
    <w:rsid w:val="009108E3"/>
    <w:rsid w:val="009316A5"/>
    <w:rsid w:val="0093250B"/>
    <w:rsid w:val="00935864"/>
    <w:rsid w:val="009532AA"/>
    <w:rsid w:val="00982D0A"/>
    <w:rsid w:val="009C195A"/>
    <w:rsid w:val="009E6AD7"/>
    <w:rsid w:val="00A034EC"/>
    <w:rsid w:val="00A05C37"/>
    <w:rsid w:val="00A070D3"/>
    <w:rsid w:val="00A25FA7"/>
    <w:rsid w:val="00A269C0"/>
    <w:rsid w:val="00A36B74"/>
    <w:rsid w:val="00A4137D"/>
    <w:rsid w:val="00A56E21"/>
    <w:rsid w:val="00A83476"/>
    <w:rsid w:val="00A83F88"/>
    <w:rsid w:val="00A86728"/>
    <w:rsid w:val="00AE620E"/>
    <w:rsid w:val="00B0683F"/>
    <w:rsid w:val="00B42741"/>
    <w:rsid w:val="00B63003"/>
    <w:rsid w:val="00B67463"/>
    <w:rsid w:val="00B72611"/>
    <w:rsid w:val="00B77354"/>
    <w:rsid w:val="00B94112"/>
    <w:rsid w:val="00BB3459"/>
    <w:rsid w:val="00BC1648"/>
    <w:rsid w:val="00BD099B"/>
    <w:rsid w:val="00BD5588"/>
    <w:rsid w:val="00BE0653"/>
    <w:rsid w:val="00C05599"/>
    <w:rsid w:val="00C24A18"/>
    <w:rsid w:val="00C423AE"/>
    <w:rsid w:val="00C50459"/>
    <w:rsid w:val="00C55371"/>
    <w:rsid w:val="00C64E35"/>
    <w:rsid w:val="00C70D45"/>
    <w:rsid w:val="00C74635"/>
    <w:rsid w:val="00C93276"/>
    <w:rsid w:val="00CB5FC3"/>
    <w:rsid w:val="00CC2662"/>
    <w:rsid w:val="00CC5D94"/>
    <w:rsid w:val="00CD4161"/>
    <w:rsid w:val="00CE3510"/>
    <w:rsid w:val="00D17EAB"/>
    <w:rsid w:val="00D33D06"/>
    <w:rsid w:val="00D55EBA"/>
    <w:rsid w:val="00DB6389"/>
    <w:rsid w:val="00DC604B"/>
    <w:rsid w:val="00DD1832"/>
    <w:rsid w:val="00DD18AA"/>
    <w:rsid w:val="00DD6B9F"/>
    <w:rsid w:val="00DD7056"/>
    <w:rsid w:val="00DE1FA3"/>
    <w:rsid w:val="00DF3A67"/>
    <w:rsid w:val="00E00A92"/>
    <w:rsid w:val="00E12D1D"/>
    <w:rsid w:val="00E13F83"/>
    <w:rsid w:val="00E26EE9"/>
    <w:rsid w:val="00E44472"/>
    <w:rsid w:val="00E622B9"/>
    <w:rsid w:val="00E769A1"/>
    <w:rsid w:val="00E8256E"/>
    <w:rsid w:val="00E94793"/>
    <w:rsid w:val="00EA22E5"/>
    <w:rsid w:val="00EE64E9"/>
    <w:rsid w:val="00EE78FD"/>
    <w:rsid w:val="00F37E4D"/>
    <w:rsid w:val="00F53536"/>
    <w:rsid w:val="00F93117"/>
    <w:rsid w:val="00F95A9D"/>
    <w:rsid w:val="00F96E9A"/>
    <w:rsid w:val="00FB493C"/>
    <w:rsid w:val="00FC1728"/>
    <w:rsid w:val="00FC700D"/>
    <w:rsid w:val="00FE1F43"/>
    <w:rsid w:val="00FE4BD3"/>
    <w:rsid w:val="00FF5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304B"/>
  <w15:docId w15:val="{5C300299-F573-4B1C-AF4D-78897169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paragraph" w:customStyle="1" w:styleId="StyleRight">
    <w:name w:val="Style Right"/>
    <w:basedOn w:val="Parasts"/>
    <w:rsid w:val="00496F4F"/>
    <w:pPr>
      <w:spacing w:after="120"/>
      <w:ind w:firstLine="720"/>
      <w:jc w:val="right"/>
    </w:pPr>
    <w:rPr>
      <w:sz w:val="28"/>
      <w:szCs w:val="28"/>
      <w:lang w:eastAsia="en-US"/>
    </w:rPr>
  </w:style>
  <w:style w:type="paragraph" w:styleId="Balonteksts">
    <w:name w:val="Balloon Text"/>
    <w:basedOn w:val="Parasts"/>
    <w:link w:val="BalontekstsRakstz"/>
    <w:uiPriority w:val="99"/>
    <w:semiHidden/>
    <w:unhideWhenUsed/>
    <w:rsid w:val="001144D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44D8"/>
    <w:rPr>
      <w:rFonts w:ascii="Segoe UI" w:eastAsia="Times New Roman" w:hAnsi="Segoe UI" w:cs="Segoe UI"/>
      <w:sz w:val="18"/>
      <w:szCs w:val="18"/>
      <w:lang w:eastAsia="lv-LV"/>
    </w:rPr>
  </w:style>
  <w:style w:type="character" w:customStyle="1" w:styleId="t35">
    <w:name w:val="t35"/>
    <w:basedOn w:val="Noklusjumarindkopasfonts"/>
    <w:rsid w:val="00887BF0"/>
  </w:style>
  <w:style w:type="paragraph" w:styleId="Galvene">
    <w:name w:val="header"/>
    <w:basedOn w:val="Parasts"/>
    <w:link w:val="GalveneRakstz"/>
    <w:uiPriority w:val="99"/>
    <w:unhideWhenUsed/>
    <w:rsid w:val="002B7CC1"/>
    <w:pPr>
      <w:tabs>
        <w:tab w:val="center" w:pos="4153"/>
        <w:tab w:val="right" w:pos="8306"/>
      </w:tabs>
    </w:pPr>
  </w:style>
  <w:style w:type="character" w:customStyle="1" w:styleId="GalveneRakstz">
    <w:name w:val="Galvene Rakstz."/>
    <w:basedOn w:val="Noklusjumarindkopasfonts"/>
    <w:link w:val="Galvene"/>
    <w:uiPriority w:val="99"/>
    <w:rsid w:val="002B7CC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2B7CC1"/>
    <w:pPr>
      <w:tabs>
        <w:tab w:val="center" w:pos="4153"/>
        <w:tab w:val="right" w:pos="8306"/>
      </w:tabs>
    </w:pPr>
  </w:style>
  <w:style w:type="character" w:customStyle="1" w:styleId="KjeneRakstz">
    <w:name w:val="Kājene Rakstz."/>
    <w:basedOn w:val="Noklusjumarindkopasfonts"/>
    <w:link w:val="Kjene"/>
    <w:uiPriority w:val="99"/>
    <w:rsid w:val="002B7CC1"/>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36702"/>
    <w:rPr>
      <w:sz w:val="16"/>
      <w:szCs w:val="16"/>
    </w:rPr>
  </w:style>
  <w:style w:type="paragraph" w:styleId="Komentrateksts">
    <w:name w:val="annotation text"/>
    <w:basedOn w:val="Parasts"/>
    <w:link w:val="KomentratekstsRakstz"/>
    <w:uiPriority w:val="99"/>
    <w:semiHidden/>
    <w:unhideWhenUsed/>
    <w:rsid w:val="00736702"/>
    <w:rPr>
      <w:sz w:val="20"/>
      <w:szCs w:val="20"/>
    </w:rPr>
  </w:style>
  <w:style w:type="character" w:customStyle="1" w:styleId="KomentratekstsRakstz">
    <w:name w:val="Komentāra teksts Rakstz."/>
    <w:basedOn w:val="Noklusjumarindkopasfonts"/>
    <w:link w:val="Komentrateksts"/>
    <w:uiPriority w:val="99"/>
    <w:semiHidden/>
    <w:rsid w:val="0073670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36702"/>
    <w:rPr>
      <w:b/>
      <w:bCs/>
    </w:rPr>
  </w:style>
  <w:style w:type="character" w:customStyle="1" w:styleId="KomentratmaRakstz">
    <w:name w:val="Komentāra tēma Rakstz."/>
    <w:basedOn w:val="KomentratekstsRakstz"/>
    <w:link w:val="Komentratma"/>
    <w:uiPriority w:val="99"/>
    <w:semiHidden/>
    <w:rsid w:val="00736702"/>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B72611"/>
    <w:rPr>
      <w:color w:val="605E5C"/>
      <w:shd w:val="clear" w:color="auto" w:fill="E1DFDD"/>
    </w:rPr>
  </w:style>
  <w:style w:type="paragraph" w:styleId="Prskatjums">
    <w:name w:val="Revision"/>
    <w:hidden/>
    <w:uiPriority w:val="99"/>
    <w:semiHidden/>
    <w:rsid w:val="00260BD0"/>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291EDB"/>
    <w:pPr>
      <w:spacing w:before="100" w:beforeAutospacing="1" w:after="100" w:afterAutospacing="1"/>
    </w:pPr>
    <w:rPr>
      <w:lang w:val="en-GB" w:eastAsia="en-GB"/>
    </w:rPr>
  </w:style>
  <w:style w:type="paragraph" w:customStyle="1" w:styleId="xmsonormal">
    <w:name w:val="x_msonormal"/>
    <w:basedOn w:val="Parasts"/>
    <w:rsid w:val="00301A2D"/>
    <w:pPr>
      <w:spacing w:before="100" w:beforeAutospacing="1" w:after="100" w:afterAutospacing="1"/>
    </w:pPr>
  </w:style>
  <w:style w:type="paragraph" w:styleId="Sarakstarindkopa">
    <w:name w:val="List Paragraph"/>
    <w:basedOn w:val="Parasts"/>
    <w:uiPriority w:val="34"/>
    <w:qFormat/>
    <w:rsid w:val="007E5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1831">
      <w:bodyDiv w:val="1"/>
      <w:marLeft w:val="0"/>
      <w:marRight w:val="0"/>
      <w:marTop w:val="0"/>
      <w:marBottom w:val="0"/>
      <w:divBdr>
        <w:top w:val="none" w:sz="0" w:space="0" w:color="auto"/>
        <w:left w:val="none" w:sz="0" w:space="0" w:color="auto"/>
        <w:bottom w:val="none" w:sz="0" w:space="0" w:color="auto"/>
        <w:right w:val="none" w:sz="0" w:space="0" w:color="auto"/>
      </w:divBdr>
    </w:div>
    <w:div w:id="1141120035">
      <w:bodyDiv w:val="1"/>
      <w:marLeft w:val="0"/>
      <w:marRight w:val="0"/>
      <w:marTop w:val="0"/>
      <w:marBottom w:val="0"/>
      <w:divBdr>
        <w:top w:val="none" w:sz="0" w:space="0" w:color="auto"/>
        <w:left w:val="none" w:sz="0" w:space="0" w:color="auto"/>
        <w:bottom w:val="none" w:sz="0" w:space="0" w:color="auto"/>
        <w:right w:val="none" w:sz="0" w:space="0" w:color="auto"/>
      </w:divBdr>
    </w:div>
    <w:div w:id="1237594570">
      <w:bodyDiv w:val="1"/>
      <w:marLeft w:val="0"/>
      <w:marRight w:val="0"/>
      <w:marTop w:val="0"/>
      <w:marBottom w:val="0"/>
      <w:divBdr>
        <w:top w:val="none" w:sz="0" w:space="0" w:color="auto"/>
        <w:left w:val="none" w:sz="0" w:space="0" w:color="auto"/>
        <w:bottom w:val="none" w:sz="0" w:space="0" w:color="auto"/>
        <w:right w:val="none" w:sz="0" w:space="0" w:color="auto"/>
      </w:divBdr>
    </w:div>
    <w:div w:id="1288971884">
      <w:bodyDiv w:val="1"/>
      <w:marLeft w:val="0"/>
      <w:marRight w:val="0"/>
      <w:marTop w:val="0"/>
      <w:marBottom w:val="0"/>
      <w:divBdr>
        <w:top w:val="none" w:sz="0" w:space="0" w:color="auto"/>
        <w:left w:val="none" w:sz="0" w:space="0" w:color="auto"/>
        <w:bottom w:val="none" w:sz="0" w:space="0" w:color="auto"/>
        <w:right w:val="none" w:sz="0" w:space="0" w:color="auto"/>
      </w:divBdr>
      <w:divsChild>
        <w:div w:id="185216435">
          <w:marLeft w:val="0"/>
          <w:marRight w:val="0"/>
          <w:marTop w:val="0"/>
          <w:marBottom w:val="0"/>
          <w:divBdr>
            <w:top w:val="none" w:sz="0" w:space="0" w:color="auto"/>
            <w:left w:val="none" w:sz="0" w:space="0" w:color="auto"/>
            <w:bottom w:val="none" w:sz="0" w:space="0" w:color="auto"/>
            <w:right w:val="none" w:sz="0" w:space="0" w:color="auto"/>
          </w:divBdr>
          <w:divsChild>
            <w:div w:id="97145915">
              <w:marLeft w:val="0"/>
              <w:marRight w:val="0"/>
              <w:marTop w:val="0"/>
              <w:marBottom w:val="0"/>
              <w:divBdr>
                <w:top w:val="none" w:sz="0" w:space="0" w:color="auto"/>
                <w:left w:val="none" w:sz="0" w:space="0" w:color="auto"/>
                <w:bottom w:val="none" w:sz="0" w:space="0" w:color="auto"/>
                <w:right w:val="none" w:sz="0" w:space="0" w:color="auto"/>
              </w:divBdr>
              <w:divsChild>
                <w:div w:id="174737400">
                  <w:marLeft w:val="0"/>
                  <w:marRight w:val="0"/>
                  <w:marTop w:val="0"/>
                  <w:marBottom w:val="0"/>
                  <w:divBdr>
                    <w:top w:val="none" w:sz="0" w:space="0" w:color="auto"/>
                    <w:left w:val="none" w:sz="0" w:space="0" w:color="auto"/>
                    <w:bottom w:val="none" w:sz="0" w:space="0" w:color="auto"/>
                    <w:right w:val="none" w:sz="0" w:space="0" w:color="auto"/>
                  </w:divBdr>
                  <w:divsChild>
                    <w:div w:id="549920160">
                      <w:marLeft w:val="0"/>
                      <w:marRight w:val="0"/>
                      <w:marTop w:val="0"/>
                      <w:marBottom w:val="0"/>
                      <w:divBdr>
                        <w:top w:val="none" w:sz="0" w:space="0" w:color="auto"/>
                        <w:left w:val="none" w:sz="0" w:space="0" w:color="auto"/>
                        <w:bottom w:val="none" w:sz="0" w:space="0" w:color="auto"/>
                        <w:right w:val="none" w:sz="0" w:space="0" w:color="auto"/>
                      </w:divBdr>
                      <w:divsChild>
                        <w:div w:id="576785246">
                          <w:marLeft w:val="0"/>
                          <w:marRight w:val="0"/>
                          <w:marTop w:val="0"/>
                          <w:marBottom w:val="0"/>
                          <w:divBdr>
                            <w:top w:val="none" w:sz="0" w:space="0" w:color="auto"/>
                            <w:left w:val="none" w:sz="0" w:space="0" w:color="auto"/>
                            <w:bottom w:val="none" w:sz="0" w:space="0" w:color="auto"/>
                            <w:right w:val="none" w:sz="0" w:space="0" w:color="auto"/>
                          </w:divBdr>
                          <w:divsChild>
                            <w:div w:id="922760090">
                              <w:marLeft w:val="0"/>
                              <w:marRight w:val="0"/>
                              <w:marTop w:val="0"/>
                              <w:marBottom w:val="0"/>
                              <w:divBdr>
                                <w:top w:val="none" w:sz="0" w:space="0" w:color="auto"/>
                                <w:left w:val="none" w:sz="0" w:space="0" w:color="auto"/>
                                <w:bottom w:val="none" w:sz="0" w:space="0" w:color="auto"/>
                                <w:right w:val="none" w:sz="0" w:space="0" w:color="auto"/>
                              </w:divBdr>
                              <w:divsChild>
                                <w:div w:id="1013996425">
                                  <w:marLeft w:val="0"/>
                                  <w:marRight w:val="0"/>
                                  <w:marTop w:val="0"/>
                                  <w:marBottom w:val="0"/>
                                  <w:divBdr>
                                    <w:top w:val="none" w:sz="0" w:space="0" w:color="auto"/>
                                    <w:left w:val="none" w:sz="0" w:space="0" w:color="auto"/>
                                    <w:bottom w:val="none" w:sz="0" w:space="0" w:color="auto"/>
                                    <w:right w:val="none" w:sz="0" w:space="0" w:color="auto"/>
                                  </w:divBdr>
                                  <w:divsChild>
                                    <w:div w:id="1627467197">
                                      <w:marLeft w:val="0"/>
                                      <w:marRight w:val="0"/>
                                      <w:marTop w:val="0"/>
                                      <w:marBottom w:val="0"/>
                                      <w:divBdr>
                                        <w:top w:val="none" w:sz="0" w:space="0" w:color="auto"/>
                                        <w:left w:val="none" w:sz="0" w:space="0" w:color="auto"/>
                                        <w:bottom w:val="none" w:sz="0" w:space="0" w:color="auto"/>
                                        <w:right w:val="none" w:sz="0" w:space="0" w:color="auto"/>
                                      </w:divBdr>
                                      <w:divsChild>
                                        <w:div w:id="1180661150">
                                          <w:marLeft w:val="0"/>
                                          <w:marRight w:val="0"/>
                                          <w:marTop w:val="0"/>
                                          <w:marBottom w:val="0"/>
                                          <w:divBdr>
                                            <w:top w:val="none" w:sz="0" w:space="0" w:color="auto"/>
                                            <w:left w:val="none" w:sz="0" w:space="0" w:color="auto"/>
                                            <w:bottom w:val="none" w:sz="0" w:space="0" w:color="auto"/>
                                            <w:right w:val="none" w:sz="0" w:space="0" w:color="auto"/>
                                          </w:divBdr>
                                          <w:divsChild>
                                            <w:div w:id="1126311854">
                                              <w:marLeft w:val="0"/>
                                              <w:marRight w:val="0"/>
                                              <w:marTop w:val="0"/>
                                              <w:marBottom w:val="0"/>
                                              <w:divBdr>
                                                <w:top w:val="none" w:sz="0" w:space="0" w:color="auto"/>
                                                <w:left w:val="none" w:sz="0" w:space="0" w:color="auto"/>
                                                <w:bottom w:val="none" w:sz="0" w:space="0" w:color="auto"/>
                                                <w:right w:val="none" w:sz="0" w:space="0" w:color="auto"/>
                                              </w:divBdr>
                                              <w:divsChild>
                                                <w:div w:id="2127119153">
                                                  <w:marLeft w:val="0"/>
                                                  <w:marRight w:val="0"/>
                                                  <w:marTop w:val="0"/>
                                                  <w:marBottom w:val="0"/>
                                                  <w:divBdr>
                                                    <w:top w:val="none" w:sz="0" w:space="0" w:color="auto"/>
                                                    <w:left w:val="none" w:sz="0" w:space="0" w:color="auto"/>
                                                    <w:bottom w:val="none" w:sz="0" w:space="0" w:color="auto"/>
                                                    <w:right w:val="none" w:sz="0" w:space="0" w:color="auto"/>
                                                  </w:divBdr>
                                                  <w:divsChild>
                                                    <w:div w:id="404644280">
                                                      <w:marLeft w:val="0"/>
                                                      <w:marRight w:val="0"/>
                                                      <w:marTop w:val="0"/>
                                                      <w:marBottom w:val="0"/>
                                                      <w:divBdr>
                                                        <w:top w:val="none" w:sz="0" w:space="0" w:color="auto"/>
                                                        <w:left w:val="none" w:sz="0" w:space="0" w:color="auto"/>
                                                        <w:bottom w:val="none" w:sz="0" w:space="0" w:color="auto"/>
                                                        <w:right w:val="none" w:sz="0" w:space="0" w:color="auto"/>
                                                      </w:divBdr>
                                                      <w:divsChild>
                                                        <w:div w:id="809709288">
                                                          <w:marLeft w:val="0"/>
                                                          <w:marRight w:val="0"/>
                                                          <w:marTop w:val="0"/>
                                                          <w:marBottom w:val="0"/>
                                                          <w:divBdr>
                                                            <w:top w:val="none" w:sz="0" w:space="0" w:color="auto"/>
                                                            <w:left w:val="none" w:sz="0" w:space="0" w:color="auto"/>
                                                            <w:bottom w:val="none" w:sz="0" w:space="0" w:color="auto"/>
                                                            <w:right w:val="none" w:sz="0" w:space="0" w:color="auto"/>
                                                          </w:divBdr>
                                                          <w:divsChild>
                                                            <w:div w:id="2001734972">
                                                              <w:marLeft w:val="0"/>
                                                              <w:marRight w:val="0"/>
                                                              <w:marTop w:val="0"/>
                                                              <w:marBottom w:val="0"/>
                                                              <w:divBdr>
                                                                <w:top w:val="none" w:sz="0" w:space="0" w:color="auto"/>
                                                                <w:left w:val="none" w:sz="0" w:space="0" w:color="auto"/>
                                                                <w:bottom w:val="none" w:sz="0" w:space="0" w:color="auto"/>
                                                                <w:right w:val="none" w:sz="0" w:space="0" w:color="auto"/>
                                                              </w:divBdr>
                                                              <w:divsChild>
                                                                <w:div w:id="2141994158">
                                                                  <w:marLeft w:val="0"/>
                                                                  <w:marRight w:val="0"/>
                                                                  <w:marTop w:val="0"/>
                                                                  <w:marBottom w:val="0"/>
                                                                  <w:divBdr>
                                                                    <w:top w:val="none" w:sz="0" w:space="0" w:color="auto"/>
                                                                    <w:left w:val="none" w:sz="0" w:space="0" w:color="auto"/>
                                                                    <w:bottom w:val="none" w:sz="0" w:space="0" w:color="auto"/>
                                                                    <w:right w:val="none" w:sz="0" w:space="0" w:color="auto"/>
                                                                  </w:divBdr>
                                                                  <w:divsChild>
                                                                    <w:div w:id="264075953">
                                                                      <w:marLeft w:val="0"/>
                                                                      <w:marRight w:val="0"/>
                                                                      <w:marTop w:val="0"/>
                                                                      <w:marBottom w:val="0"/>
                                                                      <w:divBdr>
                                                                        <w:top w:val="none" w:sz="0" w:space="0" w:color="auto"/>
                                                                        <w:left w:val="none" w:sz="0" w:space="0" w:color="auto"/>
                                                                        <w:bottom w:val="none" w:sz="0" w:space="0" w:color="auto"/>
                                                                        <w:right w:val="none" w:sz="0" w:space="0" w:color="auto"/>
                                                                      </w:divBdr>
                                                                      <w:divsChild>
                                                                        <w:div w:id="1010793554">
                                                                          <w:marLeft w:val="0"/>
                                                                          <w:marRight w:val="0"/>
                                                                          <w:marTop w:val="0"/>
                                                                          <w:marBottom w:val="0"/>
                                                                          <w:divBdr>
                                                                            <w:top w:val="none" w:sz="0" w:space="0" w:color="auto"/>
                                                                            <w:left w:val="none" w:sz="0" w:space="0" w:color="auto"/>
                                                                            <w:bottom w:val="none" w:sz="0" w:space="0" w:color="auto"/>
                                                                            <w:right w:val="none" w:sz="0" w:space="0" w:color="auto"/>
                                                                          </w:divBdr>
                                                                          <w:divsChild>
                                                                            <w:div w:id="1696346007">
                                                                              <w:marLeft w:val="0"/>
                                                                              <w:marRight w:val="0"/>
                                                                              <w:marTop w:val="0"/>
                                                                              <w:marBottom w:val="0"/>
                                                                              <w:divBdr>
                                                                                <w:top w:val="none" w:sz="0" w:space="0" w:color="auto"/>
                                                                                <w:left w:val="none" w:sz="0" w:space="0" w:color="auto"/>
                                                                                <w:bottom w:val="none" w:sz="0" w:space="0" w:color="auto"/>
                                                                                <w:right w:val="none" w:sz="0" w:space="0" w:color="auto"/>
                                                                              </w:divBdr>
                                                                              <w:divsChild>
                                                                                <w:div w:id="383454662">
                                                                                  <w:marLeft w:val="0"/>
                                                                                  <w:marRight w:val="0"/>
                                                                                  <w:marTop w:val="0"/>
                                                                                  <w:marBottom w:val="0"/>
                                                                                  <w:divBdr>
                                                                                    <w:top w:val="none" w:sz="0" w:space="0" w:color="auto"/>
                                                                                    <w:left w:val="none" w:sz="0" w:space="0" w:color="auto"/>
                                                                                    <w:bottom w:val="none" w:sz="0" w:space="0" w:color="auto"/>
                                                                                    <w:right w:val="none" w:sz="0" w:space="0" w:color="auto"/>
                                                                                  </w:divBdr>
                                                                                  <w:divsChild>
                                                                                    <w:div w:id="1843616218">
                                                                                      <w:marLeft w:val="0"/>
                                                                                      <w:marRight w:val="0"/>
                                                                                      <w:marTop w:val="0"/>
                                                                                      <w:marBottom w:val="0"/>
                                                                                      <w:divBdr>
                                                                                        <w:top w:val="none" w:sz="0" w:space="0" w:color="auto"/>
                                                                                        <w:left w:val="none" w:sz="0" w:space="0" w:color="auto"/>
                                                                                        <w:bottom w:val="none" w:sz="0" w:space="0" w:color="auto"/>
                                                                                        <w:right w:val="none" w:sz="0" w:space="0" w:color="auto"/>
                                                                                      </w:divBdr>
                                                                                      <w:divsChild>
                                                                                        <w:div w:id="195310655">
                                                                                          <w:marLeft w:val="0"/>
                                                                                          <w:marRight w:val="0"/>
                                                                                          <w:marTop w:val="0"/>
                                                                                          <w:marBottom w:val="0"/>
                                                                                          <w:divBdr>
                                                                                            <w:top w:val="none" w:sz="0" w:space="0" w:color="auto"/>
                                                                                            <w:left w:val="none" w:sz="0" w:space="0" w:color="auto"/>
                                                                                            <w:bottom w:val="none" w:sz="0" w:space="0" w:color="auto"/>
                                                                                            <w:right w:val="none" w:sz="0" w:space="0" w:color="auto"/>
                                                                                          </w:divBdr>
                                                                                          <w:divsChild>
                                                                                            <w:div w:id="1528523126">
                                                                                              <w:marLeft w:val="0"/>
                                                                                              <w:marRight w:val="0"/>
                                                                                              <w:marTop w:val="0"/>
                                                                                              <w:marBottom w:val="0"/>
                                                                                              <w:divBdr>
                                                                                                <w:top w:val="none" w:sz="0" w:space="0" w:color="auto"/>
                                                                                                <w:left w:val="none" w:sz="0" w:space="0" w:color="auto"/>
                                                                                                <w:bottom w:val="none" w:sz="0" w:space="0" w:color="auto"/>
                                                                                                <w:right w:val="none" w:sz="0" w:space="0" w:color="auto"/>
                                                                                              </w:divBdr>
                                                                                              <w:divsChild>
                                                                                                <w:div w:id="13150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299666">
      <w:bodyDiv w:val="1"/>
      <w:marLeft w:val="0"/>
      <w:marRight w:val="0"/>
      <w:marTop w:val="0"/>
      <w:marBottom w:val="0"/>
      <w:divBdr>
        <w:top w:val="none" w:sz="0" w:space="0" w:color="auto"/>
        <w:left w:val="none" w:sz="0" w:space="0" w:color="auto"/>
        <w:bottom w:val="none" w:sz="0" w:space="0" w:color="auto"/>
        <w:right w:val="none" w:sz="0" w:space="0" w:color="auto"/>
      </w:divBdr>
      <w:divsChild>
        <w:div w:id="1122654507">
          <w:marLeft w:val="0"/>
          <w:marRight w:val="0"/>
          <w:marTop w:val="0"/>
          <w:marBottom w:val="0"/>
          <w:divBdr>
            <w:top w:val="none" w:sz="0" w:space="0" w:color="auto"/>
            <w:left w:val="none" w:sz="0" w:space="0" w:color="auto"/>
            <w:bottom w:val="none" w:sz="0" w:space="0" w:color="auto"/>
            <w:right w:val="none" w:sz="0" w:space="0" w:color="auto"/>
          </w:divBdr>
        </w:div>
      </w:divsChild>
    </w:div>
    <w:div w:id="21339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2" ma:contentTypeDescription="Create a new document." ma:contentTypeScope="" ma:versionID="2f6ab68c7fae82e41c190291e6e2173f">
  <xsd:schema xmlns:xsd="http://www.w3.org/2001/XMLSchema" xmlns:xs="http://www.w3.org/2001/XMLSchema" xmlns:p="http://schemas.microsoft.com/office/2006/metadata/properties" xmlns:ns3="f005a88b-18e0-4d33-a6be-fb09f3f8a15f" xmlns:ns4="9a943975-fc5f-4377-8fb1-a7f89b4d6adb" targetNamespace="http://schemas.microsoft.com/office/2006/metadata/properties" ma:root="true" ma:fieldsID="3444b766a323017636449c3effda4efb" ns3:_="" ns4:_="">
    <xsd:import namespace="f005a88b-18e0-4d33-a6be-fb09f3f8a15f"/>
    <xsd:import namespace="9a943975-fc5f-4377-8fb1-a7f89b4d6a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C72DE-9828-4A85-9F08-B40B1A1390D4}">
  <ds:schemaRefs>
    <ds:schemaRef ds:uri="http://schemas.microsoft.com/sharepoint/v3/contenttype/forms"/>
  </ds:schemaRefs>
</ds:datastoreItem>
</file>

<file path=customXml/itemProps2.xml><?xml version="1.0" encoding="utf-8"?>
<ds:datastoreItem xmlns:ds="http://schemas.openxmlformats.org/officeDocument/2006/customXml" ds:itemID="{514CE062-7FC2-4D00-9953-A798DB7E117D}">
  <ds:schemaRefs>
    <ds:schemaRef ds:uri="9a943975-fc5f-4377-8fb1-a7f89b4d6ad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005a88b-18e0-4d33-a6be-fb09f3f8a15f"/>
    <ds:schemaRef ds:uri="http://www.w3.org/XML/1998/namespace"/>
  </ds:schemaRefs>
</ds:datastoreItem>
</file>

<file path=customXml/itemProps3.xml><?xml version="1.0" encoding="utf-8"?>
<ds:datastoreItem xmlns:ds="http://schemas.openxmlformats.org/officeDocument/2006/customXml" ds:itemID="{9D3DE7FD-3D5F-4357-857E-FA23D34AF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a88b-18e0-4d33-a6be-fb09f3f8a15f"/>
    <ds:schemaRef ds:uri="9a943975-fc5f-4377-8fb1-a7f89b4d6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3670</Words>
  <Characters>2093</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Ieslodzījuma vietu pārvaldes, Valsts probācijas dienesta un tieslietu sektora darbinieku, kuri sniedz kritiski svarīgus klātienes pakalpojumus, vakcināciju"</vt:lpstr>
      <vt:lpstr>Ministru kabineta noteikumu projekta "Grozījumi Ministru kabineta 2017. gada 16. augusta noteikumos Nr. 474 "Tieslietu ministrijas nolikums"" sākotnējās ietekmes novērtējuma ziņojums (anotācija)</vt:lpstr>
    </vt:vector>
  </TitlesOfParts>
  <Company>Tieslietu ministrija</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Ieslodzījuma vietu pārvaldes, Valsts probācijas dienesta un tieslietu sektora darbinieku, kuri sniedz kritiski svarīgus klātienes pakalpojumus, vakcināciju"</dc:title>
  <dc:subject>Anotācija</dc:subject>
  <dc:creator/>
  <cp:keywords/>
  <dc:description>67036806, Eriks.Rekis@tm.gov.lv</dc:description>
  <cp:lastModifiedBy>Olga Zeile</cp:lastModifiedBy>
  <cp:revision>27</cp:revision>
  <cp:lastPrinted>2019-12-05T14:20:00Z</cp:lastPrinted>
  <dcterms:created xsi:type="dcterms:W3CDTF">2021-04-23T13:09:00Z</dcterms:created>
  <dcterms:modified xsi:type="dcterms:W3CDTF">2021-04-26T11:49:00Z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