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E748F" w:rsidR="000A1BF9" w:rsidP="000A1BF9" w:rsidRDefault="000A1BF9" w14:paraId="4A9994E7" w14:textId="77777777">
      <w:pPr>
        <w:jc w:val="right"/>
        <w:rPr>
          <w:i/>
        </w:rPr>
      </w:pPr>
      <w:r w:rsidRPr="004E748F">
        <w:rPr>
          <w:i/>
        </w:rPr>
        <w:t>Projekts</w:t>
      </w:r>
    </w:p>
    <w:p w:rsidRPr="007F1494" w:rsidR="000A1BF9" w:rsidP="000A1BF9" w:rsidRDefault="000A1BF9" w14:paraId="00F24DAB" w14:textId="77777777">
      <w:pPr>
        <w:jc w:val="center"/>
        <w:rPr>
          <w:bCs/>
          <w:sz w:val="24"/>
          <w:szCs w:val="24"/>
        </w:rPr>
      </w:pPr>
    </w:p>
    <w:p w:rsidRPr="004E748F" w:rsidR="000A1BF9" w:rsidP="000A1BF9" w:rsidRDefault="000A1BF9" w14:paraId="6A9A543D" w14:textId="77777777">
      <w:pPr>
        <w:jc w:val="center"/>
        <w:rPr>
          <w:b/>
        </w:rPr>
      </w:pPr>
      <w:r w:rsidRPr="004E748F">
        <w:rPr>
          <w:b/>
        </w:rPr>
        <w:t xml:space="preserve">LATVIJAS REPUBLIKAS MINISTRU KABINETA </w:t>
      </w:r>
    </w:p>
    <w:p w:rsidRPr="004E748F" w:rsidR="000A1BF9" w:rsidP="000A1BF9" w:rsidRDefault="000A1BF9" w14:paraId="3D9E8E10" w14:textId="77777777">
      <w:pPr>
        <w:jc w:val="center"/>
        <w:rPr>
          <w:b/>
        </w:rPr>
      </w:pPr>
      <w:r w:rsidRPr="004E748F">
        <w:rPr>
          <w:b/>
        </w:rPr>
        <w:t>SĒDES PROTOKOLLĒMUMS</w:t>
      </w:r>
    </w:p>
    <w:p w:rsidRPr="004E748F" w:rsidR="000A1BF9" w:rsidP="000A1BF9" w:rsidRDefault="000A1BF9" w14:paraId="06BCE251" w14:textId="77777777">
      <w:pPr>
        <w:jc w:val="center"/>
        <w:rPr>
          <w:b/>
        </w:rPr>
      </w:pPr>
      <w:r w:rsidRPr="004E748F">
        <w:rPr>
          <w:b/>
        </w:rPr>
        <w:t>_________________________________________________________</w:t>
      </w:r>
    </w:p>
    <w:p w:rsidRPr="007F1494" w:rsidR="000A1BF9" w:rsidP="000A1BF9" w:rsidRDefault="000A1BF9" w14:paraId="1743037D" w14:textId="77777777">
      <w:pPr>
        <w:jc w:val="center"/>
        <w:rPr>
          <w:bCs/>
          <w:sz w:val="24"/>
          <w:szCs w:val="24"/>
        </w:rPr>
      </w:pPr>
    </w:p>
    <w:p w:rsidRPr="004E748F" w:rsidR="000A1BF9" w:rsidP="000A1BF9" w:rsidRDefault="000A1BF9" w14:paraId="00E97F85" w14:textId="2EC63CEB">
      <w:pPr>
        <w:tabs>
          <w:tab w:val="center" w:pos="4500"/>
          <w:tab w:val="right" w:pos="9000"/>
        </w:tabs>
        <w:jc w:val="both"/>
      </w:pPr>
      <w:r w:rsidRPr="004E748F">
        <w:t>Rīgā</w:t>
      </w:r>
      <w:r w:rsidRPr="004E748F">
        <w:tab/>
        <w:t>Nr.</w:t>
      </w:r>
      <w:r w:rsidRPr="004E748F">
        <w:tab/>
        <w:t>202</w:t>
      </w:r>
      <w:r w:rsidR="00745DEE">
        <w:t>1</w:t>
      </w:r>
      <w:r w:rsidRPr="004E748F">
        <w:t>. gada __._____</w:t>
      </w:r>
    </w:p>
    <w:p w:rsidRPr="007F1494" w:rsidR="000A1BF9" w:rsidP="000A1BF9" w:rsidRDefault="000A1BF9" w14:paraId="18CDD222" w14:textId="77777777">
      <w:pPr>
        <w:jc w:val="both"/>
        <w:rPr>
          <w:sz w:val="24"/>
          <w:szCs w:val="24"/>
        </w:rPr>
      </w:pPr>
    </w:p>
    <w:p w:rsidRPr="004E748F" w:rsidR="000A1BF9" w:rsidP="000A1BF9" w:rsidRDefault="000A1BF9" w14:paraId="2B031A67" w14:textId="77777777">
      <w:pPr>
        <w:pStyle w:val="Pamatteksts"/>
        <w:jc w:val="center"/>
        <w:rPr>
          <w:b/>
          <w:szCs w:val="28"/>
        </w:rPr>
      </w:pPr>
      <w:r w:rsidRPr="004E748F">
        <w:rPr>
          <w:b/>
          <w:szCs w:val="28"/>
        </w:rPr>
        <w:t>.§</w:t>
      </w:r>
    </w:p>
    <w:p w:rsidRPr="007F1494" w:rsidR="000A1BF9" w:rsidP="000A1BF9" w:rsidRDefault="000A1BF9" w14:paraId="31189B4D" w14:textId="77777777">
      <w:pPr>
        <w:jc w:val="both"/>
        <w:rPr>
          <w:sz w:val="24"/>
          <w:szCs w:val="24"/>
        </w:rPr>
      </w:pPr>
    </w:p>
    <w:p w:rsidRPr="004E748F" w:rsidR="000A1BF9" w:rsidP="00E36C66" w:rsidRDefault="00E36C66" w14:paraId="5725EEBE" w14:textId="451A3E42">
      <w:pPr>
        <w:tabs>
          <w:tab w:val="left" w:pos="993"/>
        </w:tabs>
        <w:suppressAutoHyphens/>
        <w:jc w:val="center"/>
        <w:rPr>
          <w:b/>
          <w:lang w:eastAsia="ar-SA"/>
        </w:rPr>
      </w:pPr>
      <w:bookmarkStart w:name="_Hlk504644161" w:id="0"/>
      <w:r w:rsidRPr="004E748F">
        <w:rPr>
          <w:b/>
          <w:lang w:eastAsia="ar-SA"/>
        </w:rPr>
        <w:t xml:space="preserve">Informatīvais ziņojums </w:t>
      </w:r>
      <w:r w:rsidR="0031691C">
        <w:rPr>
          <w:b/>
          <w:lang w:eastAsia="ar-SA"/>
        </w:rPr>
        <w:t>"P</w:t>
      </w:r>
      <w:r w:rsidRPr="004E748F">
        <w:rPr>
          <w:b/>
          <w:lang w:eastAsia="ar-SA"/>
        </w:rPr>
        <w:t xml:space="preserve">ar turpmāko rīcību saistībā ar </w:t>
      </w:r>
      <w:bookmarkStart w:name="_Hlk24016801" w:id="1"/>
      <w:r w:rsidRPr="004E748F">
        <w:rPr>
          <w:b/>
          <w:lang w:eastAsia="ar-SA"/>
        </w:rPr>
        <w:t>Satversmes tiesas 2019. gada 7. novembra spriedumu lietā Nr. 2018-25-01 "Par Latvijas Sodu izpildes kodeksa 50.</w:t>
      </w:r>
      <w:r w:rsidRPr="004E748F">
        <w:rPr>
          <w:b/>
          <w:vertAlign w:val="superscript"/>
          <w:lang w:eastAsia="ar-SA"/>
        </w:rPr>
        <w:t>4 </w:t>
      </w:r>
      <w:r w:rsidRPr="004E748F">
        <w:rPr>
          <w:b/>
          <w:lang w:eastAsia="ar-SA"/>
        </w:rPr>
        <w:t>panta atbilstību Latvijas Republikas Satversmes 91. pantam"</w:t>
      </w:r>
      <w:bookmarkEnd w:id="0"/>
      <w:bookmarkEnd w:id="1"/>
      <w:r w:rsidR="0031691C">
        <w:rPr>
          <w:b/>
          <w:lang w:eastAsia="ar-SA"/>
        </w:rPr>
        <w:t>"</w:t>
      </w:r>
    </w:p>
    <w:p w:rsidRPr="007F1494" w:rsidR="000A1BF9" w:rsidP="000A1BF9" w:rsidRDefault="000A1BF9" w14:paraId="6544C171" w14:textId="77777777">
      <w:pPr>
        <w:pStyle w:val="Sarakstarindkopa"/>
        <w:tabs>
          <w:tab w:val="left" w:pos="993"/>
        </w:tabs>
        <w:ind w:left="0" w:firstLine="709"/>
        <w:jc w:val="both"/>
        <w:rPr>
          <w:bCs/>
        </w:rPr>
      </w:pPr>
    </w:p>
    <w:p w:rsidRPr="004E748F" w:rsidR="000A1BF9" w:rsidP="000A1BF9" w:rsidRDefault="00D42E42" w14:paraId="19BE04C3" w14:textId="23D5C6A9">
      <w:pPr>
        <w:ind w:firstLine="720"/>
        <w:jc w:val="both"/>
        <w:rPr>
          <w:bCs/>
        </w:rPr>
      </w:pPr>
      <w:r>
        <w:rPr>
          <w:bCs/>
        </w:rPr>
        <w:t>1</w:t>
      </w:r>
      <w:r w:rsidRPr="004E748F" w:rsidR="000A1BF9">
        <w:rPr>
          <w:bCs/>
        </w:rPr>
        <w:t>.</w:t>
      </w:r>
      <w:r w:rsidR="0031691C">
        <w:rPr>
          <w:bCs/>
        </w:rPr>
        <w:t> </w:t>
      </w:r>
      <w:r w:rsidRPr="004E748F" w:rsidR="000A1BF9">
        <w:rPr>
          <w:bCs/>
        </w:rPr>
        <w:t>Pieņemt zināšanai tieslietu ministra iesniegto informatīvo ziņojumu.</w:t>
      </w:r>
    </w:p>
    <w:p w:rsidR="00D42E42" w:rsidP="00D42E42" w:rsidRDefault="00D42E42" w14:paraId="365432A6" w14:textId="77777777">
      <w:pPr>
        <w:ind w:firstLine="720"/>
        <w:jc w:val="both"/>
        <w:rPr>
          <w:bCs/>
          <w:lang w:eastAsia="ar-SA"/>
        </w:rPr>
      </w:pPr>
      <w:r>
        <w:rPr>
          <w:bCs/>
        </w:rPr>
        <w:t>2</w:t>
      </w:r>
      <w:r w:rsidRPr="004E748F" w:rsidR="000A1BF9">
        <w:rPr>
          <w:bCs/>
        </w:rPr>
        <w:t>.</w:t>
      </w:r>
      <w:r w:rsidR="0031691C">
        <w:rPr>
          <w:bCs/>
        </w:rPr>
        <w:t> </w:t>
      </w:r>
      <w:r w:rsidR="00534BBE">
        <w:rPr>
          <w:bCs/>
        </w:rPr>
        <w:t xml:space="preserve">Noteikt, ka </w:t>
      </w:r>
      <w:r w:rsidRPr="004E748F" w:rsidR="008374C3">
        <w:rPr>
          <w:bCs/>
        </w:rPr>
        <w:t>Tieslietu ministrija</w:t>
      </w:r>
      <w:r w:rsidR="00534BBE">
        <w:rPr>
          <w:bCs/>
        </w:rPr>
        <w:t xml:space="preserve"> </w:t>
      </w:r>
      <w:r w:rsidRPr="004E748F" w:rsidR="008374C3">
        <w:rPr>
          <w:bCs/>
        </w:rPr>
        <w:t>nodrošin</w:t>
      </w:r>
      <w:r w:rsidR="00534BBE">
        <w:rPr>
          <w:bCs/>
        </w:rPr>
        <w:t>a</w:t>
      </w:r>
      <w:r w:rsidRPr="004E748F" w:rsidR="008374C3">
        <w:rPr>
          <w:bCs/>
        </w:rPr>
        <w:t xml:space="preserve"> </w:t>
      </w:r>
      <w:r w:rsidRPr="004E748F" w:rsidR="008374C3">
        <w:rPr>
          <w:bCs/>
          <w:lang w:eastAsia="ar-SA"/>
        </w:rPr>
        <w:t>Satversmes tiesas 2019. gada 7. novembra sprieduma lietā Nr. 2018-25-01 "Par Latvijas Sodu izpildes kodeksa 50.</w:t>
      </w:r>
      <w:r w:rsidRPr="004E748F" w:rsidR="008374C3">
        <w:rPr>
          <w:bCs/>
          <w:vertAlign w:val="superscript"/>
          <w:lang w:eastAsia="ar-SA"/>
        </w:rPr>
        <w:t>4</w:t>
      </w:r>
      <w:r w:rsidRPr="004E748F" w:rsidR="008374C3">
        <w:rPr>
          <w:bCs/>
          <w:lang w:eastAsia="ar-SA"/>
        </w:rPr>
        <w:t xml:space="preserve"> panta atbilstību Latvijas Republikas Satversmes 91. pantam" </w:t>
      </w:r>
      <w:r w:rsidR="00534BBE">
        <w:rPr>
          <w:bCs/>
          <w:lang w:eastAsia="ar-SA"/>
        </w:rPr>
        <w:t xml:space="preserve">pilnīgu </w:t>
      </w:r>
      <w:r w:rsidRPr="004E748F" w:rsidR="008374C3">
        <w:rPr>
          <w:bCs/>
          <w:lang w:eastAsia="ar-SA"/>
        </w:rPr>
        <w:t>izpildi viena gada laikā pēc jaunā Liepājas cietuma darbības uzsākšanas</w:t>
      </w:r>
      <w:r w:rsidR="00534BBE">
        <w:rPr>
          <w:bCs/>
          <w:lang w:eastAsia="ar-SA"/>
        </w:rPr>
        <w:t>, bet ne vēlāk kā līdz 2025.</w:t>
      </w:r>
      <w:r w:rsidR="005443CA">
        <w:rPr>
          <w:bCs/>
          <w:lang w:eastAsia="ar-SA"/>
        </w:rPr>
        <w:t> </w:t>
      </w:r>
      <w:r w:rsidR="00534BBE">
        <w:rPr>
          <w:bCs/>
          <w:lang w:eastAsia="ar-SA"/>
        </w:rPr>
        <w:t>gada 1.</w:t>
      </w:r>
      <w:r w:rsidR="005443CA">
        <w:rPr>
          <w:bCs/>
          <w:lang w:eastAsia="ar-SA"/>
        </w:rPr>
        <w:t> </w:t>
      </w:r>
      <w:r w:rsidR="00534BBE">
        <w:rPr>
          <w:bCs/>
          <w:lang w:eastAsia="ar-SA"/>
        </w:rPr>
        <w:t>jūlijam.</w:t>
      </w:r>
    </w:p>
    <w:p w:rsidR="00F747D4" w:rsidP="00F747D4" w:rsidRDefault="00D42E42" w14:paraId="0E3B82DD" w14:textId="2477EA3F">
      <w:pPr>
        <w:ind w:firstLine="720"/>
        <w:jc w:val="both"/>
      </w:pPr>
      <w:r>
        <w:rPr>
          <w:bCs/>
          <w:lang w:eastAsia="ar-SA"/>
        </w:rPr>
        <w:t>3.</w:t>
      </w:r>
      <w:r w:rsidR="00AD2B47">
        <w:rPr>
          <w:bCs/>
          <w:lang w:eastAsia="ar-SA"/>
        </w:rPr>
        <w:t> </w:t>
      </w:r>
      <w:r w:rsidRPr="00D42E42">
        <w:rPr>
          <w:bCs/>
        </w:rPr>
        <w:t>Tieslietu ministrijai</w:t>
      </w:r>
      <w:r w:rsidRPr="00D42E42">
        <w:t xml:space="preserve"> izstrādāt un iesniegt izskatīšanai Ministru kabineta 2021. gada 1. aprīļa sēdē likumprojektu "Grozījums Latvijas Sodu izpildes kodeksā", </w:t>
      </w:r>
      <w:proofErr w:type="gramStart"/>
      <w:r w:rsidRPr="00D42E42">
        <w:t>paredzot, ka</w:t>
      </w:r>
      <w:r w:rsidR="00403502">
        <w:t xml:space="preserve"> </w:t>
      </w:r>
      <w:r w:rsidR="002E33BC">
        <w:t>pilngadīgi vīrieši</w:t>
      </w:r>
      <w:r w:rsidRPr="00D42E42" w:rsidR="002E33BC">
        <w:t xml:space="preserve"> </w:t>
      </w:r>
      <w:r w:rsidR="00173C07">
        <w:t>sodu slēgtajā cietumā</w:t>
      </w:r>
      <w:r w:rsidRPr="00D42E42" w:rsidR="00173C07">
        <w:t xml:space="preserve"> </w:t>
      </w:r>
      <w:r w:rsidRPr="00D42E42" w:rsidR="00403502">
        <w:t>no 2021. gada 1. maija līdz 2025. gada 1. jūlijam</w:t>
      </w:r>
      <w:proofErr w:type="gramEnd"/>
      <w:r w:rsidR="00403502">
        <w:t xml:space="preserve"> </w:t>
      </w:r>
      <w:r w:rsidR="00A31CB0">
        <w:t xml:space="preserve">izcieš atbilstoši </w:t>
      </w:r>
      <w:r w:rsidRPr="00837993" w:rsidR="00A31CB0">
        <w:t>Latvijas Sodu izpildes kodeksā noteiktajai kārtībai</w:t>
      </w:r>
      <w:r w:rsidR="00A31CB0">
        <w:t xml:space="preserve"> par soda izciešanu slēgtajā cietumā</w:t>
      </w:r>
      <w:r w:rsidRPr="00837993" w:rsidR="00A31CB0">
        <w:t>, k</w:t>
      </w:r>
      <w:r w:rsidR="002E33BC">
        <w:t>ura</w:t>
      </w:r>
      <w:r w:rsidRPr="00837993" w:rsidR="00A31CB0">
        <w:t xml:space="preserve"> bija spēkā līdz 2021. gada 30. aprīlim</w:t>
      </w:r>
      <w:r w:rsidR="002E33BC">
        <w:t>, ja</w:t>
      </w:r>
      <w:r w:rsidR="008A04F2">
        <w:t xml:space="preserve"> viņi</w:t>
      </w:r>
      <w:r w:rsidR="00403502">
        <w:t>:</w:t>
      </w:r>
    </w:p>
    <w:p w:rsidR="00F747D4" w:rsidP="00F747D4" w:rsidRDefault="00F747D4" w14:paraId="435FAF64" w14:textId="2762375F">
      <w:pPr>
        <w:ind w:firstLine="720"/>
        <w:jc w:val="both"/>
      </w:pPr>
      <w:r>
        <w:t>1)</w:t>
      </w:r>
      <w:r w:rsidR="00AD2B47">
        <w:t> </w:t>
      </w:r>
      <w:r w:rsidRPr="00F747D4" w:rsidR="0004313A">
        <w:t xml:space="preserve">minētajā laika periodā </w:t>
      </w:r>
      <w:r w:rsidRPr="00F747D4" w:rsidR="002E33BC">
        <w:t xml:space="preserve">uzsāk soda izciešanu </w:t>
      </w:r>
      <w:r w:rsidRPr="00F747D4" w:rsidR="00403502">
        <w:t>par smaga un sevišķi smaga nozieguma izdarīšanu;</w:t>
      </w:r>
    </w:p>
    <w:p w:rsidR="00F747D4" w:rsidP="00F747D4" w:rsidRDefault="00F747D4" w14:paraId="1844680C" w14:textId="7DF31219">
      <w:pPr>
        <w:ind w:firstLine="720"/>
        <w:jc w:val="both"/>
      </w:pPr>
      <w:r>
        <w:t>2)</w:t>
      </w:r>
      <w:r w:rsidR="00AD2B47">
        <w:t> </w:t>
      </w:r>
      <w:r w:rsidRPr="00F747D4" w:rsidR="0004313A">
        <w:t>minētajā laika periodā</w:t>
      </w:r>
      <w:r w:rsidRPr="00F747D4" w:rsidR="002E33BC">
        <w:t xml:space="preserve"> </w:t>
      </w:r>
      <w:r w:rsidRPr="00F747D4" w:rsidR="00403502">
        <w:t>uz slēgto cietumu pārvietoti no daļēji slēgtā cietuma;</w:t>
      </w:r>
    </w:p>
    <w:p w:rsidRPr="00A31CB0" w:rsidR="00403502" w:rsidP="00F747D4" w:rsidRDefault="00F747D4" w14:paraId="634E830B" w14:textId="710A3A12">
      <w:pPr>
        <w:ind w:firstLine="720"/>
        <w:jc w:val="both"/>
      </w:pPr>
      <w:r>
        <w:t>3)</w:t>
      </w:r>
      <w:r w:rsidR="00AD2B47">
        <w:t> </w:t>
      </w:r>
      <w:r w:rsidRPr="00F747D4" w:rsidR="00A31CB0">
        <w:t>2021.</w:t>
      </w:r>
      <w:r>
        <w:t> </w:t>
      </w:r>
      <w:r w:rsidRPr="00F747D4" w:rsidR="00A31CB0">
        <w:t>gada 30.</w:t>
      </w:r>
      <w:r>
        <w:t> </w:t>
      </w:r>
      <w:r w:rsidRPr="00F747D4" w:rsidR="00A31CB0">
        <w:t xml:space="preserve">aprīlī </w:t>
      </w:r>
      <w:r w:rsidRPr="00F747D4" w:rsidR="00403502">
        <w:t>atrodas slēgtajā cietumā.</w:t>
      </w:r>
    </w:p>
    <w:p w:rsidRPr="00D42E42" w:rsidR="0050322E" w:rsidP="00D42E42" w:rsidRDefault="00D42E42" w14:paraId="22758240" w14:textId="3062C172">
      <w:pPr>
        <w:ind w:firstLine="720"/>
        <w:jc w:val="both"/>
        <w:rPr>
          <w:bCs/>
          <w:lang w:eastAsia="ar-SA"/>
        </w:rPr>
      </w:pPr>
      <w:r>
        <w:rPr>
          <w:bCs/>
          <w:lang w:eastAsia="ar-SA"/>
        </w:rPr>
        <w:t>4.</w:t>
      </w:r>
      <w:r w:rsidR="00AD2B47">
        <w:rPr>
          <w:bCs/>
          <w:lang w:eastAsia="ar-SA"/>
        </w:rPr>
        <w:t> </w:t>
      </w:r>
      <w:r w:rsidRPr="00D42E42" w:rsidR="0050322E">
        <w:t>Tieslietu ministrijai sagatavot un tieslietu ministram līdz 2022.</w:t>
      </w:r>
      <w:r w:rsidRPr="00D42E42" w:rsidR="006012F6">
        <w:t> </w:t>
      </w:r>
      <w:r w:rsidRPr="00D42E42" w:rsidR="0050322E">
        <w:t>gada 1.</w:t>
      </w:r>
      <w:r w:rsidRPr="00D42E42" w:rsidR="006012F6">
        <w:t> </w:t>
      </w:r>
      <w:r w:rsidRPr="00D42E42" w:rsidR="002F6F11">
        <w:t>decembrim</w:t>
      </w:r>
      <w:r w:rsidRPr="00D42E42" w:rsidR="0050322E">
        <w:t xml:space="preserve"> iesniegt izvērtējumu par iespēju palielināt tiesību apjomu slēgt</w:t>
      </w:r>
      <w:r w:rsidR="00AD2B47">
        <w:t>aj</w:t>
      </w:r>
      <w:r w:rsidRPr="00D42E42" w:rsidR="0050322E">
        <w:t>ā cietumā esošajiem notiesātajiem</w:t>
      </w:r>
      <w:r w:rsidRPr="00D42E42" w:rsidR="002F6F11">
        <w:t xml:space="preserve"> un citiem iespējamiem pilnveidojumiem </w:t>
      </w:r>
      <w:r w:rsidRPr="00D42E42" w:rsidR="002F6F11">
        <w:rPr>
          <w:bCs/>
        </w:rPr>
        <w:t>Satversmes tiesas 2019. gada 7. novembra sprieduma lietā Nr. 2018-25-01 pakāpeniskai ieviešanai</w:t>
      </w:r>
      <w:r w:rsidRPr="00D42E42" w:rsidR="0050322E">
        <w:t xml:space="preserve">. </w:t>
      </w:r>
    </w:p>
    <w:p w:rsidR="00534BBE" w:rsidP="000A1BF9" w:rsidRDefault="00534BBE" w14:paraId="4B1B8094" w14:textId="77777777">
      <w:pPr>
        <w:ind w:firstLine="720"/>
        <w:jc w:val="both"/>
      </w:pPr>
    </w:p>
    <w:p w:rsidRPr="004E748F" w:rsidR="000A1BF9" w:rsidP="0031691C" w:rsidRDefault="000A1BF9" w14:paraId="5088E689" w14:textId="4108972C">
      <w:pPr>
        <w:tabs>
          <w:tab w:val="left" w:pos="6379"/>
        </w:tabs>
      </w:pPr>
      <w:bookmarkStart w:name="_Hlk500161240" w:id="2"/>
      <w:r w:rsidRPr="004E748F">
        <w:t>Ministru prezidents</w:t>
      </w:r>
      <w:r w:rsidR="0031691C">
        <w:tab/>
      </w:r>
      <w:r w:rsidRPr="004E748F">
        <w:t xml:space="preserve">Arturs Krišjānis Kariņš </w:t>
      </w:r>
    </w:p>
    <w:p w:rsidRPr="004E748F" w:rsidR="000A1BF9" w:rsidP="000A1BF9" w:rsidRDefault="000A1BF9" w14:paraId="53AFB16D" w14:textId="77777777"/>
    <w:p w:rsidRPr="004E748F" w:rsidR="000A1BF9" w:rsidP="004E748F" w:rsidRDefault="000A1BF9" w14:paraId="16368D86" w14:textId="77777777">
      <w:pPr>
        <w:tabs>
          <w:tab w:val="left" w:pos="6379"/>
        </w:tabs>
      </w:pPr>
      <w:r w:rsidRPr="004E748F">
        <w:t>Valsts kancelejas direktors</w:t>
      </w:r>
      <w:r w:rsidRPr="004E748F">
        <w:tab/>
        <w:t>Jānis Citskovskis</w:t>
      </w:r>
    </w:p>
    <w:p w:rsidRPr="004E748F" w:rsidR="000A1BF9" w:rsidP="000A1BF9" w:rsidRDefault="000A1BF9" w14:paraId="3EC13FE2" w14:textId="77777777"/>
    <w:p w:rsidR="000A1BF9" w:rsidP="000A1BF9" w:rsidRDefault="000A1BF9" w14:paraId="16BC9805" w14:textId="624068F8">
      <w:r w:rsidRPr="004E748F">
        <w:t>Iesniedzējs:</w:t>
      </w:r>
    </w:p>
    <w:p w:rsidRPr="00293ACA" w:rsidR="00293ACA" w:rsidP="00293ACA" w:rsidRDefault="00293ACA" w14:paraId="3F22E2DC" w14:textId="77777777">
      <w:pPr>
        <w:tabs>
          <w:tab w:val="left" w:pos="7088"/>
        </w:tabs>
        <w:suppressAutoHyphens/>
        <w:jc w:val="both"/>
        <w:rPr>
          <w:lang w:eastAsia="ar-SA"/>
        </w:rPr>
      </w:pPr>
      <w:r w:rsidRPr="00293ACA">
        <w:rPr>
          <w:lang w:eastAsia="ar-SA"/>
        </w:rPr>
        <w:t xml:space="preserve">Ministru prezidenta biedrs, </w:t>
      </w:r>
    </w:p>
    <w:p w:rsidRPr="0031691C" w:rsidR="006123C8" w:rsidP="005443CA" w:rsidRDefault="00293ACA" w14:paraId="677EADC3" w14:textId="29076F2F">
      <w:pPr>
        <w:tabs>
          <w:tab w:val="left" w:pos="7088"/>
        </w:tabs>
        <w:suppressAutoHyphens/>
        <w:jc w:val="both"/>
        <w:rPr>
          <w:lang w:eastAsia="ar-SA"/>
        </w:rPr>
      </w:pPr>
      <w:r w:rsidRPr="00293ACA">
        <w:rPr>
          <w:lang w:eastAsia="ar-SA"/>
        </w:rPr>
        <w:t>tieslietu ministr</w:t>
      </w:r>
      <w:r>
        <w:rPr>
          <w:lang w:eastAsia="ar-SA"/>
        </w:rPr>
        <w:t xml:space="preserve">s                                                                 </w:t>
      </w:r>
      <w:r w:rsidRPr="00293ACA">
        <w:rPr>
          <w:lang w:eastAsia="ar-SA"/>
        </w:rPr>
        <w:t>Jānis Bordāns</w:t>
      </w:r>
      <w:bookmarkEnd w:id="2"/>
    </w:p>
    <w:sectPr w:rsidRPr="0031691C" w:rsidR="006123C8" w:rsidSect="004E748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821B4" w14:textId="77777777" w:rsidR="00A30085" w:rsidRDefault="00A30085" w:rsidP="00E36C66">
      <w:r>
        <w:separator/>
      </w:r>
    </w:p>
  </w:endnote>
  <w:endnote w:type="continuationSeparator" w:id="0">
    <w:p w14:paraId="6FF39953" w14:textId="77777777" w:rsidR="00A30085" w:rsidRDefault="00A30085" w:rsidP="00E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320B" w14:textId="7C5E5F31" w:rsidR="00A63DF1" w:rsidRPr="00A63DF1" w:rsidRDefault="00A63DF1" w:rsidP="00A63DF1">
    <w:pPr>
      <w:jc w:val="both"/>
      <w:rPr>
        <w:sz w:val="20"/>
        <w:szCs w:val="20"/>
      </w:rPr>
    </w:pPr>
    <w:r w:rsidRPr="0024644B">
      <w:rPr>
        <w:sz w:val="20"/>
        <w:szCs w:val="20"/>
      </w:rPr>
      <w:t>TMProt_</w:t>
    </w:r>
    <w:r>
      <w:rPr>
        <w:sz w:val="20"/>
        <w:szCs w:val="20"/>
      </w:rPr>
      <w:t>0</w:t>
    </w:r>
    <w:r w:rsidR="006012F6">
      <w:rPr>
        <w:sz w:val="20"/>
        <w:szCs w:val="20"/>
      </w:rPr>
      <w:t>9</w:t>
    </w:r>
    <w:r>
      <w:rPr>
        <w:sz w:val="20"/>
        <w:szCs w:val="20"/>
      </w:rPr>
      <w:t>0221_ST_spried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638" w14:textId="3D78F864" w:rsidR="00195571" w:rsidRPr="005A1543" w:rsidRDefault="008374C3" w:rsidP="005A1543">
    <w:pPr>
      <w:jc w:val="both"/>
      <w:rPr>
        <w:sz w:val="20"/>
        <w:szCs w:val="20"/>
      </w:rPr>
    </w:pPr>
    <w:bookmarkStart w:id="3" w:name="_Hlk8122822"/>
    <w:bookmarkStart w:id="4" w:name="_Hlk8122823"/>
    <w:r w:rsidRPr="0024644B">
      <w:rPr>
        <w:sz w:val="20"/>
        <w:szCs w:val="20"/>
      </w:rPr>
      <w:t>TMProt_</w:t>
    </w:r>
    <w:bookmarkEnd w:id="3"/>
    <w:bookmarkEnd w:id="4"/>
    <w:r w:rsidR="00AD2B47">
      <w:rPr>
        <w:sz w:val="20"/>
        <w:szCs w:val="20"/>
      </w:rPr>
      <w:t>1</w:t>
    </w:r>
    <w:r w:rsidR="00023C55">
      <w:rPr>
        <w:sz w:val="20"/>
        <w:szCs w:val="20"/>
      </w:rPr>
      <w:t>2</w:t>
    </w:r>
    <w:r w:rsidR="0055698D">
      <w:rPr>
        <w:sz w:val="20"/>
        <w:szCs w:val="20"/>
      </w:rPr>
      <w:t>03</w:t>
    </w:r>
    <w:r w:rsidR="00F32148">
      <w:rPr>
        <w:sz w:val="20"/>
        <w:szCs w:val="20"/>
      </w:rPr>
      <w:t>21</w:t>
    </w:r>
    <w:r>
      <w:rPr>
        <w:sz w:val="20"/>
        <w:szCs w:val="20"/>
      </w:rPr>
      <w:t>_</w:t>
    </w:r>
    <w:r w:rsidR="00E36C66">
      <w:rPr>
        <w:sz w:val="20"/>
        <w:szCs w:val="20"/>
      </w:rPr>
      <w:t>ST_spried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4990" w14:textId="77777777" w:rsidR="00A30085" w:rsidRDefault="00A30085" w:rsidP="00E36C66">
      <w:r>
        <w:separator/>
      </w:r>
    </w:p>
  </w:footnote>
  <w:footnote w:type="continuationSeparator" w:id="0">
    <w:p w14:paraId="0DC04F2B" w14:textId="77777777" w:rsidR="00A30085" w:rsidRDefault="00A30085" w:rsidP="00E3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571" w:rsidP="00195571" w:rsidRDefault="008374C3" w14:paraId="5B741DA5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95571" w:rsidRDefault="00A30085" w14:paraId="10A23A6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195571" w:rsidP="00195571" w:rsidRDefault="008374C3" w14:paraId="1C3A30B8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195571" w:rsidRDefault="00A30085" w14:paraId="7F6BCB9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1136"/>
    <w:multiLevelType w:val="hybridMultilevel"/>
    <w:tmpl w:val="08B0BCB4"/>
    <w:lvl w:ilvl="0" w:tplc="6DE201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65B29"/>
    <w:multiLevelType w:val="hybridMultilevel"/>
    <w:tmpl w:val="4CE45298"/>
    <w:lvl w:ilvl="0" w:tplc="F4FCE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07705"/>
    <w:multiLevelType w:val="hybridMultilevel"/>
    <w:tmpl w:val="AC2ED0D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F9"/>
    <w:rsid w:val="00000363"/>
    <w:rsid w:val="00023C55"/>
    <w:rsid w:val="0004313A"/>
    <w:rsid w:val="0005394D"/>
    <w:rsid w:val="000613D6"/>
    <w:rsid w:val="000A1A8E"/>
    <w:rsid w:val="000A1BF9"/>
    <w:rsid w:val="000F2C0F"/>
    <w:rsid w:val="00110351"/>
    <w:rsid w:val="001228B9"/>
    <w:rsid w:val="00173C07"/>
    <w:rsid w:val="001875B9"/>
    <w:rsid w:val="001F7FED"/>
    <w:rsid w:val="00204D10"/>
    <w:rsid w:val="00293ACA"/>
    <w:rsid w:val="002E33BC"/>
    <w:rsid w:val="002F6F11"/>
    <w:rsid w:val="00306189"/>
    <w:rsid w:val="003124EC"/>
    <w:rsid w:val="0031691C"/>
    <w:rsid w:val="0034741D"/>
    <w:rsid w:val="003A108F"/>
    <w:rsid w:val="003B5180"/>
    <w:rsid w:val="003E1302"/>
    <w:rsid w:val="003E78CF"/>
    <w:rsid w:val="00403502"/>
    <w:rsid w:val="004825DF"/>
    <w:rsid w:val="00490D39"/>
    <w:rsid w:val="004B67C5"/>
    <w:rsid w:val="004C0563"/>
    <w:rsid w:val="004D2921"/>
    <w:rsid w:val="004E748F"/>
    <w:rsid w:val="00502963"/>
    <w:rsid w:val="0050322E"/>
    <w:rsid w:val="005272C4"/>
    <w:rsid w:val="00534BBE"/>
    <w:rsid w:val="005443CA"/>
    <w:rsid w:val="0055698D"/>
    <w:rsid w:val="005649C5"/>
    <w:rsid w:val="005A4E52"/>
    <w:rsid w:val="005C336D"/>
    <w:rsid w:val="005D5B76"/>
    <w:rsid w:val="005D7657"/>
    <w:rsid w:val="005E2BB5"/>
    <w:rsid w:val="005E35A1"/>
    <w:rsid w:val="005F5397"/>
    <w:rsid w:val="006012F6"/>
    <w:rsid w:val="006123C8"/>
    <w:rsid w:val="007340E0"/>
    <w:rsid w:val="00735E97"/>
    <w:rsid w:val="00741B3D"/>
    <w:rsid w:val="00742766"/>
    <w:rsid w:val="00745DEE"/>
    <w:rsid w:val="007F1494"/>
    <w:rsid w:val="008127CC"/>
    <w:rsid w:val="008374C3"/>
    <w:rsid w:val="008A04F2"/>
    <w:rsid w:val="008B4149"/>
    <w:rsid w:val="008C6719"/>
    <w:rsid w:val="008D436E"/>
    <w:rsid w:val="00913B8F"/>
    <w:rsid w:val="009155B2"/>
    <w:rsid w:val="009B2A1C"/>
    <w:rsid w:val="009D095B"/>
    <w:rsid w:val="00A30085"/>
    <w:rsid w:val="00A31CB0"/>
    <w:rsid w:val="00A63DF1"/>
    <w:rsid w:val="00A70322"/>
    <w:rsid w:val="00AA3E83"/>
    <w:rsid w:val="00AC58B7"/>
    <w:rsid w:val="00AD2B47"/>
    <w:rsid w:val="00AF6DF8"/>
    <w:rsid w:val="00BB27A6"/>
    <w:rsid w:val="00BB3D2D"/>
    <w:rsid w:val="00C351B3"/>
    <w:rsid w:val="00D36EE6"/>
    <w:rsid w:val="00D42E42"/>
    <w:rsid w:val="00DF6983"/>
    <w:rsid w:val="00E36C66"/>
    <w:rsid w:val="00E405EB"/>
    <w:rsid w:val="00E95A86"/>
    <w:rsid w:val="00F107C1"/>
    <w:rsid w:val="00F32148"/>
    <w:rsid w:val="00F36146"/>
    <w:rsid w:val="00F42A5A"/>
    <w:rsid w:val="00F5666E"/>
    <w:rsid w:val="00F747D4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193B8"/>
  <w15:chartTrackingRefBased/>
  <w15:docId w15:val="{70230412-C3A8-4D1F-B74F-8A5E4F3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B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A1B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A1BF9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0A1BF9"/>
  </w:style>
  <w:style w:type="paragraph" w:styleId="Pamatteksts">
    <w:name w:val="Body Text"/>
    <w:basedOn w:val="Parasts"/>
    <w:link w:val="PamattekstsRakstz"/>
    <w:rsid w:val="000A1BF9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0A1BF9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0A1BF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E36C6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36C6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6C6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6C66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67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671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671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67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671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325A-1418-48F2-8352-866AE473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turpmāko rīcību saistībā ar Satversmes tiesas 2019. gada 7. novembra spriedumu lietā Nr. 2018-25-01 "Par Latvijas Sodu izpildes kodeksa 50.4 panta atbilstību Latvijas Republikas Satversmes 91. pantam""</vt:lpstr>
      <vt:lpstr>Informatīvais ziņojums "Par turpmāko rīcību saistībā ar Satversmes tiesas 2019. gada 7. novembra spriedumu lietā Nr. 2018-25-01 "Par Latvijas Sodu izpildes kodeksa 50.4 panta atbilstību Latvijas Republikas Satversmes 91. pantam""</vt:lpstr>
    </vt:vector>
  </TitlesOfParts>
  <Company>Tielsietu ministrija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turpmāko rīcību saistībā ar Satversmes tiesas 2019. gada 7. novembra spriedumu lietā Nr. 2018-25-01 "Par Latvijas Sodu izpildes kodeksa 50.4 panta atbilstību Latvijas Republikas Satversmes 91. pantam""</dc:title>
  <dc:subject>Ministru kabineta sēdes protokollēmums</dc:subject>
  <dc:creator>Laura Šileikiste</dc:creator>
  <cp:keywords/>
  <dc:description>laura.sileikiste@tm.gov.lv, 67046125</dc:description>
  <cp:lastModifiedBy>Laura Šileikiste</cp:lastModifiedBy>
  <cp:revision>2</cp:revision>
  <dcterms:created xsi:type="dcterms:W3CDTF">2021-03-15T10:52:00Z</dcterms:created>
  <dcterms:modified xsi:type="dcterms:W3CDTF">2021-03-15T10:52:00Z</dcterms:modified>
</cp:coreProperties>
</file>