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17FF638F" w14:textId="472B6C81" w:rsidR="00A058DA" w:rsidRPr="00313C2D" w:rsidRDefault="003148AF" w:rsidP="00A058DA">
            <w:pPr>
              <w:jc w:val="center"/>
              <w:rPr>
                <w:b/>
              </w:rPr>
            </w:pPr>
            <w:r w:rsidRPr="003148AF">
              <w:rPr>
                <w:color w:val="000000"/>
              </w:rPr>
              <w:t>Ministru kabineta rīkojuma projekt</w:t>
            </w:r>
            <w:r w:rsidR="00A058DA">
              <w:rPr>
                <w:color w:val="000000"/>
              </w:rPr>
              <w:t>u</w:t>
            </w:r>
            <w:r w:rsidRPr="003148AF">
              <w:rPr>
                <w:color w:val="000000"/>
              </w:rPr>
              <w:t xml:space="preserve"> „ </w:t>
            </w:r>
            <w:r w:rsidR="00A058DA" w:rsidRPr="00A058DA">
              <w:rPr>
                <w:color w:val="000000"/>
              </w:rPr>
              <w:t>Par vides aizsardzības sektorā nodarbināto vakcināciju”</w:t>
            </w:r>
          </w:p>
          <w:p w14:paraId="4FA397F3" w14:textId="3B9B28E9" w:rsidR="000E4698" w:rsidRPr="00475925" w:rsidRDefault="000E4698" w:rsidP="00526450">
            <w:pPr>
              <w:ind w:left="223"/>
              <w:jc w:val="center"/>
              <w:rPr>
                <w:color w:val="000000"/>
              </w:rPr>
            </w:pP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287CFDD2" w:rsidR="000E4698" w:rsidRPr="00475925" w:rsidRDefault="00A058DA" w:rsidP="00526450">
            <w:pPr>
              <w:pStyle w:val="NormalWeb"/>
              <w:spacing w:before="0" w:beforeAutospacing="0" w:after="0" w:afterAutospacing="0"/>
              <w:jc w:val="both"/>
              <w:rPr>
                <w:color w:val="000000"/>
              </w:rPr>
            </w:pPr>
            <w:r>
              <w:rPr>
                <w:color w:val="000000"/>
              </w:rPr>
              <w:t>21.04.2021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02D95CC7" w:rsidR="009B28BA" w:rsidRPr="00475925" w:rsidRDefault="00A74AED" w:rsidP="003148AF">
            <w:pPr>
              <w:pStyle w:val="NormalWeb"/>
              <w:spacing w:before="0" w:beforeAutospacing="0" w:after="0" w:afterAutospacing="0"/>
              <w:jc w:val="both"/>
              <w:rPr>
                <w:color w:val="000000"/>
              </w:rPr>
            </w:pPr>
            <w:r w:rsidRPr="008C28A4">
              <w:rPr>
                <w:color w:val="000000"/>
              </w:rPr>
              <w:t>Tieslietu ministrija</w:t>
            </w:r>
            <w:r w:rsidR="005504E5">
              <w:rPr>
                <w:color w:val="000000"/>
              </w:rPr>
              <w:t xml:space="preserve">, Veselības </w:t>
            </w:r>
            <w:r w:rsidR="00A058DA">
              <w:rPr>
                <w:color w:val="000000"/>
              </w:rPr>
              <w:t>ministrija</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2F57E0E"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bookmarkStart w:id="0" w:name="_Hlk64962621"/>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52A477A8" w14:textId="16CE0D55" w:rsidR="00526450" w:rsidRPr="00526450" w:rsidRDefault="00526450" w:rsidP="007A2107">
            <w:pPr>
              <w:jc w:val="both"/>
              <w:rPr>
                <w:b/>
                <w:bCs/>
                <w:color w:val="000000" w:themeColor="text1"/>
              </w:rPr>
            </w:pPr>
            <w:r w:rsidRPr="00526450">
              <w:rPr>
                <w:b/>
                <w:bCs/>
                <w:color w:val="000000" w:themeColor="text1"/>
              </w:rPr>
              <w:t>Tieslietu ministrija</w:t>
            </w:r>
            <w:r w:rsidR="00A058DA">
              <w:rPr>
                <w:b/>
                <w:bCs/>
                <w:color w:val="000000" w:themeColor="text1"/>
              </w:rPr>
              <w:t>, 22.04.2021</w:t>
            </w:r>
          </w:p>
          <w:p w14:paraId="3C2FF6D7" w14:textId="77777777" w:rsidR="00A058DA" w:rsidRPr="00746B48" w:rsidRDefault="00A058DA" w:rsidP="00D81C36">
            <w:pPr>
              <w:ind w:firstLine="567"/>
              <w:jc w:val="both"/>
            </w:pPr>
            <w:r w:rsidRPr="00746B48">
              <w:t xml:space="preserve">Tieslietu ministrija ir izskatījusi </w:t>
            </w:r>
            <w:r w:rsidRPr="00FB3209">
              <w:t xml:space="preserve">Vides aizsardzības un reģionālās attīstības </w:t>
            </w:r>
            <w:r w:rsidRPr="00746B48">
              <w:t xml:space="preserve">ministrijas </w:t>
            </w:r>
            <w:r>
              <w:t xml:space="preserve">sagatavoto </w:t>
            </w:r>
            <w:r w:rsidRPr="00BE0CAA">
              <w:t xml:space="preserve">informatīvo ziņojumu “Par Ministru kabineta 2021. gada 16. februāra sēdes protokollēmuma (protokols Nr. 17 3.§) 4. punkta izpildi” </w:t>
            </w:r>
            <w:r w:rsidRPr="00746B48">
              <w:t xml:space="preserve">(turpmāk – projekts) un atbalsta </w:t>
            </w:r>
            <w:r>
              <w:t xml:space="preserve">tā </w:t>
            </w:r>
            <w:r w:rsidRPr="00746B48">
              <w:t>tālāku virzību</w:t>
            </w:r>
            <w:r>
              <w:t>,</w:t>
            </w:r>
            <w:r w:rsidRPr="00746B48">
              <w:t xml:space="preserve"> izsakot šādu</w:t>
            </w:r>
            <w:r>
              <w:t xml:space="preserve"> </w:t>
            </w:r>
            <w:r w:rsidRPr="00746B48">
              <w:t>iebildumu:</w:t>
            </w:r>
            <w:r w:rsidRPr="00746B48">
              <w:rPr>
                <w:b/>
                <w:bCs/>
              </w:rPr>
              <w:t xml:space="preserve"> </w:t>
            </w:r>
          </w:p>
          <w:p w14:paraId="3485B246" w14:textId="7CE3E3A8" w:rsidR="00E248E4" w:rsidRPr="00A058DA" w:rsidRDefault="00A058DA" w:rsidP="00FA656C">
            <w:pPr>
              <w:ind w:firstLine="567"/>
              <w:jc w:val="both"/>
              <w:rPr>
                <w:bCs/>
              </w:rPr>
            </w:pPr>
            <w:r>
              <w:rPr>
                <w:bCs/>
              </w:rPr>
              <w:t xml:space="preserve">Projektā ir norādīts, ka </w:t>
            </w:r>
            <w:r w:rsidRPr="00411BE9">
              <w:rPr>
                <w:bCs/>
                <w:i/>
                <w:iCs/>
              </w:rPr>
              <w:t xml:space="preserve">saistībā ar ūdenssaimniecības pakalpojumu jomu Ministrijas rīcībā ir informācija, ka šajā nozarē nodarbinātie kritiski svarīgie darbinieki, </w:t>
            </w:r>
            <w:r w:rsidRPr="00411BE9">
              <w:rPr>
                <w:bCs/>
                <w:i/>
                <w:iCs/>
                <w:u w:val="single"/>
              </w:rPr>
              <w:t>kopskaitā 450</w:t>
            </w:r>
            <w:r w:rsidRPr="00411BE9">
              <w:rPr>
                <w:bCs/>
                <w:i/>
                <w:iCs/>
              </w:rPr>
              <w:t xml:space="preserve"> visas Latvijas teritorijā</w:t>
            </w:r>
            <w:r>
              <w:rPr>
                <w:bCs/>
              </w:rPr>
              <w:t xml:space="preserve">. Tāpat projektā norādīts, ka </w:t>
            </w:r>
            <w:r w:rsidRPr="00411BE9">
              <w:rPr>
                <w:bCs/>
                <w:i/>
                <w:iCs/>
              </w:rPr>
              <w:t>iestāžu vadītājiem un komersantiem, kuri sniedz ūdenssaimniecības pakalpojumus, atbilstoši Ministru kabineta 2021. gada 13. aprīļa noteikumu Nr. 230 “Grozījumi Ministru kabineta 2020. gada 9. jūnija noteikumos Nr. 360 “Epidemioloģiskās drošības prasības Covid-19 infekcijas izplatības ierobežošanai” 62.</w:t>
            </w:r>
            <w:r w:rsidRPr="00411BE9">
              <w:rPr>
                <w:bCs/>
                <w:i/>
                <w:iCs/>
                <w:vertAlign w:val="superscript"/>
              </w:rPr>
              <w:t>21</w:t>
            </w:r>
            <w:r w:rsidRPr="00411BE9">
              <w:rPr>
                <w:bCs/>
                <w:i/>
                <w:iCs/>
              </w:rPr>
              <w:t xml:space="preserve"> punkta prasībām sagatavot prioritāri vakcinējamo personu sarakstu un to iesniegt Nacionālajā veselības dienestā</w:t>
            </w:r>
            <w:r>
              <w:rPr>
                <w:bCs/>
              </w:rPr>
              <w:t xml:space="preserve">. Attiecīgi no projekta secināms, ka </w:t>
            </w:r>
            <w:r w:rsidRPr="00411BE9">
              <w:rPr>
                <w:bCs/>
              </w:rPr>
              <w:t>ūdenssaimniecības pakalpojumu jom</w:t>
            </w:r>
            <w:r>
              <w:rPr>
                <w:bCs/>
              </w:rPr>
              <w:t xml:space="preserve">as </w:t>
            </w:r>
            <w:r>
              <w:rPr>
                <w:bCs/>
              </w:rPr>
              <w:lastRenderedPageBreak/>
              <w:t xml:space="preserve">nodarbinātie nav apzināti kā vakcinējamā grupa, bet ir apzināts tikai attiecīgajā profesijā nodarbināto personu kopskaits. </w:t>
            </w:r>
            <w:r w:rsidRPr="00411BE9">
              <w:rPr>
                <w:bCs/>
              </w:rPr>
              <w:t xml:space="preserve">Ņemot vērā minēto lūdzam precizēt projektu, norādot konkrētu vakcinējamo personu </w:t>
            </w:r>
            <w:r>
              <w:rPr>
                <w:bCs/>
              </w:rPr>
              <w:t>(</w:t>
            </w:r>
            <w:r w:rsidRPr="00411BE9">
              <w:rPr>
                <w:bCs/>
              </w:rPr>
              <w:t>ūdenssaimniecības pakalpojumu jom</w:t>
            </w:r>
            <w:r>
              <w:rPr>
                <w:bCs/>
              </w:rPr>
              <w:t xml:space="preserve">as nodarbināto) </w:t>
            </w:r>
            <w:r w:rsidRPr="00411BE9">
              <w:rPr>
                <w:bCs/>
              </w:rPr>
              <w:t>skaitu, kas ir stratēģiski svarīgi, lai ar projektu apzinātu konkrēto vakcinējamo personu loku</w:t>
            </w:r>
            <w:r w:rsidR="00526450" w:rsidRPr="00526450">
              <w:rPr>
                <w:bCs/>
                <w:color w:val="000000" w:themeColor="text1"/>
              </w:rPr>
              <w:t>.</w:t>
            </w:r>
          </w:p>
        </w:tc>
        <w:tc>
          <w:tcPr>
            <w:tcW w:w="2555" w:type="dxa"/>
          </w:tcPr>
          <w:p w14:paraId="4A14F990" w14:textId="50F63808" w:rsidR="00634A85" w:rsidRDefault="00132652" w:rsidP="007A2107">
            <w:pPr>
              <w:jc w:val="both"/>
              <w:rPr>
                <w:b/>
                <w:bCs/>
                <w:color w:val="000000" w:themeColor="text1"/>
              </w:rPr>
            </w:pPr>
            <w:r>
              <w:rPr>
                <w:b/>
                <w:bCs/>
                <w:color w:val="000000" w:themeColor="text1"/>
              </w:rPr>
              <w:lastRenderedPageBreak/>
              <w:t>Iebildums ņemts vērā.</w:t>
            </w:r>
          </w:p>
          <w:p w14:paraId="10D06BA4" w14:textId="6DDE242E" w:rsidR="00132652" w:rsidRPr="00132652" w:rsidRDefault="00132652" w:rsidP="007A2107">
            <w:pPr>
              <w:jc w:val="both"/>
              <w:rPr>
                <w:color w:val="000000" w:themeColor="text1"/>
              </w:rPr>
            </w:pPr>
            <w:r>
              <w:rPr>
                <w:color w:val="000000" w:themeColor="text1"/>
              </w:rPr>
              <w:t>Sagatavots Ministru kabineta rīkojuma projekts par vides nozares kritiski svarīgo nodarbināto vakcināciju (Valsts vides dienests).</w:t>
            </w:r>
          </w:p>
          <w:p w14:paraId="0B2AC3A3" w14:textId="42D0A3DC" w:rsidR="00E248E4" w:rsidRPr="00E248E4" w:rsidRDefault="00E248E4" w:rsidP="00C55571">
            <w:pPr>
              <w:jc w:val="both"/>
              <w:rPr>
                <w:bCs/>
                <w:color w:val="000000" w:themeColor="text1"/>
              </w:rPr>
            </w:pPr>
          </w:p>
        </w:tc>
        <w:tc>
          <w:tcPr>
            <w:tcW w:w="4817" w:type="dxa"/>
          </w:tcPr>
          <w:p w14:paraId="61A4CCEA" w14:textId="2FF3EAEE" w:rsidR="00E248E4" w:rsidRPr="00132652" w:rsidRDefault="00132652" w:rsidP="00132652">
            <w:pPr>
              <w:jc w:val="center"/>
              <w:rPr>
                <w:b/>
              </w:rPr>
            </w:pPr>
            <w:r w:rsidRPr="003148AF">
              <w:rPr>
                <w:color w:val="000000"/>
              </w:rPr>
              <w:t>Ministru kabineta rīkojuma projekt</w:t>
            </w:r>
            <w:r>
              <w:rPr>
                <w:color w:val="000000"/>
              </w:rPr>
              <w:t xml:space="preserve">s </w:t>
            </w:r>
            <w:r w:rsidRPr="003148AF">
              <w:rPr>
                <w:color w:val="000000"/>
              </w:rPr>
              <w:t xml:space="preserve">„ </w:t>
            </w:r>
            <w:r w:rsidRPr="00A058DA">
              <w:rPr>
                <w:color w:val="000000"/>
              </w:rPr>
              <w:t>Par vides aizsardzības sektorā nodarbināto vakcināciju”</w:t>
            </w:r>
          </w:p>
        </w:tc>
      </w:tr>
      <w:bookmarkEnd w:id="0"/>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30C73829" w14:textId="25A34F56" w:rsidR="00AF23FD" w:rsidRDefault="00A058DA" w:rsidP="00A058DA">
      <w:pPr>
        <w:tabs>
          <w:tab w:val="left" w:pos="1725"/>
        </w:tabs>
        <w:jc w:val="both"/>
        <w:rPr>
          <w:color w:val="000000" w:themeColor="text1"/>
          <w:szCs w:val="20"/>
        </w:rPr>
      </w:pPr>
      <w:r>
        <w:rPr>
          <w:color w:val="000000" w:themeColor="text1"/>
          <w:szCs w:val="20"/>
        </w:rPr>
        <w:t>Marta Ošleja</w:t>
      </w:r>
    </w:p>
    <w:p w14:paraId="21677D54" w14:textId="22276A8D"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w:t>
      </w:r>
      <w:r w:rsidR="00A058DA">
        <w:rPr>
          <w:color w:val="000000" w:themeColor="text1"/>
          <w:szCs w:val="20"/>
        </w:rPr>
        <w:t>534</w:t>
      </w:r>
      <w:r w:rsidRPr="00580605">
        <w:rPr>
          <w:color w:val="000000" w:themeColor="text1"/>
          <w:szCs w:val="20"/>
        </w:rPr>
        <w:t>, e-past</w:t>
      </w:r>
      <w:r w:rsidR="00132652">
        <w:rPr>
          <w:szCs w:val="20"/>
        </w:rPr>
        <w:t>s: Marta.Osleja@varam.gov.lv</w:t>
      </w:r>
      <w:r w:rsidR="00132652" w:rsidRPr="00854F75">
        <w:t xml:space="preserve"> </w:t>
      </w:r>
    </w:p>
    <w:sectPr w:rsidR="0012434D" w:rsidRPr="00854F75" w:rsidSect="00BD17EB">
      <w:headerReference w:type="default" r:id="rId11"/>
      <w:footerReference w:type="default" r:id="rId12"/>
      <w:footerReference w:type="first" r:id="rId13"/>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7077" w14:textId="77777777" w:rsidR="000633FC" w:rsidRDefault="000633FC" w:rsidP="000E4698">
      <w:r>
        <w:separator/>
      </w:r>
    </w:p>
  </w:endnote>
  <w:endnote w:type="continuationSeparator" w:id="0">
    <w:p w14:paraId="31594B8D" w14:textId="77777777" w:rsidR="000633FC" w:rsidRDefault="000633FC"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5BE4185D" w:rsidR="00D60738" w:rsidRPr="007A2107" w:rsidRDefault="007A2107" w:rsidP="007A2107">
    <w:pPr>
      <w:pStyle w:val="Footer"/>
    </w:pPr>
    <w:r w:rsidRPr="007A2107">
      <w:rPr>
        <w:sz w:val="20"/>
        <w:szCs w:val="20"/>
      </w:rPr>
      <w:t>VARAMIzzina_</w:t>
    </w:r>
    <w:r w:rsidR="00526450">
      <w:rPr>
        <w:sz w:val="20"/>
        <w:szCs w:val="20"/>
      </w:rPr>
      <w:t>1102</w:t>
    </w:r>
    <w:r w:rsidRPr="007A2107">
      <w:rPr>
        <w:sz w:val="20"/>
        <w:szCs w:val="20"/>
      </w:rPr>
      <w:t>21_</w:t>
    </w:r>
    <w:r w:rsidR="00526450">
      <w:rPr>
        <w:sz w:val="20"/>
        <w:szCs w:val="20"/>
      </w:rPr>
      <w:t>Cesis_Vaive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559C5974" w:rsidR="00D60738" w:rsidRPr="00B93FB3" w:rsidRDefault="00D60738" w:rsidP="00B93FB3">
    <w:pPr>
      <w:pStyle w:val="Footer"/>
      <w:rPr>
        <w:sz w:val="20"/>
        <w:szCs w:val="20"/>
      </w:rPr>
    </w:pPr>
    <w:r>
      <w:rPr>
        <w:sz w:val="20"/>
        <w:szCs w:val="20"/>
      </w:rPr>
      <w:t>VARAMIzzina_</w:t>
    </w:r>
    <w:r w:rsidR="00526450">
      <w:rPr>
        <w:sz w:val="20"/>
        <w:szCs w:val="20"/>
      </w:rPr>
      <w:t>1102</w:t>
    </w:r>
    <w:r w:rsidR="007A2107">
      <w:rPr>
        <w:sz w:val="20"/>
        <w:szCs w:val="20"/>
      </w:rPr>
      <w:t>21</w:t>
    </w:r>
    <w:r>
      <w:rPr>
        <w:sz w:val="20"/>
        <w:szCs w:val="20"/>
      </w:rPr>
      <w:t>_</w:t>
    </w:r>
    <w:r w:rsidR="00526450">
      <w:rPr>
        <w:sz w:val="20"/>
        <w:szCs w:val="20"/>
      </w:rPr>
      <w:t>Cesis_Vaive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3681" w14:textId="77777777" w:rsidR="000633FC" w:rsidRDefault="000633FC" w:rsidP="000E4698">
      <w:r>
        <w:separator/>
      </w:r>
    </w:p>
  </w:footnote>
  <w:footnote w:type="continuationSeparator" w:id="0">
    <w:p w14:paraId="480E262D" w14:textId="77777777" w:rsidR="000633FC" w:rsidRDefault="000633FC"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47C82CD0" w:rsidR="00D60738" w:rsidRDefault="00D60738" w:rsidP="001E08AC">
        <w:pPr>
          <w:pStyle w:val="Header"/>
          <w:jc w:val="center"/>
        </w:pPr>
        <w:r>
          <w:fldChar w:fldCharType="begin"/>
        </w:r>
        <w:r>
          <w:instrText xml:space="preserve"> PAGE   \* MERGEFORMAT </w:instrText>
        </w:r>
        <w:r>
          <w:fldChar w:fldCharType="separate"/>
        </w:r>
        <w:r w:rsidR="00C55571">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3F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652"/>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04E5"/>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1C11"/>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2C5C"/>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58DA"/>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1C36"/>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656C"/>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 w:type="character" w:styleId="UnresolvedMention">
    <w:name w:val="Unresolved Mention"/>
    <w:basedOn w:val="DefaultParagraphFont"/>
    <w:uiPriority w:val="99"/>
    <w:semiHidden/>
    <w:unhideWhenUsed/>
    <w:rsid w:val="00A0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DD5FFC46-B8A0-420E-8615-7D8627137AA2}">
  <ds:schemaRefs>
    <ds:schemaRef ds:uri="http://schemas.openxmlformats.org/officeDocument/2006/bibliography"/>
  </ds:schemaRefs>
</ds:datastoreItem>
</file>

<file path=customXml/itemProps4.xml><?xml version="1.0" encoding="utf-8"?>
<ds:datastoreItem xmlns:ds="http://schemas.openxmlformats.org/officeDocument/2006/customXml" ds:itemID="{3BED01E3-7E15-4018-93F1-8C686DB6E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2140</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Marta Ošleja</dc:creator>
  <dc:description>Marta.Osleja@varam.gov.lv</dc:description>
  <cp:lastModifiedBy>Madara Gaile</cp:lastModifiedBy>
  <cp:revision>8</cp:revision>
  <cp:lastPrinted>2019-02-05T15:50:00Z</cp:lastPrinted>
  <dcterms:created xsi:type="dcterms:W3CDTF">2021-04-23T05:03:00Z</dcterms:created>
  <dcterms:modified xsi:type="dcterms:W3CDTF">2021-04-23T06:24:00Z</dcterms:modified>
  <cp:category>Veselības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