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7FB2C404" w:rsidR="000E4698" w:rsidRPr="00475925" w:rsidRDefault="003148AF" w:rsidP="001401B0">
            <w:pPr>
              <w:ind w:left="223"/>
              <w:jc w:val="center"/>
              <w:rPr>
                <w:color w:val="000000"/>
              </w:rPr>
            </w:pPr>
            <w:r w:rsidRPr="003148AF">
              <w:rPr>
                <w:color w:val="000000"/>
              </w:rPr>
              <w:t>Mini</w:t>
            </w:r>
            <w:r w:rsidR="001401B0">
              <w:rPr>
                <w:color w:val="000000"/>
              </w:rPr>
              <w:t>stru kabineta rīkojuma projektu “</w:t>
            </w:r>
            <w:r w:rsidR="001401B0" w:rsidRPr="001401B0">
              <w:rPr>
                <w:color w:val="000000"/>
              </w:rPr>
              <w:t>Par Ministru kabineta 2017.gada 4.jūlija rīkojuma Nr. 341 “Par valstij piekrītošā nekustamā īpašuma Zāļu ielā 36, Priekulē, Priekules novadā, nodošanu Priekules novada pašvaldības īpašumā” atcelšanu</w:t>
            </w:r>
            <w:r w:rsidRPr="003148AF">
              <w:rPr>
                <w:color w:val="000000"/>
              </w:rPr>
              <w:t>”</w:t>
            </w:r>
            <w:r w:rsidR="007A2107">
              <w:rPr>
                <w:color w:val="000000"/>
              </w:rPr>
              <w:t xml:space="preserve"> VSS-</w:t>
            </w:r>
            <w:r w:rsidR="001401B0">
              <w:rPr>
                <w:color w:val="000000"/>
              </w:rPr>
              <w:t>141</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085AB04B" w:rsidR="000E4698" w:rsidRPr="00475925" w:rsidRDefault="003148AF" w:rsidP="001401B0">
            <w:pPr>
              <w:pStyle w:val="NormalWeb"/>
              <w:spacing w:before="0" w:beforeAutospacing="0" w:after="0" w:afterAutospacing="0"/>
              <w:jc w:val="both"/>
              <w:rPr>
                <w:color w:val="000000"/>
              </w:rPr>
            </w:pPr>
            <w:r>
              <w:rPr>
                <w:color w:val="000000" w:themeColor="text1"/>
              </w:rPr>
              <w:t xml:space="preserve"> VSS-1</w:t>
            </w:r>
            <w:r w:rsidR="001401B0">
              <w:rPr>
                <w:color w:val="000000" w:themeColor="text1"/>
              </w:rPr>
              <w:t>41</w:t>
            </w:r>
            <w:r w:rsidR="004C3C53">
              <w:rPr>
                <w:color w:val="000000" w:themeColor="text1"/>
              </w:rPr>
              <w:t xml:space="preserve">; </w:t>
            </w:r>
            <w:r w:rsidR="001401B0">
              <w:rPr>
                <w:color w:val="000000" w:themeColor="text1"/>
              </w:rPr>
              <w:t>25.02</w:t>
            </w:r>
            <w:r w:rsidR="004C3C53">
              <w:rPr>
                <w:color w:val="000000" w:themeColor="text1"/>
              </w:rPr>
              <w:t>.2021.</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413B08A" w:rsidR="000E4698" w:rsidRPr="00475925" w:rsidRDefault="003148AF" w:rsidP="001401B0">
            <w:pPr>
              <w:pStyle w:val="naiskr"/>
              <w:spacing w:before="0" w:after="0"/>
              <w:ind w:left="-108"/>
              <w:jc w:val="both"/>
              <w:rPr>
                <w:color w:val="000000"/>
              </w:rPr>
            </w:pPr>
            <w:r>
              <w:rPr>
                <w:color w:val="000000" w:themeColor="text1"/>
              </w:rPr>
              <w:t>Finanšu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8"/>
        <w:gridCol w:w="2523"/>
        <w:gridCol w:w="6124"/>
        <w:gridCol w:w="3118"/>
        <w:gridCol w:w="2977"/>
      </w:tblGrid>
      <w:tr w:rsidR="00D7241B" w:rsidRPr="00475925" w14:paraId="2FCDD50B" w14:textId="77777777" w:rsidTr="00993617">
        <w:tc>
          <w:tcPr>
            <w:tcW w:w="704" w:type="dxa"/>
            <w:gridSpan w:val="2"/>
            <w:vAlign w:val="center"/>
          </w:tcPr>
          <w:p w14:paraId="1D3D9B2F" w14:textId="79078DE4" w:rsidR="00D7241B" w:rsidRPr="00475925" w:rsidRDefault="00D7241B" w:rsidP="004C3C53">
            <w:pPr>
              <w:pStyle w:val="naisc"/>
              <w:spacing w:before="0" w:after="0"/>
            </w:pPr>
            <w:r>
              <w:t>Nr. p.k.</w:t>
            </w:r>
          </w:p>
        </w:tc>
        <w:tc>
          <w:tcPr>
            <w:tcW w:w="2523" w:type="dxa"/>
            <w:vAlign w:val="center"/>
          </w:tcPr>
          <w:p w14:paraId="5F770C33" w14:textId="2432013D" w:rsidR="00D7241B" w:rsidRPr="00475925" w:rsidRDefault="00D7241B" w:rsidP="004C3C53">
            <w:pPr>
              <w:pStyle w:val="naisc"/>
              <w:spacing w:before="0" w:after="0"/>
              <w:ind w:firstLine="12"/>
            </w:pPr>
            <w:r w:rsidRPr="00E3343C">
              <w:t>Saskaņošanai nosūtītā projekta redakcija (konkrēta punkta (panta) redakcija)</w:t>
            </w:r>
          </w:p>
        </w:tc>
        <w:tc>
          <w:tcPr>
            <w:tcW w:w="6124" w:type="dxa"/>
            <w:vAlign w:val="center"/>
          </w:tcPr>
          <w:p w14:paraId="751BEE38" w14:textId="464B93E3" w:rsidR="00D7241B" w:rsidRPr="00475925" w:rsidRDefault="00D7241B" w:rsidP="004C3C53">
            <w:pPr>
              <w:pStyle w:val="naisc"/>
              <w:spacing w:before="0" w:after="0"/>
              <w:ind w:right="3"/>
            </w:pPr>
            <w:r>
              <w:t>Atzinumā norādītais ministrijas (citas institūcijas) iebildums, kā arī saskaņošanā papildus izteiktais iebildums par projekta konkrēto punktu (pantu)</w:t>
            </w:r>
          </w:p>
        </w:tc>
        <w:tc>
          <w:tcPr>
            <w:tcW w:w="3118" w:type="dxa"/>
            <w:vAlign w:val="center"/>
          </w:tcPr>
          <w:p w14:paraId="4B8ED78C" w14:textId="1738F24F" w:rsidR="00D7241B" w:rsidRPr="00475925" w:rsidRDefault="00D7241B" w:rsidP="004C3C53">
            <w:pPr>
              <w:pStyle w:val="naisc"/>
              <w:spacing w:before="0" w:after="0"/>
              <w:ind w:firstLine="21"/>
            </w:pPr>
            <w:r>
              <w:t>Atbildīgās ministrijas norāde par to, ka iebildums ir ņemts vērā, vai informācija par saskaņošanā panākto alternatīvo risinājumu</w:t>
            </w:r>
          </w:p>
        </w:tc>
        <w:tc>
          <w:tcPr>
            <w:tcW w:w="2977" w:type="dxa"/>
            <w:vAlign w:val="center"/>
          </w:tcPr>
          <w:p w14:paraId="41F003C8" w14:textId="6BC2B50D" w:rsidR="00D7241B" w:rsidRPr="00475925" w:rsidRDefault="00D7241B" w:rsidP="004C3C53">
            <w:pPr>
              <w:jc w:val="center"/>
            </w:pPr>
            <w:r>
              <w:t>Projekta attiecīgā punkta (panta) galīgā redakcija</w:t>
            </w:r>
          </w:p>
        </w:tc>
      </w:tr>
      <w:tr w:rsidR="00D7241B" w:rsidRPr="00475925" w14:paraId="7FA5DBD5" w14:textId="77777777" w:rsidTr="00993617">
        <w:tc>
          <w:tcPr>
            <w:tcW w:w="704" w:type="dxa"/>
            <w:gridSpan w:val="2"/>
          </w:tcPr>
          <w:p w14:paraId="1342461B" w14:textId="27A8AE3B" w:rsidR="00D7241B" w:rsidRPr="00475925" w:rsidRDefault="00D7241B" w:rsidP="004C3C53">
            <w:pPr>
              <w:pStyle w:val="naisc"/>
              <w:spacing w:before="0" w:after="0"/>
            </w:pPr>
            <w:r>
              <w:t>1</w:t>
            </w:r>
          </w:p>
        </w:tc>
        <w:tc>
          <w:tcPr>
            <w:tcW w:w="2523" w:type="dxa"/>
          </w:tcPr>
          <w:p w14:paraId="70883659" w14:textId="0D30E6AD" w:rsidR="00D7241B" w:rsidRPr="00475925" w:rsidRDefault="00D7241B" w:rsidP="004C3C53">
            <w:pPr>
              <w:pStyle w:val="naisc"/>
              <w:spacing w:before="0" w:after="0"/>
              <w:ind w:firstLine="12"/>
            </w:pPr>
            <w:r w:rsidRPr="00E3343C">
              <w:t>2</w:t>
            </w:r>
          </w:p>
        </w:tc>
        <w:tc>
          <w:tcPr>
            <w:tcW w:w="6124" w:type="dxa"/>
          </w:tcPr>
          <w:p w14:paraId="3499EB8B" w14:textId="280E3B23" w:rsidR="00D7241B" w:rsidRPr="00475925" w:rsidRDefault="00D7241B" w:rsidP="004C3C53">
            <w:pPr>
              <w:pStyle w:val="naisc"/>
              <w:spacing w:before="0" w:after="0"/>
              <w:ind w:right="3"/>
            </w:pPr>
            <w:r>
              <w:t>3</w:t>
            </w:r>
          </w:p>
        </w:tc>
        <w:tc>
          <w:tcPr>
            <w:tcW w:w="3118" w:type="dxa"/>
          </w:tcPr>
          <w:p w14:paraId="0FEE0D0A" w14:textId="44FF81B6" w:rsidR="00D7241B" w:rsidRPr="00475925" w:rsidRDefault="00D7241B" w:rsidP="004C3C53">
            <w:pPr>
              <w:pStyle w:val="naisc"/>
              <w:spacing w:before="0" w:after="0"/>
              <w:ind w:firstLine="21"/>
            </w:pPr>
            <w:r>
              <w:t>4</w:t>
            </w:r>
          </w:p>
        </w:tc>
        <w:tc>
          <w:tcPr>
            <w:tcW w:w="2977" w:type="dxa"/>
          </w:tcPr>
          <w:p w14:paraId="3A76EE6F" w14:textId="191FEE59" w:rsidR="00D7241B" w:rsidRPr="00475925" w:rsidRDefault="00D7241B" w:rsidP="004C3C53">
            <w:pPr>
              <w:jc w:val="center"/>
            </w:pPr>
            <w:r>
              <w:t>5</w:t>
            </w:r>
          </w:p>
        </w:tc>
      </w:tr>
      <w:tr w:rsidR="004C3C53" w14:paraId="4CF5FDB6" w14:textId="77777777" w:rsidTr="004C3C53">
        <w:tc>
          <w:tcPr>
            <w:tcW w:w="15446" w:type="dxa"/>
            <w:gridSpan w:val="6"/>
          </w:tcPr>
          <w:p w14:paraId="08EB7BB8" w14:textId="3731BE66" w:rsidR="004C3C53" w:rsidRDefault="004C3C53" w:rsidP="004C3C53">
            <w:pPr>
              <w:jc w:val="center"/>
              <w:rPr>
                <w:b/>
                <w:bCs/>
                <w:color w:val="000000" w:themeColor="text1"/>
              </w:rPr>
            </w:pPr>
            <w:r>
              <w:rPr>
                <w:b/>
                <w:bCs/>
                <w:color w:val="000000" w:themeColor="text1"/>
              </w:rPr>
              <w:t>Atzinumi pēc izsludināšanas VSS</w:t>
            </w:r>
          </w:p>
        </w:tc>
      </w:tr>
      <w:tr w:rsidR="00E248E4" w14:paraId="515DEFF6" w14:textId="54587C49" w:rsidTr="00993617">
        <w:tc>
          <w:tcPr>
            <w:tcW w:w="696" w:type="dxa"/>
          </w:tcPr>
          <w:p w14:paraId="3A93C0F3" w14:textId="564EDA59" w:rsidR="00E248E4" w:rsidRPr="007A2107" w:rsidRDefault="001401B0" w:rsidP="004C3C53">
            <w:pPr>
              <w:jc w:val="both"/>
              <w:rPr>
                <w:bCs/>
                <w:color w:val="000000" w:themeColor="text1"/>
              </w:rPr>
            </w:pPr>
            <w:r>
              <w:rPr>
                <w:bCs/>
                <w:color w:val="000000" w:themeColor="text1"/>
              </w:rPr>
              <w:t>1.</w:t>
            </w:r>
          </w:p>
        </w:tc>
        <w:tc>
          <w:tcPr>
            <w:tcW w:w="2531" w:type="dxa"/>
            <w:gridSpan w:val="2"/>
          </w:tcPr>
          <w:p w14:paraId="63D48EDF" w14:textId="28609BF0" w:rsidR="00E248E4" w:rsidRPr="0086484E" w:rsidRDefault="001401B0" w:rsidP="004C3C53">
            <w:pPr>
              <w:jc w:val="both"/>
              <w:rPr>
                <w:bCs/>
                <w:color w:val="000000" w:themeColor="text1"/>
              </w:rPr>
            </w:pPr>
            <w:r w:rsidRPr="001401B0">
              <w:rPr>
                <w:bCs/>
                <w:color w:val="000000" w:themeColor="text1"/>
              </w:rPr>
              <w:t xml:space="preserve">5. Ievērojot minēto, Ministru kabinets nolemj atcelt rīkojumu un, pamatojoties uz Ministru kabineta 2013. gada 26. novembra noteikumu Nr.1354 „Kārtība, kādā veicama valstij piekritīgās mantas uzskaite, novērtēšana, realizācija, nodošana bez maksas, iznīcināšana, un realizācijas ieņēmumu ieskaitīšana valsts budžetā” 32.4.apakšpunktu, nodot nekustamo īpašumu akciju sabiedrības "Publisko aktīvu pārvaldītājs </w:t>
            </w:r>
            <w:proofErr w:type="spellStart"/>
            <w:r w:rsidRPr="001401B0">
              <w:rPr>
                <w:bCs/>
                <w:color w:val="000000" w:themeColor="text1"/>
              </w:rPr>
              <w:t>Possessor</w:t>
            </w:r>
            <w:proofErr w:type="spellEnd"/>
            <w:r w:rsidRPr="001401B0">
              <w:rPr>
                <w:bCs/>
                <w:color w:val="000000" w:themeColor="text1"/>
              </w:rPr>
              <w:t>" valdījumā.</w:t>
            </w:r>
          </w:p>
        </w:tc>
        <w:tc>
          <w:tcPr>
            <w:tcW w:w="6124" w:type="dxa"/>
          </w:tcPr>
          <w:p w14:paraId="2652DC16" w14:textId="77777777" w:rsidR="00343C93" w:rsidRPr="00343C93" w:rsidRDefault="001401B0" w:rsidP="001401B0">
            <w:pPr>
              <w:jc w:val="both"/>
              <w:rPr>
                <w:b/>
                <w:bCs/>
                <w:color w:val="000000" w:themeColor="text1"/>
              </w:rPr>
            </w:pPr>
            <w:r>
              <w:t xml:space="preserve"> </w:t>
            </w:r>
            <w:r w:rsidR="00343C93" w:rsidRPr="00343C93">
              <w:rPr>
                <w:b/>
                <w:bCs/>
                <w:color w:val="000000" w:themeColor="text1"/>
              </w:rPr>
              <w:t>Finanšu ministrija</w:t>
            </w:r>
          </w:p>
          <w:p w14:paraId="46B36AE2" w14:textId="612011AC" w:rsidR="001401B0" w:rsidRPr="001401B0" w:rsidRDefault="001401B0" w:rsidP="001401B0">
            <w:pPr>
              <w:jc w:val="both"/>
              <w:rPr>
                <w:bCs/>
                <w:color w:val="000000" w:themeColor="text1"/>
              </w:rPr>
            </w:pPr>
            <w:r w:rsidRPr="001401B0">
              <w:rPr>
                <w:bCs/>
                <w:color w:val="000000" w:themeColor="text1"/>
              </w:rPr>
              <w:t xml:space="preserve">Rīkojuma projekta 5.punkts cita starpā paredz pamatojoties uz Ministru kabineta 2013.gada 26.novembra noteikumu Nr.1354 “Kārtība, kādā veicama valstij piekritīgās mantas uzskaite, novērtēšana, realizācija, nodošana bez maksas, iznīcināšana, un realizācijas ieņēmumu ieskaitīšana valsts budžetā” (turpmāk – MK noteikumi Nr.1354) 32.4.apakšpunktu, nodot nekustamo īpašumu akciju sabiedrības “Publisko aktīvu pārvaldītājs </w:t>
            </w:r>
            <w:proofErr w:type="spellStart"/>
            <w:r w:rsidRPr="001401B0">
              <w:rPr>
                <w:bCs/>
                <w:color w:val="000000" w:themeColor="text1"/>
              </w:rPr>
              <w:t>Possessor</w:t>
            </w:r>
            <w:proofErr w:type="spellEnd"/>
            <w:r w:rsidRPr="001401B0">
              <w:rPr>
                <w:bCs/>
                <w:color w:val="000000" w:themeColor="text1"/>
              </w:rPr>
              <w:t>” valdījumā.</w:t>
            </w:r>
          </w:p>
          <w:p w14:paraId="6C184D45" w14:textId="77777777" w:rsidR="001401B0" w:rsidRPr="001401B0" w:rsidRDefault="001401B0" w:rsidP="001401B0">
            <w:pPr>
              <w:jc w:val="both"/>
              <w:rPr>
                <w:bCs/>
                <w:color w:val="000000" w:themeColor="text1"/>
              </w:rPr>
            </w:pPr>
            <w:r w:rsidRPr="001401B0">
              <w:rPr>
                <w:bCs/>
                <w:color w:val="000000" w:themeColor="text1"/>
              </w:rPr>
              <w:t xml:space="preserve">Saskaņā ar MK noteikumu 1354 32.4.apakšpunktu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nodod bez maksas attiecīgajai pašvaldībai īpašumā, pamatojoties uz Ministru kabineta rīkojumu, bet, ja mēneša laikā pēc Valsts ieņēmumu dienesta informācijas saņemšanas attiecīgā pašvaldības dome nav pieņēmusi lēmumu vai atsakās pārņemt, akciju sabiedrībai “Publisko aktīvu pārvaldītājs </w:t>
            </w:r>
            <w:proofErr w:type="spellStart"/>
            <w:r w:rsidRPr="001401B0">
              <w:rPr>
                <w:bCs/>
                <w:color w:val="000000" w:themeColor="text1"/>
              </w:rPr>
              <w:t>Possessor</w:t>
            </w:r>
            <w:proofErr w:type="spellEnd"/>
            <w:r w:rsidRPr="001401B0">
              <w:rPr>
                <w:bCs/>
                <w:color w:val="000000" w:themeColor="text1"/>
              </w:rPr>
              <w:t xml:space="preserve">” (turpmāk – </w:t>
            </w:r>
            <w:proofErr w:type="spellStart"/>
            <w:r w:rsidRPr="001401B0">
              <w:rPr>
                <w:bCs/>
                <w:color w:val="000000" w:themeColor="text1"/>
              </w:rPr>
              <w:t>Possessor</w:t>
            </w:r>
            <w:proofErr w:type="spellEnd"/>
            <w:r w:rsidRPr="001401B0">
              <w:rPr>
                <w:bCs/>
                <w:color w:val="000000" w:themeColor="text1"/>
              </w:rPr>
              <w:t>) valdījumā.</w:t>
            </w:r>
          </w:p>
          <w:p w14:paraId="7B5942DA" w14:textId="77777777" w:rsidR="001401B0" w:rsidRPr="001401B0" w:rsidRDefault="001401B0" w:rsidP="001401B0">
            <w:pPr>
              <w:jc w:val="both"/>
              <w:rPr>
                <w:bCs/>
                <w:color w:val="000000" w:themeColor="text1"/>
              </w:rPr>
            </w:pPr>
            <w:r w:rsidRPr="001401B0">
              <w:rPr>
                <w:bCs/>
                <w:color w:val="000000" w:themeColor="text1"/>
              </w:rPr>
              <w:lastRenderedPageBreak/>
              <w:t xml:space="preserve">Atbilstoši Ministru kabineta 2020.gada 31.marta noteikumu Nr.169 “Grozījums Ministru kabineta 2013.gada 26.novembra noteikumos Nr.1354 “Kārtība, kādā veicama valstij piekritīgās mantas uzskaite, novērtēšana, realizācija, nodošana bez maksas, iznīcināšana un realizācijas ieņēmumu ieskaitīšana valsts budžetā” sākotnējās ietekmes novērtējuma ziņojumā (anotācijā) norādītajam, valsts dzīvojamo māju, dzīvokļu īpašumu vai to domājamo daļu atsavināšanas (privatizācijas) jomā </w:t>
            </w:r>
            <w:proofErr w:type="spellStart"/>
            <w:r w:rsidRPr="001401B0">
              <w:rPr>
                <w:bCs/>
                <w:color w:val="000000" w:themeColor="text1"/>
              </w:rPr>
              <w:t>Possessor</w:t>
            </w:r>
            <w:proofErr w:type="spellEnd"/>
            <w:r w:rsidRPr="001401B0">
              <w:rPr>
                <w:bCs/>
                <w:color w:val="000000" w:themeColor="text1"/>
              </w:rPr>
              <w:t xml:space="preserve"> darbojas Ministru kabineta deleģētā  valsts dzīvojamo māju privatizāciju veicošās institūcijas pārvaldes uzdevuma ietvaros (gan privatizācijas jomā, gan publiskas personas mantas atsavināšanas jomā), kam likumdevējs ir uzticējis veikt šīs mantas atsavināšanu bez Ministru kabineta rīkojuma izdošanas, tādēļ Ministru kabineta rīkojuma izdošana par katru dzīvojamo māju, dzīvokļu īpašumu vai to domājamo daļu nodošanu </w:t>
            </w:r>
            <w:proofErr w:type="spellStart"/>
            <w:r w:rsidRPr="001401B0">
              <w:rPr>
                <w:bCs/>
                <w:color w:val="000000" w:themeColor="text1"/>
              </w:rPr>
              <w:t>Possessor</w:t>
            </w:r>
            <w:proofErr w:type="spellEnd"/>
            <w:r w:rsidRPr="001401B0">
              <w:rPr>
                <w:bCs/>
                <w:color w:val="000000" w:themeColor="text1"/>
              </w:rPr>
              <w:t xml:space="preserve"> valdījumā ir pārmērīga prasība.</w:t>
            </w:r>
          </w:p>
          <w:p w14:paraId="3485B246" w14:textId="2A66AFE4" w:rsidR="00E248E4" w:rsidRPr="00E248E4" w:rsidRDefault="001401B0" w:rsidP="001401B0">
            <w:pPr>
              <w:jc w:val="both"/>
              <w:rPr>
                <w:bCs/>
                <w:color w:val="000000" w:themeColor="text1"/>
              </w:rPr>
            </w:pPr>
            <w:r w:rsidRPr="001401B0">
              <w:rPr>
                <w:bCs/>
                <w:color w:val="000000" w:themeColor="text1"/>
              </w:rPr>
              <w:t xml:space="preserve">Ņemot vērā minēto, lūdzam izvērtēt vai rīkojuma projektā ir nepieciešams iekļaut punktu par nekustamā īpašuma nodošanu </w:t>
            </w:r>
            <w:proofErr w:type="spellStart"/>
            <w:r w:rsidRPr="001401B0">
              <w:rPr>
                <w:bCs/>
                <w:color w:val="000000" w:themeColor="text1"/>
              </w:rPr>
              <w:t>Possesor</w:t>
            </w:r>
            <w:proofErr w:type="spellEnd"/>
            <w:r w:rsidRPr="001401B0">
              <w:rPr>
                <w:bCs/>
                <w:color w:val="000000" w:themeColor="text1"/>
              </w:rPr>
              <w:t xml:space="preserve"> valdījumā. Vienlaikus lūdzam anotācijā sniegt skaidrojumu vai rīkojuma projekta saskaņošanas procesā </w:t>
            </w:r>
            <w:proofErr w:type="spellStart"/>
            <w:r w:rsidRPr="001401B0">
              <w:rPr>
                <w:bCs/>
                <w:color w:val="000000" w:themeColor="text1"/>
              </w:rPr>
              <w:t>Possessor</w:t>
            </w:r>
            <w:proofErr w:type="spellEnd"/>
            <w:r w:rsidRPr="001401B0">
              <w:rPr>
                <w:bCs/>
                <w:color w:val="000000" w:themeColor="text1"/>
              </w:rPr>
              <w:t xml:space="preserve"> ir bijis iesaistīts un kāds ir </w:t>
            </w:r>
            <w:proofErr w:type="spellStart"/>
            <w:r w:rsidRPr="001401B0">
              <w:rPr>
                <w:bCs/>
                <w:color w:val="000000" w:themeColor="text1"/>
              </w:rPr>
              <w:t>Possessor</w:t>
            </w:r>
            <w:proofErr w:type="spellEnd"/>
            <w:r w:rsidRPr="001401B0">
              <w:rPr>
                <w:bCs/>
                <w:color w:val="000000" w:themeColor="text1"/>
              </w:rPr>
              <w:t xml:space="preserve"> viedoklis attiecībā uz nekustamā īpašuma pārņemšanu </w:t>
            </w:r>
            <w:proofErr w:type="spellStart"/>
            <w:r w:rsidRPr="001401B0">
              <w:rPr>
                <w:bCs/>
                <w:color w:val="000000" w:themeColor="text1"/>
              </w:rPr>
              <w:t>Possessor</w:t>
            </w:r>
            <w:proofErr w:type="spellEnd"/>
            <w:r w:rsidRPr="001401B0">
              <w:rPr>
                <w:bCs/>
                <w:color w:val="000000" w:themeColor="text1"/>
              </w:rPr>
              <w:t xml:space="preserve"> valdījumā.</w:t>
            </w:r>
          </w:p>
        </w:tc>
        <w:tc>
          <w:tcPr>
            <w:tcW w:w="3118" w:type="dxa"/>
          </w:tcPr>
          <w:p w14:paraId="72F1BCE1" w14:textId="77777777" w:rsidR="00B04F5D" w:rsidRPr="00B04F5D" w:rsidRDefault="00B04F5D" w:rsidP="004C3C53">
            <w:pPr>
              <w:jc w:val="both"/>
              <w:rPr>
                <w:b/>
                <w:bCs/>
                <w:color w:val="000000" w:themeColor="text1"/>
              </w:rPr>
            </w:pPr>
            <w:r w:rsidRPr="00B04F5D">
              <w:rPr>
                <w:b/>
                <w:bCs/>
                <w:color w:val="000000" w:themeColor="text1"/>
              </w:rPr>
              <w:lastRenderedPageBreak/>
              <w:t>Ņemts vērā</w:t>
            </w:r>
          </w:p>
          <w:p w14:paraId="5A98B49E" w14:textId="77777777" w:rsidR="00B04F5D" w:rsidRDefault="00B04F5D" w:rsidP="004C3C53">
            <w:pPr>
              <w:jc w:val="both"/>
              <w:rPr>
                <w:bCs/>
                <w:color w:val="000000" w:themeColor="text1"/>
              </w:rPr>
            </w:pPr>
          </w:p>
          <w:p w14:paraId="0B2AC3A3" w14:textId="345D6C11" w:rsidR="00E248E4" w:rsidRPr="00E248E4" w:rsidRDefault="00B04F5D" w:rsidP="004C3C53">
            <w:pPr>
              <w:jc w:val="both"/>
              <w:rPr>
                <w:bCs/>
                <w:color w:val="000000" w:themeColor="text1"/>
              </w:rPr>
            </w:pPr>
            <w:r>
              <w:rPr>
                <w:bCs/>
                <w:color w:val="000000" w:themeColor="text1"/>
              </w:rPr>
              <w:t xml:space="preserve">Precizēta rīkojuma projekta 5.punkta </w:t>
            </w:r>
            <w:r w:rsidR="00C25403">
              <w:rPr>
                <w:bCs/>
                <w:color w:val="000000" w:themeColor="text1"/>
              </w:rPr>
              <w:t xml:space="preserve">un anotācijas </w:t>
            </w:r>
            <w:r>
              <w:rPr>
                <w:bCs/>
                <w:color w:val="000000" w:themeColor="text1"/>
              </w:rPr>
              <w:t>redakcija</w:t>
            </w:r>
            <w:r w:rsidR="00C25403">
              <w:rPr>
                <w:bCs/>
                <w:color w:val="000000" w:themeColor="text1"/>
              </w:rPr>
              <w:t xml:space="preserve"> </w:t>
            </w:r>
          </w:p>
        </w:tc>
        <w:tc>
          <w:tcPr>
            <w:tcW w:w="2977" w:type="dxa"/>
          </w:tcPr>
          <w:p w14:paraId="61A4CCEA" w14:textId="65E294A9" w:rsidR="00E248E4" w:rsidRPr="00E248E4" w:rsidRDefault="00B04F5D" w:rsidP="006008AA">
            <w:pPr>
              <w:jc w:val="both"/>
              <w:rPr>
                <w:bCs/>
                <w:color w:val="000000" w:themeColor="text1"/>
              </w:rPr>
            </w:pPr>
            <w:r w:rsidRPr="00B04F5D">
              <w:rPr>
                <w:bCs/>
                <w:color w:val="000000" w:themeColor="text1"/>
              </w:rPr>
              <w:t>5. Ievērojot minēto, rīkojumu atcelt.</w:t>
            </w:r>
          </w:p>
        </w:tc>
      </w:tr>
      <w:tr w:rsidR="00A724C3" w:rsidRPr="00475925" w14:paraId="358BCDF5" w14:textId="77777777" w:rsidTr="004C3C53">
        <w:tc>
          <w:tcPr>
            <w:tcW w:w="15446" w:type="dxa"/>
            <w:gridSpan w:val="6"/>
          </w:tcPr>
          <w:p w14:paraId="7BCAFE54" w14:textId="3BF8F919" w:rsidR="00A724C3" w:rsidRDefault="00A724C3" w:rsidP="004C3C53">
            <w:pPr>
              <w:spacing w:before="120" w:after="120"/>
              <w:jc w:val="both"/>
              <w:rPr>
                <w:b/>
                <w:bCs/>
                <w:color w:val="000000" w:themeColor="text1"/>
              </w:rPr>
            </w:pP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5CA8D1D4" w:rsidR="00D60738" w:rsidRPr="001401B0" w:rsidRDefault="001401B0" w:rsidP="001401B0">
    <w:pPr>
      <w:pStyle w:val="Footer"/>
    </w:pPr>
    <w:r w:rsidRPr="001401B0">
      <w:rPr>
        <w:sz w:val="20"/>
        <w:szCs w:val="20"/>
      </w:rPr>
      <w:t>VARAMIzzina_180321_Priekule_Zalu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2228DB3A" w:rsidR="00D60738" w:rsidRPr="00B93FB3" w:rsidRDefault="00D60738" w:rsidP="00B93FB3">
    <w:pPr>
      <w:pStyle w:val="Footer"/>
      <w:rPr>
        <w:sz w:val="20"/>
        <w:szCs w:val="20"/>
      </w:rPr>
    </w:pPr>
    <w:r>
      <w:rPr>
        <w:sz w:val="20"/>
        <w:szCs w:val="20"/>
      </w:rPr>
      <w:t>VARAMIzzina_</w:t>
    </w:r>
    <w:r w:rsidR="001401B0">
      <w:rPr>
        <w:sz w:val="20"/>
        <w:szCs w:val="20"/>
      </w:rPr>
      <w:t>1803</w:t>
    </w:r>
    <w:r w:rsidR="007A2107">
      <w:rPr>
        <w:sz w:val="20"/>
        <w:szCs w:val="20"/>
      </w:rPr>
      <w:t>21</w:t>
    </w:r>
    <w:r>
      <w:rPr>
        <w:sz w:val="20"/>
        <w:szCs w:val="20"/>
      </w:rPr>
      <w:t>_</w:t>
    </w:r>
    <w:r w:rsidR="001401B0">
      <w:rPr>
        <w:sz w:val="20"/>
        <w:szCs w:val="20"/>
      </w:rPr>
      <w:t>Priekule_Zalu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0F8535FF" w:rsidR="00D60738" w:rsidRDefault="00D60738" w:rsidP="001E08AC">
        <w:pPr>
          <w:pStyle w:val="Header"/>
          <w:jc w:val="center"/>
        </w:pPr>
        <w:r>
          <w:fldChar w:fldCharType="begin"/>
        </w:r>
        <w:r>
          <w:instrText xml:space="preserve"> PAGE   \* MERGEFORMAT </w:instrText>
        </w:r>
        <w:r>
          <w:fldChar w:fldCharType="separate"/>
        </w:r>
        <w:r w:rsidR="00343C93">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01B0"/>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3C93"/>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1A73"/>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760EA"/>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C3C5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008AA"/>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3617"/>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E624B"/>
    <w:rsid w:val="009F3BCE"/>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153D"/>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4F5D"/>
    <w:rsid w:val="00B052F1"/>
    <w:rsid w:val="00B064D0"/>
    <w:rsid w:val="00B10297"/>
    <w:rsid w:val="00B11F45"/>
    <w:rsid w:val="00B12C34"/>
    <w:rsid w:val="00B15009"/>
    <w:rsid w:val="00B15DEE"/>
    <w:rsid w:val="00B1684A"/>
    <w:rsid w:val="00B1778F"/>
    <w:rsid w:val="00B27488"/>
    <w:rsid w:val="00B30D2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5403"/>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CCD"/>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4971"/>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2.xml><?xml version="1.0" encoding="utf-8"?>
<ds:datastoreItem xmlns:ds="http://schemas.openxmlformats.org/officeDocument/2006/customXml" ds:itemID="{91434A4A-7F4E-4D02-A434-A19C7089BB82}">
  <ds:schemaRefs>
    <ds:schemaRef ds:uri="http://schemas.openxmlformats.org/officeDocument/2006/bibliography"/>
  </ds:schemaRefs>
</ds:datastoreItem>
</file>

<file path=customXml/itemProps3.xml><?xml version="1.0" encoding="utf-8"?>
<ds:datastoreItem xmlns:ds="http://schemas.openxmlformats.org/officeDocument/2006/customXml" ds:itemID="{3BED01E3-7E15-4018-93F1-8C686DB6E0AD}">
  <ds:schemaRefs>
    <ds:schemaRef ds:uri="122e0e09-afb4-4bf9-abab-ecc4519bc6eb"/>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ace8e44c-fa88-44c0-8590-dfda63664a63"/>
    <ds:schemaRef ds:uri="http://purl.org/dc/terms/"/>
    <ds:schemaRef ds:uri="http://purl.org/dc/elements/1.1/"/>
  </ds:schemaRefs>
</ds:datastoreItem>
</file>

<file path=customXml/itemProps4.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3259</Words>
  <Characters>1858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Ingūna Draudiņa</cp:lastModifiedBy>
  <cp:revision>5</cp:revision>
  <cp:lastPrinted>2019-02-05T15:50:00Z</cp:lastPrinted>
  <dcterms:created xsi:type="dcterms:W3CDTF">2021-03-18T12:28:00Z</dcterms:created>
  <dcterms:modified xsi:type="dcterms:W3CDTF">2021-03-30T18:05:00Z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