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BE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40385105" w14:textId="30FCCA8D" w:rsidR="00214D9A" w:rsidRPr="00712E09" w:rsidRDefault="00712E09" w:rsidP="00712E09">
            <w:pPr>
              <w:pStyle w:val="NoSpacing"/>
              <w:jc w:val="center"/>
              <w:rPr>
                <w:b/>
                <w:sz w:val="28"/>
                <w:szCs w:val="24"/>
              </w:rPr>
            </w:pPr>
            <w:r>
              <w:rPr>
                <w:b/>
                <w:sz w:val="28"/>
                <w:szCs w:val="24"/>
              </w:rPr>
              <w:t>Ministru kabineta rīkojuma projekt</w:t>
            </w:r>
            <w:r w:rsidR="0077778A">
              <w:rPr>
                <w:b/>
                <w:sz w:val="28"/>
                <w:szCs w:val="24"/>
              </w:rPr>
              <w:t>s</w:t>
            </w:r>
            <w:r>
              <w:rPr>
                <w:b/>
                <w:sz w:val="28"/>
                <w:szCs w:val="24"/>
              </w:rPr>
              <w:t xml:space="preserve"> “Par finanšu līdzekļu piešķiršanu no valsts budžeta programmas “Līdzekļi neparedzētiem gadījumiem”” </w:t>
            </w:r>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7D42D3">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61"/>
        <w:gridCol w:w="3686"/>
        <w:gridCol w:w="3267"/>
        <w:gridCol w:w="2693"/>
        <w:gridCol w:w="2693"/>
      </w:tblGrid>
      <w:tr w:rsidR="005F4BFD" w:rsidRPr="00712B66" w14:paraId="50BCA9A7" w14:textId="77777777" w:rsidTr="00B90F62">
        <w:tc>
          <w:tcPr>
            <w:tcW w:w="701"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67"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B90F62">
        <w:tc>
          <w:tcPr>
            <w:tcW w:w="701"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267"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801E13" w:rsidRPr="008A36C9" w14:paraId="46A3C4AC" w14:textId="77777777" w:rsidTr="00B90F62">
        <w:tc>
          <w:tcPr>
            <w:tcW w:w="701" w:type="dxa"/>
            <w:tcBorders>
              <w:top w:val="single" w:sz="6" w:space="0" w:color="000000"/>
              <w:left w:val="single" w:sz="6" w:space="0" w:color="000000"/>
              <w:bottom w:val="single" w:sz="6" w:space="0" w:color="000000"/>
              <w:right w:val="single" w:sz="6" w:space="0" w:color="000000"/>
            </w:tcBorders>
          </w:tcPr>
          <w:p w14:paraId="2940FFF5" w14:textId="1DF57413" w:rsidR="00801E13" w:rsidRDefault="00801E13" w:rsidP="00801E13">
            <w:pPr>
              <w:pStyle w:val="naisc"/>
              <w:spacing w:before="0" w:after="0"/>
              <w:rPr>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3DA817F8" w14:textId="7C6085AF" w:rsidR="00801E13" w:rsidRDefault="00801E13" w:rsidP="00801E13">
            <w:pPr>
              <w:pStyle w:val="naisc"/>
              <w:spacing w:before="0" w:after="0"/>
              <w:jc w:val="left"/>
              <w:rPr>
                <w:color w:val="000000"/>
              </w:rPr>
            </w:pPr>
          </w:p>
        </w:tc>
        <w:tc>
          <w:tcPr>
            <w:tcW w:w="3686" w:type="dxa"/>
            <w:tcBorders>
              <w:top w:val="single" w:sz="6" w:space="0" w:color="000000"/>
              <w:left w:val="single" w:sz="6" w:space="0" w:color="000000"/>
              <w:bottom w:val="single" w:sz="6" w:space="0" w:color="000000"/>
              <w:right w:val="single" w:sz="6" w:space="0" w:color="000000"/>
            </w:tcBorders>
          </w:tcPr>
          <w:p w14:paraId="74AC673F" w14:textId="1F5E3694" w:rsidR="00801E13" w:rsidRPr="0023633E" w:rsidRDefault="00801E13" w:rsidP="00801E13">
            <w:pPr>
              <w:pStyle w:val="naisc"/>
              <w:spacing w:before="0" w:after="0"/>
              <w:jc w:val="both"/>
              <w:rPr>
                <w:b/>
                <w:u w:val="single"/>
              </w:rPr>
            </w:pPr>
          </w:p>
        </w:tc>
        <w:tc>
          <w:tcPr>
            <w:tcW w:w="3267" w:type="dxa"/>
            <w:tcBorders>
              <w:top w:val="single" w:sz="6" w:space="0" w:color="000000"/>
              <w:left w:val="single" w:sz="6" w:space="0" w:color="000000"/>
              <w:bottom w:val="single" w:sz="6" w:space="0" w:color="000000"/>
              <w:right w:val="single" w:sz="6" w:space="0" w:color="000000"/>
            </w:tcBorders>
          </w:tcPr>
          <w:p w14:paraId="1501DA25" w14:textId="79F0A105" w:rsidR="00801E13" w:rsidRPr="00386688" w:rsidRDefault="00801E13" w:rsidP="00801E13">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14:paraId="031A7378" w14:textId="77777777" w:rsidR="00801E13" w:rsidRPr="008A36C9" w:rsidRDefault="00801E13" w:rsidP="00801E13">
            <w:pPr>
              <w:jc w:val="center"/>
              <w:rPr>
                <w:sz w:val="20"/>
                <w:szCs w:val="20"/>
              </w:rPr>
            </w:pPr>
          </w:p>
        </w:tc>
        <w:tc>
          <w:tcPr>
            <w:tcW w:w="2693" w:type="dxa"/>
            <w:tcBorders>
              <w:top w:val="single" w:sz="4" w:space="0" w:color="auto"/>
              <w:left w:val="single" w:sz="4" w:space="0" w:color="auto"/>
              <w:bottom w:val="single" w:sz="4" w:space="0" w:color="auto"/>
            </w:tcBorders>
          </w:tcPr>
          <w:p w14:paraId="28CC74A6" w14:textId="6904D873" w:rsidR="00801E13" w:rsidRDefault="00801E13" w:rsidP="00801E13">
            <w:pPr>
              <w:jc w:val="both"/>
              <w:rPr>
                <w:color w:val="000000"/>
              </w:rPr>
            </w:pPr>
          </w:p>
        </w:tc>
      </w:tr>
    </w:tbl>
    <w:p w14:paraId="6EFC7BC6" w14:textId="3F23722F" w:rsidR="00C0467D" w:rsidRDefault="00C10AE9" w:rsidP="007D42D3">
      <w:pPr>
        <w:pStyle w:val="naisf"/>
        <w:spacing w:before="0" w:after="0"/>
        <w:ind w:firstLine="0"/>
        <w:jc w:val="left"/>
        <w:rPr>
          <w:b/>
        </w:rPr>
      </w:pPr>
      <w:r>
        <w:rPr>
          <w:b/>
        </w:rPr>
        <w:br w:type="textWrapping" w:clear="all"/>
      </w:r>
      <w:r w:rsidR="00C0467D" w:rsidRPr="00712B66">
        <w:rPr>
          <w:b/>
        </w:rPr>
        <w:t xml:space="preserve">Informācija par </w:t>
      </w:r>
      <w:proofErr w:type="spellStart"/>
      <w:r w:rsidR="00C0467D" w:rsidRPr="00712B66">
        <w:rPr>
          <w:b/>
        </w:rPr>
        <w:t>starpministriju</w:t>
      </w:r>
      <w:proofErr w:type="spellEnd"/>
      <w:r w:rsidR="00C0467D" w:rsidRPr="00712B66">
        <w:rPr>
          <w:b/>
        </w:rPr>
        <w:t xml:space="preserve"> (starpinstitūciju) sanāks</w:t>
      </w:r>
      <w:r w:rsidR="00C0467D">
        <w:rPr>
          <w:b/>
        </w:rPr>
        <w:t>mi vai elektronisko saskaņošanu</w:t>
      </w:r>
    </w:p>
    <w:p w14:paraId="4DE04C5D" w14:textId="77777777" w:rsidR="00BE022C" w:rsidRPr="00712B66" w:rsidRDefault="00BE022C" w:rsidP="007D42D3">
      <w:pPr>
        <w:pStyle w:val="naisf"/>
        <w:spacing w:before="0" w:after="0"/>
        <w:ind w:firstLine="0"/>
        <w:rPr>
          <w:b/>
        </w:rPr>
      </w:pPr>
    </w:p>
    <w:tbl>
      <w:tblPr>
        <w:tblW w:w="15629" w:type="dxa"/>
        <w:tblLook w:val="00A0" w:firstRow="1" w:lastRow="0" w:firstColumn="1" w:lastColumn="0" w:noHBand="0" w:noVBand="0"/>
      </w:tblPr>
      <w:tblGrid>
        <w:gridCol w:w="6555"/>
        <w:gridCol w:w="108"/>
        <w:gridCol w:w="885"/>
        <w:gridCol w:w="6769"/>
        <w:gridCol w:w="1312"/>
      </w:tblGrid>
      <w:tr w:rsidR="00C0467D" w14:paraId="2B2624D5" w14:textId="77777777" w:rsidTr="00A823D8">
        <w:trPr>
          <w:gridAfter w:val="1"/>
          <w:wAfter w:w="1312" w:type="dxa"/>
        </w:trPr>
        <w:tc>
          <w:tcPr>
            <w:tcW w:w="6663" w:type="dxa"/>
            <w:gridSpan w:val="2"/>
          </w:tcPr>
          <w:p w14:paraId="67253CB6" w14:textId="77777777" w:rsidR="00C0467D" w:rsidRPr="007C3109" w:rsidRDefault="00C0467D" w:rsidP="00B03870">
            <w:pPr>
              <w:pStyle w:val="naisf"/>
              <w:spacing w:before="0" w:after="0"/>
              <w:ind w:firstLine="0"/>
            </w:pPr>
            <w:r w:rsidRPr="007C3109">
              <w:t>Datums</w:t>
            </w:r>
          </w:p>
        </w:tc>
        <w:tc>
          <w:tcPr>
            <w:tcW w:w="7654" w:type="dxa"/>
            <w:gridSpan w:val="2"/>
            <w:tcBorders>
              <w:bottom w:val="single" w:sz="4" w:space="0" w:color="auto"/>
            </w:tcBorders>
          </w:tcPr>
          <w:p w14:paraId="1A96ED9B" w14:textId="1C89AED5" w:rsidR="00FF3853" w:rsidRPr="007C3109" w:rsidRDefault="00712E09" w:rsidP="00B03870">
            <w:pPr>
              <w:pStyle w:val="NormalWeb"/>
              <w:spacing w:before="0" w:beforeAutospacing="0" w:after="0" w:afterAutospacing="0"/>
            </w:pPr>
            <w:r>
              <w:t>11</w:t>
            </w:r>
            <w:r w:rsidR="00FF3853" w:rsidRPr="007C3109">
              <w:t>.0</w:t>
            </w:r>
            <w:r w:rsidR="007C3109" w:rsidRPr="007C3109">
              <w:t>4</w:t>
            </w:r>
            <w:r w:rsidR="00FF3853" w:rsidRPr="007C3109">
              <w:t>.2021</w:t>
            </w:r>
          </w:p>
        </w:tc>
      </w:tr>
      <w:tr w:rsidR="00C0467D" w14:paraId="116D06FD" w14:textId="77777777" w:rsidTr="00A823D8">
        <w:trPr>
          <w:gridAfter w:val="1"/>
          <w:wAfter w:w="1312" w:type="dxa"/>
        </w:trPr>
        <w:tc>
          <w:tcPr>
            <w:tcW w:w="6663" w:type="dxa"/>
            <w:gridSpan w:val="2"/>
          </w:tcPr>
          <w:p w14:paraId="715FCAD4" w14:textId="77777777" w:rsidR="00C0467D" w:rsidRPr="00712B66" w:rsidRDefault="00C0467D" w:rsidP="00B03870">
            <w:pPr>
              <w:pStyle w:val="naisf"/>
              <w:spacing w:before="0" w:after="0"/>
              <w:ind w:firstLine="0"/>
            </w:pPr>
          </w:p>
        </w:tc>
        <w:tc>
          <w:tcPr>
            <w:tcW w:w="7654"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A823D8">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8966" w:type="dxa"/>
            <w:gridSpan w:val="3"/>
          </w:tcPr>
          <w:p w14:paraId="26E5915B" w14:textId="61B56AAA" w:rsidR="00C0467D" w:rsidRPr="00712B66" w:rsidRDefault="00C0467D" w:rsidP="00B03870">
            <w:pPr>
              <w:pStyle w:val="NormalWeb"/>
              <w:spacing w:before="0" w:beforeAutospacing="0" w:after="0" w:afterAutospacing="0"/>
              <w:jc w:val="both"/>
            </w:pPr>
            <w:r>
              <w:t>Finanšu ministrija</w:t>
            </w:r>
          </w:p>
        </w:tc>
      </w:tr>
      <w:tr w:rsidR="00C0467D" w14:paraId="0A710E0E" w14:textId="77777777" w:rsidTr="00A823D8">
        <w:trPr>
          <w:gridAfter w:val="1"/>
          <w:wAfter w:w="1312" w:type="dxa"/>
        </w:trPr>
        <w:tc>
          <w:tcPr>
            <w:tcW w:w="6663" w:type="dxa"/>
            <w:gridSpan w:val="2"/>
          </w:tcPr>
          <w:p w14:paraId="14E74C3C" w14:textId="77777777" w:rsidR="00C0467D" w:rsidRPr="00712B66" w:rsidRDefault="00C0467D" w:rsidP="00B03870">
            <w:pPr>
              <w:pStyle w:val="naiskr"/>
              <w:spacing w:before="0" w:after="0"/>
            </w:pPr>
            <w:r w:rsidRPr="00712B66">
              <w:t>  </w:t>
            </w:r>
          </w:p>
        </w:tc>
        <w:tc>
          <w:tcPr>
            <w:tcW w:w="7654" w:type="dxa"/>
            <w:gridSpan w:val="2"/>
            <w:tcBorders>
              <w:top w:val="single" w:sz="6" w:space="0" w:color="000000"/>
              <w:bottom w:val="single" w:sz="6" w:space="0" w:color="000000"/>
            </w:tcBorders>
          </w:tcPr>
          <w:p w14:paraId="086449D4" w14:textId="431F1A58" w:rsidR="00C0467D" w:rsidRPr="00712B66" w:rsidRDefault="00C0467D" w:rsidP="00B03870">
            <w:pPr>
              <w:pStyle w:val="naiskr"/>
              <w:spacing w:before="0" w:after="0"/>
              <w:jc w:val="both"/>
            </w:pPr>
          </w:p>
        </w:tc>
      </w:tr>
      <w:tr w:rsidR="00C0467D" w14:paraId="4F1E51F8" w14:textId="77777777" w:rsidTr="00A823D8">
        <w:trPr>
          <w:gridAfter w:val="1"/>
          <w:wAfter w:w="1312" w:type="dxa"/>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6769" w:type="dxa"/>
          </w:tcPr>
          <w:p w14:paraId="5A321A0D" w14:textId="77777777" w:rsidR="00C0467D" w:rsidRPr="00712B66" w:rsidRDefault="00C0467D" w:rsidP="00B03870">
            <w:pPr>
              <w:pStyle w:val="naiskr"/>
              <w:spacing w:before="0" w:after="0"/>
            </w:pPr>
          </w:p>
        </w:tc>
      </w:tr>
      <w:tr w:rsidR="00C0467D" w14:paraId="31EB36D5" w14:textId="77777777" w:rsidTr="00A823D8">
        <w:trPr>
          <w:gridAfter w:val="1"/>
          <w:wAfter w:w="1312" w:type="dxa"/>
          <w:trHeight w:val="762"/>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62" w:type="dxa"/>
            <w:gridSpan w:val="3"/>
          </w:tcPr>
          <w:p w14:paraId="298A18EE" w14:textId="22A5F5B4" w:rsidR="00C0467D" w:rsidRPr="00712B66" w:rsidRDefault="004327D8" w:rsidP="006A0292">
            <w:pPr>
              <w:pStyle w:val="NormalWeb"/>
              <w:jc w:val="both"/>
            </w:pPr>
            <w:r>
              <w:t>Finanšu ministrija</w:t>
            </w:r>
          </w:p>
        </w:tc>
      </w:tr>
      <w:tr w:rsidR="00C0467D" w14:paraId="0AE61AA1" w14:textId="77777777" w:rsidTr="00A823D8">
        <w:trPr>
          <w:gridAfter w:val="1"/>
          <w:wAfter w:w="1312" w:type="dxa"/>
        </w:trPr>
        <w:tc>
          <w:tcPr>
            <w:tcW w:w="6555" w:type="dxa"/>
          </w:tcPr>
          <w:p w14:paraId="3F6A8C50" w14:textId="77777777" w:rsidR="00C0467D" w:rsidRPr="00712B66" w:rsidRDefault="00C0467D" w:rsidP="00B03870">
            <w:pPr>
              <w:pStyle w:val="naiskr"/>
              <w:spacing w:before="0" w:after="0"/>
            </w:pPr>
            <w:r w:rsidRPr="00712B66">
              <w:t>Ministrijas (citas institūcijas), kuras nav ieradušās uz sanāksmi vai kuras nav atbildējušas uz uzaicinājumu piedalīties elektroniskajā saskaņošanā</w:t>
            </w:r>
          </w:p>
        </w:tc>
        <w:tc>
          <w:tcPr>
            <w:tcW w:w="7762" w:type="dxa"/>
            <w:gridSpan w:val="3"/>
          </w:tcPr>
          <w:p w14:paraId="7595B24D" w14:textId="77777777" w:rsidR="00C0467D" w:rsidRPr="00712B66" w:rsidRDefault="00C0467D" w:rsidP="00B03870">
            <w:pPr>
              <w:pStyle w:val="naiskr"/>
              <w:spacing w:before="0" w:after="0"/>
            </w:pPr>
          </w:p>
        </w:tc>
      </w:tr>
      <w:tr w:rsidR="00C0467D" w14:paraId="7A6C671D" w14:textId="77777777" w:rsidTr="00A823D8">
        <w:trPr>
          <w:gridAfter w:val="1"/>
          <w:wAfter w:w="1312" w:type="dxa"/>
        </w:trPr>
        <w:tc>
          <w:tcPr>
            <w:tcW w:w="6555" w:type="dxa"/>
          </w:tcPr>
          <w:p w14:paraId="38984045" w14:textId="77777777" w:rsidR="00C0467D" w:rsidRPr="00712B66" w:rsidRDefault="00C0467D" w:rsidP="00B03870">
            <w:pPr>
              <w:pStyle w:val="naiskr"/>
              <w:spacing w:before="0" w:after="0"/>
            </w:pPr>
          </w:p>
        </w:tc>
        <w:tc>
          <w:tcPr>
            <w:tcW w:w="7762" w:type="dxa"/>
            <w:gridSpan w:val="3"/>
            <w:tcBorders>
              <w:top w:val="single" w:sz="6" w:space="0" w:color="000000"/>
              <w:bottom w:val="single" w:sz="6" w:space="0" w:color="000000"/>
            </w:tcBorders>
          </w:tcPr>
          <w:p w14:paraId="43E6703B"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6BC7D0E1" w:rsidR="007B4C0F" w:rsidRDefault="007B4C0F" w:rsidP="00783E18">
      <w:pPr>
        <w:jc w:val="center"/>
        <w:rPr>
          <w:b/>
        </w:rPr>
      </w:pPr>
      <w:r w:rsidRPr="00712B66">
        <w:rPr>
          <w:b/>
        </w:rPr>
        <w:t>I</w:t>
      </w:r>
      <w:r w:rsidR="007D42D3">
        <w:rPr>
          <w:b/>
        </w:rPr>
        <w:t>I</w:t>
      </w:r>
      <w:r w:rsidRPr="00712B66">
        <w:rPr>
          <w:b/>
        </w:rPr>
        <w:t>.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32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577"/>
        <w:gridCol w:w="41"/>
        <w:gridCol w:w="4070"/>
        <w:gridCol w:w="3685"/>
        <w:gridCol w:w="78"/>
        <w:gridCol w:w="1667"/>
        <w:gridCol w:w="2508"/>
      </w:tblGrid>
      <w:tr w:rsidR="00134188" w:rsidRPr="00712B66" w14:paraId="639725FC" w14:textId="77777777" w:rsidTr="00BE022C">
        <w:tc>
          <w:tcPr>
            <w:tcW w:w="701"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 xml:space="preserve">Atzinumā norādītais ministrijas (citas institūcijas) iebildums, kā arī saskaņošanā papildus izteiktais </w:t>
            </w:r>
            <w:r w:rsidRPr="006D159F">
              <w:lastRenderedPageBreak/>
              <w:t>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lastRenderedPageBreak/>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4253" w:type="dxa"/>
            <w:gridSpan w:val="3"/>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BE022C">
        <w:tc>
          <w:tcPr>
            <w:tcW w:w="701"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0443D4">
            <w:pPr>
              <w:pStyle w:val="naisc"/>
              <w:spacing w:before="0" w:after="0"/>
            </w:pPr>
            <w:r w:rsidRPr="000443D4">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5C7FB0" w:rsidRDefault="00F34AAB" w:rsidP="001A0BBF">
            <w:pPr>
              <w:pStyle w:val="naisc"/>
              <w:spacing w:before="0" w:after="0"/>
            </w:pPr>
            <w:r w:rsidRPr="005C7FB0">
              <w:t>2</w:t>
            </w:r>
          </w:p>
        </w:tc>
        <w:tc>
          <w:tcPr>
            <w:tcW w:w="4111"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1A0BBF">
            <w:pPr>
              <w:pStyle w:val="naisc"/>
              <w:spacing w:before="0" w:after="0"/>
              <w:rPr>
                <w:sz w:val="20"/>
                <w:szCs w:val="20"/>
              </w:rPr>
            </w:pPr>
            <w:r w:rsidRPr="006D159F">
              <w:rPr>
                <w:sz w:val="20"/>
                <w:szCs w:val="20"/>
              </w:rPr>
              <w:t>3</w:t>
            </w:r>
          </w:p>
        </w:tc>
        <w:tc>
          <w:tcPr>
            <w:tcW w:w="3685" w:type="dxa"/>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1A0BBF">
            <w:pPr>
              <w:pStyle w:val="naisc"/>
              <w:spacing w:before="0" w:after="0"/>
              <w:rPr>
                <w:sz w:val="20"/>
                <w:szCs w:val="20"/>
              </w:rPr>
            </w:pPr>
            <w:r w:rsidRPr="003B71E0">
              <w:rPr>
                <w:sz w:val="20"/>
                <w:szCs w:val="20"/>
              </w:rPr>
              <w:t>4</w:t>
            </w:r>
          </w:p>
        </w:tc>
        <w:tc>
          <w:tcPr>
            <w:tcW w:w="4253" w:type="dxa"/>
            <w:gridSpan w:val="3"/>
            <w:tcBorders>
              <w:top w:val="single" w:sz="4" w:space="0" w:color="auto"/>
              <w:left w:val="single" w:sz="4" w:space="0" w:color="auto"/>
              <w:bottom w:val="single" w:sz="4" w:space="0" w:color="auto"/>
            </w:tcBorders>
          </w:tcPr>
          <w:p w14:paraId="614A60E5" w14:textId="77777777" w:rsidR="00134188" w:rsidRPr="003B71E0" w:rsidRDefault="003B71E0" w:rsidP="001A0BBF">
            <w:pPr>
              <w:jc w:val="center"/>
              <w:rPr>
                <w:sz w:val="20"/>
                <w:szCs w:val="20"/>
              </w:rPr>
            </w:pPr>
            <w:r w:rsidRPr="003B71E0">
              <w:rPr>
                <w:sz w:val="20"/>
                <w:szCs w:val="20"/>
              </w:rPr>
              <w:t>5</w:t>
            </w:r>
          </w:p>
        </w:tc>
      </w:tr>
      <w:tr w:rsidR="00A136C7" w:rsidRPr="00801E13" w14:paraId="0764965A"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6C52EFFA" w14:textId="0AF8C93D" w:rsidR="00A136C7" w:rsidRPr="004703B9" w:rsidRDefault="00E97EDD" w:rsidP="00A136C7">
            <w:pPr>
              <w:pStyle w:val="naisc"/>
              <w:spacing w:before="0" w:after="0"/>
            </w:pPr>
            <w:r>
              <w:t>1.</w:t>
            </w:r>
          </w:p>
        </w:tc>
        <w:tc>
          <w:tcPr>
            <w:tcW w:w="2577" w:type="dxa"/>
            <w:tcBorders>
              <w:top w:val="single" w:sz="6" w:space="0" w:color="000000"/>
              <w:left w:val="single" w:sz="6" w:space="0" w:color="000000"/>
              <w:bottom w:val="single" w:sz="6" w:space="0" w:color="000000"/>
              <w:right w:val="single" w:sz="6" w:space="0" w:color="000000"/>
            </w:tcBorders>
          </w:tcPr>
          <w:p w14:paraId="0D9B939C" w14:textId="2C7E731B" w:rsidR="00A136C7" w:rsidRPr="00B53B7C" w:rsidRDefault="0024666D" w:rsidP="00A136C7">
            <w:pPr>
              <w:spacing w:after="120"/>
              <w:jc w:val="both"/>
            </w:pPr>
            <w:r>
              <w:rPr>
                <w:color w:val="000000"/>
              </w:rPr>
              <w:t>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0AF56D6E" w14:textId="131D8FFC" w:rsidR="00A136C7" w:rsidRDefault="00712E09" w:rsidP="00A136C7">
            <w:pPr>
              <w:pStyle w:val="naisc"/>
              <w:spacing w:before="0" w:after="0"/>
              <w:jc w:val="both"/>
              <w:rPr>
                <w:b/>
                <w:bCs/>
              </w:rPr>
            </w:pPr>
            <w:r>
              <w:rPr>
                <w:b/>
                <w:bCs/>
              </w:rPr>
              <w:t xml:space="preserve">Finanšu </w:t>
            </w:r>
            <w:r w:rsidRPr="00783E18">
              <w:rPr>
                <w:b/>
                <w:bCs/>
              </w:rPr>
              <w:t xml:space="preserve">ministrijas 2021.gada </w:t>
            </w:r>
            <w:r w:rsidR="008506A0">
              <w:rPr>
                <w:b/>
                <w:bCs/>
              </w:rPr>
              <w:t>8</w:t>
            </w:r>
            <w:r>
              <w:rPr>
                <w:b/>
                <w:bCs/>
              </w:rPr>
              <w:t>.aprīļa</w:t>
            </w:r>
            <w:r w:rsidRPr="00783E18">
              <w:rPr>
                <w:b/>
                <w:bCs/>
              </w:rPr>
              <w:t xml:space="preserve"> atzinums Nr.</w:t>
            </w:r>
            <w:r w:rsidR="008506A0">
              <w:t xml:space="preserve"> </w:t>
            </w:r>
            <w:r w:rsidR="008506A0" w:rsidRPr="008506A0">
              <w:rPr>
                <w:b/>
                <w:bCs/>
              </w:rPr>
              <w:t>12/A-2/1924</w:t>
            </w:r>
          </w:p>
          <w:p w14:paraId="0A490D2E" w14:textId="5DD83D69" w:rsidR="00E97EDD" w:rsidRPr="00BE022C" w:rsidRDefault="00E97EDD" w:rsidP="00A136C7">
            <w:pPr>
              <w:pStyle w:val="naisc"/>
              <w:spacing w:before="0" w:after="0"/>
              <w:jc w:val="both"/>
              <w:rPr>
                <w:bCs/>
              </w:rPr>
            </w:pPr>
            <w:r w:rsidRPr="00E97EDD">
              <w:rPr>
                <w:bCs/>
              </w:rPr>
              <w:t>1.</w:t>
            </w:r>
            <w:r w:rsidRPr="00E97EDD">
              <w:rPr>
                <w:bCs/>
              </w:rPr>
              <w:tab/>
              <w:t>Norādām, ka atbilstoši Ministru kabineta 18.07.2018. noteikumu Nr.421 “Kārtība, kādā veic gadskārtējā valsts budžeta likumā noteiktās apropriācijas izmaiņas” 44.punktā noteiktajam, iesniedzot pieprasījumu, ministrija papildus iesniedz pamatojumu un pieprasīto līdzekļu aprēķinu. Līdz šim Veselības ministrija nav sniegusi detalizētu aprēķinu visam papildu nepieciešamajam finansējumam Covid-19 vakcinācijas nodrošināšanai. Attiecīgi lūdzam papildināt anotāciju ar detalizētiem aprēķiniem attiecībā par rīkojuma projekta 1.1.1., 1.1.4. un 1.2.apakšpunktu, atsevišķi sniedzot detalizētu aprēķinu vakcīnu iegādes, loģistikas, ievades izmaksām, kā arī komunikācijas pasākumu izmaksām. Papildus lūdzam sniegt detalizētu informāciju arī par komunikācijas pasākumu 418 500 euro apmērā saturu, lietderību un ieguvumiem sabiedrībai.</w:t>
            </w:r>
          </w:p>
        </w:tc>
        <w:tc>
          <w:tcPr>
            <w:tcW w:w="3685" w:type="dxa"/>
            <w:tcBorders>
              <w:top w:val="single" w:sz="6" w:space="0" w:color="000000"/>
              <w:left w:val="single" w:sz="6" w:space="0" w:color="000000"/>
              <w:bottom w:val="single" w:sz="6" w:space="0" w:color="000000"/>
              <w:right w:val="single" w:sz="6" w:space="0" w:color="000000"/>
            </w:tcBorders>
          </w:tcPr>
          <w:p w14:paraId="1EE419B4" w14:textId="6FA7FB3C" w:rsidR="00712E09" w:rsidRPr="0024666D" w:rsidRDefault="0024666D" w:rsidP="00712E09">
            <w:pPr>
              <w:pStyle w:val="naisc"/>
              <w:spacing w:before="0" w:after="120"/>
              <w:jc w:val="both"/>
            </w:pPr>
            <w:r>
              <w:rPr>
                <w:b/>
                <w:bCs/>
              </w:rPr>
              <w:t>Ņ</w:t>
            </w:r>
            <w:r w:rsidR="00712E09" w:rsidRPr="00801E13">
              <w:rPr>
                <w:b/>
                <w:bCs/>
              </w:rPr>
              <w:t>emts vērā</w:t>
            </w:r>
            <w:r>
              <w:rPr>
                <w:b/>
                <w:bCs/>
              </w:rPr>
              <w:t xml:space="preserve">, </w:t>
            </w:r>
            <w:r w:rsidRPr="0024666D">
              <w:t>precizēta anotācija papildinot ar informāciju.</w:t>
            </w:r>
          </w:p>
          <w:p w14:paraId="0C522BA9" w14:textId="0AB01256" w:rsidR="00A136C7" w:rsidRPr="00801E13" w:rsidRDefault="00A136C7" w:rsidP="002E10C5">
            <w:pPr>
              <w:pStyle w:val="naisc"/>
              <w:spacing w:before="0" w:after="0"/>
              <w:jc w:val="both"/>
            </w:pPr>
          </w:p>
        </w:tc>
        <w:tc>
          <w:tcPr>
            <w:tcW w:w="4253" w:type="dxa"/>
            <w:gridSpan w:val="3"/>
            <w:tcBorders>
              <w:top w:val="single" w:sz="4" w:space="0" w:color="auto"/>
              <w:left w:val="single" w:sz="4" w:space="0" w:color="auto"/>
              <w:bottom w:val="single" w:sz="4" w:space="0" w:color="auto"/>
            </w:tcBorders>
          </w:tcPr>
          <w:p w14:paraId="4761A0DA" w14:textId="2A3E732E" w:rsidR="00A136C7" w:rsidRPr="00801E13" w:rsidRDefault="0024666D" w:rsidP="00A136C7">
            <w:pPr>
              <w:jc w:val="both"/>
            </w:pPr>
            <w:r>
              <w:t>Anotācija</w:t>
            </w:r>
          </w:p>
        </w:tc>
      </w:tr>
      <w:tr w:rsidR="0024666D" w:rsidRPr="00801E13" w14:paraId="06162F39"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5655D8E9" w14:textId="1D239B3E" w:rsidR="0024666D" w:rsidRDefault="0024666D" w:rsidP="0024666D">
            <w:pPr>
              <w:pStyle w:val="naisc"/>
              <w:spacing w:before="0" w:after="0"/>
            </w:pPr>
            <w:r>
              <w:t>2.</w:t>
            </w:r>
          </w:p>
        </w:tc>
        <w:tc>
          <w:tcPr>
            <w:tcW w:w="2577" w:type="dxa"/>
            <w:tcBorders>
              <w:top w:val="single" w:sz="6" w:space="0" w:color="000000"/>
              <w:left w:val="single" w:sz="6" w:space="0" w:color="000000"/>
              <w:bottom w:val="single" w:sz="6" w:space="0" w:color="000000"/>
              <w:right w:val="single" w:sz="6" w:space="0" w:color="000000"/>
            </w:tcBorders>
          </w:tcPr>
          <w:p w14:paraId="366F4D32" w14:textId="2C991580" w:rsidR="0024666D" w:rsidRDefault="00D73382" w:rsidP="0024666D">
            <w:pPr>
              <w:spacing w:after="120"/>
              <w:jc w:val="both"/>
              <w:rPr>
                <w:color w:val="000000"/>
              </w:rPr>
            </w:pPr>
            <w:r>
              <w:rPr>
                <w:color w:val="000000"/>
              </w:rPr>
              <w:t>Anotācija, rīkojuma projekts, anotācijas pielikumi</w:t>
            </w:r>
          </w:p>
        </w:tc>
        <w:tc>
          <w:tcPr>
            <w:tcW w:w="4111" w:type="dxa"/>
            <w:gridSpan w:val="2"/>
            <w:tcBorders>
              <w:top w:val="single" w:sz="6" w:space="0" w:color="000000"/>
              <w:left w:val="single" w:sz="6" w:space="0" w:color="000000"/>
              <w:bottom w:val="single" w:sz="6" w:space="0" w:color="000000"/>
              <w:right w:val="single" w:sz="6" w:space="0" w:color="000000"/>
            </w:tcBorders>
          </w:tcPr>
          <w:p w14:paraId="2BA9DEC1"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66F135E1" w14:textId="398C172D" w:rsidR="0024666D" w:rsidRPr="00E97EDD" w:rsidRDefault="0024666D" w:rsidP="0024666D">
            <w:pPr>
              <w:pStyle w:val="naisc"/>
              <w:spacing w:before="0" w:after="0"/>
              <w:jc w:val="both"/>
            </w:pPr>
            <w:r w:rsidRPr="00E97EDD">
              <w:t xml:space="preserve">Atbilstoši anotācijā sniegtajai informācijai, rīkojuma projektā paredzētais finansējums 152 878 201 euro apmērā Covid-19 vakcīnas iegādei, loģistikai un ievadei ir paredzēts vairāk </w:t>
            </w:r>
            <w:r w:rsidRPr="00E97EDD">
              <w:lastRenderedPageBreak/>
              <w:t>nekā 4,3 milj. vakcīnu devām. Kāds pamats šobrīd uzskatīt, ka rīkojuma projektā norādītais finansējums šim mērķim būs nepieciešams un tiks apgūts 2021.gadā? Uzskatām, ka Veselības ministrijai jāprognozē nepieciešamais finansējums 2021.gada pirmajam pusgadam un jāseko līdzi izpildes rezultātiem. Tikai pēc tam, kad rezervētais finansējums faktiski ir izlietots, nepieciešams sagatavot priekšlikumu  nākamajai finansējuma daļai. Nav pieļaujams, ka tiek rezervēts liels finansējums, kurš praktiski nav nepieciešams.  Attiecīgi lūdzam precizēt rīkojuma projektu un anotāciju.</w:t>
            </w:r>
          </w:p>
        </w:tc>
        <w:tc>
          <w:tcPr>
            <w:tcW w:w="3685" w:type="dxa"/>
            <w:tcBorders>
              <w:top w:val="single" w:sz="6" w:space="0" w:color="000000"/>
              <w:left w:val="single" w:sz="6" w:space="0" w:color="000000"/>
              <w:bottom w:val="single" w:sz="6" w:space="0" w:color="000000"/>
              <w:right w:val="single" w:sz="6" w:space="0" w:color="000000"/>
            </w:tcBorders>
          </w:tcPr>
          <w:p w14:paraId="4EACD3DA" w14:textId="12303DC9" w:rsidR="0024666D" w:rsidRPr="00801E13" w:rsidRDefault="0024666D" w:rsidP="0024666D">
            <w:pPr>
              <w:pStyle w:val="naisc"/>
              <w:spacing w:before="0" w:after="120"/>
              <w:jc w:val="both"/>
              <w:rPr>
                <w:b/>
                <w:bCs/>
              </w:rPr>
            </w:pPr>
            <w:r w:rsidRPr="00261383">
              <w:rPr>
                <w:b/>
                <w:bCs/>
              </w:rPr>
              <w:lastRenderedPageBreak/>
              <w:t>Ņemts vērā</w:t>
            </w:r>
            <w:r w:rsidR="00D73382">
              <w:rPr>
                <w:b/>
                <w:bCs/>
              </w:rPr>
              <w:t xml:space="preserve">, </w:t>
            </w:r>
            <w:r w:rsidR="00D73382" w:rsidRPr="00D73382">
              <w:t>papildināta anotācijas III sadaļas 8.punkts ar skaidrojumu, ka</w:t>
            </w:r>
            <w:r w:rsidR="00D73382">
              <w:rPr>
                <w:iCs/>
              </w:rPr>
              <w:t xml:space="preserve"> Veselības ministrija ir prognozējusi nepieciešamo finansējumu 2021.gada pirmajam pusgadam vakcīnu iegādei, loģistikai un vakcīnu ievadei, kā arī </w:t>
            </w:r>
            <w:r w:rsidR="00D73382">
              <w:rPr>
                <w:iCs/>
              </w:rPr>
              <w:lastRenderedPageBreak/>
              <w:t>tiks sekots līdzi vakcinācijas tāmē norādītajai nepieciešamai finansējuma daļas izpildes rezultātiem. Pēc rezervētā finansējuma faktiskā izlietojuma sagatavosim priekšlikumu nākamajai finansējuma pieprasījuma daļai.</w:t>
            </w:r>
          </w:p>
        </w:tc>
        <w:tc>
          <w:tcPr>
            <w:tcW w:w="4253" w:type="dxa"/>
            <w:gridSpan w:val="3"/>
            <w:tcBorders>
              <w:top w:val="single" w:sz="4" w:space="0" w:color="auto"/>
              <w:left w:val="single" w:sz="4" w:space="0" w:color="auto"/>
              <w:bottom w:val="single" w:sz="4" w:space="0" w:color="auto"/>
            </w:tcBorders>
          </w:tcPr>
          <w:p w14:paraId="5748273D" w14:textId="4020AF53" w:rsidR="0024666D" w:rsidRPr="00801E13" w:rsidRDefault="00D73382" w:rsidP="0024666D">
            <w:pPr>
              <w:jc w:val="both"/>
            </w:pPr>
            <w:r>
              <w:rPr>
                <w:color w:val="000000"/>
              </w:rPr>
              <w:lastRenderedPageBreak/>
              <w:t>Anotācijas III sadaļas 8.punkts, rīkojuma projekts, anotācijas pielikumi</w:t>
            </w:r>
          </w:p>
        </w:tc>
      </w:tr>
      <w:tr w:rsidR="0024666D" w:rsidRPr="00801E13" w14:paraId="31F1A1F2"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69E8B394" w14:textId="067D9B07" w:rsidR="0024666D" w:rsidRDefault="0024666D" w:rsidP="0024666D">
            <w:pPr>
              <w:pStyle w:val="naisc"/>
              <w:spacing w:before="0" w:after="0"/>
            </w:pPr>
            <w:r>
              <w:t>3.</w:t>
            </w:r>
          </w:p>
        </w:tc>
        <w:tc>
          <w:tcPr>
            <w:tcW w:w="2577" w:type="dxa"/>
            <w:tcBorders>
              <w:top w:val="single" w:sz="6" w:space="0" w:color="000000"/>
              <w:left w:val="single" w:sz="6" w:space="0" w:color="000000"/>
              <w:bottom w:val="single" w:sz="6" w:space="0" w:color="000000"/>
              <w:right w:val="single" w:sz="6" w:space="0" w:color="000000"/>
            </w:tcBorders>
          </w:tcPr>
          <w:p w14:paraId="1F3E2CCE" w14:textId="35D581CF" w:rsidR="0024666D" w:rsidRDefault="000F65FA" w:rsidP="0024666D">
            <w:pPr>
              <w:spacing w:after="120"/>
              <w:jc w:val="both"/>
              <w:rPr>
                <w:color w:val="000000"/>
              </w:rPr>
            </w:pPr>
            <w:r>
              <w:rPr>
                <w:color w:val="000000"/>
              </w:rPr>
              <w:t>Rīkojuma projekts, 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2ED356E7"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2F498DDD" w14:textId="619F3C6F" w:rsidR="0024666D" w:rsidRPr="00E97EDD" w:rsidRDefault="0024666D" w:rsidP="0024666D">
            <w:pPr>
              <w:pStyle w:val="naisc"/>
              <w:spacing w:before="0" w:after="0"/>
              <w:jc w:val="both"/>
            </w:pPr>
            <w:r w:rsidRPr="00E97EDD">
              <w:t>Ņemot vērā, ka rīkojuma projekts paredz  FM no valsts budžeta programmas 02.00.00 “Līdzekļi neparedzētiem gadījumiem” (turpmāk – no LNG) piešķirt VM finansējumu, kas nepārsniedz 154 098 904 euro, lai stiprinātu veselības nozares kapacitāti un noturību, nepieciešams precizēt rīkojuma projekta 1.1.apakšpunktu un 1.2.apakšpunktu, nosakot, ka finansējums tiek piešķirts, nepārsniedzot attiecīgajā apakšpunktā norādīto finansējuma apmēru, attiecīgi precizējot anotāciju</w:t>
            </w:r>
            <w:r>
              <w:t>.</w:t>
            </w:r>
          </w:p>
        </w:tc>
        <w:tc>
          <w:tcPr>
            <w:tcW w:w="3685" w:type="dxa"/>
            <w:tcBorders>
              <w:top w:val="single" w:sz="6" w:space="0" w:color="000000"/>
              <w:left w:val="single" w:sz="6" w:space="0" w:color="000000"/>
              <w:bottom w:val="single" w:sz="6" w:space="0" w:color="000000"/>
              <w:right w:val="single" w:sz="6" w:space="0" w:color="000000"/>
            </w:tcBorders>
          </w:tcPr>
          <w:p w14:paraId="33D42583" w14:textId="0DE019DC" w:rsidR="0024666D" w:rsidRPr="00801E13" w:rsidRDefault="0024666D" w:rsidP="0024666D">
            <w:pPr>
              <w:pStyle w:val="naisc"/>
              <w:spacing w:before="0" w:after="120"/>
              <w:jc w:val="both"/>
              <w:rPr>
                <w:b/>
                <w:bCs/>
              </w:rPr>
            </w:pPr>
            <w:r w:rsidRPr="00261383">
              <w:rPr>
                <w:b/>
                <w:bCs/>
              </w:rPr>
              <w:t>Ņemts vērā</w:t>
            </w:r>
            <w:r w:rsidR="000F65FA">
              <w:rPr>
                <w:b/>
                <w:bCs/>
              </w:rPr>
              <w:t>, precizēts.</w:t>
            </w:r>
          </w:p>
        </w:tc>
        <w:tc>
          <w:tcPr>
            <w:tcW w:w="4253" w:type="dxa"/>
            <w:gridSpan w:val="3"/>
            <w:tcBorders>
              <w:top w:val="single" w:sz="4" w:space="0" w:color="auto"/>
              <w:left w:val="single" w:sz="4" w:space="0" w:color="auto"/>
              <w:bottom w:val="single" w:sz="4" w:space="0" w:color="auto"/>
            </w:tcBorders>
          </w:tcPr>
          <w:p w14:paraId="6CAFDE57" w14:textId="196A131D" w:rsidR="0024666D" w:rsidRPr="00801E13" w:rsidRDefault="000F65FA" w:rsidP="0024666D">
            <w:pPr>
              <w:jc w:val="both"/>
            </w:pPr>
            <w:r>
              <w:t>Rīkojuma projekts un anotācija</w:t>
            </w:r>
          </w:p>
        </w:tc>
      </w:tr>
      <w:tr w:rsidR="0024666D" w:rsidRPr="00801E13" w14:paraId="5E5FFFE2"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52116472" w14:textId="281491C3" w:rsidR="0024666D" w:rsidRDefault="0024666D" w:rsidP="0024666D">
            <w:pPr>
              <w:pStyle w:val="naisc"/>
              <w:spacing w:before="0" w:after="0"/>
            </w:pPr>
            <w:r>
              <w:t>4.</w:t>
            </w:r>
          </w:p>
        </w:tc>
        <w:tc>
          <w:tcPr>
            <w:tcW w:w="2577" w:type="dxa"/>
            <w:tcBorders>
              <w:top w:val="single" w:sz="6" w:space="0" w:color="000000"/>
              <w:left w:val="single" w:sz="6" w:space="0" w:color="000000"/>
              <w:bottom w:val="single" w:sz="6" w:space="0" w:color="000000"/>
              <w:right w:val="single" w:sz="6" w:space="0" w:color="000000"/>
            </w:tcBorders>
          </w:tcPr>
          <w:p w14:paraId="004743DB" w14:textId="632968E8" w:rsidR="0024666D" w:rsidRDefault="00AA41CB" w:rsidP="0024666D">
            <w:pPr>
              <w:spacing w:after="120"/>
              <w:jc w:val="both"/>
              <w:rPr>
                <w:color w:val="000000"/>
              </w:rPr>
            </w:pPr>
            <w:r>
              <w:rPr>
                <w:color w:val="000000"/>
              </w:rPr>
              <w:t>Rīkojuma projekts</w:t>
            </w:r>
            <w:r w:rsidR="00322F9E">
              <w:rPr>
                <w:color w:val="000000"/>
              </w:rPr>
              <w:t>, 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7CB99CA7"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4902E540" w14:textId="23906340" w:rsidR="0024666D" w:rsidRPr="00E97EDD" w:rsidRDefault="0024666D" w:rsidP="0024666D">
            <w:pPr>
              <w:pStyle w:val="naisc"/>
              <w:spacing w:before="0" w:after="0"/>
              <w:jc w:val="both"/>
            </w:pPr>
            <w:r w:rsidRPr="00E97EDD">
              <w:lastRenderedPageBreak/>
              <w:t>Rīkojuma projekta 1.1.2. apakšpunkts paredz Nacionālajam veselības dienestam (turpmāk – NVD) piešķirt finansējumu, kas nepārsniedz 640 000 euro, piemaksai ģimenes ārstiem par sasniegtajiem Covid-19 vakcinācijas aptveres rādītājiem senioru un hronisko pacientu grupā par laikposmu no 2021.gada 1.aprīļa līdz 31.decembrim, savukārt rīkojuma projekta 1.1.3.apakšpunkts paredz piešķirt NVD finansējumu, kas nepārsniedz 2 057 euro, lai nodrošinātu adrenalīna injekcijas. Ņemot vērā to, ka publisko līdzekļu piešķiršana ģimenes ārstiem kvalificējas kā komercdarbības atbalsts un tiek sniegts, piemērojot VTNP lēmuma nosacījumus, lūdzam precizēt rīkojuma projekta 4. punktu, attiecinot tā prasības uz rīkojuma projekta 1.1.2.apakšpunktā noteikto finansējumu, kā arī atkarībā no tā, vai rīkojuma projekta 1.1.3.apakšpunktā noteiktais finansējums paredzēts ģimenes ārstu/ārstniecības iestāžu pakalpojumu sniegšanai vai nē, lūdzam rīkojuma projekta 4.punktu papildināt ar atsauci arī uz rīkojuma projekta 1.1.3.apakšpunktu. Vienlaikus lūdzam precizēt rīkojuma projekta 4.punktu, dzēšot atsauci uz rīkojuma projekta 1.2.apakšpunktu, jo tas neatbilst saturam. Lūdzam attiecīgi precizēt anotāciju.</w:t>
            </w:r>
          </w:p>
        </w:tc>
        <w:tc>
          <w:tcPr>
            <w:tcW w:w="3685" w:type="dxa"/>
            <w:tcBorders>
              <w:top w:val="single" w:sz="6" w:space="0" w:color="000000"/>
              <w:left w:val="single" w:sz="6" w:space="0" w:color="000000"/>
              <w:bottom w:val="single" w:sz="6" w:space="0" w:color="000000"/>
              <w:right w:val="single" w:sz="6" w:space="0" w:color="000000"/>
            </w:tcBorders>
          </w:tcPr>
          <w:p w14:paraId="0F21A70A" w14:textId="2E6CB6BB" w:rsidR="0024666D" w:rsidRPr="00801E13" w:rsidRDefault="0024666D" w:rsidP="0024666D">
            <w:pPr>
              <w:pStyle w:val="naisc"/>
              <w:spacing w:before="0" w:after="120"/>
              <w:jc w:val="both"/>
              <w:rPr>
                <w:b/>
                <w:bCs/>
              </w:rPr>
            </w:pPr>
            <w:r w:rsidRPr="00261383">
              <w:rPr>
                <w:b/>
                <w:bCs/>
              </w:rPr>
              <w:lastRenderedPageBreak/>
              <w:t>Ņemts vērā</w:t>
            </w:r>
            <w:r w:rsidR="00322F9E">
              <w:rPr>
                <w:b/>
                <w:bCs/>
              </w:rPr>
              <w:t xml:space="preserve">, </w:t>
            </w:r>
            <w:r w:rsidR="00322F9E" w:rsidRPr="00246908">
              <w:rPr>
                <w:b/>
                <w:bCs/>
              </w:rPr>
              <w:t>precizēt</w:t>
            </w:r>
            <w:r w:rsidR="00246908" w:rsidRPr="00246908">
              <w:rPr>
                <w:b/>
                <w:bCs/>
              </w:rPr>
              <w:t>s</w:t>
            </w:r>
            <w:r w:rsidR="00B30D37" w:rsidRPr="00246908">
              <w:rPr>
                <w:b/>
                <w:bCs/>
              </w:rPr>
              <w:t>.</w:t>
            </w:r>
          </w:p>
        </w:tc>
        <w:tc>
          <w:tcPr>
            <w:tcW w:w="4253" w:type="dxa"/>
            <w:gridSpan w:val="3"/>
            <w:tcBorders>
              <w:top w:val="single" w:sz="4" w:space="0" w:color="auto"/>
              <w:left w:val="single" w:sz="4" w:space="0" w:color="auto"/>
              <w:bottom w:val="single" w:sz="4" w:space="0" w:color="auto"/>
            </w:tcBorders>
          </w:tcPr>
          <w:p w14:paraId="1911E3E1" w14:textId="13EAC230" w:rsidR="0024666D" w:rsidRPr="00801E13" w:rsidRDefault="00AA41CB" w:rsidP="0024666D">
            <w:pPr>
              <w:jc w:val="both"/>
            </w:pPr>
            <w:r>
              <w:rPr>
                <w:color w:val="000000"/>
              </w:rPr>
              <w:t>Rīkojuma projekts</w:t>
            </w:r>
            <w:r w:rsidR="00322F9E">
              <w:rPr>
                <w:color w:val="000000"/>
              </w:rPr>
              <w:t>, anotācija</w:t>
            </w:r>
          </w:p>
        </w:tc>
      </w:tr>
      <w:tr w:rsidR="0024666D" w:rsidRPr="00801E13" w14:paraId="106D4740"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0564FA42" w14:textId="0BCD44BA" w:rsidR="0024666D" w:rsidRDefault="0024666D" w:rsidP="0024666D">
            <w:pPr>
              <w:pStyle w:val="naisc"/>
              <w:spacing w:before="0" w:after="0"/>
            </w:pPr>
            <w:r>
              <w:lastRenderedPageBreak/>
              <w:t>5.</w:t>
            </w:r>
          </w:p>
        </w:tc>
        <w:tc>
          <w:tcPr>
            <w:tcW w:w="2577" w:type="dxa"/>
            <w:tcBorders>
              <w:top w:val="single" w:sz="6" w:space="0" w:color="000000"/>
              <w:left w:val="single" w:sz="6" w:space="0" w:color="000000"/>
              <w:bottom w:val="single" w:sz="6" w:space="0" w:color="000000"/>
              <w:right w:val="single" w:sz="6" w:space="0" w:color="000000"/>
            </w:tcBorders>
          </w:tcPr>
          <w:p w14:paraId="0DE169D5" w14:textId="716DAC12" w:rsidR="0024666D" w:rsidRDefault="00CE5814" w:rsidP="0024666D">
            <w:pPr>
              <w:spacing w:after="120"/>
              <w:jc w:val="both"/>
              <w:rPr>
                <w:color w:val="000000"/>
              </w:rPr>
            </w:pPr>
            <w:r>
              <w:rPr>
                <w:color w:val="000000"/>
              </w:rPr>
              <w:t>Rīkojuma projekts, anotācija, anotācijas pielikumi</w:t>
            </w:r>
          </w:p>
        </w:tc>
        <w:tc>
          <w:tcPr>
            <w:tcW w:w="4111" w:type="dxa"/>
            <w:gridSpan w:val="2"/>
            <w:tcBorders>
              <w:top w:val="single" w:sz="6" w:space="0" w:color="000000"/>
              <w:left w:val="single" w:sz="6" w:space="0" w:color="000000"/>
              <w:bottom w:val="single" w:sz="6" w:space="0" w:color="000000"/>
              <w:right w:val="single" w:sz="6" w:space="0" w:color="000000"/>
            </w:tcBorders>
          </w:tcPr>
          <w:p w14:paraId="77BBB078"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1BA5B82B" w14:textId="2377AA23" w:rsidR="0024666D" w:rsidRPr="00E97EDD" w:rsidRDefault="0024666D" w:rsidP="0024666D">
            <w:pPr>
              <w:pStyle w:val="naisc"/>
              <w:spacing w:before="0" w:after="0"/>
              <w:jc w:val="both"/>
            </w:pPr>
            <w:r w:rsidRPr="00E97EDD">
              <w:t>Anotācijas I sadaļas “Tiesību akta projekta izstrādes nepieciešamība” (turpmāk – I sadaļa) 2.punktā “Pašreizējā situācija un problēmas, kuru risināšanai tiesību akta projekts izstrādāts, tiesiskā regulējuma mērķis un būtība” norādīts (4.lpp.), ka, ņemot vērā, ka ievades izmaksas tarifs ir palielināts līdz 11,23 euro par vienu vakcīnas devu, līdz ar to ievades kopējās izmaksas veido 44 863 395 euro (11,23*4 305 233 (kopējais devu skaits) = 48 347 766,59 euro - 2 872 000 - 612 371,90 (11,23*27 265*2=612 371,90)), papildus tiek piemērots tarifs 3,59 euro apmērā ģimenes ārstiem par grūtāk sasniedzamo grupu pacientu (senioru un hronisko pacientu) vakcinēšanu, līdz ar to kopējais finansējums veido 2 872 000 euro, ņemot vērā, ka vienam pacientam ir nepieciešams 2 vakcīnas un pieņemot, ka būs ap 400 000 pacientu jāvakcinē (3,59*400 000 = 2 872 000). Ņemot vērā minēto, nav saprotams, kāpēc papildu nepieciešamais finansējums 2 872 000 euro ir atskaitīts no ievades kopējām izmaksām (48 347 766,59 euro). Līdz ar to nepieciešams precizēt anotāciju. Vienlaikus lūdzam precizēt aprēķinu finansējumam 2 872 000 euro apmērā, jo 3,59* 400 000  veidojas 1 436 000 euro, nevis 2 872 000 euro kā norādīts aprēķinā.</w:t>
            </w:r>
          </w:p>
        </w:tc>
        <w:tc>
          <w:tcPr>
            <w:tcW w:w="3685" w:type="dxa"/>
            <w:tcBorders>
              <w:top w:val="single" w:sz="6" w:space="0" w:color="000000"/>
              <w:left w:val="single" w:sz="6" w:space="0" w:color="000000"/>
              <w:bottom w:val="single" w:sz="6" w:space="0" w:color="000000"/>
              <w:right w:val="single" w:sz="6" w:space="0" w:color="000000"/>
            </w:tcBorders>
          </w:tcPr>
          <w:p w14:paraId="3F970E68" w14:textId="43069172" w:rsidR="0024666D" w:rsidRPr="00801E13" w:rsidRDefault="0024666D" w:rsidP="0024666D">
            <w:pPr>
              <w:pStyle w:val="naisc"/>
              <w:spacing w:before="0" w:after="120"/>
              <w:jc w:val="both"/>
              <w:rPr>
                <w:b/>
                <w:bCs/>
              </w:rPr>
            </w:pPr>
            <w:r w:rsidRPr="00261383">
              <w:rPr>
                <w:b/>
                <w:bCs/>
              </w:rPr>
              <w:t>Ņemts vērā</w:t>
            </w:r>
            <w:r w:rsidR="00CE5814">
              <w:rPr>
                <w:b/>
                <w:bCs/>
              </w:rPr>
              <w:t>,</w:t>
            </w:r>
            <w:r w:rsidR="00BD6B6F">
              <w:rPr>
                <w:b/>
                <w:bCs/>
              </w:rPr>
              <w:t xml:space="preserve"> </w:t>
            </w:r>
            <w:r w:rsidR="00BD6B6F" w:rsidRPr="00BD6B6F">
              <w:t>precizēts,</w:t>
            </w:r>
            <w:r w:rsidR="00BD6B6F">
              <w:t xml:space="preserve"> </w:t>
            </w:r>
            <w:r w:rsidR="00BD6B6F" w:rsidRPr="00BD6B6F">
              <w:t>aprēķins veidots uz 2021. gada pirmo pusgadu, kā arī pie aprēķiniem tiek izmantots vienots algoritms vienas vakcīnas ievades tarifam 11.23 euro.</w:t>
            </w:r>
          </w:p>
        </w:tc>
        <w:tc>
          <w:tcPr>
            <w:tcW w:w="4253" w:type="dxa"/>
            <w:gridSpan w:val="3"/>
            <w:tcBorders>
              <w:top w:val="single" w:sz="4" w:space="0" w:color="auto"/>
              <w:left w:val="single" w:sz="4" w:space="0" w:color="auto"/>
              <w:bottom w:val="single" w:sz="4" w:space="0" w:color="auto"/>
            </w:tcBorders>
          </w:tcPr>
          <w:p w14:paraId="21107BE2" w14:textId="1BAC6B73" w:rsidR="0024666D" w:rsidRPr="00801E13" w:rsidRDefault="00CE5814" w:rsidP="0024666D">
            <w:pPr>
              <w:jc w:val="both"/>
            </w:pPr>
            <w:r>
              <w:rPr>
                <w:color w:val="000000"/>
              </w:rPr>
              <w:t>Rīkojuma projekts, anotācija, anotācijas pielikumi</w:t>
            </w:r>
          </w:p>
        </w:tc>
      </w:tr>
      <w:tr w:rsidR="0024666D" w:rsidRPr="00801E13" w14:paraId="03472256"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3E0B2B43" w14:textId="09A90CC9" w:rsidR="0024666D" w:rsidRDefault="0024666D" w:rsidP="0024666D">
            <w:pPr>
              <w:pStyle w:val="naisc"/>
              <w:spacing w:before="0" w:after="0"/>
            </w:pPr>
            <w:r>
              <w:lastRenderedPageBreak/>
              <w:t>6.</w:t>
            </w:r>
          </w:p>
        </w:tc>
        <w:tc>
          <w:tcPr>
            <w:tcW w:w="2577" w:type="dxa"/>
            <w:tcBorders>
              <w:top w:val="single" w:sz="6" w:space="0" w:color="000000"/>
              <w:left w:val="single" w:sz="6" w:space="0" w:color="000000"/>
              <w:bottom w:val="single" w:sz="6" w:space="0" w:color="000000"/>
              <w:right w:val="single" w:sz="6" w:space="0" w:color="000000"/>
            </w:tcBorders>
          </w:tcPr>
          <w:p w14:paraId="4D8786DA" w14:textId="059051C9" w:rsidR="0024666D" w:rsidRDefault="00EC7F9C" w:rsidP="0024666D">
            <w:pPr>
              <w:spacing w:after="120"/>
              <w:jc w:val="both"/>
              <w:rPr>
                <w:color w:val="000000"/>
              </w:rPr>
            </w:pPr>
            <w:r>
              <w:rPr>
                <w:color w:val="000000"/>
              </w:rPr>
              <w:t>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766DEAE5"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634D270B" w14:textId="62173AC4" w:rsidR="0024666D" w:rsidRPr="00E97EDD" w:rsidRDefault="0024666D" w:rsidP="0024666D">
            <w:pPr>
              <w:pStyle w:val="naisc"/>
              <w:spacing w:before="0" w:after="0"/>
              <w:jc w:val="both"/>
            </w:pPr>
            <w:r w:rsidRPr="00E97EDD">
              <w:t>Anotācijas I sadaļas  2.punktā  norādīts, ka VM ir sagatavojusi grozījumus Ministru kabineta noteikumos Nr.360 “Epidemioloģiskās drošības pasākumi Covid-19 infekcijas izplatības ierobežošanai” (turpmāk – grozījumi Nr.360), papildinot ar jaunu 62.24 punktu, kas paredz, ka NMPD atbilstoši Ministru kabineta 2009.gada 20.janvāra noteikumos Nr.60 “Noteikumi par obligātajām prasībām ārstniecības iestādēm un to struktūrvienībām” noteiktajiem neatliekamās medicīniskās palīdzības brigāžu profiliem, sadarbībā ar Nacionālo veselības dienestu un šo noteikumu 62.2 punktā minēto ārstniecības iestādi, pēc nepieciešamības vakcinācijas kompleksā nodrošina papildus izveidotu neatliekamās medicīniskās palīdzības brigādi, lai sniegtu neatliekamo medicīnisko palīdzību personām vakcinācijas izraisīto komplikāciju (blakusparādību) gadījumos. Ņemot vērā, ka VM sagatavotie grozījumi Nr.360 nav izskatīti MK sēdē, lūdzam anotācijas I sadaļas 1.punktā “Pamatojums” svītrot teikumu “MK noteikumu Nr.360 “Epidemioloģiskās drošības pasākumi Covid-19 infekcijas izplatības ierobežošanai” 62.24 punkts”. (plāno virzīt MK grozījumus</w:t>
            </w:r>
            <w:r>
              <w:t>.)</w:t>
            </w:r>
          </w:p>
        </w:tc>
        <w:tc>
          <w:tcPr>
            <w:tcW w:w="3685" w:type="dxa"/>
            <w:tcBorders>
              <w:top w:val="single" w:sz="6" w:space="0" w:color="000000"/>
              <w:left w:val="single" w:sz="6" w:space="0" w:color="000000"/>
              <w:bottom w:val="single" w:sz="6" w:space="0" w:color="000000"/>
              <w:right w:val="single" w:sz="6" w:space="0" w:color="000000"/>
            </w:tcBorders>
          </w:tcPr>
          <w:p w14:paraId="21DFC6A3" w14:textId="744ECA30" w:rsidR="0024666D" w:rsidRPr="00801E13" w:rsidRDefault="0024666D" w:rsidP="0024666D">
            <w:pPr>
              <w:pStyle w:val="naisc"/>
              <w:spacing w:before="0" w:after="120"/>
              <w:jc w:val="both"/>
              <w:rPr>
                <w:b/>
                <w:bCs/>
              </w:rPr>
            </w:pPr>
            <w:r w:rsidRPr="00261383">
              <w:rPr>
                <w:b/>
                <w:bCs/>
              </w:rPr>
              <w:t>Ņemts vērā</w:t>
            </w:r>
            <w:r w:rsidR="00EC7F9C">
              <w:rPr>
                <w:b/>
                <w:bCs/>
              </w:rPr>
              <w:t xml:space="preserve">, </w:t>
            </w:r>
            <w:r w:rsidR="00EC7F9C" w:rsidRPr="00EC7F9C">
              <w:t>precizēts.</w:t>
            </w:r>
          </w:p>
        </w:tc>
        <w:tc>
          <w:tcPr>
            <w:tcW w:w="4253" w:type="dxa"/>
            <w:gridSpan w:val="3"/>
            <w:tcBorders>
              <w:top w:val="single" w:sz="4" w:space="0" w:color="auto"/>
              <w:left w:val="single" w:sz="4" w:space="0" w:color="auto"/>
              <w:bottom w:val="single" w:sz="4" w:space="0" w:color="auto"/>
            </w:tcBorders>
          </w:tcPr>
          <w:p w14:paraId="20D41570" w14:textId="360FEE49" w:rsidR="0024666D" w:rsidRPr="00801E13" w:rsidRDefault="00EC7F9C" w:rsidP="0024666D">
            <w:pPr>
              <w:jc w:val="both"/>
            </w:pPr>
            <w:r>
              <w:t>Anotācija</w:t>
            </w:r>
          </w:p>
        </w:tc>
      </w:tr>
      <w:tr w:rsidR="0024666D" w:rsidRPr="00801E13" w14:paraId="00224C1A"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12E82299" w14:textId="05FC887E" w:rsidR="0024666D" w:rsidRDefault="0024666D" w:rsidP="0024666D">
            <w:pPr>
              <w:pStyle w:val="naisc"/>
              <w:spacing w:before="0" w:after="0"/>
            </w:pPr>
            <w:r>
              <w:lastRenderedPageBreak/>
              <w:t>7.</w:t>
            </w:r>
          </w:p>
        </w:tc>
        <w:tc>
          <w:tcPr>
            <w:tcW w:w="2577" w:type="dxa"/>
            <w:tcBorders>
              <w:top w:val="single" w:sz="6" w:space="0" w:color="000000"/>
              <w:left w:val="single" w:sz="6" w:space="0" w:color="000000"/>
              <w:bottom w:val="single" w:sz="6" w:space="0" w:color="000000"/>
              <w:right w:val="single" w:sz="6" w:space="0" w:color="000000"/>
            </w:tcBorders>
          </w:tcPr>
          <w:p w14:paraId="6E840924" w14:textId="73E6BFD5" w:rsidR="0024666D" w:rsidRDefault="00EC7F9C" w:rsidP="0024666D">
            <w:pPr>
              <w:spacing w:after="120"/>
              <w:jc w:val="both"/>
              <w:rPr>
                <w:color w:val="000000"/>
              </w:rPr>
            </w:pPr>
            <w:r>
              <w:rPr>
                <w:color w:val="000000"/>
              </w:rPr>
              <w:t>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71D94468"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5A5FA7CE" w14:textId="3A0BCCC5" w:rsidR="0024666D" w:rsidRPr="00E97EDD" w:rsidRDefault="0024666D" w:rsidP="0024666D">
            <w:pPr>
              <w:pStyle w:val="naisc"/>
              <w:spacing w:before="0" w:after="0"/>
              <w:jc w:val="both"/>
            </w:pPr>
            <w:r w:rsidRPr="00E97EDD">
              <w:t>Anotācijas I sadaļas 2.punktā norādīts, ka uz 10.03.2021. kopā ievades izmaksas veido 41 809 043 euro, savukārt anotācijas pielikumā pasākumam “Vakcīnas izmaksas, loģistikas izmaksas līdz Latvijai, uzglabāšana un loģistika līdz ārstniecības iestādēm, ievades izmaksas”, saskaitot finansējumu pa pozīcijām, veidojas summa 47 934 299 euro. Lūdzam precizēt norādīto informāciju (norādām aiz 41,</w:t>
            </w:r>
            <w:r w:rsidR="00EC7F9C">
              <w:t xml:space="preserve"> </w:t>
            </w:r>
            <w:r w:rsidRPr="00E97EDD">
              <w:t xml:space="preserve">ak tā ir summa bez </w:t>
            </w:r>
            <w:proofErr w:type="spellStart"/>
            <w:r w:rsidRPr="00E97EDD">
              <w:t>Novavax</w:t>
            </w:r>
            <w:proofErr w:type="spellEnd"/>
            <w:r w:rsidRPr="00E97EDD">
              <w:t>).</w:t>
            </w:r>
          </w:p>
        </w:tc>
        <w:tc>
          <w:tcPr>
            <w:tcW w:w="3685" w:type="dxa"/>
            <w:tcBorders>
              <w:top w:val="single" w:sz="6" w:space="0" w:color="000000"/>
              <w:left w:val="single" w:sz="6" w:space="0" w:color="000000"/>
              <w:bottom w:val="single" w:sz="6" w:space="0" w:color="000000"/>
              <w:right w:val="single" w:sz="6" w:space="0" w:color="000000"/>
            </w:tcBorders>
          </w:tcPr>
          <w:p w14:paraId="22B5823F" w14:textId="66844006" w:rsidR="0024666D" w:rsidRPr="00801E13" w:rsidRDefault="00BD6B6F" w:rsidP="0024666D">
            <w:pPr>
              <w:pStyle w:val="naisc"/>
              <w:spacing w:before="0" w:after="120"/>
              <w:jc w:val="both"/>
              <w:rPr>
                <w:b/>
                <w:bCs/>
              </w:rPr>
            </w:pPr>
            <w:r w:rsidRPr="00261383">
              <w:rPr>
                <w:b/>
                <w:bCs/>
              </w:rPr>
              <w:t>Ņemts vērā</w:t>
            </w:r>
            <w:r>
              <w:rPr>
                <w:b/>
                <w:bCs/>
              </w:rPr>
              <w:t xml:space="preserve">, </w:t>
            </w:r>
            <w:r w:rsidRPr="00BD6B6F">
              <w:t>precizēts,</w:t>
            </w:r>
            <w:r>
              <w:t xml:space="preserve"> </w:t>
            </w:r>
            <w:r w:rsidRPr="00BD6B6F">
              <w:t>aprēķins veidots uz 2021. gada pirmo pusgadu, kā arī pie aprēķiniem tiek izmantots vienots algoritms vienas vakcīnas ievades tarifam 11.23 euro</w:t>
            </w:r>
            <w:r>
              <w:t>.</w:t>
            </w:r>
          </w:p>
        </w:tc>
        <w:tc>
          <w:tcPr>
            <w:tcW w:w="4253" w:type="dxa"/>
            <w:gridSpan w:val="3"/>
            <w:tcBorders>
              <w:top w:val="single" w:sz="4" w:space="0" w:color="auto"/>
              <w:left w:val="single" w:sz="4" w:space="0" w:color="auto"/>
              <w:bottom w:val="single" w:sz="4" w:space="0" w:color="auto"/>
            </w:tcBorders>
          </w:tcPr>
          <w:p w14:paraId="285280C2" w14:textId="204B5265" w:rsidR="0024666D" w:rsidRPr="00801E13" w:rsidRDefault="00EC7F9C" w:rsidP="0024666D">
            <w:pPr>
              <w:jc w:val="both"/>
            </w:pPr>
            <w:r>
              <w:rPr>
                <w:color w:val="000000"/>
              </w:rPr>
              <w:t>Anotācija</w:t>
            </w:r>
          </w:p>
        </w:tc>
      </w:tr>
      <w:tr w:rsidR="0024666D" w:rsidRPr="00801E13" w14:paraId="4867E3C6"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55BF2E77" w14:textId="31EA8A18" w:rsidR="0024666D" w:rsidRDefault="0024666D" w:rsidP="0024666D">
            <w:pPr>
              <w:pStyle w:val="naisc"/>
              <w:spacing w:before="0" w:after="0"/>
            </w:pPr>
            <w:r>
              <w:t>8.</w:t>
            </w:r>
          </w:p>
        </w:tc>
        <w:tc>
          <w:tcPr>
            <w:tcW w:w="2577" w:type="dxa"/>
            <w:tcBorders>
              <w:top w:val="single" w:sz="6" w:space="0" w:color="000000"/>
              <w:left w:val="single" w:sz="6" w:space="0" w:color="000000"/>
              <w:bottom w:val="single" w:sz="6" w:space="0" w:color="000000"/>
              <w:right w:val="single" w:sz="6" w:space="0" w:color="000000"/>
            </w:tcBorders>
          </w:tcPr>
          <w:p w14:paraId="22666692" w14:textId="3E218128" w:rsidR="0024666D" w:rsidRDefault="00EC7F9C" w:rsidP="0024666D">
            <w:pPr>
              <w:spacing w:after="120"/>
              <w:jc w:val="both"/>
              <w:rPr>
                <w:color w:val="000000"/>
              </w:rPr>
            </w:pPr>
            <w:r>
              <w:rPr>
                <w:color w:val="000000"/>
              </w:rPr>
              <w:t>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3722354E"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4D79B2A0" w14:textId="5E828E2A" w:rsidR="0024666D" w:rsidRPr="00E97EDD" w:rsidRDefault="0024666D" w:rsidP="0024666D">
            <w:pPr>
              <w:pStyle w:val="naisc"/>
              <w:spacing w:before="0" w:after="0"/>
              <w:jc w:val="both"/>
            </w:pPr>
            <w:r w:rsidRPr="00D8131E">
              <w:t xml:space="preserve">Anotācijas I sadaļas 2.punktā norādīts, ka papildus tiek piemērots tarifs 3,59 euro apmērā ģimenes ārstiem par grūtāk sasniedzamo grupu pacientu (senioru un hronisko pacientu) vakcinēšanu, tāpat arī ir jāparedz finansējums vakcinācijai I grupas invalīdiem (mājas vizīte), piemērojot tarifu 31,27 euro par vienu pacientu. Nav saprotama tik būtiska atšķirība tarifam, kas tiks piemērots I grupas invalīdu vakcinācijai (mājas vizīte), un tarifam, kas tiek piemērots grūtāk sasniedzamo grupu pacientu (senioru un hronisko pacientu) vakcinēšanai. Līdz ar to nepieciešams precizēt tarifu vai sniegt detalizētu pamatojumu. Vienlaikus lūdzam skaidrot, kas tiek uzskatīts par grūtāk </w:t>
            </w:r>
            <w:r w:rsidRPr="00D8131E">
              <w:lastRenderedPageBreak/>
              <w:t>sasniedzamo grupu pacientiem (senioru un hronisko pacientu).</w:t>
            </w:r>
          </w:p>
        </w:tc>
        <w:tc>
          <w:tcPr>
            <w:tcW w:w="3685" w:type="dxa"/>
            <w:tcBorders>
              <w:top w:val="single" w:sz="6" w:space="0" w:color="000000"/>
              <w:left w:val="single" w:sz="6" w:space="0" w:color="000000"/>
              <w:bottom w:val="single" w:sz="6" w:space="0" w:color="000000"/>
              <w:right w:val="single" w:sz="6" w:space="0" w:color="000000"/>
            </w:tcBorders>
          </w:tcPr>
          <w:p w14:paraId="50C677D2" w14:textId="6218A524" w:rsidR="0024666D" w:rsidRPr="00801E13" w:rsidRDefault="00BD6B6F" w:rsidP="0024666D">
            <w:pPr>
              <w:pStyle w:val="naisc"/>
              <w:spacing w:before="0" w:after="120"/>
              <w:jc w:val="both"/>
              <w:rPr>
                <w:b/>
                <w:bCs/>
              </w:rPr>
            </w:pPr>
            <w:r w:rsidRPr="00261383">
              <w:rPr>
                <w:b/>
                <w:bCs/>
              </w:rPr>
              <w:lastRenderedPageBreak/>
              <w:t>Ņemts vērā</w:t>
            </w:r>
            <w:r>
              <w:rPr>
                <w:b/>
                <w:bCs/>
              </w:rPr>
              <w:t xml:space="preserve">, </w:t>
            </w:r>
            <w:r w:rsidRPr="00BD6B6F">
              <w:t>precizēts,</w:t>
            </w:r>
            <w:r>
              <w:t xml:space="preserve"> </w:t>
            </w:r>
            <w:r w:rsidRPr="00BD6B6F">
              <w:t>aprēķins veidots uz 2021. gada pirmo pusgadu, kā arī pie aprēķiniem tiek izmantots vienots algoritms vienas vakcīnas ievades tarifam 11.23 euro</w:t>
            </w:r>
            <w:r>
              <w:t>.</w:t>
            </w:r>
          </w:p>
        </w:tc>
        <w:tc>
          <w:tcPr>
            <w:tcW w:w="4253" w:type="dxa"/>
            <w:gridSpan w:val="3"/>
            <w:tcBorders>
              <w:top w:val="single" w:sz="4" w:space="0" w:color="auto"/>
              <w:left w:val="single" w:sz="4" w:space="0" w:color="auto"/>
              <w:bottom w:val="single" w:sz="4" w:space="0" w:color="auto"/>
            </w:tcBorders>
          </w:tcPr>
          <w:p w14:paraId="68EF8901" w14:textId="2A36A08B" w:rsidR="0024666D" w:rsidRPr="00801E13" w:rsidRDefault="00EC7F9C" w:rsidP="0024666D">
            <w:pPr>
              <w:jc w:val="both"/>
            </w:pPr>
            <w:r>
              <w:t>Anotācija</w:t>
            </w:r>
          </w:p>
        </w:tc>
      </w:tr>
      <w:tr w:rsidR="0024666D" w:rsidRPr="00801E13" w14:paraId="4753411B"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3E5CC930" w14:textId="2E3B78B4" w:rsidR="0024666D" w:rsidRDefault="0024666D" w:rsidP="0024666D">
            <w:pPr>
              <w:pStyle w:val="naisc"/>
              <w:spacing w:before="0" w:after="0"/>
            </w:pPr>
            <w:r>
              <w:t>9.</w:t>
            </w:r>
          </w:p>
        </w:tc>
        <w:tc>
          <w:tcPr>
            <w:tcW w:w="2577" w:type="dxa"/>
            <w:tcBorders>
              <w:top w:val="single" w:sz="6" w:space="0" w:color="000000"/>
              <w:left w:val="single" w:sz="6" w:space="0" w:color="000000"/>
              <w:bottom w:val="single" w:sz="6" w:space="0" w:color="000000"/>
              <w:right w:val="single" w:sz="6" w:space="0" w:color="000000"/>
            </w:tcBorders>
          </w:tcPr>
          <w:p w14:paraId="089EFE4C" w14:textId="5E875D21" w:rsidR="0024666D" w:rsidRPr="00EC7F9C" w:rsidRDefault="00EC7F9C" w:rsidP="0024666D">
            <w:pPr>
              <w:spacing w:after="120"/>
              <w:jc w:val="both"/>
              <w:rPr>
                <w:color w:val="000000"/>
              </w:rPr>
            </w:pPr>
            <w:r w:rsidRPr="00EC7F9C">
              <w:t>Anotācijas III sadaļa</w:t>
            </w:r>
          </w:p>
        </w:tc>
        <w:tc>
          <w:tcPr>
            <w:tcW w:w="4111" w:type="dxa"/>
            <w:gridSpan w:val="2"/>
            <w:tcBorders>
              <w:top w:val="single" w:sz="6" w:space="0" w:color="000000"/>
              <w:left w:val="single" w:sz="6" w:space="0" w:color="000000"/>
              <w:bottom w:val="single" w:sz="6" w:space="0" w:color="000000"/>
              <w:right w:val="single" w:sz="6" w:space="0" w:color="000000"/>
            </w:tcBorders>
          </w:tcPr>
          <w:p w14:paraId="3663BDFD"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568E6481" w14:textId="6949BCF7" w:rsidR="0024666D" w:rsidRPr="00E97EDD" w:rsidRDefault="0024666D" w:rsidP="0024666D">
            <w:pPr>
              <w:pStyle w:val="naisc"/>
              <w:spacing w:before="0" w:after="0"/>
              <w:jc w:val="both"/>
            </w:pPr>
            <w:r w:rsidRPr="00D8131E">
              <w:t>Atbilstoši FM 03.03.2021. rīkojumam Nr.127 “Par līdzekļu piešķiršanu” piešķirts VM no LNG finansējums 3 035 944 euro apmērā, lai segtu izdevumus, kas radušies saistībā ar Covid-19 vakcīnu iegādi, ievadi un uzglabāšanu. Lūdzam precizēt anotācijas III sadaļas “Tiesību akta projekta ietekme uz valsts budžetu un pašvaldību budžetiem” (turpmāk – III sadaļa) 1. un 2.ailē “saskaņā ar valsts budžetu kārtējam gadam” norādīto finansējumu, attiecīgi precizējot anotācijas III sadaļas 6.punktu</w:t>
            </w:r>
            <w:r>
              <w:t>.</w:t>
            </w:r>
          </w:p>
        </w:tc>
        <w:tc>
          <w:tcPr>
            <w:tcW w:w="3685" w:type="dxa"/>
            <w:tcBorders>
              <w:top w:val="single" w:sz="6" w:space="0" w:color="000000"/>
              <w:left w:val="single" w:sz="6" w:space="0" w:color="000000"/>
              <w:bottom w:val="single" w:sz="6" w:space="0" w:color="000000"/>
              <w:right w:val="single" w:sz="6" w:space="0" w:color="000000"/>
            </w:tcBorders>
          </w:tcPr>
          <w:p w14:paraId="2FB279DD" w14:textId="08B904D1" w:rsidR="0024666D" w:rsidRPr="00801E13" w:rsidRDefault="0024666D" w:rsidP="0024666D">
            <w:pPr>
              <w:pStyle w:val="naisc"/>
              <w:spacing w:before="0" w:after="120"/>
              <w:jc w:val="both"/>
              <w:rPr>
                <w:b/>
                <w:bCs/>
              </w:rPr>
            </w:pPr>
            <w:r w:rsidRPr="00261383">
              <w:rPr>
                <w:b/>
                <w:bCs/>
              </w:rPr>
              <w:t>Ņemts vērā</w:t>
            </w:r>
            <w:r w:rsidR="00EC7F9C">
              <w:rPr>
                <w:b/>
                <w:bCs/>
              </w:rPr>
              <w:t xml:space="preserve">, </w:t>
            </w:r>
            <w:r w:rsidR="00EC7F9C" w:rsidRPr="00EC7F9C">
              <w:t>precizēta anotācijas III sadaļa.</w:t>
            </w:r>
          </w:p>
        </w:tc>
        <w:tc>
          <w:tcPr>
            <w:tcW w:w="4253" w:type="dxa"/>
            <w:gridSpan w:val="3"/>
            <w:tcBorders>
              <w:top w:val="single" w:sz="4" w:space="0" w:color="auto"/>
              <w:left w:val="single" w:sz="4" w:space="0" w:color="auto"/>
              <w:bottom w:val="single" w:sz="4" w:space="0" w:color="auto"/>
            </w:tcBorders>
          </w:tcPr>
          <w:p w14:paraId="6CF9D452" w14:textId="5C926D96" w:rsidR="0024666D" w:rsidRPr="00EC7F9C" w:rsidRDefault="00EC7F9C" w:rsidP="0024666D">
            <w:pPr>
              <w:jc w:val="both"/>
            </w:pPr>
            <w:r w:rsidRPr="00EC7F9C">
              <w:t>Anotācijas III sadaļa</w:t>
            </w:r>
          </w:p>
        </w:tc>
      </w:tr>
      <w:tr w:rsidR="0024666D" w:rsidRPr="00801E13" w14:paraId="437B0255"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318EBBB4" w14:textId="5F49FF4C" w:rsidR="0024666D" w:rsidRDefault="0024666D" w:rsidP="0024666D">
            <w:pPr>
              <w:pStyle w:val="naisc"/>
              <w:spacing w:before="0" w:after="0"/>
            </w:pPr>
            <w:r>
              <w:t>10.</w:t>
            </w:r>
          </w:p>
        </w:tc>
        <w:tc>
          <w:tcPr>
            <w:tcW w:w="2577" w:type="dxa"/>
            <w:tcBorders>
              <w:top w:val="single" w:sz="6" w:space="0" w:color="000000"/>
              <w:left w:val="single" w:sz="6" w:space="0" w:color="000000"/>
              <w:bottom w:val="single" w:sz="6" w:space="0" w:color="000000"/>
              <w:right w:val="single" w:sz="6" w:space="0" w:color="000000"/>
            </w:tcBorders>
          </w:tcPr>
          <w:p w14:paraId="4BC3ACCD" w14:textId="32F1F872" w:rsidR="0024666D" w:rsidRDefault="00EC7F9C" w:rsidP="0024666D">
            <w:pPr>
              <w:spacing w:after="120"/>
              <w:jc w:val="both"/>
              <w:rPr>
                <w:color w:val="000000"/>
              </w:rPr>
            </w:pPr>
            <w:r w:rsidRPr="00EC7F9C">
              <w:t>Anotācijas III sadaļa</w:t>
            </w:r>
          </w:p>
        </w:tc>
        <w:tc>
          <w:tcPr>
            <w:tcW w:w="4111" w:type="dxa"/>
            <w:gridSpan w:val="2"/>
            <w:tcBorders>
              <w:top w:val="single" w:sz="6" w:space="0" w:color="000000"/>
              <w:left w:val="single" w:sz="6" w:space="0" w:color="000000"/>
              <w:bottom w:val="single" w:sz="6" w:space="0" w:color="000000"/>
              <w:right w:val="single" w:sz="6" w:space="0" w:color="000000"/>
            </w:tcBorders>
          </w:tcPr>
          <w:p w14:paraId="2B7C65C8"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2CC90818" w14:textId="5BA9C945" w:rsidR="0024666D" w:rsidRPr="00E97EDD" w:rsidRDefault="0024666D" w:rsidP="0024666D">
            <w:pPr>
              <w:pStyle w:val="naisc"/>
              <w:spacing w:before="0" w:after="0"/>
              <w:jc w:val="both"/>
            </w:pPr>
            <w:r w:rsidRPr="00D8131E">
              <w:t>Ņemot vērā, ka atbilstoši Ministru kabineta 15.12.2009. instrukcijai Nr.19 “Tiesību akta projekta sākotnējās ietekmes izvērtēšanas kārtība” finansiālā ietekme uz valsts budžetu un pašvaldību budžetiem norādāma anotācijas III sadaļā, lūdzam precizēt anotāciju, norādot finansiālo ietekmi tikai anotācijas III sadaļā</w:t>
            </w:r>
            <w:r>
              <w:t>.</w:t>
            </w:r>
          </w:p>
        </w:tc>
        <w:tc>
          <w:tcPr>
            <w:tcW w:w="3685" w:type="dxa"/>
            <w:tcBorders>
              <w:top w:val="single" w:sz="6" w:space="0" w:color="000000"/>
              <w:left w:val="single" w:sz="6" w:space="0" w:color="000000"/>
              <w:bottom w:val="single" w:sz="6" w:space="0" w:color="000000"/>
              <w:right w:val="single" w:sz="6" w:space="0" w:color="000000"/>
            </w:tcBorders>
          </w:tcPr>
          <w:p w14:paraId="37484F78" w14:textId="2D3BB6F7" w:rsidR="0024666D" w:rsidRPr="00801E13" w:rsidRDefault="0024666D" w:rsidP="0024666D">
            <w:pPr>
              <w:pStyle w:val="naisc"/>
              <w:spacing w:before="0" w:after="120"/>
              <w:jc w:val="both"/>
              <w:rPr>
                <w:b/>
                <w:bCs/>
              </w:rPr>
            </w:pPr>
            <w:r w:rsidRPr="00261383">
              <w:rPr>
                <w:b/>
                <w:bCs/>
              </w:rPr>
              <w:t>Ņemts vērā</w:t>
            </w:r>
            <w:r w:rsidR="00EC7F9C">
              <w:rPr>
                <w:b/>
                <w:bCs/>
              </w:rPr>
              <w:t>,</w:t>
            </w:r>
            <w:r w:rsidR="00EC7F9C" w:rsidRPr="00EC7F9C">
              <w:t xml:space="preserve"> precizēta anotācijas III sadaļa.</w:t>
            </w:r>
          </w:p>
        </w:tc>
        <w:tc>
          <w:tcPr>
            <w:tcW w:w="4253" w:type="dxa"/>
            <w:gridSpan w:val="3"/>
            <w:tcBorders>
              <w:top w:val="single" w:sz="4" w:space="0" w:color="auto"/>
              <w:left w:val="single" w:sz="4" w:space="0" w:color="auto"/>
              <w:bottom w:val="single" w:sz="4" w:space="0" w:color="auto"/>
            </w:tcBorders>
          </w:tcPr>
          <w:p w14:paraId="6C1D84C2" w14:textId="07D4EE28" w:rsidR="0024666D" w:rsidRPr="00801E13" w:rsidRDefault="00EC7F9C" w:rsidP="0024666D">
            <w:pPr>
              <w:jc w:val="both"/>
            </w:pPr>
            <w:r w:rsidRPr="00EC7F9C">
              <w:t>Anotācijas III sadaļa</w:t>
            </w:r>
          </w:p>
        </w:tc>
      </w:tr>
      <w:tr w:rsidR="0024666D" w:rsidRPr="00801E13" w14:paraId="059900E3"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6AD87EB8" w14:textId="4C1963AC" w:rsidR="0024666D" w:rsidRDefault="0024666D" w:rsidP="0024666D">
            <w:pPr>
              <w:pStyle w:val="naisc"/>
              <w:spacing w:before="0" w:after="0"/>
            </w:pPr>
            <w:r>
              <w:t>11.</w:t>
            </w:r>
          </w:p>
        </w:tc>
        <w:tc>
          <w:tcPr>
            <w:tcW w:w="2577" w:type="dxa"/>
            <w:tcBorders>
              <w:top w:val="single" w:sz="6" w:space="0" w:color="000000"/>
              <w:left w:val="single" w:sz="6" w:space="0" w:color="000000"/>
              <w:bottom w:val="single" w:sz="6" w:space="0" w:color="000000"/>
              <w:right w:val="single" w:sz="6" w:space="0" w:color="000000"/>
            </w:tcBorders>
          </w:tcPr>
          <w:p w14:paraId="0E823FF3" w14:textId="5A5C0A8E" w:rsidR="0024666D" w:rsidRDefault="00EC7F9C" w:rsidP="0024666D">
            <w:pPr>
              <w:spacing w:after="120"/>
              <w:jc w:val="both"/>
              <w:rPr>
                <w:color w:val="000000"/>
              </w:rPr>
            </w:pPr>
            <w:r>
              <w:rPr>
                <w:color w:val="000000"/>
              </w:rPr>
              <w:t>Anotācijas pielikums</w:t>
            </w:r>
          </w:p>
        </w:tc>
        <w:tc>
          <w:tcPr>
            <w:tcW w:w="4111" w:type="dxa"/>
            <w:gridSpan w:val="2"/>
            <w:tcBorders>
              <w:top w:val="single" w:sz="6" w:space="0" w:color="000000"/>
              <w:left w:val="single" w:sz="6" w:space="0" w:color="000000"/>
              <w:bottom w:val="single" w:sz="6" w:space="0" w:color="000000"/>
              <w:right w:val="single" w:sz="6" w:space="0" w:color="000000"/>
            </w:tcBorders>
          </w:tcPr>
          <w:p w14:paraId="5E597F73"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35DBFE5B" w14:textId="56C585E7" w:rsidR="0024666D" w:rsidRPr="00E97EDD" w:rsidRDefault="0024666D" w:rsidP="0024666D">
            <w:pPr>
              <w:pStyle w:val="naisc"/>
              <w:spacing w:before="0" w:after="0"/>
              <w:jc w:val="both"/>
            </w:pPr>
            <w:r w:rsidRPr="00D8131E">
              <w:t xml:space="preserve">Lūdzam precizēt anotācijas pielikuma rindā “Papildus nepieciešams finansējums” norādīto finansējumu, 15 </w:t>
            </w:r>
            <w:r w:rsidRPr="00D8131E">
              <w:lastRenderedPageBreak/>
              <w:t>866 345 euro vietā norādot 15 866 344 euro</w:t>
            </w:r>
            <w:r>
              <w:t>.</w:t>
            </w:r>
          </w:p>
        </w:tc>
        <w:tc>
          <w:tcPr>
            <w:tcW w:w="3685" w:type="dxa"/>
            <w:tcBorders>
              <w:top w:val="single" w:sz="6" w:space="0" w:color="000000"/>
              <w:left w:val="single" w:sz="6" w:space="0" w:color="000000"/>
              <w:bottom w:val="single" w:sz="6" w:space="0" w:color="000000"/>
              <w:right w:val="single" w:sz="6" w:space="0" w:color="000000"/>
            </w:tcBorders>
          </w:tcPr>
          <w:p w14:paraId="53B9C1EC" w14:textId="63FA1EC8" w:rsidR="0024666D" w:rsidRPr="00801E13" w:rsidRDefault="00BD6B6F" w:rsidP="0024666D">
            <w:pPr>
              <w:pStyle w:val="naisc"/>
              <w:spacing w:before="0" w:after="120"/>
              <w:jc w:val="both"/>
              <w:rPr>
                <w:b/>
                <w:bCs/>
              </w:rPr>
            </w:pPr>
            <w:r w:rsidRPr="00261383">
              <w:rPr>
                <w:b/>
                <w:bCs/>
              </w:rPr>
              <w:lastRenderedPageBreak/>
              <w:t>Ņemts vērā</w:t>
            </w:r>
            <w:r>
              <w:rPr>
                <w:b/>
                <w:bCs/>
              </w:rPr>
              <w:t xml:space="preserve">, </w:t>
            </w:r>
            <w:r w:rsidRPr="00BD6B6F">
              <w:t>precizēts,</w:t>
            </w:r>
            <w:r>
              <w:t xml:space="preserve"> </w:t>
            </w:r>
            <w:r w:rsidRPr="00BD6B6F">
              <w:t>aprēķins veidots uz 2021. gada pirmo pusgadu, kā arī pie aprēķiniem tiek izmantots vienots algoritms vienas vakcīnas ievades tarifam 11.23 euro</w:t>
            </w:r>
            <w:r>
              <w:t>.</w:t>
            </w:r>
          </w:p>
        </w:tc>
        <w:tc>
          <w:tcPr>
            <w:tcW w:w="4253" w:type="dxa"/>
            <w:gridSpan w:val="3"/>
            <w:tcBorders>
              <w:top w:val="single" w:sz="4" w:space="0" w:color="auto"/>
              <w:left w:val="single" w:sz="4" w:space="0" w:color="auto"/>
              <w:bottom w:val="single" w:sz="4" w:space="0" w:color="auto"/>
            </w:tcBorders>
          </w:tcPr>
          <w:p w14:paraId="185164E9" w14:textId="68CAD5DD" w:rsidR="0024666D" w:rsidRPr="00801E13" w:rsidRDefault="00EC7F9C" w:rsidP="0024666D">
            <w:pPr>
              <w:jc w:val="both"/>
            </w:pPr>
            <w:r>
              <w:rPr>
                <w:color w:val="000000"/>
              </w:rPr>
              <w:t>Anotācijas pielikums</w:t>
            </w:r>
          </w:p>
        </w:tc>
      </w:tr>
      <w:tr w:rsidR="00BD6B6F" w:rsidRPr="00801E13" w14:paraId="7FF8E855"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1722D693" w14:textId="45DA4A7D" w:rsidR="00BD6B6F" w:rsidRDefault="00BD6B6F" w:rsidP="00BD6B6F">
            <w:pPr>
              <w:pStyle w:val="naisc"/>
              <w:spacing w:before="0" w:after="0"/>
            </w:pPr>
            <w:r>
              <w:t>12.</w:t>
            </w:r>
          </w:p>
        </w:tc>
        <w:tc>
          <w:tcPr>
            <w:tcW w:w="2577" w:type="dxa"/>
            <w:tcBorders>
              <w:top w:val="single" w:sz="6" w:space="0" w:color="000000"/>
              <w:left w:val="single" w:sz="6" w:space="0" w:color="000000"/>
              <w:bottom w:val="single" w:sz="6" w:space="0" w:color="000000"/>
              <w:right w:val="single" w:sz="6" w:space="0" w:color="000000"/>
            </w:tcBorders>
          </w:tcPr>
          <w:p w14:paraId="2E8E9414" w14:textId="3CDD34D8" w:rsidR="00BD6B6F" w:rsidRDefault="00BD6B6F" w:rsidP="00BD6B6F">
            <w:pPr>
              <w:spacing w:after="120"/>
              <w:jc w:val="both"/>
              <w:rPr>
                <w:color w:val="000000"/>
              </w:rPr>
            </w:pPr>
            <w:r>
              <w:rPr>
                <w:color w:val="000000"/>
              </w:rPr>
              <w:t>Anotācijas pielikums</w:t>
            </w:r>
          </w:p>
        </w:tc>
        <w:tc>
          <w:tcPr>
            <w:tcW w:w="4111" w:type="dxa"/>
            <w:gridSpan w:val="2"/>
            <w:tcBorders>
              <w:top w:val="single" w:sz="6" w:space="0" w:color="000000"/>
              <w:left w:val="single" w:sz="6" w:space="0" w:color="000000"/>
              <w:bottom w:val="single" w:sz="6" w:space="0" w:color="000000"/>
              <w:right w:val="single" w:sz="6" w:space="0" w:color="000000"/>
            </w:tcBorders>
          </w:tcPr>
          <w:p w14:paraId="2A7B37CB" w14:textId="77777777" w:rsidR="00BD6B6F" w:rsidRDefault="00BD6B6F" w:rsidP="00BD6B6F">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2ED39277" w14:textId="44E0C02B" w:rsidR="00BD6B6F" w:rsidRPr="00E97EDD" w:rsidRDefault="00BD6B6F" w:rsidP="00BD6B6F">
            <w:pPr>
              <w:pStyle w:val="naisc"/>
              <w:spacing w:before="0" w:after="0"/>
              <w:jc w:val="both"/>
            </w:pPr>
            <w:r w:rsidRPr="00D8131E">
              <w:t>Lūdzam precizēt anotācijas pielikuma rindā “Vakcīnu limits” norādīto finansējumu,</w:t>
            </w:r>
            <w:r>
              <w:t xml:space="preserve"> </w:t>
            </w:r>
            <w:r w:rsidRPr="00D8131E">
              <w:t>136 766 281 euro vietā norādot 136 766 280 euro</w:t>
            </w:r>
            <w:r>
              <w:t>.</w:t>
            </w:r>
          </w:p>
        </w:tc>
        <w:tc>
          <w:tcPr>
            <w:tcW w:w="3685" w:type="dxa"/>
            <w:tcBorders>
              <w:top w:val="single" w:sz="6" w:space="0" w:color="000000"/>
              <w:left w:val="single" w:sz="6" w:space="0" w:color="000000"/>
              <w:bottom w:val="single" w:sz="6" w:space="0" w:color="000000"/>
              <w:right w:val="single" w:sz="6" w:space="0" w:color="000000"/>
            </w:tcBorders>
          </w:tcPr>
          <w:p w14:paraId="05A6B8D9" w14:textId="0BD4FF4A" w:rsidR="00BD6B6F" w:rsidRPr="00801E13" w:rsidRDefault="00BD6B6F" w:rsidP="00BD6B6F">
            <w:pPr>
              <w:pStyle w:val="naisc"/>
              <w:spacing w:before="0" w:after="120"/>
              <w:jc w:val="both"/>
              <w:rPr>
                <w:b/>
                <w:bCs/>
              </w:rPr>
            </w:pPr>
            <w:r w:rsidRPr="002E303B">
              <w:rPr>
                <w:b/>
                <w:bCs/>
              </w:rPr>
              <w:t xml:space="preserve">Ņemts vērā, </w:t>
            </w:r>
            <w:r w:rsidRPr="002E303B">
              <w:t>precizēts, aprēķins veidots uz 2021. gada pirmo pusgadu, kā arī pie aprēķiniem tiek izmantots vienots algoritms vienas vakcīnas ievades tarifam 11.23 euro</w:t>
            </w:r>
            <w:r>
              <w:t>.</w:t>
            </w:r>
          </w:p>
        </w:tc>
        <w:tc>
          <w:tcPr>
            <w:tcW w:w="4253" w:type="dxa"/>
            <w:gridSpan w:val="3"/>
            <w:tcBorders>
              <w:top w:val="single" w:sz="4" w:space="0" w:color="auto"/>
              <w:left w:val="single" w:sz="4" w:space="0" w:color="auto"/>
              <w:bottom w:val="single" w:sz="4" w:space="0" w:color="auto"/>
            </w:tcBorders>
          </w:tcPr>
          <w:p w14:paraId="680E1999" w14:textId="13781070" w:rsidR="00BD6B6F" w:rsidRPr="00801E13" w:rsidRDefault="00BD6B6F" w:rsidP="00BD6B6F">
            <w:pPr>
              <w:jc w:val="both"/>
            </w:pPr>
            <w:r>
              <w:rPr>
                <w:color w:val="000000"/>
              </w:rPr>
              <w:t>Anotācijas pielikums</w:t>
            </w:r>
          </w:p>
        </w:tc>
      </w:tr>
      <w:tr w:rsidR="00BD6B6F" w:rsidRPr="00801E13" w14:paraId="7051214F"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16093E63" w14:textId="65C1B7A7" w:rsidR="00BD6B6F" w:rsidRDefault="00BD6B6F" w:rsidP="00BD6B6F">
            <w:pPr>
              <w:pStyle w:val="naisc"/>
              <w:spacing w:before="0" w:after="0"/>
            </w:pPr>
            <w:r>
              <w:t>13.</w:t>
            </w:r>
          </w:p>
        </w:tc>
        <w:tc>
          <w:tcPr>
            <w:tcW w:w="2577" w:type="dxa"/>
            <w:tcBorders>
              <w:top w:val="single" w:sz="6" w:space="0" w:color="000000"/>
              <w:left w:val="single" w:sz="6" w:space="0" w:color="000000"/>
              <w:bottom w:val="single" w:sz="6" w:space="0" w:color="000000"/>
              <w:right w:val="single" w:sz="6" w:space="0" w:color="000000"/>
            </w:tcBorders>
          </w:tcPr>
          <w:p w14:paraId="7BAB1954" w14:textId="0D410C0D" w:rsidR="00BD6B6F" w:rsidRDefault="00BD6B6F" w:rsidP="00BD6B6F">
            <w:pPr>
              <w:spacing w:after="120"/>
              <w:jc w:val="both"/>
              <w:rPr>
                <w:color w:val="000000"/>
              </w:rPr>
            </w:pPr>
            <w:r>
              <w:rPr>
                <w:color w:val="000000"/>
              </w:rPr>
              <w:t>Anotācijas pielikums</w:t>
            </w:r>
          </w:p>
        </w:tc>
        <w:tc>
          <w:tcPr>
            <w:tcW w:w="4111" w:type="dxa"/>
            <w:gridSpan w:val="2"/>
            <w:tcBorders>
              <w:top w:val="single" w:sz="6" w:space="0" w:color="000000"/>
              <w:left w:val="single" w:sz="6" w:space="0" w:color="000000"/>
              <w:bottom w:val="single" w:sz="6" w:space="0" w:color="000000"/>
              <w:right w:val="single" w:sz="6" w:space="0" w:color="000000"/>
            </w:tcBorders>
          </w:tcPr>
          <w:p w14:paraId="5418387E" w14:textId="77777777" w:rsidR="00BD6B6F" w:rsidRDefault="00BD6B6F" w:rsidP="00BD6B6F">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6DF7A2A6" w14:textId="3D34094D" w:rsidR="00BD6B6F" w:rsidRPr="00E97EDD" w:rsidRDefault="00BD6B6F" w:rsidP="00BD6B6F">
            <w:pPr>
              <w:pStyle w:val="naisc"/>
              <w:spacing w:before="0" w:after="0"/>
              <w:jc w:val="both"/>
            </w:pPr>
            <w:r w:rsidRPr="00D8131E">
              <w:t>Lūdzam precizēt anotācijas pielikuma rindā “VISS KOPĀ PAPILDU NEPIECIEŠAMS:” norādīto finansējumu, 17 332 623 euro vietā norādot 17 332 624 euro</w:t>
            </w:r>
            <w:r>
              <w:t>.</w:t>
            </w:r>
          </w:p>
        </w:tc>
        <w:tc>
          <w:tcPr>
            <w:tcW w:w="3685" w:type="dxa"/>
            <w:tcBorders>
              <w:top w:val="single" w:sz="6" w:space="0" w:color="000000"/>
              <w:left w:val="single" w:sz="6" w:space="0" w:color="000000"/>
              <w:bottom w:val="single" w:sz="6" w:space="0" w:color="000000"/>
              <w:right w:val="single" w:sz="6" w:space="0" w:color="000000"/>
            </w:tcBorders>
          </w:tcPr>
          <w:p w14:paraId="5027B350" w14:textId="39DDC4D5" w:rsidR="00BD6B6F" w:rsidRPr="00801E13" w:rsidRDefault="00BD6B6F" w:rsidP="00BD6B6F">
            <w:pPr>
              <w:pStyle w:val="naisc"/>
              <w:spacing w:before="0" w:after="120"/>
              <w:jc w:val="both"/>
              <w:rPr>
                <w:b/>
                <w:bCs/>
              </w:rPr>
            </w:pPr>
            <w:r w:rsidRPr="002E303B">
              <w:rPr>
                <w:b/>
                <w:bCs/>
              </w:rPr>
              <w:t xml:space="preserve">Ņemts vērā, </w:t>
            </w:r>
            <w:r w:rsidRPr="002E303B">
              <w:t>precizēts, aprēķins veidots uz 2021. gada pirmo pusgadu, kā arī pie aprēķiniem tiek izmantots vienots algoritms vienas vakcīnas ievades tarifam 11.23 euro</w:t>
            </w:r>
            <w:r>
              <w:t>.</w:t>
            </w:r>
          </w:p>
        </w:tc>
        <w:tc>
          <w:tcPr>
            <w:tcW w:w="4253" w:type="dxa"/>
            <w:gridSpan w:val="3"/>
            <w:tcBorders>
              <w:top w:val="single" w:sz="4" w:space="0" w:color="auto"/>
              <w:left w:val="single" w:sz="4" w:space="0" w:color="auto"/>
              <w:bottom w:val="single" w:sz="4" w:space="0" w:color="auto"/>
            </w:tcBorders>
          </w:tcPr>
          <w:p w14:paraId="1E16EB64" w14:textId="001B57A2" w:rsidR="00BD6B6F" w:rsidRPr="00801E13" w:rsidRDefault="00BD6B6F" w:rsidP="00BD6B6F">
            <w:pPr>
              <w:jc w:val="both"/>
            </w:pPr>
            <w:r>
              <w:rPr>
                <w:color w:val="000000"/>
              </w:rPr>
              <w:t>Anotācijas pielikums</w:t>
            </w:r>
          </w:p>
        </w:tc>
      </w:tr>
      <w:tr w:rsidR="00BD6B6F" w:rsidRPr="00801E13" w14:paraId="04082D2E"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2F4420BB" w14:textId="23BD6816" w:rsidR="00BD6B6F" w:rsidRDefault="00BD6B6F" w:rsidP="00BD6B6F">
            <w:pPr>
              <w:pStyle w:val="naisc"/>
              <w:spacing w:before="0" w:after="0"/>
            </w:pPr>
            <w:r>
              <w:t>14.</w:t>
            </w:r>
          </w:p>
        </w:tc>
        <w:tc>
          <w:tcPr>
            <w:tcW w:w="2577" w:type="dxa"/>
            <w:tcBorders>
              <w:top w:val="single" w:sz="6" w:space="0" w:color="000000"/>
              <w:left w:val="single" w:sz="6" w:space="0" w:color="000000"/>
              <w:bottom w:val="single" w:sz="6" w:space="0" w:color="000000"/>
              <w:right w:val="single" w:sz="6" w:space="0" w:color="000000"/>
            </w:tcBorders>
          </w:tcPr>
          <w:p w14:paraId="63A88504" w14:textId="33FD8525" w:rsidR="00BD6B6F" w:rsidRDefault="00BD6B6F" w:rsidP="00BD6B6F">
            <w:pPr>
              <w:spacing w:after="120"/>
              <w:jc w:val="both"/>
              <w:rPr>
                <w:color w:val="000000"/>
              </w:rPr>
            </w:pPr>
            <w:r>
              <w:rPr>
                <w:color w:val="000000"/>
              </w:rPr>
              <w:t>Anotācijas pielikums</w:t>
            </w:r>
          </w:p>
        </w:tc>
        <w:tc>
          <w:tcPr>
            <w:tcW w:w="4111" w:type="dxa"/>
            <w:gridSpan w:val="2"/>
            <w:tcBorders>
              <w:top w:val="single" w:sz="6" w:space="0" w:color="000000"/>
              <w:left w:val="single" w:sz="6" w:space="0" w:color="000000"/>
              <w:bottom w:val="single" w:sz="6" w:space="0" w:color="000000"/>
              <w:right w:val="single" w:sz="6" w:space="0" w:color="000000"/>
            </w:tcBorders>
          </w:tcPr>
          <w:p w14:paraId="403C1A22" w14:textId="77777777" w:rsidR="00BD6B6F" w:rsidRDefault="00BD6B6F" w:rsidP="00BD6B6F">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5303D78C" w14:textId="6BD83F78" w:rsidR="00BD6B6F" w:rsidRPr="00E97EDD" w:rsidRDefault="00BD6B6F" w:rsidP="00BD6B6F">
            <w:pPr>
              <w:pStyle w:val="naisc"/>
              <w:spacing w:before="0" w:after="0"/>
              <w:jc w:val="both"/>
            </w:pPr>
            <w:r w:rsidRPr="00D8131E">
              <w:t>Anotācijas pielikumā nav saprotams, pie kura pasākuma ir attiecināma 6 un 7 atsauce</w:t>
            </w:r>
            <w:r>
              <w:t>.</w:t>
            </w:r>
          </w:p>
        </w:tc>
        <w:tc>
          <w:tcPr>
            <w:tcW w:w="3685" w:type="dxa"/>
            <w:tcBorders>
              <w:top w:val="single" w:sz="6" w:space="0" w:color="000000"/>
              <w:left w:val="single" w:sz="6" w:space="0" w:color="000000"/>
              <w:bottom w:val="single" w:sz="6" w:space="0" w:color="000000"/>
              <w:right w:val="single" w:sz="6" w:space="0" w:color="000000"/>
            </w:tcBorders>
          </w:tcPr>
          <w:p w14:paraId="557101AE" w14:textId="552CFC74" w:rsidR="00BD6B6F" w:rsidRPr="00801E13" w:rsidRDefault="00BD6B6F" w:rsidP="00BD6B6F">
            <w:pPr>
              <w:pStyle w:val="naisc"/>
              <w:spacing w:before="0" w:after="120"/>
              <w:jc w:val="both"/>
              <w:rPr>
                <w:b/>
                <w:bCs/>
              </w:rPr>
            </w:pPr>
            <w:r w:rsidRPr="002E303B">
              <w:rPr>
                <w:b/>
                <w:bCs/>
              </w:rPr>
              <w:t xml:space="preserve">Ņemts vērā, </w:t>
            </w:r>
            <w:r w:rsidRPr="002E303B">
              <w:t>precizēts, aprēķins veidots uz 2021. gada pirmo pusgadu, kā arī pie aprēķiniem tiek izmantots vienots algoritms vienas vakcīnas ievades tarifam 11.23 euro</w:t>
            </w:r>
            <w:r>
              <w:t>.</w:t>
            </w:r>
          </w:p>
        </w:tc>
        <w:tc>
          <w:tcPr>
            <w:tcW w:w="4253" w:type="dxa"/>
            <w:gridSpan w:val="3"/>
            <w:tcBorders>
              <w:top w:val="single" w:sz="4" w:space="0" w:color="auto"/>
              <w:left w:val="single" w:sz="4" w:space="0" w:color="auto"/>
              <w:bottom w:val="single" w:sz="4" w:space="0" w:color="auto"/>
            </w:tcBorders>
          </w:tcPr>
          <w:p w14:paraId="6B5A58A9" w14:textId="1FE9A520" w:rsidR="00BD6B6F" w:rsidRPr="00801E13" w:rsidRDefault="00BD6B6F" w:rsidP="00BD6B6F">
            <w:pPr>
              <w:jc w:val="both"/>
            </w:pPr>
            <w:r>
              <w:rPr>
                <w:color w:val="000000"/>
              </w:rPr>
              <w:t>Anotācijas pielikums</w:t>
            </w:r>
          </w:p>
        </w:tc>
      </w:tr>
      <w:tr w:rsidR="0024666D" w:rsidRPr="00801E13" w14:paraId="20D583CB" w14:textId="77777777" w:rsidTr="000F267F">
        <w:trPr>
          <w:trHeight w:val="317"/>
        </w:trPr>
        <w:tc>
          <w:tcPr>
            <w:tcW w:w="701" w:type="dxa"/>
            <w:tcBorders>
              <w:top w:val="single" w:sz="6" w:space="0" w:color="000000"/>
              <w:left w:val="single" w:sz="6" w:space="0" w:color="000000"/>
              <w:bottom w:val="single" w:sz="6" w:space="0" w:color="000000"/>
              <w:right w:val="single" w:sz="6" w:space="0" w:color="000000"/>
            </w:tcBorders>
          </w:tcPr>
          <w:p w14:paraId="4A4B0ACC" w14:textId="344EE896" w:rsidR="0024666D" w:rsidRPr="004703B9" w:rsidRDefault="0024666D" w:rsidP="0024666D">
            <w:pPr>
              <w:pStyle w:val="naisc"/>
              <w:spacing w:before="0" w:after="0"/>
            </w:pPr>
            <w:r>
              <w:t>15.</w:t>
            </w:r>
          </w:p>
        </w:tc>
        <w:tc>
          <w:tcPr>
            <w:tcW w:w="2577" w:type="dxa"/>
            <w:tcBorders>
              <w:top w:val="single" w:sz="6" w:space="0" w:color="000000"/>
              <w:left w:val="single" w:sz="6" w:space="0" w:color="000000"/>
              <w:bottom w:val="single" w:sz="6" w:space="0" w:color="000000"/>
              <w:right w:val="single" w:sz="6" w:space="0" w:color="000000"/>
            </w:tcBorders>
          </w:tcPr>
          <w:p w14:paraId="3BEA17D7" w14:textId="313027BC" w:rsidR="0024666D" w:rsidRDefault="00E75149" w:rsidP="0024666D">
            <w:pPr>
              <w:spacing w:after="120"/>
              <w:jc w:val="both"/>
              <w:rPr>
                <w:color w:val="000000"/>
              </w:rPr>
            </w:pPr>
            <w:r>
              <w:rPr>
                <w:color w:val="000000"/>
              </w:rPr>
              <w:t>Anotācijas pielikums</w:t>
            </w:r>
          </w:p>
        </w:tc>
        <w:tc>
          <w:tcPr>
            <w:tcW w:w="4111" w:type="dxa"/>
            <w:gridSpan w:val="2"/>
            <w:tcBorders>
              <w:top w:val="single" w:sz="6" w:space="0" w:color="000000"/>
              <w:left w:val="single" w:sz="6" w:space="0" w:color="000000"/>
              <w:bottom w:val="single" w:sz="6" w:space="0" w:color="000000"/>
              <w:right w:val="single" w:sz="6" w:space="0" w:color="000000"/>
            </w:tcBorders>
          </w:tcPr>
          <w:p w14:paraId="5CC35474" w14:textId="77777777" w:rsidR="0024666D" w:rsidRDefault="0024666D" w:rsidP="0024666D">
            <w:pPr>
              <w:pStyle w:val="naisc"/>
              <w:spacing w:before="0" w:after="0"/>
              <w:jc w:val="both"/>
              <w:rPr>
                <w:b/>
                <w:bCs/>
              </w:rPr>
            </w:pPr>
            <w:r>
              <w:rPr>
                <w:b/>
                <w:bCs/>
              </w:rPr>
              <w:t xml:space="preserve">Finanšu </w:t>
            </w:r>
            <w:r w:rsidRPr="00783E18">
              <w:rPr>
                <w:b/>
                <w:bCs/>
              </w:rPr>
              <w:t xml:space="preserve">ministrijas 2021.gada </w:t>
            </w:r>
            <w:r>
              <w:rPr>
                <w:b/>
                <w:bCs/>
              </w:rPr>
              <w:t>8.aprīļa</w:t>
            </w:r>
            <w:r w:rsidRPr="00783E18">
              <w:rPr>
                <w:b/>
                <w:bCs/>
              </w:rPr>
              <w:t xml:space="preserve"> atzinums Nr.</w:t>
            </w:r>
            <w:r>
              <w:t xml:space="preserve"> </w:t>
            </w:r>
            <w:r w:rsidRPr="008506A0">
              <w:rPr>
                <w:b/>
                <w:bCs/>
              </w:rPr>
              <w:t>12/A-2/1924</w:t>
            </w:r>
          </w:p>
          <w:p w14:paraId="1EA163E1" w14:textId="18B7C8D0" w:rsidR="0024666D" w:rsidRPr="00D8131E" w:rsidRDefault="0024666D" w:rsidP="0024666D">
            <w:pPr>
              <w:pStyle w:val="naisc"/>
              <w:spacing w:before="0" w:after="0"/>
              <w:jc w:val="both"/>
              <w:rPr>
                <w:b/>
                <w:bCs/>
              </w:rPr>
            </w:pPr>
            <w:r w:rsidRPr="00D8131E">
              <w:t>Anotācijas pielikumā pasākumam “Komunikācijas pasākumiem nepieciešamais indikatīvais finansējums” ailē “Indikatīvais finansējums” ir norādīta 8 atsauce, savukārt atsauces atšifrējumā norādīts, ka iedzīvotāju skaits ir informatīvs, detalizētu aprēķinu skatīt J39 šūnā. Līdz ar to lūdzam precizēt informāciju anotācijas pielikumā</w:t>
            </w:r>
            <w:r>
              <w:t>.</w:t>
            </w:r>
          </w:p>
        </w:tc>
        <w:tc>
          <w:tcPr>
            <w:tcW w:w="3685" w:type="dxa"/>
            <w:tcBorders>
              <w:top w:val="single" w:sz="6" w:space="0" w:color="000000"/>
              <w:left w:val="single" w:sz="6" w:space="0" w:color="000000"/>
              <w:bottom w:val="single" w:sz="6" w:space="0" w:color="000000"/>
              <w:right w:val="single" w:sz="6" w:space="0" w:color="000000"/>
            </w:tcBorders>
          </w:tcPr>
          <w:p w14:paraId="3081813C" w14:textId="2C7CA55E" w:rsidR="0024666D" w:rsidRPr="00801E13" w:rsidRDefault="0024666D" w:rsidP="0024666D">
            <w:pPr>
              <w:pStyle w:val="naisc"/>
              <w:spacing w:before="0" w:after="120"/>
              <w:jc w:val="both"/>
              <w:rPr>
                <w:b/>
                <w:bCs/>
              </w:rPr>
            </w:pPr>
            <w:r w:rsidRPr="00261383">
              <w:rPr>
                <w:b/>
                <w:bCs/>
              </w:rPr>
              <w:t>Ņemts vērā</w:t>
            </w:r>
            <w:r w:rsidR="00EC7F9C">
              <w:rPr>
                <w:b/>
                <w:bCs/>
              </w:rPr>
              <w:t>, precizēts.</w:t>
            </w:r>
          </w:p>
        </w:tc>
        <w:tc>
          <w:tcPr>
            <w:tcW w:w="4253" w:type="dxa"/>
            <w:gridSpan w:val="3"/>
            <w:tcBorders>
              <w:top w:val="single" w:sz="4" w:space="0" w:color="auto"/>
              <w:left w:val="single" w:sz="4" w:space="0" w:color="auto"/>
              <w:bottom w:val="single" w:sz="4" w:space="0" w:color="auto"/>
            </w:tcBorders>
          </w:tcPr>
          <w:p w14:paraId="7347B41C" w14:textId="1F7124DA" w:rsidR="0024666D" w:rsidRPr="00801E13" w:rsidRDefault="00E75149" w:rsidP="0024666D">
            <w:pPr>
              <w:jc w:val="both"/>
            </w:pPr>
            <w:r>
              <w:rPr>
                <w:color w:val="000000"/>
              </w:rPr>
              <w:t>Anotācijas pielikums</w:t>
            </w:r>
          </w:p>
        </w:tc>
      </w:tr>
      <w:tr w:rsidR="00E97EDD" w14:paraId="792F025E"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32A5522A" w14:textId="77777777" w:rsidR="00E97EDD" w:rsidRDefault="00E97EDD" w:rsidP="00E97EDD">
            <w:pPr>
              <w:pStyle w:val="naiskr"/>
              <w:spacing w:before="0" w:after="0"/>
            </w:pPr>
          </w:p>
        </w:tc>
        <w:tc>
          <w:tcPr>
            <w:tcW w:w="7833" w:type="dxa"/>
            <w:gridSpan w:val="3"/>
          </w:tcPr>
          <w:p w14:paraId="0B4DE01D" w14:textId="77777777" w:rsidR="00E97EDD" w:rsidRDefault="00E97EDD" w:rsidP="00E97EDD">
            <w:pPr>
              <w:pStyle w:val="naiskr"/>
              <w:spacing w:before="0" w:after="0"/>
              <w:jc w:val="center"/>
            </w:pPr>
          </w:p>
        </w:tc>
        <w:tc>
          <w:tcPr>
            <w:tcW w:w="1667" w:type="dxa"/>
          </w:tcPr>
          <w:p w14:paraId="459B7D9E" w14:textId="77777777" w:rsidR="00E97EDD" w:rsidRDefault="00E97EDD" w:rsidP="00E97EDD">
            <w:pPr>
              <w:pStyle w:val="naiskr"/>
              <w:spacing w:before="0" w:after="0"/>
            </w:pPr>
          </w:p>
        </w:tc>
      </w:tr>
      <w:tr w:rsidR="00E97EDD" w14:paraId="31142A70"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38BFF168" w14:textId="77777777" w:rsidR="00E97EDD" w:rsidRDefault="00E97EDD" w:rsidP="00E97EDD">
            <w:pPr>
              <w:pStyle w:val="naiskr"/>
              <w:spacing w:before="0" w:after="0"/>
            </w:pPr>
          </w:p>
        </w:tc>
        <w:tc>
          <w:tcPr>
            <w:tcW w:w="7833" w:type="dxa"/>
            <w:gridSpan w:val="3"/>
          </w:tcPr>
          <w:p w14:paraId="369D03AA" w14:textId="77777777" w:rsidR="00E97EDD" w:rsidRDefault="00E97EDD" w:rsidP="00E97EDD">
            <w:pPr>
              <w:pStyle w:val="naiskr"/>
              <w:spacing w:before="0" w:after="0"/>
              <w:jc w:val="center"/>
            </w:pPr>
          </w:p>
        </w:tc>
        <w:tc>
          <w:tcPr>
            <w:tcW w:w="1667" w:type="dxa"/>
          </w:tcPr>
          <w:p w14:paraId="40A26547" w14:textId="77777777" w:rsidR="00E97EDD" w:rsidRDefault="00E97EDD" w:rsidP="00E97EDD">
            <w:pPr>
              <w:pStyle w:val="naiskr"/>
              <w:spacing w:before="0" w:after="0"/>
            </w:pPr>
          </w:p>
        </w:tc>
      </w:tr>
      <w:tr w:rsidR="00E97EDD" w14:paraId="1841B864"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0E581108" w14:textId="77777777" w:rsidR="00E97EDD" w:rsidRDefault="00E97EDD" w:rsidP="00E97EDD">
            <w:pPr>
              <w:pStyle w:val="naiskr"/>
              <w:spacing w:before="0" w:after="0"/>
            </w:pPr>
          </w:p>
        </w:tc>
        <w:tc>
          <w:tcPr>
            <w:tcW w:w="7833" w:type="dxa"/>
            <w:gridSpan w:val="3"/>
          </w:tcPr>
          <w:p w14:paraId="63921D45" w14:textId="77777777" w:rsidR="00E97EDD" w:rsidRDefault="00E97EDD" w:rsidP="00E97EDD">
            <w:pPr>
              <w:pStyle w:val="naiskr"/>
              <w:spacing w:before="0" w:after="0"/>
              <w:jc w:val="center"/>
            </w:pPr>
          </w:p>
        </w:tc>
        <w:tc>
          <w:tcPr>
            <w:tcW w:w="1667" w:type="dxa"/>
          </w:tcPr>
          <w:p w14:paraId="7779D733" w14:textId="77777777" w:rsidR="00E97EDD" w:rsidRDefault="00E97EDD" w:rsidP="00E97EDD">
            <w:pPr>
              <w:pStyle w:val="naiskr"/>
              <w:spacing w:before="0" w:after="0"/>
            </w:pPr>
          </w:p>
        </w:tc>
      </w:tr>
      <w:tr w:rsidR="00E97EDD" w14:paraId="48959D57"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2A81B6E0" w14:textId="77777777" w:rsidR="00E97EDD" w:rsidRDefault="00E97EDD" w:rsidP="00E97EDD">
            <w:pPr>
              <w:pStyle w:val="naiskr"/>
              <w:spacing w:before="0" w:after="0"/>
            </w:pPr>
          </w:p>
          <w:p w14:paraId="64FAB51D" w14:textId="77777777" w:rsidR="00E97EDD" w:rsidRDefault="00E97EDD" w:rsidP="00E97EDD">
            <w:pPr>
              <w:pStyle w:val="naiskr"/>
              <w:spacing w:before="0" w:after="0"/>
            </w:pPr>
          </w:p>
          <w:p w14:paraId="7B7F9627" w14:textId="1BAA07D2" w:rsidR="00E97EDD" w:rsidRPr="00712B66" w:rsidRDefault="00E97EDD" w:rsidP="00E97EDD">
            <w:pPr>
              <w:pStyle w:val="naiskr"/>
              <w:spacing w:before="0" w:after="0"/>
            </w:pPr>
            <w:r w:rsidRPr="00712B66">
              <w:t>Atbildīgā amatpersona</w:t>
            </w:r>
          </w:p>
        </w:tc>
        <w:tc>
          <w:tcPr>
            <w:tcW w:w="7833" w:type="dxa"/>
            <w:gridSpan w:val="3"/>
          </w:tcPr>
          <w:p w14:paraId="5E5815D6" w14:textId="4E6FC656" w:rsidR="00E97EDD" w:rsidRDefault="00E97EDD" w:rsidP="00E97EDD">
            <w:pPr>
              <w:pStyle w:val="naiskr"/>
              <w:spacing w:before="0" w:after="0"/>
              <w:jc w:val="center"/>
            </w:pPr>
          </w:p>
          <w:p w14:paraId="3118B379" w14:textId="77777777" w:rsidR="00E97EDD" w:rsidRDefault="00E97EDD" w:rsidP="00E97EDD">
            <w:pPr>
              <w:pStyle w:val="naiskr"/>
              <w:spacing w:before="0" w:after="0"/>
              <w:jc w:val="center"/>
            </w:pPr>
          </w:p>
          <w:p w14:paraId="744AA0CF" w14:textId="4E75E535" w:rsidR="00E97EDD" w:rsidRPr="00712B66" w:rsidRDefault="00E97EDD" w:rsidP="00E97EDD">
            <w:pPr>
              <w:pStyle w:val="naiskr"/>
              <w:spacing w:before="0" w:after="0"/>
              <w:jc w:val="center"/>
            </w:pPr>
            <w:r>
              <w:t>Nozares budžeta plānošanas departamenta vecākā eksperte Lāsma Zandberga</w:t>
            </w:r>
          </w:p>
        </w:tc>
        <w:tc>
          <w:tcPr>
            <w:tcW w:w="1667" w:type="dxa"/>
          </w:tcPr>
          <w:p w14:paraId="6E081EE1" w14:textId="77777777" w:rsidR="00E97EDD" w:rsidRDefault="00E97EDD" w:rsidP="00E97EDD">
            <w:pPr>
              <w:pStyle w:val="naiskr"/>
              <w:spacing w:before="0" w:after="0"/>
            </w:pPr>
          </w:p>
        </w:tc>
      </w:tr>
      <w:tr w:rsidR="00E97EDD" w14:paraId="31EBCCB4"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2EC1F955" w14:textId="77777777" w:rsidR="00E97EDD" w:rsidRPr="00712B66" w:rsidRDefault="00E97EDD" w:rsidP="00E97EDD">
            <w:pPr>
              <w:pStyle w:val="naiskr"/>
              <w:spacing w:before="0" w:after="0"/>
              <w:ind w:firstLine="720"/>
            </w:pPr>
          </w:p>
        </w:tc>
        <w:tc>
          <w:tcPr>
            <w:tcW w:w="7833" w:type="dxa"/>
            <w:gridSpan w:val="3"/>
            <w:tcBorders>
              <w:top w:val="single" w:sz="6" w:space="0" w:color="000000"/>
              <w:bottom w:val="single" w:sz="6" w:space="0" w:color="000000"/>
            </w:tcBorders>
          </w:tcPr>
          <w:p w14:paraId="62870CD7" w14:textId="77777777" w:rsidR="00E97EDD" w:rsidRPr="00712B66" w:rsidRDefault="00E97EDD" w:rsidP="00E97EDD">
            <w:pPr>
              <w:pStyle w:val="naisc"/>
              <w:spacing w:before="0" w:after="0"/>
              <w:ind w:firstLine="720"/>
            </w:pPr>
            <w:r w:rsidRPr="00712B66">
              <w:t>(paraksts*)</w:t>
            </w:r>
          </w:p>
        </w:tc>
        <w:tc>
          <w:tcPr>
            <w:tcW w:w="1667" w:type="dxa"/>
            <w:tcBorders>
              <w:top w:val="single" w:sz="6" w:space="0" w:color="000000"/>
              <w:bottom w:val="single" w:sz="6" w:space="0" w:color="000000"/>
            </w:tcBorders>
          </w:tcPr>
          <w:p w14:paraId="72048193" w14:textId="77777777" w:rsidR="00E97EDD" w:rsidRPr="00712B66" w:rsidRDefault="00E97EDD" w:rsidP="00E97EDD">
            <w:pPr>
              <w:pStyle w:val="naisc"/>
              <w:spacing w:before="0" w:after="0"/>
              <w:ind w:firstLine="720"/>
            </w:pPr>
          </w:p>
        </w:tc>
      </w:tr>
      <w:tr w:rsidR="00E97EDD" w14:paraId="7157EF87"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3E18E93C" w14:textId="77777777" w:rsidR="00E97EDD" w:rsidRPr="00712B66" w:rsidRDefault="00E97EDD" w:rsidP="00E97EDD">
            <w:pPr>
              <w:pStyle w:val="naiskr"/>
              <w:spacing w:before="0" w:after="0"/>
              <w:ind w:firstLine="720"/>
            </w:pPr>
          </w:p>
        </w:tc>
        <w:tc>
          <w:tcPr>
            <w:tcW w:w="7833" w:type="dxa"/>
            <w:gridSpan w:val="3"/>
            <w:tcBorders>
              <w:top w:val="single" w:sz="6" w:space="0" w:color="000000"/>
            </w:tcBorders>
          </w:tcPr>
          <w:p w14:paraId="5CB88673" w14:textId="77777777" w:rsidR="00E97EDD" w:rsidRPr="00712B66" w:rsidRDefault="00E97EDD" w:rsidP="00E97EDD">
            <w:pPr>
              <w:pStyle w:val="naisc"/>
              <w:spacing w:before="0" w:after="0"/>
              <w:ind w:firstLine="720"/>
            </w:pPr>
          </w:p>
        </w:tc>
        <w:tc>
          <w:tcPr>
            <w:tcW w:w="1667" w:type="dxa"/>
            <w:tcBorders>
              <w:top w:val="single" w:sz="6" w:space="0" w:color="000000"/>
            </w:tcBorders>
          </w:tcPr>
          <w:p w14:paraId="2E0AD9F2" w14:textId="77777777" w:rsidR="00E97EDD" w:rsidRPr="00712B66" w:rsidRDefault="00E97EDD" w:rsidP="00E97EDD">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14937E4A" w:rsidR="00864543" w:rsidRPr="00712B66" w:rsidRDefault="00712E09" w:rsidP="00864543">
      <w:pPr>
        <w:pStyle w:val="naisf"/>
        <w:spacing w:before="0" w:after="0"/>
        <w:ind w:firstLine="0"/>
        <w:jc w:val="center"/>
      </w:pPr>
      <w:r>
        <w:t>Lāsma Zandberga</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1947B767" w:rsidR="00864543" w:rsidRPr="00712B66" w:rsidRDefault="00763978" w:rsidP="00B03870">
            <w:pPr>
              <w:jc w:val="center"/>
            </w:pPr>
            <w:r>
              <w:t xml:space="preserve">Nozares budžeta plānošanas departamenta </w:t>
            </w:r>
            <w:r w:rsidR="00D51DA8">
              <w:t>vecāk</w:t>
            </w:r>
            <w:r w:rsidR="00712E09">
              <w:t>ā</w:t>
            </w:r>
            <w:r w:rsidR="00D51DA8">
              <w:t xml:space="preserve"> ekspert</w:t>
            </w:r>
            <w:r w:rsidR="00712E09">
              <w:t>e</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69555A56" w:rsidR="00864543" w:rsidRPr="00712B66" w:rsidRDefault="00763978" w:rsidP="00B03870">
            <w:pPr>
              <w:jc w:val="center"/>
            </w:pPr>
            <w:r w:rsidRPr="00763978">
              <w:t>678760</w:t>
            </w:r>
            <w:r w:rsidR="00712E09">
              <w:t>41</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21A9C557" w:rsidR="00864543" w:rsidRPr="00712B66" w:rsidRDefault="00712E09" w:rsidP="00B03870">
            <w:pPr>
              <w:jc w:val="center"/>
            </w:pPr>
            <w:r>
              <w:t>Lasma.Zandberga</w:t>
            </w:r>
            <w:r w:rsidR="00864543">
              <w:t>@vm.gov.lv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842C" w14:textId="77777777" w:rsidR="00AF180B" w:rsidRDefault="00AF180B">
      <w:r>
        <w:separator/>
      </w:r>
    </w:p>
  </w:endnote>
  <w:endnote w:type="continuationSeparator" w:id="0">
    <w:p w14:paraId="01D4C955" w14:textId="77777777" w:rsidR="00AF180B" w:rsidRDefault="00AF180B">
      <w:r>
        <w:continuationSeparator/>
      </w:r>
    </w:p>
  </w:endnote>
  <w:endnote w:type="continuationNotice" w:id="1">
    <w:p w14:paraId="3669C405" w14:textId="77777777" w:rsidR="00AF180B" w:rsidRDefault="00AF1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43B4" w14:textId="77777777" w:rsidR="00D771AA" w:rsidRDefault="00D771AA" w:rsidP="00B326F4">
    <w:pPr>
      <w:pStyle w:val="Footer"/>
      <w:rPr>
        <w:sz w:val="20"/>
        <w:szCs w:val="20"/>
      </w:rPr>
    </w:pPr>
  </w:p>
  <w:p w14:paraId="34092DE7" w14:textId="5D9CD041" w:rsidR="00D771AA" w:rsidRPr="00B326F4" w:rsidRDefault="00D51DA8" w:rsidP="00D51DA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C6B74">
      <w:rPr>
        <w:noProof/>
        <w:sz w:val="20"/>
        <w:szCs w:val="20"/>
      </w:rPr>
      <w:t>VMizz_190421_LNG_vakcinai</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8D7" w14:textId="0383FE17" w:rsidR="00D771AA" w:rsidRPr="00D51DA8" w:rsidRDefault="00D51DA8" w:rsidP="00D51DA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C6B74">
      <w:rPr>
        <w:noProof/>
        <w:sz w:val="20"/>
        <w:szCs w:val="20"/>
      </w:rPr>
      <w:t>VMizz_190421_LNG_vakcinai</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6EEE" w14:textId="77777777" w:rsidR="00AF180B" w:rsidRDefault="00AF180B">
      <w:r>
        <w:separator/>
      </w:r>
    </w:p>
  </w:footnote>
  <w:footnote w:type="continuationSeparator" w:id="0">
    <w:p w14:paraId="13AF862A" w14:textId="77777777" w:rsidR="00AF180B" w:rsidRDefault="00AF180B">
      <w:r>
        <w:continuationSeparator/>
      </w:r>
    </w:p>
  </w:footnote>
  <w:footnote w:type="continuationNotice" w:id="1">
    <w:p w14:paraId="471CDE7F" w14:textId="77777777" w:rsidR="00AF180B" w:rsidRDefault="00AF1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1297" w14:textId="77777777"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D771AA" w:rsidRDefault="00D7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D66A" w14:textId="562159D4"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D771AA" w:rsidRDefault="00D7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7B1"/>
    <w:rsid w:val="00002E86"/>
    <w:rsid w:val="00003C53"/>
    <w:rsid w:val="0000456E"/>
    <w:rsid w:val="000055C1"/>
    <w:rsid w:val="000055EA"/>
    <w:rsid w:val="00005B74"/>
    <w:rsid w:val="0000635E"/>
    <w:rsid w:val="00006BF1"/>
    <w:rsid w:val="0001118D"/>
    <w:rsid w:val="0001131F"/>
    <w:rsid w:val="00011663"/>
    <w:rsid w:val="00011F48"/>
    <w:rsid w:val="000123FC"/>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008"/>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57BF"/>
    <w:rsid w:val="000A64D3"/>
    <w:rsid w:val="000A77B9"/>
    <w:rsid w:val="000A7EA7"/>
    <w:rsid w:val="000B0403"/>
    <w:rsid w:val="000B057B"/>
    <w:rsid w:val="000B06E7"/>
    <w:rsid w:val="000B0C52"/>
    <w:rsid w:val="000B0C94"/>
    <w:rsid w:val="000B15E5"/>
    <w:rsid w:val="000B2382"/>
    <w:rsid w:val="000B3171"/>
    <w:rsid w:val="000B34A5"/>
    <w:rsid w:val="000B4746"/>
    <w:rsid w:val="000B6B71"/>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67F"/>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5FA"/>
    <w:rsid w:val="000F6A0B"/>
    <w:rsid w:val="000F7695"/>
    <w:rsid w:val="001004B0"/>
    <w:rsid w:val="00100E56"/>
    <w:rsid w:val="001012E3"/>
    <w:rsid w:val="00101EEB"/>
    <w:rsid w:val="00102949"/>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0FB2"/>
    <w:rsid w:val="00151FB3"/>
    <w:rsid w:val="00152718"/>
    <w:rsid w:val="001530CF"/>
    <w:rsid w:val="00153F12"/>
    <w:rsid w:val="001543DB"/>
    <w:rsid w:val="00155473"/>
    <w:rsid w:val="00155A7D"/>
    <w:rsid w:val="00155DC2"/>
    <w:rsid w:val="00156D90"/>
    <w:rsid w:val="00156DEB"/>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B74"/>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66D"/>
    <w:rsid w:val="00246908"/>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0C79"/>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0C5"/>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2F9E"/>
    <w:rsid w:val="00324666"/>
    <w:rsid w:val="00324D5B"/>
    <w:rsid w:val="00325045"/>
    <w:rsid w:val="00325D91"/>
    <w:rsid w:val="003267B4"/>
    <w:rsid w:val="00326EB6"/>
    <w:rsid w:val="0033002B"/>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071"/>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3EBF"/>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4662"/>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27D8"/>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1"/>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04E"/>
    <w:rsid w:val="004A52F5"/>
    <w:rsid w:val="004A5D3A"/>
    <w:rsid w:val="004A6897"/>
    <w:rsid w:val="004A692B"/>
    <w:rsid w:val="004A6EB6"/>
    <w:rsid w:val="004A794C"/>
    <w:rsid w:val="004B0D25"/>
    <w:rsid w:val="004B1A6D"/>
    <w:rsid w:val="004B3EC7"/>
    <w:rsid w:val="004B3F3F"/>
    <w:rsid w:val="004B405B"/>
    <w:rsid w:val="004B5664"/>
    <w:rsid w:val="004B66E5"/>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8F5"/>
    <w:rsid w:val="005029F7"/>
    <w:rsid w:val="00503D4C"/>
    <w:rsid w:val="00503E0B"/>
    <w:rsid w:val="00504C0C"/>
    <w:rsid w:val="00504E48"/>
    <w:rsid w:val="005070FF"/>
    <w:rsid w:val="00507799"/>
    <w:rsid w:val="005115CB"/>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09CF"/>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68D"/>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29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2E09"/>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978"/>
    <w:rsid w:val="00763AE2"/>
    <w:rsid w:val="00763D64"/>
    <w:rsid w:val="0076467D"/>
    <w:rsid w:val="00764BD7"/>
    <w:rsid w:val="00765CED"/>
    <w:rsid w:val="007662CE"/>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78A"/>
    <w:rsid w:val="00777CE9"/>
    <w:rsid w:val="00780D05"/>
    <w:rsid w:val="0078285A"/>
    <w:rsid w:val="00782D32"/>
    <w:rsid w:val="00782D40"/>
    <w:rsid w:val="0078385F"/>
    <w:rsid w:val="00783C7B"/>
    <w:rsid w:val="00783CB6"/>
    <w:rsid w:val="00783D64"/>
    <w:rsid w:val="00783E18"/>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1597"/>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494"/>
    <w:rsid w:val="007B4638"/>
    <w:rsid w:val="007B4C0F"/>
    <w:rsid w:val="007B5E25"/>
    <w:rsid w:val="007B66AC"/>
    <w:rsid w:val="007B68C3"/>
    <w:rsid w:val="007B6E0E"/>
    <w:rsid w:val="007C27FB"/>
    <w:rsid w:val="007C2CBB"/>
    <w:rsid w:val="007C309C"/>
    <w:rsid w:val="007C3109"/>
    <w:rsid w:val="007C38D2"/>
    <w:rsid w:val="007C4209"/>
    <w:rsid w:val="007C5EB9"/>
    <w:rsid w:val="007C7449"/>
    <w:rsid w:val="007C75D7"/>
    <w:rsid w:val="007C7EA5"/>
    <w:rsid w:val="007D06EE"/>
    <w:rsid w:val="007D0C38"/>
    <w:rsid w:val="007D1A95"/>
    <w:rsid w:val="007D245E"/>
    <w:rsid w:val="007D3764"/>
    <w:rsid w:val="007D3CA8"/>
    <w:rsid w:val="007D42D3"/>
    <w:rsid w:val="007D485A"/>
    <w:rsid w:val="007D51A6"/>
    <w:rsid w:val="007D54FF"/>
    <w:rsid w:val="007D57D4"/>
    <w:rsid w:val="007D6315"/>
    <w:rsid w:val="007D70DE"/>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E7CB7"/>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1E13"/>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6A0"/>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AC9"/>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1F0E"/>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CEF"/>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2F5"/>
    <w:rsid w:val="0093375E"/>
    <w:rsid w:val="00933BEF"/>
    <w:rsid w:val="009340EF"/>
    <w:rsid w:val="0093787E"/>
    <w:rsid w:val="0094014B"/>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209B"/>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A7838"/>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B76F0"/>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36C7"/>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6FC8"/>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1CB"/>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0B"/>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94B"/>
    <w:rsid w:val="00B24CBD"/>
    <w:rsid w:val="00B25CA3"/>
    <w:rsid w:val="00B260A3"/>
    <w:rsid w:val="00B30028"/>
    <w:rsid w:val="00B30222"/>
    <w:rsid w:val="00B30D37"/>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1EA"/>
    <w:rsid w:val="00B872E1"/>
    <w:rsid w:val="00B872F0"/>
    <w:rsid w:val="00B90331"/>
    <w:rsid w:val="00B903ED"/>
    <w:rsid w:val="00B9095B"/>
    <w:rsid w:val="00B90B2D"/>
    <w:rsid w:val="00B90F62"/>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550"/>
    <w:rsid w:val="00BD2EFC"/>
    <w:rsid w:val="00BD340E"/>
    <w:rsid w:val="00BD60AD"/>
    <w:rsid w:val="00BD61C8"/>
    <w:rsid w:val="00BD6B6F"/>
    <w:rsid w:val="00BD6C02"/>
    <w:rsid w:val="00BE022C"/>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3F"/>
    <w:rsid w:val="00C5448D"/>
    <w:rsid w:val="00C5477F"/>
    <w:rsid w:val="00C547B7"/>
    <w:rsid w:val="00C5503B"/>
    <w:rsid w:val="00C558D3"/>
    <w:rsid w:val="00C55A32"/>
    <w:rsid w:val="00C564F2"/>
    <w:rsid w:val="00C56F11"/>
    <w:rsid w:val="00C57431"/>
    <w:rsid w:val="00C57C2F"/>
    <w:rsid w:val="00C61372"/>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71"/>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5814"/>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ED6"/>
    <w:rsid w:val="00D0667B"/>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1DA8"/>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98E"/>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254C"/>
    <w:rsid w:val="00D73382"/>
    <w:rsid w:val="00D7416F"/>
    <w:rsid w:val="00D755F2"/>
    <w:rsid w:val="00D75C69"/>
    <w:rsid w:val="00D762AC"/>
    <w:rsid w:val="00D771AA"/>
    <w:rsid w:val="00D775E7"/>
    <w:rsid w:val="00D776BF"/>
    <w:rsid w:val="00D77B9E"/>
    <w:rsid w:val="00D8131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75F"/>
    <w:rsid w:val="00E34BC4"/>
    <w:rsid w:val="00E34D8D"/>
    <w:rsid w:val="00E3540C"/>
    <w:rsid w:val="00E36187"/>
    <w:rsid w:val="00E36332"/>
    <w:rsid w:val="00E36C9B"/>
    <w:rsid w:val="00E36D6A"/>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9E6"/>
    <w:rsid w:val="00E72D1F"/>
    <w:rsid w:val="00E73FC2"/>
    <w:rsid w:val="00E7406E"/>
    <w:rsid w:val="00E74481"/>
    <w:rsid w:val="00E74517"/>
    <w:rsid w:val="00E745F0"/>
    <w:rsid w:val="00E75149"/>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97EDD"/>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9C"/>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074DD"/>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0FA4"/>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10"/>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891"/>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6F5A"/>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7CC"/>
    <w:rsid w:val="00FF1925"/>
    <w:rsid w:val="00FF2237"/>
    <w:rsid w:val="00FF3853"/>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character" w:customStyle="1" w:styleId="NoSpacingChar">
    <w:name w:val="No Spacing Char"/>
    <w:link w:val="NoSpacing"/>
    <w:uiPriority w:val="1"/>
    <w:locked/>
    <w:rsid w:val="00712E09"/>
  </w:style>
  <w:style w:type="paragraph" w:styleId="NoSpacing">
    <w:name w:val="No Spacing"/>
    <w:link w:val="NoSpacingChar"/>
    <w:uiPriority w:val="1"/>
    <w:qFormat/>
    <w:rsid w:val="0071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1485992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5E58-5EE0-4270-9873-0D12C2EA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14073</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Lāsma Zandberga</dc:creator>
  <cp:keywords/>
  <dc:description/>
  <cp:lastModifiedBy>Igors Belovs</cp:lastModifiedBy>
  <cp:revision>3</cp:revision>
  <cp:lastPrinted>2019-11-26T09:42:00Z</cp:lastPrinted>
  <dcterms:created xsi:type="dcterms:W3CDTF">2021-04-12T07:59:00Z</dcterms:created>
  <dcterms:modified xsi:type="dcterms:W3CDTF">2021-04-19T12:08:00Z</dcterms:modified>
</cp:coreProperties>
</file>