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B61E" w14:textId="77777777" w:rsidR="00EB5F2C" w:rsidRDefault="007116C7" w:rsidP="00EB5F2C">
      <w:pPr>
        <w:pStyle w:val="naisnod"/>
        <w:spacing w:before="0" w:after="0"/>
        <w:ind w:firstLine="720"/>
        <w:rPr>
          <w:color w:val="000000" w:themeColor="text1"/>
          <w:sz w:val="28"/>
          <w:szCs w:val="28"/>
        </w:rPr>
      </w:pPr>
      <w:r w:rsidRPr="001C57E1">
        <w:rPr>
          <w:color w:val="000000" w:themeColor="text1"/>
          <w:sz w:val="28"/>
          <w:szCs w:val="28"/>
        </w:rPr>
        <w:t>Izziņa par atzinumos sniegtajiem iebildumiem</w:t>
      </w:r>
      <w:r w:rsidR="00EB5F2C">
        <w:rPr>
          <w:color w:val="000000" w:themeColor="text1"/>
          <w:sz w:val="28"/>
          <w:szCs w:val="28"/>
        </w:rPr>
        <w:t xml:space="preserve"> </w:t>
      </w:r>
    </w:p>
    <w:p w14:paraId="43436CD9" w14:textId="77777777" w:rsidR="00EB5F2C" w:rsidRDefault="00153FB5" w:rsidP="00EB5F2C">
      <w:pPr>
        <w:pStyle w:val="naisnod"/>
        <w:spacing w:before="0" w:after="0"/>
        <w:ind w:firstLine="720"/>
        <w:rPr>
          <w:color w:val="000000" w:themeColor="text1"/>
          <w:sz w:val="28"/>
          <w:szCs w:val="28"/>
        </w:rPr>
      </w:pPr>
      <w:r w:rsidRPr="001C57E1">
        <w:rPr>
          <w:color w:val="000000" w:themeColor="text1"/>
          <w:sz w:val="28"/>
          <w:szCs w:val="28"/>
        </w:rPr>
        <w:t xml:space="preserve">par </w:t>
      </w:r>
      <w:r w:rsidR="00487BA0" w:rsidRPr="001C57E1">
        <w:rPr>
          <w:color w:val="000000" w:themeColor="text1"/>
          <w:sz w:val="28"/>
          <w:szCs w:val="28"/>
        </w:rPr>
        <w:t>Ministru kabineta noteikumu projektu</w:t>
      </w:r>
    </w:p>
    <w:p w14:paraId="0CB39368" w14:textId="0D765753" w:rsidR="00153FB5" w:rsidRPr="006119B2" w:rsidRDefault="00487BA0" w:rsidP="00EB5F2C">
      <w:pPr>
        <w:pStyle w:val="naisnod"/>
        <w:spacing w:before="0" w:after="0"/>
        <w:ind w:firstLine="720"/>
        <w:rPr>
          <w:b w:val="0"/>
          <w:bCs w:val="0"/>
          <w:color w:val="000000" w:themeColor="text1"/>
          <w:sz w:val="28"/>
          <w:szCs w:val="28"/>
        </w:rPr>
      </w:pPr>
      <w:r w:rsidRPr="001C57E1">
        <w:rPr>
          <w:color w:val="000000" w:themeColor="text1"/>
          <w:sz w:val="28"/>
          <w:szCs w:val="28"/>
        </w:rPr>
        <w:t xml:space="preserve"> </w:t>
      </w:r>
      <w:r w:rsidR="00E365E9" w:rsidRPr="00274209">
        <w:rPr>
          <w:sz w:val="28"/>
          <w:szCs w:val="28"/>
        </w:rPr>
        <w:t xml:space="preserve">“Grozījumi Ministru kabineta 2018.gada 28.augusta noteikumos Nr.555 </w:t>
      </w:r>
      <w:r w:rsidR="00E365E9" w:rsidRPr="0051540E">
        <w:rPr>
          <w:sz w:val="28"/>
          <w:szCs w:val="28"/>
        </w:rPr>
        <w:t>“</w:t>
      </w:r>
      <w:r w:rsidR="00E365E9" w:rsidRPr="00274209">
        <w:rPr>
          <w:sz w:val="28"/>
          <w:szCs w:val="28"/>
        </w:rPr>
        <w:t>Veselības aprūpes pakalpojumu organizēšanas un samaksas kārtība””</w:t>
      </w:r>
    </w:p>
    <w:p w14:paraId="602AB6B3" w14:textId="77777777" w:rsidR="007B4C0F" w:rsidRPr="001C57E1" w:rsidRDefault="007B4C0F" w:rsidP="00DB7395">
      <w:pPr>
        <w:pStyle w:val="naisf"/>
        <w:spacing w:before="0" w:after="0"/>
        <w:ind w:firstLine="720"/>
        <w:rPr>
          <w:color w:val="000000" w:themeColor="text1"/>
        </w:rPr>
      </w:pPr>
    </w:p>
    <w:p w14:paraId="61AFDA86" w14:textId="77777777" w:rsidR="00F14AD5" w:rsidRPr="001C57E1" w:rsidRDefault="00F14AD5" w:rsidP="00DB7395">
      <w:pPr>
        <w:pStyle w:val="naisf"/>
        <w:spacing w:before="0" w:after="0"/>
        <w:ind w:firstLine="720"/>
        <w:rPr>
          <w:color w:val="000000" w:themeColor="text1"/>
        </w:rPr>
      </w:pPr>
    </w:p>
    <w:p w14:paraId="325F3D4B" w14:textId="77777777" w:rsidR="00F14AD5" w:rsidRPr="001C57E1" w:rsidRDefault="00F14AD5" w:rsidP="00F14AD5">
      <w:pPr>
        <w:pStyle w:val="naisf"/>
        <w:spacing w:before="0" w:after="0"/>
        <w:ind w:firstLine="0"/>
        <w:jc w:val="center"/>
        <w:rPr>
          <w:b/>
          <w:color w:val="000000" w:themeColor="text1"/>
        </w:rPr>
      </w:pPr>
      <w:r w:rsidRPr="001C57E1">
        <w:rPr>
          <w:b/>
          <w:color w:val="000000" w:themeColor="text1"/>
        </w:rPr>
        <w:t>I. Jautājumi, par kuriem saskaņošanā vienošanās nav panākta</w:t>
      </w:r>
    </w:p>
    <w:p w14:paraId="0ABF2E55" w14:textId="77777777" w:rsidR="00F14AD5" w:rsidRPr="001C57E1" w:rsidRDefault="00F14AD5" w:rsidP="00F14AD5">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1868"/>
        <w:gridCol w:w="4111"/>
        <w:gridCol w:w="3827"/>
        <w:gridCol w:w="1985"/>
        <w:gridCol w:w="1943"/>
      </w:tblGrid>
      <w:tr w:rsidR="001C57E1" w:rsidRPr="001C57E1" w14:paraId="53E4226F" w14:textId="77777777" w:rsidTr="00D7451B">
        <w:trPr>
          <w:cantSplit/>
          <w:trHeight w:val="1134"/>
        </w:trPr>
        <w:tc>
          <w:tcPr>
            <w:tcW w:w="534" w:type="dxa"/>
            <w:tcBorders>
              <w:top w:val="single" w:sz="6" w:space="0" w:color="000000"/>
              <w:left w:val="single" w:sz="6" w:space="0" w:color="000000"/>
              <w:bottom w:val="single" w:sz="6" w:space="0" w:color="000000"/>
              <w:right w:val="single" w:sz="6" w:space="0" w:color="000000"/>
            </w:tcBorders>
            <w:textDirection w:val="btLr"/>
            <w:vAlign w:val="center"/>
          </w:tcPr>
          <w:p w14:paraId="63611C50" w14:textId="77777777" w:rsidR="00F14AD5" w:rsidRPr="001C57E1" w:rsidRDefault="00F14AD5" w:rsidP="006216C5">
            <w:pPr>
              <w:pStyle w:val="naisc"/>
              <w:spacing w:before="0" w:after="0"/>
              <w:ind w:left="113" w:right="113"/>
              <w:rPr>
                <w:color w:val="000000" w:themeColor="text1"/>
              </w:rPr>
            </w:pPr>
            <w:r w:rsidRPr="001C57E1">
              <w:rPr>
                <w:color w:val="000000" w:themeColor="text1"/>
              </w:rPr>
              <w:t>Nr. p.k.</w:t>
            </w:r>
          </w:p>
        </w:tc>
        <w:tc>
          <w:tcPr>
            <w:tcW w:w="1868" w:type="dxa"/>
            <w:tcBorders>
              <w:top w:val="single" w:sz="6" w:space="0" w:color="000000"/>
              <w:left w:val="single" w:sz="6" w:space="0" w:color="000000"/>
              <w:bottom w:val="single" w:sz="6" w:space="0" w:color="000000"/>
              <w:right w:val="single" w:sz="6" w:space="0" w:color="000000"/>
            </w:tcBorders>
            <w:vAlign w:val="center"/>
          </w:tcPr>
          <w:p w14:paraId="1F881410" w14:textId="77777777" w:rsidR="00F14AD5" w:rsidRPr="001C57E1" w:rsidRDefault="00F14AD5" w:rsidP="00D937F1">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42766BF9" w14:textId="77777777" w:rsidR="00F14AD5" w:rsidRPr="001C57E1" w:rsidRDefault="00F14AD5" w:rsidP="00D937F1">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54191835" w14:textId="77777777" w:rsidR="00F14AD5" w:rsidRPr="001C57E1" w:rsidRDefault="00F14AD5" w:rsidP="00D937F1">
            <w:pPr>
              <w:pStyle w:val="naisc"/>
              <w:spacing w:before="0" w:after="0"/>
              <w:ind w:firstLine="21"/>
              <w:rPr>
                <w:color w:val="000000" w:themeColor="text1"/>
              </w:rPr>
            </w:pPr>
            <w:r w:rsidRPr="001C57E1">
              <w:rPr>
                <w:color w:val="000000" w:themeColor="text1"/>
              </w:rPr>
              <w:t>Atbildīgās ministrijas pamatojums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61C2808B" w14:textId="77777777" w:rsidR="00F14AD5" w:rsidRPr="001C57E1" w:rsidRDefault="00F14AD5" w:rsidP="00D937F1">
            <w:pPr>
              <w:jc w:val="center"/>
              <w:rPr>
                <w:color w:val="000000" w:themeColor="text1"/>
              </w:rPr>
            </w:pPr>
            <w:r w:rsidRPr="001C57E1">
              <w:rPr>
                <w:color w:val="000000" w:themeColor="text1"/>
              </w:rPr>
              <w:t>Atzinuma sniedzēja uzturētais iebildums, ja tas atšķiras no atzinumā norādītā iebilduma pamatojuma</w:t>
            </w:r>
          </w:p>
        </w:tc>
        <w:tc>
          <w:tcPr>
            <w:tcW w:w="1943" w:type="dxa"/>
            <w:tcBorders>
              <w:top w:val="single" w:sz="4" w:space="0" w:color="auto"/>
              <w:left w:val="single" w:sz="4" w:space="0" w:color="auto"/>
              <w:bottom w:val="single" w:sz="4" w:space="0" w:color="auto"/>
            </w:tcBorders>
            <w:vAlign w:val="center"/>
          </w:tcPr>
          <w:p w14:paraId="7DCA45C9" w14:textId="77777777" w:rsidR="00F14AD5" w:rsidRPr="001C57E1" w:rsidRDefault="00F14AD5" w:rsidP="00D937F1">
            <w:pPr>
              <w:jc w:val="center"/>
              <w:rPr>
                <w:color w:val="000000" w:themeColor="text1"/>
              </w:rPr>
            </w:pPr>
            <w:r w:rsidRPr="001C57E1">
              <w:rPr>
                <w:color w:val="000000" w:themeColor="text1"/>
              </w:rPr>
              <w:t>Projekta attiecīgā punkta (panta) galīgā redakcija</w:t>
            </w:r>
          </w:p>
        </w:tc>
      </w:tr>
      <w:tr w:rsidR="001C57E1" w:rsidRPr="001C57E1" w14:paraId="61312765" w14:textId="77777777" w:rsidTr="00D7451B">
        <w:tc>
          <w:tcPr>
            <w:tcW w:w="534" w:type="dxa"/>
            <w:tcBorders>
              <w:top w:val="single" w:sz="6" w:space="0" w:color="000000"/>
              <w:left w:val="single" w:sz="6" w:space="0" w:color="000000"/>
              <w:bottom w:val="single" w:sz="6" w:space="0" w:color="000000"/>
              <w:right w:val="single" w:sz="6" w:space="0" w:color="000000"/>
            </w:tcBorders>
          </w:tcPr>
          <w:p w14:paraId="7209E43F" w14:textId="77777777" w:rsidR="00F14AD5" w:rsidRPr="001C57E1" w:rsidRDefault="00F14AD5" w:rsidP="00D937F1">
            <w:pPr>
              <w:pStyle w:val="naisc"/>
              <w:spacing w:before="0" w:after="0"/>
              <w:rPr>
                <w:color w:val="000000" w:themeColor="text1"/>
                <w:sz w:val="20"/>
                <w:szCs w:val="20"/>
              </w:rPr>
            </w:pPr>
            <w:r w:rsidRPr="001C57E1">
              <w:rPr>
                <w:color w:val="000000" w:themeColor="text1"/>
                <w:sz w:val="20"/>
                <w:szCs w:val="20"/>
              </w:rPr>
              <w:t>1</w:t>
            </w:r>
          </w:p>
        </w:tc>
        <w:tc>
          <w:tcPr>
            <w:tcW w:w="1868" w:type="dxa"/>
            <w:tcBorders>
              <w:top w:val="single" w:sz="6" w:space="0" w:color="000000"/>
              <w:left w:val="single" w:sz="6" w:space="0" w:color="000000"/>
              <w:bottom w:val="single" w:sz="6" w:space="0" w:color="000000"/>
              <w:right w:val="single" w:sz="6" w:space="0" w:color="000000"/>
            </w:tcBorders>
          </w:tcPr>
          <w:p w14:paraId="0086429F"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39B67972"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3</w:t>
            </w:r>
          </w:p>
        </w:tc>
        <w:tc>
          <w:tcPr>
            <w:tcW w:w="3827" w:type="dxa"/>
            <w:tcBorders>
              <w:top w:val="single" w:sz="6" w:space="0" w:color="000000"/>
              <w:left w:val="single" w:sz="6" w:space="0" w:color="000000"/>
              <w:bottom w:val="single" w:sz="6" w:space="0" w:color="000000"/>
              <w:right w:val="single" w:sz="6" w:space="0" w:color="000000"/>
            </w:tcBorders>
          </w:tcPr>
          <w:p w14:paraId="285DE049" w14:textId="77777777" w:rsidR="00F14AD5" w:rsidRPr="001C57E1" w:rsidRDefault="00F14AD5" w:rsidP="00465B15">
            <w:pPr>
              <w:pStyle w:val="naisc"/>
              <w:spacing w:before="0" w:after="0"/>
              <w:rPr>
                <w:color w:val="000000" w:themeColor="text1"/>
                <w:sz w:val="20"/>
                <w:szCs w:val="20"/>
              </w:rPr>
            </w:pPr>
            <w:r w:rsidRPr="001C57E1">
              <w:rPr>
                <w:color w:val="000000" w:themeColor="text1"/>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3472159B" w14:textId="77777777" w:rsidR="00F14AD5" w:rsidRPr="001C57E1" w:rsidRDefault="00F14AD5" w:rsidP="00465B15">
            <w:pPr>
              <w:jc w:val="center"/>
              <w:rPr>
                <w:color w:val="000000" w:themeColor="text1"/>
                <w:sz w:val="20"/>
                <w:szCs w:val="20"/>
              </w:rPr>
            </w:pPr>
            <w:r w:rsidRPr="001C57E1">
              <w:rPr>
                <w:color w:val="000000" w:themeColor="text1"/>
                <w:sz w:val="20"/>
                <w:szCs w:val="20"/>
              </w:rPr>
              <w:t>5</w:t>
            </w:r>
          </w:p>
        </w:tc>
        <w:tc>
          <w:tcPr>
            <w:tcW w:w="1943" w:type="dxa"/>
            <w:tcBorders>
              <w:top w:val="single" w:sz="4" w:space="0" w:color="auto"/>
              <w:left w:val="single" w:sz="4" w:space="0" w:color="auto"/>
              <w:bottom w:val="single" w:sz="4" w:space="0" w:color="auto"/>
            </w:tcBorders>
          </w:tcPr>
          <w:p w14:paraId="17B3A0EB" w14:textId="77777777" w:rsidR="00F14AD5" w:rsidRPr="001C57E1" w:rsidRDefault="00F14AD5" w:rsidP="00465B15">
            <w:pPr>
              <w:jc w:val="center"/>
              <w:rPr>
                <w:color w:val="000000" w:themeColor="text1"/>
                <w:sz w:val="20"/>
                <w:szCs w:val="20"/>
              </w:rPr>
            </w:pPr>
            <w:r w:rsidRPr="001C57E1">
              <w:rPr>
                <w:color w:val="000000" w:themeColor="text1"/>
                <w:sz w:val="20"/>
                <w:szCs w:val="20"/>
              </w:rPr>
              <w:t>6</w:t>
            </w:r>
          </w:p>
        </w:tc>
      </w:tr>
      <w:tr w:rsidR="00A4609A" w:rsidRPr="001C57E1" w14:paraId="592363E8" w14:textId="77777777" w:rsidTr="00D7451B">
        <w:tc>
          <w:tcPr>
            <w:tcW w:w="534" w:type="dxa"/>
            <w:tcBorders>
              <w:top w:val="single" w:sz="6" w:space="0" w:color="000000"/>
              <w:left w:val="single" w:sz="6" w:space="0" w:color="000000"/>
              <w:bottom w:val="single" w:sz="6" w:space="0" w:color="000000"/>
              <w:right w:val="single" w:sz="6" w:space="0" w:color="000000"/>
            </w:tcBorders>
          </w:tcPr>
          <w:p w14:paraId="35C1273B" w14:textId="2EDC2165" w:rsidR="00A4609A" w:rsidRPr="001C57E1" w:rsidRDefault="00A4609A" w:rsidP="00A4609A">
            <w:pPr>
              <w:pStyle w:val="naisc"/>
              <w:spacing w:before="0" w:after="0"/>
              <w:rPr>
                <w:color w:val="000000" w:themeColor="text1"/>
                <w:sz w:val="20"/>
                <w:szCs w:val="20"/>
              </w:rPr>
            </w:pPr>
            <w:r>
              <w:rPr>
                <w:color w:val="000000" w:themeColor="text1"/>
                <w:sz w:val="20"/>
                <w:szCs w:val="20"/>
              </w:rPr>
              <w:t>1.</w:t>
            </w:r>
          </w:p>
        </w:tc>
        <w:tc>
          <w:tcPr>
            <w:tcW w:w="1868" w:type="dxa"/>
            <w:tcBorders>
              <w:top w:val="single" w:sz="6" w:space="0" w:color="000000"/>
              <w:left w:val="single" w:sz="6" w:space="0" w:color="000000"/>
              <w:bottom w:val="single" w:sz="6" w:space="0" w:color="000000"/>
              <w:right w:val="single" w:sz="6" w:space="0" w:color="000000"/>
            </w:tcBorders>
          </w:tcPr>
          <w:p w14:paraId="4E0ADE98" w14:textId="227C2920" w:rsidR="00A4609A" w:rsidRPr="001C57E1" w:rsidRDefault="00A4609A" w:rsidP="00A4609A">
            <w:pPr>
              <w:pStyle w:val="naisc"/>
              <w:spacing w:before="0" w:after="0"/>
              <w:jc w:val="both"/>
              <w:rPr>
                <w:color w:val="000000" w:themeColor="text1"/>
                <w:sz w:val="20"/>
                <w:szCs w:val="20"/>
              </w:rPr>
            </w:pPr>
            <w:r w:rsidRPr="00D3149D">
              <w:rPr>
                <w:color w:val="000000" w:themeColor="text1"/>
              </w:rPr>
              <w:t>Skatīt noteikumu projektu un anotāciju.</w:t>
            </w:r>
          </w:p>
        </w:tc>
        <w:tc>
          <w:tcPr>
            <w:tcW w:w="4111" w:type="dxa"/>
            <w:tcBorders>
              <w:top w:val="single" w:sz="6" w:space="0" w:color="000000"/>
              <w:left w:val="single" w:sz="6" w:space="0" w:color="000000"/>
              <w:bottom w:val="single" w:sz="6" w:space="0" w:color="000000"/>
              <w:right w:val="single" w:sz="6" w:space="0" w:color="000000"/>
            </w:tcBorders>
          </w:tcPr>
          <w:p w14:paraId="08E474C8" w14:textId="17899CBE" w:rsidR="00D7451B" w:rsidRPr="00D7451B" w:rsidRDefault="00D7451B" w:rsidP="00D7451B">
            <w:pPr>
              <w:pStyle w:val="naisc"/>
              <w:jc w:val="both"/>
              <w:rPr>
                <w:color w:val="000000" w:themeColor="text1"/>
              </w:rPr>
            </w:pPr>
            <w:r w:rsidRPr="00D7451B">
              <w:rPr>
                <w:b/>
                <w:bCs/>
                <w:color w:val="000000" w:themeColor="text1"/>
              </w:rPr>
              <w:t>Tieslietu ministrija.</w:t>
            </w:r>
            <w:r>
              <w:rPr>
                <w:color w:val="000000" w:themeColor="text1"/>
              </w:rPr>
              <w:t xml:space="preserve"> </w:t>
            </w:r>
            <w:r w:rsidRPr="00D7451B">
              <w:rPr>
                <w:color w:val="000000" w:themeColor="text1"/>
              </w:rPr>
              <w:t xml:space="preserve">Iebildums </w:t>
            </w:r>
            <w:r w:rsidR="00DC2F59">
              <w:rPr>
                <w:color w:val="000000" w:themeColor="text1"/>
              </w:rPr>
              <w:t>saņemts</w:t>
            </w:r>
            <w:r w:rsidRPr="00D7451B">
              <w:rPr>
                <w:color w:val="000000" w:themeColor="text1"/>
              </w:rPr>
              <w:t xml:space="preserve"> projekta saskaņošanas laikā.</w:t>
            </w:r>
          </w:p>
          <w:p w14:paraId="43ACEB43" w14:textId="3F60C412" w:rsidR="00D7451B" w:rsidRDefault="00D7451B" w:rsidP="00A4609A">
            <w:pPr>
              <w:pStyle w:val="naisc"/>
              <w:jc w:val="both"/>
              <w:rPr>
                <w:color w:val="000000" w:themeColor="text1"/>
              </w:rPr>
            </w:pPr>
          </w:p>
          <w:p w14:paraId="10427E07" w14:textId="61137CF0" w:rsidR="00A4609A" w:rsidRPr="00F44F50" w:rsidRDefault="00A4609A" w:rsidP="00A4609A">
            <w:pPr>
              <w:pStyle w:val="naisc"/>
              <w:jc w:val="both"/>
              <w:rPr>
                <w:color w:val="000000" w:themeColor="text1"/>
              </w:rPr>
            </w:pPr>
            <w:r w:rsidRPr="00F44F50">
              <w:rPr>
                <w:color w:val="000000" w:themeColor="text1"/>
              </w:rPr>
              <w:t xml:space="preserve">1. Atkārtoti vēršam uzmanību uz to, ka Oficiālo publikāciju un tiesiskās informācijas likuma 9. panta ceturtā daļa noteic, ka </w:t>
            </w:r>
            <w:r w:rsidRPr="00F44F50">
              <w:rPr>
                <w:color w:val="000000" w:themeColor="text1"/>
                <w:u w:val="single"/>
              </w:rPr>
              <w:t>normatīvajam aktam vai tā daļai nav atpakaļejoša spēka, izņemot likumā īpaši paredzētus gadījumus</w:t>
            </w:r>
            <w:r w:rsidRPr="00F44F50">
              <w:rPr>
                <w:color w:val="000000" w:themeColor="text1"/>
              </w:rPr>
              <w:t xml:space="preserve">. Savukārt projekta 5. punktā paredzētajā Ministru kabineta 2018. gada 28. augusta noteikumu Nr. 555 "Veselības aprūpes pakalpojumu organizēšanas un samaksas kārtība" (turpmāk – noteikumi) 256. punktā ir </w:t>
            </w:r>
            <w:r w:rsidRPr="00F44F50">
              <w:rPr>
                <w:color w:val="000000" w:themeColor="text1"/>
              </w:rPr>
              <w:lastRenderedPageBreak/>
              <w:t xml:space="preserve">noteikts, ka noteikumu 254.2. apakšpunktā paredzēto regulējumu </w:t>
            </w:r>
            <w:r w:rsidRPr="00F44F50">
              <w:rPr>
                <w:color w:val="000000" w:themeColor="text1"/>
                <w:u w:val="single"/>
              </w:rPr>
              <w:t>piemēro no 2021. gada 1. marta</w:t>
            </w:r>
            <w:r w:rsidRPr="00F44F50">
              <w:rPr>
                <w:color w:val="000000" w:themeColor="text1"/>
              </w:rPr>
              <w:t xml:space="preserve">. Ievērojot minēto, kā arī to, ka projekta sākotnējās </w:t>
            </w:r>
            <w:r w:rsidRPr="00F44F50">
              <w:rPr>
                <w:i/>
                <w:iCs/>
                <w:color w:val="000000" w:themeColor="text1"/>
              </w:rPr>
              <w:t>(ex-ante)</w:t>
            </w:r>
            <w:r w:rsidRPr="00F44F50">
              <w:rPr>
                <w:color w:val="000000" w:themeColor="text1"/>
              </w:rPr>
              <w:t xml:space="preserve"> ietekmes novērtējuma ziņojuma (turpmāk – anotācija) I sadaļas 2. punktā nav informācijas par to, no kuras likuma normas izriet tiesības noteikt projekta 5. punktā paredzētajā noteikumu 256. punktā ietverto regulējumu, lūdzam precizēt projekta 5. punktā paredzētajā noteikumu 256. punktā ietverto regulējumu un anotācijas I sadaļas 2. punktā ietverto informāciju. </w:t>
            </w:r>
          </w:p>
          <w:p w14:paraId="120A5718" w14:textId="77777777" w:rsidR="00A4609A" w:rsidRPr="001C57E1" w:rsidRDefault="00A4609A" w:rsidP="00A4609A">
            <w:pPr>
              <w:pStyle w:val="naisc"/>
              <w:spacing w:before="0" w:after="0"/>
              <w:rPr>
                <w:color w:val="000000" w:themeColor="text1"/>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12C0679C" w14:textId="77777777" w:rsidR="00846F36" w:rsidRDefault="00E32EFB" w:rsidP="00A4609A">
            <w:pPr>
              <w:ind w:firstLine="312"/>
              <w:jc w:val="both"/>
              <w:rPr>
                <w:rFonts w:eastAsiaTheme="minorHAnsi"/>
                <w:szCs w:val="22"/>
                <w:lang w:eastAsia="en-US"/>
              </w:rPr>
            </w:pPr>
            <w:r w:rsidRPr="00921324">
              <w:rPr>
                <w:rFonts w:eastAsiaTheme="minorHAnsi"/>
                <w:b/>
                <w:bCs/>
                <w:szCs w:val="22"/>
                <w:lang w:eastAsia="en-US"/>
              </w:rPr>
              <w:lastRenderedPageBreak/>
              <w:t xml:space="preserve">Nav </w:t>
            </w:r>
            <w:r w:rsidR="00190547" w:rsidRPr="00921324">
              <w:rPr>
                <w:rFonts w:eastAsiaTheme="minorHAnsi"/>
                <w:b/>
                <w:bCs/>
                <w:szCs w:val="22"/>
                <w:lang w:eastAsia="en-US"/>
              </w:rPr>
              <w:t>ņemts vērā.</w:t>
            </w:r>
          </w:p>
          <w:p w14:paraId="61E99E5E" w14:textId="4CFCA12F" w:rsidR="00A4609A" w:rsidRPr="00351EFF" w:rsidRDefault="00190547" w:rsidP="00A4609A">
            <w:pPr>
              <w:ind w:firstLine="312"/>
              <w:jc w:val="both"/>
              <w:rPr>
                <w:rFonts w:eastAsiaTheme="minorHAnsi"/>
                <w:szCs w:val="22"/>
                <w:lang w:eastAsia="en-US"/>
              </w:rPr>
            </w:pPr>
            <w:r>
              <w:rPr>
                <w:rFonts w:eastAsiaTheme="minorHAnsi"/>
                <w:szCs w:val="22"/>
                <w:lang w:eastAsia="en-US"/>
              </w:rPr>
              <w:t xml:space="preserve"> </w:t>
            </w:r>
            <w:r w:rsidR="00A4609A" w:rsidRPr="00351EFF">
              <w:rPr>
                <w:rFonts w:eastAsiaTheme="minorHAnsi"/>
                <w:szCs w:val="22"/>
                <w:lang w:eastAsia="en-US"/>
              </w:rPr>
              <w:t xml:space="preserve">Palielinoties Covid-19 saslimstībai un stacionēto pacientu skaitam, būtiski nodrošināt, ka stacionārās ārstniecības iestādēs ir pieejamas observācijas gultas. Minētās gultas nepieciešamības gadījumā </w:t>
            </w:r>
            <w:r w:rsidR="00A4609A">
              <w:rPr>
                <w:rFonts w:eastAsiaTheme="minorHAnsi"/>
                <w:szCs w:val="22"/>
                <w:lang w:eastAsia="en-US"/>
              </w:rPr>
              <w:t>tiek</w:t>
            </w:r>
            <w:r w:rsidR="00A4609A" w:rsidRPr="00351EFF">
              <w:rPr>
                <w:rFonts w:eastAsiaTheme="minorHAnsi"/>
                <w:szCs w:val="22"/>
                <w:lang w:eastAsia="en-US"/>
              </w:rPr>
              <w:t xml:space="preserve"> izmantotas kā tranzītgultas, kurās ti</w:t>
            </w:r>
            <w:r w:rsidR="00A4609A">
              <w:rPr>
                <w:rFonts w:eastAsiaTheme="minorHAnsi"/>
                <w:szCs w:val="22"/>
                <w:lang w:eastAsia="en-US"/>
              </w:rPr>
              <w:t>ek</w:t>
            </w:r>
            <w:r w:rsidR="00A4609A" w:rsidRPr="00351EFF">
              <w:rPr>
                <w:rFonts w:eastAsiaTheme="minorHAnsi"/>
                <w:szCs w:val="22"/>
                <w:lang w:eastAsia="en-US"/>
              </w:rPr>
              <w:t xml:space="preserve"> veikta stacionēto pacientu veselības stāvokļa izvērtēšana un novērtēšana, kā arī nepieciešamo izmeklējumu un medicīniskās palīdzības sniegšana līdz Covid-19 testa rezultātu saņemšanai. Tādējādi, būtiski pieaugot stacionēto pacientu skaitam, </w:t>
            </w:r>
            <w:r w:rsidR="00A4609A" w:rsidRPr="00351EFF">
              <w:rPr>
                <w:rFonts w:eastAsiaTheme="minorHAnsi"/>
                <w:szCs w:val="22"/>
                <w:lang w:eastAsia="en-US"/>
              </w:rPr>
              <w:lastRenderedPageBreak/>
              <w:t>minētajās gultās ti</w:t>
            </w:r>
            <w:r w:rsidR="00A4609A">
              <w:rPr>
                <w:rFonts w:eastAsiaTheme="minorHAnsi"/>
                <w:szCs w:val="22"/>
                <w:lang w:eastAsia="en-US"/>
              </w:rPr>
              <w:t>ek</w:t>
            </w:r>
            <w:r w:rsidR="00A4609A" w:rsidRPr="00351EFF">
              <w:rPr>
                <w:rFonts w:eastAsiaTheme="minorHAnsi"/>
                <w:szCs w:val="22"/>
                <w:lang w:eastAsia="en-US"/>
              </w:rPr>
              <w:t xml:space="preserve"> nodrošināta pacientu veselības stāvokļa novērošana un nepieciešamo izmeklējumu veikšana 1-2 dienu laikā. Tāpat šīs gultas nepieciešamības gadījumā var izmantot arī pacientu ārstēšanai.</w:t>
            </w:r>
          </w:p>
          <w:p w14:paraId="31BC0072" w14:textId="6AAA15E4" w:rsidR="00A4609A" w:rsidRPr="001C57E1" w:rsidRDefault="00A4609A" w:rsidP="00A4609A">
            <w:pPr>
              <w:pStyle w:val="naisc"/>
              <w:spacing w:before="0" w:after="0"/>
              <w:jc w:val="both"/>
              <w:rPr>
                <w:color w:val="000000" w:themeColor="text1"/>
                <w:sz w:val="20"/>
                <w:szCs w:val="20"/>
              </w:rPr>
            </w:pPr>
            <w:r>
              <w:rPr>
                <w:rFonts w:eastAsiaTheme="minorHAnsi"/>
                <w:szCs w:val="22"/>
                <w:lang w:eastAsia="en-US"/>
              </w:rPr>
              <w:t xml:space="preserve">   </w:t>
            </w:r>
            <w:r w:rsidRPr="00351EFF">
              <w:rPr>
                <w:rFonts w:eastAsiaTheme="minorHAnsi"/>
                <w:szCs w:val="22"/>
                <w:lang w:eastAsia="en-US"/>
              </w:rPr>
              <w:t>Atbilstoši 2018.gada 28.augusta Ministru kabineta noteikumu Nr.555 (turpmāk – MK) 6.pielikuma 1.punktā noteiktajam ikmēneša gultu observācijai tiek maksāts fiksēts maksājums neatkarīgi no uzņemto pacientu skaita. Taču COVID-19 pandēmijas ietekmē pieaugot pacientu skaitam ir ļoti būtiski nodrošināt pacientu izolāciju, izveidojot COVID-19 pacientu tranzītnodaļas, lai veiktu laboratoriskos izmeklējumus un novērstu intrahospitālo inficēšanos. Tāpat pieaugot pacientu skaitam pieaug COV</w:t>
            </w:r>
            <w:r>
              <w:rPr>
                <w:rFonts w:eastAsiaTheme="minorHAnsi"/>
                <w:szCs w:val="22"/>
                <w:lang w:eastAsia="en-US"/>
              </w:rPr>
              <w:t>I</w:t>
            </w:r>
            <w:r w:rsidRPr="00351EFF">
              <w:rPr>
                <w:rFonts w:eastAsiaTheme="minorHAnsi"/>
                <w:szCs w:val="22"/>
                <w:lang w:eastAsia="en-US"/>
              </w:rPr>
              <w:t xml:space="preserve">D-19 pacientu ārstēšanas izmaksas, jo tiek pielietoti medikamenti, IAL, kā arī skābekļa terapija, kas ir izmaksu ietilpīga pozīcija. </w:t>
            </w:r>
            <w:r>
              <w:rPr>
                <w:rFonts w:eastAsiaTheme="minorHAnsi"/>
                <w:szCs w:val="22"/>
                <w:lang w:eastAsia="en-US"/>
              </w:rPr>
              <w:t xml:space="preserve">Tāpēc ar  </w:t>
            </w:r>
            <w:r w:rsidRPr="00CB7231">
              <w:rPr>
                <w:rFonts w:eastAsiaTheme="minorHAnsi"/>
                <w:szCs w:val="22"/>
                <w:lang w:eastAsia="en-US"/>
              </w:rPr>
              <w:t>Ministru kabineta 2021.gada 11. februāra rīkojumu Nr. 81 “Par finanšu līdzekļu piešķiršanu no valsts budžeta programmas “Līdzekļi neparedzētiem gadījumiem”” (</w:t>
            </w:r>
            <w:hyperlink r:id="rId8" w:history="1">
              <w:r w:rsidRPr="009348E7">
                <w:rPr>
                  <w:rStyle w:val="Hyperlink"/>
                  <w:rFonts w:eastAsiaTheme="minorHAnsi"/>
                  <w:szCs w:val="22"/>
                  <w:lang w:eastAsia="en-US"/>
                </w:rPr>
                <w:t>https://likumi.lv/ta/id/320958-bpar-</w:t>
              </w:r>
              <w:r w:rsidRPr="009348E7">
                <w:rPr>
                  <w:rStyle w:val="Hyperlink"/>
                  <w:rFonts w:eastAsiaTheme="minorHAnsi"/>
                  <w:szCs w:val="22"/>
                  <w:lang w:eastAsia="en-US"/>
                </w:rPr>
                <w:lastRenderedPageBreak/>
                <w:t>finansu-lidzeklu-pieskirsanu-no-valsts-budzeta-programmasbblidzekli-neparedzetiem-gadijumiemb?&amp;search=on</w:t>
              </w:r>
            </w:hyperlink>
            <w:r w:rsidRPr="00CB7231">
              <w:rPr>
                <w:rFonts w:eastAsiaTheme="minorHAnsi"/>
                <w:szCs w:val="22"/>
                <w:lang w:eastAsia="en-US"/>
              </w:rPr>
              <w:t>)</w:t>
            </w:r>
            <w:r>
              <w:rPr>
                <w:rFonts w:eastAsiaTheme="minorHAnsi"/>
                <w:szCs w:val="22"/>
                <w:lang w:eastAsia="en-US"/>
              </w:rPr>
              <w:t xml:space="preserve"> tika piešķirti papildus līdzekļi  </w:t>
            </w:r>
            <w:r w:rsidRPr="00351EFF">
              <w:rPr>
                <w:rFonts w:eastAsiaTheme="minorHAnsi"/>
                <w:szCs w:val="22"/>
                <w:lang w:eastAsia="en-US"/>
              </w:rPr>
              <w:t>fiksētās piemaksas par observācijas gultu nodrošināšanu</w:t>
            </w:r>
            <w:r>
              <w:rPr>
                <w:rFonts w:eastAsiaTheme="minorHAnsi"/>
                <w:szCs w:val="22"/>
                <w:lang w:eastAsia="en-US"/>
              </w:rPr>
              <w:t xml:space="preserve"> palielināšanai</w:t>
            </w:r>
            <w:r w:rsidRPr="00351EFF">
              <w:rPr>
                <w:rFonts w:eastAsiaTheme="minorHAnsi"/>
                <w:szCs w:val="22"/>
                <w:lang w:eastAsia="en-US"/>
              </w:rPr>
              <w:t>.</w:t>
            </w:r>
            <w:r>
              <w:rPr>
                <w:rFonts w:eastAsiaTheme="minorHAnsi"/>
                <w:szCs w:val="22"/>
                <w:lang w:eastAsia="en-US"/>
              </w:rPr>
              <w:t xml:space="preserve"> </w:t>
            </w:r>
            <w:r w:rsidRPr="00D3149D">
              <w:rPr>
                <w:color w:val="000000" w:themeColor="text1"/>
              </w:rPr>
              <w:t>Kā norādīts noteikumu projekt</w:t>
            </w:r>
            <w:r>
              <w:rPr>
                <w:color w:val="000000" w:themeColor="text1"/>
              </w:rPr>
              <w:t>a anotācijā</w:t>
            </w:r>
            <w:r>
              <w:rPr>
                <w:bCs/>
                <w:color w:val="000000" w:themeColor="text1"/>
              </w:rPr>
              <w:t>,</w:t>
            </w:r>
            <w:r w:rsidRPr="00D3149D">
              <w:rPr>
                <w:bCs/>
                <w:color w:val="000000" w:themeColor="text1"/>
              </w:rPr>
              <w:t xml:space="preserve"> maijā</w:t>
            </w:r>
            <w:r w:rsidR="00854556">
              <w:rPr>
                <w:bCs/>
                <w:color w:val="000000" w:themeColor="text1"/>
              </w:rPr>
              <w:t xml:space="preserve"> paredzēts</w:t>
            </w:r>
            <w:r w:rsidRPr="00D3149D">
              <w:rPr>
                <w:bCs/>
                <w:color w:val="000000" w:themeColor="text1"/>
              </w:rPr>
              <w:t xml:space="preserve"> veikt papildus samaks</w:t>
            </w:r>
            <w:r w:rsidR="00DA31EE">
              <w:rPr>
                <w:bCs/>
                <w:color w:val="000000" w:themeColor="text1"/>
              </w:rPr>
              <w:t>u</w:t>
            </w:r>
            <w:r w:rsidRPr="00D3149D">
              <w:rPr>
                <w:bCs/>
                <w:color w:val="000000" w:themeColor="text1"/>
              </w:rPr>
              <w:t xml:space="preserve"> </w:t>
            </w:r>
            <w:r w:rsidRPr="00D3149D">
              <w:rPr>
                <w:bCs/>
                <w:color w:val="000000" w:themeColor="text1"/>
                <w:u w:val="single"/>
              </w:rPr>
              <w:t>esošam pakalpojumam par laika periodu no 2021. gada 1. marta, nevis piemēro</w:t>
            </w:r>
            <w:r w:rsidR="00DA31EE">
              <w:rPr>
                <w:bCs/>
                <w:color w:val="000000" w:themeColor="text1"/>
                <w:u w:val="single"/>
              </w:rPr>
              <w:t>t</w:t>
            </w:r>
            <w:r w:rsidRPr="00D3149D">
              <w:rPr>
                <w:bCs/>
                <w:color w:val="000000" w:themeColor="text1"/>
                <w:u w:val="single"/>
              </w:rPr>
              <w:t xml:space="preserve"> jaunu pakalpojumu no šī datuma. </w:t>
            </w:r>
            <w:r w:rsidRPr="00D3149D">
              <w:rPr>
                <w:bCs/>
                <w:color w:val="000000" w:themeColor="text1"/>
              </w:rPr>
              <w:t xml:space="preserve"> Plānots, ka piemaksu par martā un aprīlī sniegtajiem pakalpojumiem observācijas gultās tiks izmaksāts kopā ar fiksēto maksājumu par maiju. </w:t>
            </w:r>
          </w:p>
        </w:tc>
        <w:tc>
          <w:tcPr>
            <w:tcW w:w="1985" w:type="dxa"/>
            <w:tcBorders>
              <w:top w:val="single" w:sz="4" w:space="0" w:color="auto"/>
              <w:left w:val="single" w:sz="4" w:space="0" w:color="auto"/>
              <w:bottom w:val="single" w:sz="4" w:space="0" w:color="auto"/>
              <w:right w:val="single" w:sz="4" w:space="0" w:color="auto"/>
            </w:tcBorders>
          </w:tcPr>
          <w:p w14:paraId="1469EF42" w14:textId="7943EBB7" w:rsidR="00A4609A" w:rsidRPr="001C57E1" w:rsidRDefault="00A4609A" w:rsidP="00A4609A">
            <w:pPr>
              <w:rPr>
                <w:color w:val="000000" w:themeColor="text1"/>
                <w:sz w:val="20"/>
                <w:szCs w:val="20"/>
              </w:rPr>
            </w:pPr>
          </w:p>
        </w:tc>
        <w:tc>
          <w:tcPr>
            <w:tcW w:w="1943" w:type="dxa"/>
            <w:tcBorders>
              <w:top w:val="single" w:sz="4" w:space="0" w:color="auto"/>
              <w:left w:val="single" w:sz="4" w:space="0" w:color="auto"/>
              <w:bottom w:val="single" w:sz="4" w:space="0" w:color="auto"/>
            </w:tcBorders>
          </w:tcPr>
          <w:p w14:paraId="1271939A" w14:textId="77777777" w:rsidR="00A4609A" w:rsidRDefault="00A4609A" w:rsidP="00A4609A">
            <w:pPr>
              <w:jc w:val="both"/>
              <w:rPr>
                <w:color w:val="000000" w:themeColor="text1"/>
              </w:rPr>
            </w:pPr>
            <w:r w:rsidRPr="00D3149D">
              <w:rPr>
                <w:color w:val="000000" w:themeColor="text1"/>
              </w:rPr>
              <w:t>Skatīt noteikumu projektu un anotāciju.</w:t>
            </w:r>
          </w:p>
          <w:p w14:paraId="3F0C6249" w14:textId="77777777" w:rsidR="00A4609A" w:rsidRPr="001C57E1" w:rsidRDefault="00A4609A" w:rsidP="00A4609A">
            <w:pPr>
              <w:jc w:val="center"/>
              <w:rPr>
                <w:color w:val="000000" w:themeColor="text1"/>
                <w:sz w:val="20"/>
                <w:szCs w:val="20"/>
              </w:rPr>
            </w:pPr>
          </w:p>
        </w:tc>
      </w:tr>
      <w:tr w:rsidR="00A4609A" w:rsidRPr="001C57E1" w14:paraId="3D71BF6A" w14:textId="77777777" w:rsidTr="00D7451B">
        <w:tc>
          <w:tcPr>
            <w:tcW w:w="534" w:type="dxa"/>
            <w:tcBorders>
              <w:top w:val="single" w:sz="6" w:space="0" w:color="000000"/>
              <w:left w:val="single" w:sz="6" w:space="0" w:color="000000"/>
              <w:bottom w:val="single" w:sz="6" w:space="0" w:color="000000"/>
              <w:right w:val="single" w:sz="6" w:space="0" w:color="000000"/>
            </w:tcBorders>
          </w:tcPr>
          <w:p w14:paraId="3DBCAFDF" w14:textId="77777777" w:rsidR="00A4609A" w:rsidRPr="001C57E1" w:rsidRDefault="00A4609A" w:rsidP="00A4609A">
            <w:pPr>
              <w:pStyle w:val="naisc"/>
              <w:spacing w:before="0" w:after="0"/>
              <w:rPr>
                <w:color w:val="000000" w:themeColor="text1"/>
                <w:sz w:val="20"/>
                <w:szCs w:val="20"/>
              </w:rPr>
            </w:pPr>
          </w:p>
        </w:tc>
        <w:tc>
          <w:tcPr>
            <w:tcW w:w="1868" w:type="dxa"/>
            <w:tcBorders>
              <w:top w:val="single" w:sz="6" w:space="0" w:color="000000"/>
              <w:left w:val="single" w:sz="6" w:space="0" w:color="000000"/>
              <w:bottom w:val="single" w:sz="6" w:space="0" w:color="000000"/>
              <w:right w:val="single" w:sz="6" w:space="0" w:color="000000"/>
            </w:tcBorders>
          </w:tcPr>
          <w:p w14:paraId="0AB3C9C5" w14:textId="77777777" w:rsidR="00A4609A" w:rsidRPr="001C57E1" w:rsidRDefault="00A4609A" w:rsidP="00A4609A">
            <w:pPr>
              <w:pStyle w:val="naisc"/>
              <w:spacing w:before="0" w:after="0"/>
              <w:rPr>
                <w:color w:val="000000" w:themeColor="text1"/>
                <w:sz w:val="20"/>
                <w:szCs w:val="20"/>
              </w:rPr>
            </w:pPr>
          </w:p>
        </w:tc>
        <w:tc>
          <w:tcPr>
            <w:tcW w:w="4111" w:type="dxa"/>
            <w:tcBorders>
              <w:top w:val="single" w:sz="6" w:space="0" w:color="000000"/>
              <w:left w:val="single" w:sz="6" w:space="0" w:color="000000"/>
              <w:bottom w:val="single" w:sz="6" w:space="0" w:color="000000"/>
              <w:right w:val="single" w:sz="6" w:space="0" w:color="000000"/>
            </w:tcBorders>
          </w:tcPr>
          <w:p w14:paraId="2E50302F" w14:textId="77777777" w:rsidR="00A4609A" w:rsidRDefault="00A4609A" w:rsidP="00A4609A">
            <w:pPr>
              <w:pStyle w:val="naisc"/>
              <w:spacing w:before="0" w:after="0"/>
              <w:rPr>
                <w:b/>
                <w:bCs/>
                <w:color w:val="000000" w:themeColor="text1"/>
              </w:rPr>
            </w:pPr>
          </w:p>
        </w:tc>
        <w:tc>
          <w:tcPr>
            <w:tcW w:w="3827" w:type="dxa"/>
            <w:tcBorders>
              <w:top w:val="single" w:sz="6" w:space="0" w:color="000000"/>
              <w:left w:val="single" w:sz="6" w:space="0" w:color="000000"/>
              <w:bottom w:val="single" w:sz="6" w:space="0" w:color="000000"/>
              <w:right w:val="single" w:sz="6" w:space="0" w:color="000000"/>
            </w:tcBorders>
          </w:tcPr>
          <w:p w14:paraId="55553598" w14:textId="77777777" w:rsidR="00A4609A" w:rsidRPr="001C57E1" w:rsidRDefault="00A4609A" w:rsidP="00A4609A">
            <w:pPr>
              <w:pStyle w:val="naisc"/>
              <w:spacing w:before="0" w:after="0"/>
              <w:rPr>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0F5DCBD" w14:textId="77777777" w:rsidR="00A4609A" w:rsidRPr="001C57E1" w:rsidRDefault="00A4609A" w:rsidP="00A4609A">
            <w:pPr>
              <w:jc w:val="center"/>
              <w:rPr>
                <w:color w:val="000000" w:themeColor="text1"/>
                <w:sz w:val="20"/>
                <w:szCs w:val="20"/>
              </w:rPr>
            </w:pPr>
          </w:p>
        </w:tc>
        <w:tc>
          <w:tcPr>
            <w:tcW w:w="1943" w:type="dxa"/>
            <w:tcBorders>
              <w:top w:val="single" w:sz="4" w:space="0" w:color="auto"/>
              <w:left w:val="single" w:sz="4" w:space="0" w:color="auto"/>
              <w:bottom w:val="single" w:sz="4" w:space="0" w:color="auto"/>
            </w:tcBorders>
          </w:tcPr>
          <w:p w14:paraId="3322144E" w14:textId="77777777" w:rsidR="00A4609A" w:rsidRPr="001C57E1" w:rsidRDefault="00A4609A" w:rsidP="00A4609A">
            <w:pPr>
              <w:jc w:val="center"/>
              <w:rPr>
                <w:color w:val="000000" w:themeColor="text1"/>
                <w:sz w:val="20"/>
                <w:szCs w:val="20"/>
              </w:rPr>
            </w:pPr>
          </w:p>
        </w:tc>
      </w:tr>
    </w:tbl>
    <w:p w14:paraId="4FC91F7F" w14:textId="77777777" w:rsidR="00F14AD5" w:rsidRPr="001C57E1" w:rsidRDefault="00F14AD5" w:rsidP="00F14AD5">
      <w:pPr>
        <w:pStyle w:val="naisf"/>
        <w:spacing w:before="0" w:after="0"/>
        <w:ind w:firstLine="0"/>
        <w:rPr>
          <w:color w:val="000000" w:themeColor="text1"/>
        </w:rPr>
      </w:pPr>
    </w:p>
    <w:p w14:paraId="71CA2ABE" w14:textId="77777777" w:rsidR="00F14AD5" w:rsidRPr="001C57E1" w:rsidRDefault="00F14AD5" w:rsidP="00F14AD5">
      <w:pPr>
        <w:pStyle w:val="naisf"/>
        <w:spacing w:before="0" w:after="0"/>
        <w:ind w:firstLine="0"/>
        <w:rPr>
          <w:b/>
          <w:color w:val="000000" w:themeColor="text1"/>
        </w:rPr>
      </w:pPr>
      <w:r w:rsidRPr="001C57E1">
        <w:rPr>
          <w:b/>
          <w:color w:val="000000" w:themeColor="text1"/>
        </w:rPr>
        <w:t>Informācija par starpministriju (starpinstitūciju) sanāksmi vai elektronisko saskaņošanu</w:t>
      </w:r>
    </w:p>
    <w:p w14:paraId="73D6B288" w14:textId="77777777" w:rsidR="00F14AD5" w:rsidRPr="001C57E1" w:rsidRDefault="00F14AD5" w:rsidP="00F14AD5">
      <w:pPr>
        <w:pStyle w:val="naisf"/>
        <w:spacing w:before="0" w:after="0"/>
        <w:ind w:firstLine="0"/>
        <w:rPr>
          <w:b/>
          <w:color w:val="000000" w:themeColor="text1"/>
        </w:rPr>
      </w:pPr>
    </w:p>
    <w:tbl>
      <w:tblPr>
        <w:tblW w:w="13575" w:type="dxa"/>
        <w:tblLook w:val="00A0" w:firstRow="1" w:lastRow="0" w:firstColumn="1" w:lastColumn="0" w:noHBand="0" w:noVBand="0"/>
      </w:tblPr>
      <w:tblGrid>
        <w:gridCol w:w="6345"/>
        <w:gridCol w:w="363"/>
        <w:gridCol w:w="488"/>
        <w:gridCol w:w="850"/>
        <w:gridCol w:w="4536"/>
        <w:gridCol w:w="993"/>
      </w:tblGrid>
      <w:tr w:rsidR="001C57E1" w:rsidRPr="001C57E1" w14:paraId="542725F9" w14:textId="77777777" w:rsidTr="00DD7D21">
        <w:trPr>
          <w:gridAfter w:val="1"/>
          <w:wAfter w:w="993" w:type="dxa"/>
        </w:trPr>
        <w:tc>
          <w:tcPr>
            <w:tcW w:w="6345" w:type="dxa"/>
          </w:tcPr>
          <w:p w14:paraId="0E8C00D2" w14:textId="77777777" w:rsidR="00F14AD5" w:rsidRPr="001C57E1" w:rsidRDefault="00F14AD5" w:rsidP="00D937F1">
            <w:pPr>
              <w:pStyle w:val="naisf"/>
              <w:spacing w:before="0" w:after="0"/>
              <w:ind w:firstLine="0"/>
              <w:rPr>
                <w:color w:val="000000" w:themeColor="text1"/>
              </w:rPr>
            </w:pPr>
            <w:r w:rsidRPr="001C57E1">
              <w:rPr>
                <w:color w:val="000000" w:themeColor="text1"/>
              </w:rPr>
              <w:t>Datums</w:t>
            </w:r>
          </w:p>
        </w:tc>
        <w:tc>
          <w:tcPr>
            <w:tcW w:w="6237" w:type="dxa"/>
            <w:gridSpan w:val="4"/>
            <w:tcBorders>
              <w:bottom w:val="single" w:sz="4" w:space="0" w:color="auto"/>
            </w:tcBorders>
          </w:tcPr>
          <w:p w14:paraId="2C08440B"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7AAC7944" w14:textId="77777777" w:rsidTr="00DD7D21">
        <w:trPr>
          <w:gridAfter w:val="1"/>
          <w:wAfter w:w="993" w:type="dxa"/>
        </w:trPr>
        <w:tc>
          <w:tcPr>
            <w:tcW w:w="6345" w:type="dxa"/>
          </w:tcPr>
          <w:p w14:paraId="7CE8A256" w14:textId="77777777" w:rsidR="00F14AD5" w:rsidRPr="001C57E1" w:rsidRDefault="00F14AD5" w:rsidP="00D937F1">
            <w:pPr>
              <w:pStyle w:val="naisf"/>
              <w:spacing w:before="0" w:after="0"/>
              <w:ind w:firstLine="0"/>
              <w:rPr>
                <w:color w:val="000000" w:themeColor="text1"/>
              </w:rPr>
            </w:pPr>
          </w:p>
        </w:tc>
        <w:tc>
          <w:tcPr>
            <w:tcW w:w="6237" w:type="dxa"/>
            <w:gridSpan w:val="4"/>
            <w:tcBorders>
              <w:top w:val="single" w:sz="4" w:space="0" w:color="auto"/>
            </w:tcBorders>
          </w:tcPr>
          <w:p w14:paraId="03A8B821"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41F9DB50" w14:textId="77777777" w:rsidTr="00DD7D21">
        <w:tc>
          <w:tcPr>
            <w:tcW w:w="6345" w:type="dxa"/>
          </w:tcPr>
          <w:p w14:paraId="45B51725" w14:textId="77777777" w:rsidR="00F14AD5" w:rsidRPr="001C57E1" w:rsidRDefault="00F14AD5" w:rsidP="00D937F1">
            <w:pPr>
              <w:pStyle w:val="naiskr"/>
              <w:spacing w:before="0" w:after="0"/>
              <w:rPr>
                <w:color w:val="000000" w:themeColor="text1"/>
              </w:rPr>
            </w:pPr>
            <w:r w:rsidRPr="001C57E1">
              <w:rPr>
                <w:color w:val="000000" w:themeColor="text1"/>
              </w:rPr>
              <w:t>Saskaņošanas dalībnieki</w:t>
            </w:r>
          </w:p>
        </w:tc>
        <w:tc>
          <w:tcPr>
            <w:tcW w:w="7230" w:type="dxa"/>
            <w:gridSpan w:val="5"/>
            <w:tcBorders>
              <w:bottom w:val="single" w:sz="4" w:space="0" w:color="auto"/>
            </w:tcBorders>
          </w:tcPr>
          <w:p w14:paraId="4F45C094" w14:textId="77777777" w:rsidR="00F14AD5" w:rsidRPr="001C57E1" w:rsidRDefault="00F14AD5" w:rsidP="00D937F1">
            <w:pPr>
              <w:pStyle w:val="NormalWeb"/>
              <w:spacing w:before="0" w:beforeAutospacing="0" w:after="0" w:afterAutospacing="0"/>
              <w:ind w:firstLine="720"/>
              <w:rPr>
                <w:color w:val="000000" w:themeColor="text1"/>
              </w:rPr>
            </w:pPr>
          </w:p>
        </w:tc>
      </w:tr>
      <w:tr w:rsidR="001C57E1" w:rsidRPr="001C57E1" w14:paraId="70269EF4" w14:textId="77777777" w:rsidTr="00DD7D21">
        <w:tc>
          <w:tcPr>
            <w:tcW w:w="6345" w:type="dxa"/>
          </w:tcPr>
          <w:p w14:paraId="295F54F8"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7230" w:type="dxa"/>
            <w:gridSpan w:val="5"/>
            <w:tcBorders>
              <w:top w:val="single" w:sz="4" w:space="0" w:color="auto"/>
            </w:tcBorders>
          </w:tcPr>
          <w:p w14:paraId="494B7DD1" w14:textId="77777777" w:rsidR="00F14AD5" w:rsidRPr="001C57E1" w:rsidRDefault="00F14AD5" w:rsidP="00D937F1">
            <w:pPr>
              <w:pStyle w:val="naiskr"/>
              <w:spacing w:before="0" w:after="0"/>
              <w:ind w:firstLine="720"/>
              <w:rPr>
                <w:color w:val="000000" w:themeColor="text1"/>
              </w:rPr>
            </w:pPr>
          </w:p>
        </w:tc>
      </w:tr>
      <w:tr w:rsidR="001C57E1" w:rsidRPr="001C57E1" w14:paraId="39439EBF" w14:textId="77777777" w:rsidTr="00DD7D21">
        <w:trPr>
          <w:trHeight w:val="285"/>
        </w:trPr>
        <w:tc>
          <w:tcPr>
            <w:tcW w:w="8046" w:type="dxa"/>
            <w:gridSpan w:val="4"/>
          </w:tcPr>
          <w:p w14:paraId="14ACE34A" w14:textId="77777777" w:rsidR="008B38C9" w:rsidRPr="001C57E1" w:rsidRDefault="008B38C9" w:rsidP="008B38C9">
            <w:pPr>
              <w:pStyle w:val="naiskr"/>
              <w:spacing w:before="0" w:after="0"/>
              <w:jc w:val="both"/>
              <w:rPr>
                <w:color w:val="000000" w:themeColor="text1"/>
              </w:rPr>
            </w:pPr>
            <w:r w:rsidRPr="001C57E1">
              <w:rPr>
                <w:color w:val="000000" w:themeColor="text1"/>
              </w:rPr>
              <w:br w:type="page"/>
              <w:t>Saskaņošanas dalībnieki izskatīja šādu ministriju (citu institūciju) iebildumus</w:t>
            </w:r>
          </w:p>
        </w:tc>
        <w:tc>
          <w:tcPr>
            <w:tcW w:w="5529" w:type="dxa"/>
            <w:gridSpan w:val="2"/>
            <w:tcBorders>
              <w:bottom w:val="single" w:sz="4" w:space="0" w:color="auto"/>
            </w:tcBorders>
          </w:tcPr>
          <w:p w14:paraId="4798500B" w14:textId="77777777" w:rsidR="008B38C9" w:rsidRPr="001C57E1" w:rsidRDefault="008B38C9" w:rsidP="00102ADA">
            <w:pPr>
              <w:pStyle w:val="naiskr"/>
              <w:spacing w:before="0" w:after="0"/>
              <w:ind w:firstLine="12"/>
              <w:jc w:val="center"/>
              <w:rPr>
                <w:color w:val="000000" w:themeColor="text1"/>
              </w:rPr>
            </w:pPr>
          </w:p>
        </w:tc>
      </w:tr>
      <w:tr w:rsidR="001C57E1" w:rsidRPr="001C57E1" w14:paraId="62929321" w14:textId="77777777" w:rsidTr="00DD7D21">
        <w:trPr>
          <w:trHeight w:val="465"/>
        </w:trPr>
        <w:tc>
          <w:tcPr>
            <w:tcW w:w="6708" w:type="dxa"/>
            <w:gridSpan w:val="2"/>
          </w:tcPr>
          <w:p w14:paraId="722DDCAD" w14:textId="77777777" w:rsidR="00F14AD5" w:rsidRPr="001C57E1" w:rsidRDefault="00F14AD5" w:rsidP="00D937F1">
            <w:pPr>
              <w:pStyle w:val="naiskr"/>
              <w:spacing w:before="0" w:after="0"/>
              <w:ind w:firstLine="720"/>
              <w:rPr>
                <w:color w:val="000000" w:themeColor="text1"/>
              </w:rPr>
            </w:pPr>
            <w:r w:rsidRPr="001C57E1">
              <w:rPr>
                <w:color w:val="000000" w:themeColor="text1"/>
              </w:rPr>
              <w:t>  </w:t>
            </w:r>
          </w:p>
        </w:tc>
        <w:tc>
          <w:tcPr>
            <w:tcW w:w="6867" w:type="dxa"/>
            <w:gridSpan w:val="4"/>
          </w:tcPr>
          <w:p w14:paraId="6477CA23" w14:textId="77777777" w:rsidR="00F14AD5" w:rsidRPr="001C57E1" w:rsidRDefault="00F14AD5" w:rsidP="00DD7D21">
            <w:pPr>
              <w:pStyle w:val="NormalWeb"/>
              <w:spacing w:before="0" w:beforeAutospacing="0" w:after="0" w:afterAutospacing="0"/>
              <w:rPr>
                <w:color w:val="000000" w:themeColor="text1"/>
              </w:rPr>
            </w:pPr>
          </w:p>
        </w:tc>
      </w:tr>
      <w:tr w:rsidR="001C57E1" w:rsidRPr="001C57E1" w14:paraId="179952E2" w14:textId="77777777" w:rsidTr="00DD7D21">
        <w:tc>
          <w:tcPr>
            <w:tcW w:w="7196" w:type="dxa"/>
            <w:gridSpan w:val="3"/>
          </w:tcPr>
          <w:p w14:paraId="2C2340D7" w14:textId="77777777" w:rsidR="00F14AD5" w:rsidRPr="001C57E1" w:rsidRDefault="00F14AD5" w:rsidP="00D937F1">
            <w:pPr>
              <w:pStyle w:val="naiskr"/>
              <w:spacing w:before="0" w:after="0"/>
              <w:rPr>
                <w:color w:val="000000" w:themeColor="text1"/>
              </w:rPr>
            </w:pPr>
            <w:r w:rsidRPr="001C57E1">
              <w:rPr>
                <w:color w:val="000000" w:themeColor="text1"/>
              </w:rPr>
              <w:t>Ministrijas (citas institūcijas), kuras nav ieradušās uz sanāksmi vai kuras nav atbildējušas uz uzaicinājumu piedalīties elektroniskajā saskaņošanā</w:t>
            </w:r>
          </w:p>
        </w:tc>
        <w:tc>
          <w:tcPr>
            <w:tcW w:w="6379" w:type="dxa"/>
            <w:gridSpan w:val="3"/>
            <w:tcBorders>
              <w:bottom w:val="single" w:sz="4" w:space="0" w:color="auto"/>
            </w:tcBorders>
            <w:vAlign w:val="bottom"/>
          </w:tcPr>
          <w:p w14:paraId="5F7B4880" w14:textId="77777777" w:rsidR="00F14AD5" w:rsidRPr="001C57E1" w:rsidRDefault="00F14AD5" w:rsidP="00DD7D21">
            <w:pPr>
              <w:pStyle w:val="naiskr"/>
              <w:spacing w:before="0" w:after="0"/>
              <w:ind w:firstLine="720"/>
              <w:jc w:val="center"/>
              <w:rPr>
                <w:color w:val="000000" w:themeColor="text1"/>
              </w:rPr>
            </w:pPr>
          </w:p>
        </w:tc>
      </w:tr>
    </w:tbl>
    <w:p w14:paraId="700D6FA8" w14:textId="77777777" w:rsidR="00F14AD5" w:rsidRPr="001C57E1" w:rsidRDefault="00F14AD5" w:rsidP="00184479">
      <w:pPr>
        <w:pStyle w:val="naisf"/>
        <w:spacing w:before="0" w:after="0"/>
        <w:ind w:firstLine="0"/>
        <w:jc w:val="center"/>
        <w:rPr>
          <w:b/>
          <w:color w:val="000000" w:themeColor="text1"/>
        </w:rPr>
      </w:pPr>
    </w:p>
    <w:p w14:paraId="4E816BC7" w14:textId="77777777" w:rsidR="002C0E49" w:rsidRDefault="002C0E49" w:rsidP="00184479">
      <w:pPr>
        <w:pStyle w:val="naisf"/>
        <w:spacing w:before="0" w:after="0"/>
        <w:ind w:firstLine="0"/>
        <w:jc w:val="center"/>
        <w:rPr>
          <w:b/>
          <w:color w:val="000000" w:themeColor="text1"/>
        </w:rPr>
      </w:pPr>
    </w:p>
    <w:p w14:paraId="6482E932" w14:textId="77777777" w:rsidR="009709CC" w:rsidRDefault="009709CC" w:rsidP="00184479">
      <w:pPr>
        <w:pStyle w:val="naisf"/>
        <w:spacing w:before="0" w:after="0"/>
        <w:ind w:firstLine="0"/>
        <w:jc w:val="center"/>
        <w:rPr>
          <w:b/>
          <w:color w:val="000000" w:themeColor="text1"/>
        </w:rPr>
      </w:pPr>
    </w:p>
    <w:p w14:paraId="0D39185B" w14:textId="77777777" w:rsidR="009709CC" w:rsidRPr="001C57E1" w:rsidRDefault="009709CC" w:rsidP="00184479">
      <w:pPr>
        <w:pStyle w:val="naisf"/>
        <w:spacing w:before="0" w:after="0"/>
        <w:ind w:firstLine="0"/>
        <w:jc w:val="center"/>
        <w:rPr>
          <w:b/>
          <w:color w:val="000000" w:themeColor="text1"/>
        </w:rPr>
      </w:pPr>
    </w:p>
    <w:p w14:paraId="626811D4" w14:textId="77777777" w:rsidR="007B4C0F" w:rsidRPr="001C57E1" w:rsidRDefault="007B4C0F" w:rsidP="00184479">
      <w:pPr>
        <w:pStyle w:val="naisf"/>
        <w:spacing w:before="0" w:after="0"/>
        <w:ind w:firstLine="0"/>
        <w:jc w:val="center"/>
        <w:rPr>
          <w:b/>
          <w:color w:val="000000" w:themeColor="text1"/>
        </w:rPr>
      </w:pPr>
      <w:r w:rsidRPr="001C57E1">
        <w:rPr>
          <w:b/>
          <w:color w:val="000000" w:themeColor="text1"/>
        </w:rPr>
        <w:t>II. </w:t>
      </w:r>
      <w:r w:rsidR="00134188" w:rsidRPr="001C57E1">
        <w:rPr>
          <w:b/>
          <w:color w:val="000000" w:themeColor="text1"/>
        </w:rPr>
        <w:t>Jautājumi, par kuriem saskaņošanā vienošan</w:t>
      </w:r>
      <w:r w:rsidR="00144622" w:rsidRPr="001C57E1">
        <w:rPr>
          <w:b/>
          <w:color w:val="000000" w:themeColor="text1"/>
        </w:rPr>
        <w:t>ā</w:t>
      </w:r>
      <w:r w:rsidR="00134188" w:rsidRPr="001C57E1">
        <w:rPr>
          <w:b/>
          <w:color w:val="000000" w:themeColor="text1"/>
        </w:rPr>
        <w:t>s ir panākta</w:t>
      </w:r>
    </w:p>
    <w:p w14:paraId="4D80E9C0" w14:textId="77777777" w:rsidR="007B4C0F" w:rsidRPr="001C57E1" w:rsidRDefault="007B4C0F" w:rsidP="00DB7395">
      <w:pPr>
        <w:pStyle w:val="naisf"/>
        <w:spacing w:before="0" w:after="0"/>
        <w:ind w:firstLine="720"/>
        <w:rPr>
          <w:color w:val="000000" w:themeColor="text1"/>
        </w:rPr>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101"/>
        <w:gridCol w:w="1276"/>
        <w:gridCol w:w="23"/>
        <w:gridCol w:w="3521"/>
        <w:gridCol w:w="1868"/>
        <w:gridCol w:w="3261"/>
        <w:gridCol w:w="2268"/>
      </w:tblGrid>
      <w:tr w:rsidR="001C57E1" w:rsidRPr="001C57E1" w14:paraId="25275E56" w14:textId="77777777" w:rsidTr="00F252F0">
        <w:tc>
          <w:tcPr>
            <w:tcW w:w="708" w:type="dxa"/>
            <w:tcBorders>
              <w:top w:val="single" w:sz="6" w:space="0" w:color="000000"/>
              <w:left w:val="single" w:sz="6" w:space="0" w:color="000000"/>
              <w:bottom w:val="single" w:sz="6" w:space="0" w:color="000000"/>
              <w:right w:val="single" w:sz="6" w:space="0" w:color="000000"/>
            </w:tcBorders>
            <w:vAlign w:val="center"/>
          </w:tcPr>
          <w:p w14:paraId="65944EA1" w14:textId="77777777" w:rsidR="00134188" w:rsidRPr="001C57E1" w:rsidRDefault="00134188" w:rsidP="009623BC">
            <w:pPr>
              <w:pStyle w:val="naisc"/>
              <w:spacing w:before="0" w:after="0"/>
              <w:rPr>
                <w:color w:val="000000" w:themeColor="text1"/>
              </w:rPr>
            </w:pPr>
            <w:r w:rsidRPr="001C57E1">
              <w:rPr>
                <w:color w:val="000000" w:themeColor="text1"/>
              </w:rPr>
              <w:t>Nr. p.k.</w:t>
            </w:r>
          </w:p>
        </w:tc>
        <w:tc>
          <w:tcPr>
            <w:tcW w:w="2377" w:type="dxa"/>
            <w:gridSpan w:val="2"/>
            <w:tcBorders>
              <w:top w:val="single" w:sz="6" w:space="0" w:color="000000"/>
              <w:left w:val="single" w:sz="6" w:space="0" w:color="000000"/>
              <w:bottom w:val="single" w:sz="6" w:space="0" w:color="000000"/>
              <w:right w:val="single" w:sz="6" w:space="0" w:color="000000"/>
            </w:tcBorders>
            <w:vAlign w:val="center"/>
          </w:tcPr>
          <w:p w14:paraId="05995534" w14:textId="77777777" w:rsidR="00134188" w:rsidRPr="001C57E1" w:rsidRDefault="00134188" w:rsidP="009623BC">
            <w:pPr>
              <w:pStyle w:val="naisc"/>
              <w:spacing w:before="0" w:after="0"/>
              <w:ind w:firstLine="12"/>
              <w:rPr>
                <w:color w:val="000000" w:themeColor="text1"/>
              </w:rPr>
            </w:pPr>
            <w:r w:rsidRPr="001C57E1">
              <w:rPr>
                <w:color w:val="000000" w:themeColor="text1"/>
              </w:rPr>
              <w:t>Saskaņošanai nosūtītā projekta redakcija (konkrēta punkta (panta) redakcija)</w:t>
            </w:r>
          </w:p>
        </w:tc>
        <w:tc>
          <w:tcPr>
            <w:tcW w:w="5412" w:type="dxa"/>
            <w:gridSpan w:val="3"/>
            <w:tcBorders>
              <w:top w:val="single" w:sz="6" w:space="0" w:color="000000"/>
              <w:left w:val="single" w:sz="6" w:space="0" w:color="000000"/>
              <w:bottom w:val="single" w:sz="6" w:space="0" w:color="000000"/>
              <w:right w:val="single" w:sz="6" w:space="0" w:color="000000"/>
            </w:tcBorders>
            <w:vAlign w:val="center"/>
          </w:tcPr>
          <w:p w14:paraId="66664FC7" w14:textId="77777777" w:rsidR="00134188" w:rsidRPr="001C57E1" w:rsidRDefault="00134188" w:rsidP="009623BC">
            <w:pPr>
              <w:pStyle w:val="naisc"/>
              <w:spacing w:before="0" w:after="0"/>
              <w:ind w:right="3"/>
              <w:rPr>
                <w:color w:val="000000" w:themeColor="text1"/>
              </w:rPr>
            </w:pPr>
            <w:r w:rsidRPr="001C57E1">
              <w:rPr>
                <w:color w:val="000000" w:themeColor="text1"/>
              </w:rPr>
              <w:t>Atzinumā norādītais ministrijas (citas institūcijas) iebildums, kā arī saskaņošanā papildus izteiktais iebildums par projekta konkrēto punktu (pantu)</w:t>
            </w:r>
          </w:p>
        </w:tc>
        <w:tc>
          <w:tcPr>
            <w:tcW w:w="3261" w:type="dxa"/>
            <w:tcBorders>
              <w:top w:val="single" w:sz="6" w:space="0" w:color="000000"/>
              <w:left w:val="single" w:sz="6" w:space="0" w:color="000000"/>
              <w:bottom w:val="single" w:sz="6" w:space="0" w:color="000000"/>
              <w:right w:val="single" w:sz="6" w:space="0" w:color="000000"/>
            </w:tcBorders>
            <w:vAlign w:val="center"/>
          </w:tcPr>
          <w:p w14:paraId="7E0F85B7" w14:textId="77777777" w:rsidR="00134188" w:rsidRPr="001C57E1" w:rsidRDefault="00134188" w:rsidP="009623BC">
            <w:pPr>
              <w:pStyle w:val="naisc"/>
              <w:spacing w:before="0" w:after="0"/>
              <w:ind w:firstLine="21"/>
              <w:rPr>
                <w:color w:val="000000" w:themeColor="text1"/>
              </w:rPr>
            </w:pPr>
            <w:r w:rsidRPr="001C57E1">
              <w:rPr>
                <w:color w:val="000000" w:themeColor="text1"/>
              </w:rPr>
              <w:t>Atbildīgās ministrijas norāde</w:t>
            </w:r>
            <w:r w:rsidR="006C1C48" w:rsidRPr="001C57E1">
              <w:rPr>
                <w:color w:val="000000" w:themeColor="text1"/>
              </w:rPr>
              <w:t xml:space="preserve"> par to, ka </w:t>
            </w:r>
            <w:r w:rsidRPr="001C57E1">
              <w:rPr>
                <w:color w:val="000000" w:themeColor="text1"/>
              </w:rPr>
              <w:t>iebildums ir ņemts vērā</w:t>
            </w:r>
            <w:r w:rsidR="006455E7" w:rsidRPr="001C57E1">
              <w:rPr>
                <w:color w:val="000000" w:themeColor="text1"/>
              </w:rPr>
              <w:t>,</w:t>
            </w:r>
            <w:r w:rsidRPr="001C57E1">
              <w:rPr>
                <w:color w:val="000000" w:themeColor="text1"/>
              </w:rPr>
              <w:t xml:space="preserve"> vai </w:t>
            </w:r>
            <w:r w:rsidR="006C1C48" w:rsidRPr="001C57E1">
              <w:rPr>
                <w:color w:val="000000" w:themeColor="text1"/>
              </w:rPr>
              <w:t xml:space="preserve">informācija par saskaņošanā </w:t>
            </w:r>
            <w:r w:rsidR="00022B0F" w:rsidRPr="001C57E1">
              <w:rPr>
                <w:color w:val="000000" w:themeColor="text1"/>
              </w:rPr>
              <w:t>panākto alternatīvo risinājumu</w:t>
            </w:r>
          </w:p>
        </w:tc>
        <w:tc>
          <w:tcPr>
            <w:tcW w:w="2268" w:type="dxa"/>
            <w:tcBorders>
              <w:top w:val="single" w:sz="4" w:space="0" w:color="auto"/>
              <w:left w:val="single" w:sz="4" w:space="0" w:color="auto"/>
              <w:bottom w:val="single" w:sz="4" w:space="0" w:color="auto"/>
            </w:tcBorders>
            <w:vAlign w:val="center"/>
          </w:tcPr>
          <w:p w14:paraId="3489CA6C" w14:textId="77777777" w:rsidR="00134188" w:rsidRPr="001C57E1" w:rsidRDefault="00134188" w:rsidP="009623BC">
            <w:pPr>
              <w:jc w:val="center"/>
              <w:rPr>
                <w:color w:val="000000" w:themeColor="text1"/>
              </w:rPr>
            </w:pPr>
            <w:r w:rsidRPr="001C57E1">
              <w:rPr>
                <w:color w:val="000000" w:themeColor="text1"/>
              </w:rPr>
              <w:t>Projekta attiecīgā punkta (panta) galīgā redakcija</w:t>
            </w:r>
          </w:p>
        </w:tc>
      </w:tr>
      <w:tr w:rsidR="001C57E1" w:rsidRPr="001C57E1" w14:paraId="600FA30B" w14:textId="77777777" w:rsidTr="00F252F0">
        <w:tc>
          <w:tcPr>
            <w:tcW w:w="708" w:type="dxa"/>
            <w:tcBorders>
              <w:top w:val="single" w:sz="6" w:space="0" w:color="000000"/>
              <w:left w:val="single" w:sz="6" w:space="0" w:color="000000"/>
              <w:bottom w:val="single" w:sz="6" w:space="0" w:color="000000"/>
              <w:right w:val="single" w:sz="6" w:space="0" w:color="000000"/>
            </w:tcBorders>
          </w:tcPr>
          <w:p w14:paraId="725ADF8F" w14:textId="77777777" w:rsidR="00134188" w:rsidRPr="001C57E1" w:rsidRDefault="003B71E0" w:rsidP="003B71E0">
            <w:pPr>
              <w:pStyle w:val="naisc"/>
              <w:spacing w:before="0" w:after="0"/>
              <w:rPr>
                <w:color w:val="000000" w:themeColor="text1"/>
              </w:rPr>
            </w:pPr>
            <w:r w:rsidRPr="001C57E1">
              <w:rPr>
                <w:color w:val="000000" w:themeColor="text1"/>
              </w:rPr>
              <w:t>1</w:t>
            </w:r>
          </w:p>
        </w:tc>
        <w:tc>
          <w:tcPr>
            <w:tcW w:w="2377" w:type="dxa"/>
            <w:gridSpan w:val="2"/>
            <w:tcBorders>
              <w:top w:val="single" w:sz="6" w:space="0" w:color="000000"/>
              <w:left w:val="single" w:sz="6" w:space="0" w:color="000000"/>
              <w:bottom w:val="single" w:sz="6" w:space="0" w:color="000000"/>
              <w:right w:val="single" w:sz="6" w:space="0" w:color="000000"/>
            </w:tcBorders>
          </w:tcPr>
          <w:p w14:paraId="233F5462" w14:textId="77777777" w:rsidR="00134188" w:rsidRPr="001C57E1" w:rsidRDefault="00F34AAB" w:rsidP="00DE7FCE">
            <w:pPr>
              <w:pStyle w:val="naisc"/>
              <w:spacing w:before="0" w:after="0"/>
              <w:rPr>
                <w:color w:val="000000" w:themeColor="text1"/>
              </w:rPr>
            </w:pPr>
            <w:r w:rsidRPr="001C57E1">
              <w:rPr>
                <w:color w:val="000000" w:themeColor="text1"/>
              </w:rPr>
              <w:t>2</w:t>
            </w:r>
          </w:p>
        </w:tc>
        <w:tc>
          <w:tcPr>
            <w:tcW w:w="5412" w:type="dxa"/>
            <w:gridSpan w:val="3"/>
            <w:tcBorders>
              <w:top w:val="single" w:sz="6" w:space="0" w:color="000000"/>
              <w:left w:val="single" w:sz="6" w:space="0" w:color="000000"/>
              <w:bottom w:val="single" w:sz="6" w:space="0" w:color="000000"/>
              <w:right w:val="single" w:sz="6" w:space="0" w:color="000000"/>
            </w:tcBorders>
          </w:tcPr>
          <w:p w14:paraId="4F94E893" w14:textId="77777777" w:rsidR="00134188" w:rsidRPr="001C57E1" w:rsidRDefault="003B71E0" w:rsidP="00DE7FCE">
            <w:pPr>
              <w:pStyle w:val="naisc"/>
              <w:spacing w:before="0" w:after="0"/>
              <w:rPr>
                <w:color w:val="000000" w:themeColor="text1"/>
              </w:rPr>
            </w:pPr>
            <w:r w:rsidRPr="001C57E1">
              <w:rPr>
                <w:color w:val="000000" w:themeColor="text1"/>
              </w:rPr>
              <w:t>3</w:t>
            </w:r>
          </w:p>
        </w:tc>
        <w:tc>
          <w:tcPr>
            <w:tcW w:w="3261" w:type="dxa"/>
            <w:tcBorders>
              <w:top w:val="single" w:sz="6" w:space="0" w:color="000000"/>
              <w:left w:val="single" w:sz="6" w:space="0" w:color="000000"/>
              <w:bottom w:val="single" w:sz="6" w:space="0" w:color="000000"/>
              <w:right w:val="single" w:sz="6" w:space="0" w:color="000000"/>
            </w:tcBorders>
          </w:tcPr>
          <w:p w14:paraId="1EAB395A" w14:textId="77777777" w:rsidR="00134188" w:rsidRPr="001C57E1" w:rsidRDefault="003B71E0" w:rsidP="00DE7FCE">
            <w:pPr>
              <w:pStyle w:val="naisc"/>
              <w:spacing w:before="0" w:after="0"/>
              <w:ind w:firstLine="34"/>
              <w:rPr>
                <w:color w:val="000000" w:themeColor="text1"/>
              </w:rPr>
            </w:pPr>
            <w:r w:rsidRPr="001C57E1">
              <w:rPr>
                <w:color w:val="000000" w:themeColor="text1"/>
              </w:rPr>
              <w:t>4</w:t>
            </w:r>
          </w:p>
        </w:tc>
        <w:tc>
          <w:tcPr>
            <w:tcW w:w="2268" w:type="dxa"/>
            <w:tcBorders>
              <w:top w:val="single" w:sz="4" w:space="0" w:color="auto"/>
              <w:left w:val="single" w:sz="4" w:space="0" w:color="auto"/>
              <w:bottom w:val="single" w:sz="4" w:space="0" w:color="auto"/>
            </w:tcBorders>
          </w:tcPr>
          <w:p w14:paraId="29C40564" w14:textId="77777777" w:rsidR="00134188" w:rsidRPr="001C57E1" w:rsidRDefault="003B71E0" w:rsidP="003B71E0">
            <w:pPr>
              <w:jc w:val="center"/>
              <w:rPr>
                <w:color w:val="000000" w:themeColor="text1"/>
              </w:rPr>
            </w:pPr>
            <w:r w:rsidRPr="001C57E1">
              <w:rPr>
                <w:color w:val="000000" w:themeColor="text1"/>
              </w:rPr>
              <w:t>5</w:t>
            </w:r>
          </w:p>
        </w:tc>
      </w:tr>
      <w:tr w:rsidR="00BC2256" w:rsidRPr="001C57E1" w14:paraId="50028CEE" w14:textId="77777777" w:rsidTr="00F252F0">
        <w:tc>
          <w:tcPr>
            <w:tcW w:w="708" w:type="dxa"/>
            <w:tcBorders>
              <w:top w:val="single" w:sz="6" w:space="0" w:color="000000"/>
              <w:left w:val="single" w:sz="6" w:space="0" w:color="000000"/>
              <w:bottom w:val="single" w:sz="6" w:space="0" w:color="000000"/>
              <w:right w:val="single" w:sz="6" w:space="0" w:color="000000"/>
            </w:tcBorders>
          </w:tcPr>
          <w:p w14:paraId="1AE3E181" w14:textId="11B2358E" w:rsidR="00BC2256" w:rsidRDefault="00021625" w:rsidP="00BC2256">
            <w:pPr>
              <w:pStyle w:val="naisc"/>
              <w:spacing w:before="0" w:after="0"/>
              <w:rPr>
                <w:color w:val="000000" w:themeColor="text1"/>
              </w:rPr>
            </w:pPr>
            <w:r>
              <w:rPr>
                <w:color w:val="000000" w:themeColor="text1"/>
              </w:rPr>
              <w:t>1</w:t>
            </w:r>
            <w:r w:rsidR="00BC2256">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334EC437" w14:textId="15E72F3E" w:rsidR="00BC2256" w:rsidRPr="00896E24" w:rsidRDefault="00E73E13" w:rsidP="00750953">
            <w:pPr>
              <w:ind w:firstLine="27"/>
              <w:jc w:val="both"/>
            </w:pPr>
            <w:r>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509B5D52" w14:textId="77777777" w:rsidR="00BC2256" w:rsidRDefault="00BC2256" w:rsidP="00BC2256">
            <w:pPr>
              <w:pStyle w:val="naisc"/>
              <w:spacing w:before="0" w:after="0"/>
              <w:jc w:val="both"/>
              <w:rPr>
                <w:b/>
                <w:bCs/>
                <w:color w:val="000000" w:themeColor="text1"/>
              </w:rPr>
            </w:pPr>
            <w:r>
              <w:rPr>
                <w:b/>
                <w:bCs/>
                <w:color w:val="000000" w:themeColor="text1"/>
              </w:rPr>
              <w:t>Tieslietu ministrija</w:t>
            </w:r>
          </w:p>
          <w:p w14:paraId="39B804C7" w14:textId="77777777" w:rsidR="00535F87" w:rsidRPr="00535F87" w:rsidRDefault="00535F87" w:rsidP="00535F87">
            <w:pPr>
              <w:pStyle w:val="naisc"/>
              <w:jc w:val="both"/>
            </w:pPr>
            <w:r w:rsidRPr="00535F87">
              <w:t>1. Atbilstoši projekta 4. punktā paredzētajā Ministru kabineta 2018. gada 28. augusta noteikumu Nr. 555 "Veselības aprūpes pakalpojumu organizēšanas un samaksas kārtība" (turpmāk – noteikumi) 245.</w:t>
            </w:r>
            <w:r w:rsidRPr="00535F87">
              <w:rPr>
                <w:vertAlign w:val="superscript"/>
              </w:rPr>
              <w:t>1</w:t>
            </w:r>
            <w:r w:rsidRPr="00535F87">
              <w:t xml:space="preserve">2. apakšpunktā un projekta 5. punktā paredzētajā noteikumu 257. punktā noteiktajam </w:t>
            </w:r>
            <w:r w:rsidRPr="00535F87">
              <w:rPr>
                <w:u w:val="single"/>
              </w:rPr>
              <w:t>no 2021. gada1. jūlija līdz 2021. gada 31. decembrim Nacionālais veselības dienests apmaksās</w:t>
            </w:r>
            <w:r w:rsidRPr="00535F87">
              <w:rPr>
                <w:bCs/>
                <w:u w:val="single"/>
              </w:rPr>
              <w:t xml:space="preserve"> konsultatīvā tālruņa darbības nodrošināšanu iedzīvotājiem psihoemocionālā atbalsta saņemšanai</w:t>
            </w:r>
            <w:r w:rsidRPr="00535F87">
              <w:rPr>
                <w:bCs/>
              </w:rPr>
              <w:t xml:space="preserve">. Savukārt no </w:t>
            </w:r>
            <w:r w:rsidRPr="00535F87">
              <w:t xml:space="preserve">projekta sākotnējās </w:t>
            </w:r>
            <w:r w:rsidRPr="00535F87">
              <w:rPr>
                <w:i/>
              </w:rPr>
              <w:t>(ex-ante)</w:t>
            </w:r>
            <w:r w:rsidRPr="00535F87">
              <w:t xml:space="preserve"> ietekmes novērtējuma ziņojuma (turpmāk – anotācija)</w:t>
            </w:r>
            <w:r w:rsidRPr="00535F87">
              <w:rPr>
                <w:bCs/>
              </w:rPr>
              <w:t xml:space="preserve"> I sadaļas 2. punktā ietvertās informācijas nav skaidrs, kādēļ tiek paredzēts šāds regulējums. Proti, atbilstoši Covid-19 infekcijas izplatības seku pārvarēšanas likuma 60. pantā noteiktajam </w:t>
            </w:r>
            <w:r w:rsidRPr="00535F87">
              <w:rPr>
                <w:u w:val="single"/>
              </w:rPr>
              <w:t>Ministru kabinets līdz 2021. gada 10. janvārim izstrādā vienotu Covid-19 atbalsta tālruņa līniju krīzes skarto personu psiholoģiskam un konsultatīvam atbalstam</w:t>
            </w:r>
            <w:r w:rsidRPr="00535F87">
              <w:t xml:space="preserve">, bet no </w:t>
            </w:r>
            <w:r w:rsidRPr="00535F87">
              <w:rPr>
                <w:bCs/>
              </w:rPr>
              <w:t xml:space="preserve">Covid-19 infekcijas izplatības seku pārvarēšanas likuma 60. pantā minētā neizriet, ka </w:t>
            </w:r>
            <w:r w:rsidRPr="00535F87">
              <w:t xml:space="preserve">vienotā Covid-19 atbalsta tālruņa līnija krīzes skarto personu psiholoģiskam un konsultatīvam </w:t>
            </w:r>
            <w:r w:rsidRPr="00535F87">
              <w:lastRenderedPageBreak/>
              <w:t>atbalstam tiks izveidota tikai no 2021. gada 1. jūlija līdz 2021. gada 31. decembrim.</w:t>
            </w:r>
          </w:p>
          <w:p w14:paraId="639C2321" w14:textId="77777777" w:rsidR="00535F87" w:rsidRPr="00535F87" w:rsidRDefault="00535F87" w:rsidP="00535F87">
            <w:pPr>
              <w:pStyle w:val="naisc"/>
              <w:jc w:val="both"/>
              <w:rPr>
                <w:color w:val="FF0000"/>
              </w:rPr>
            </w:pPr>
            <w:r w:rsidRPr="00535F87">
              <w:t xml:space="preserve">Turklāt norādām uz to, ka anotācijas I sadaļas 2. punktā ietvertā informācija par to, ka </w:t>
            </w:r>
            <w:r w:rsidRPr="00535F87">
              <w:rPr>
                <w:u w:val="single"/>
              </w:rPr>
              <w:t>plānots nodrošināt vienotu psihoemocionālā atbalsta līniju izveidi ar vismaz divu telefonlīniju diennakts pieejamību, kā arī klīniskā un veselības psihologa konsultāciju saņemšanas iespējamību, cilvēkiem, kam tas ir nepieciešams, paredzot vienas līnijas izveidi no 2021. gada februāra, savukārt no 2021. gada jūlija izveidot vienotu psihoemocionālā atbalsta numuru</w:t>
            </w:r>
            <w:r w:rsidRPr="00535F87">
              <w:t xml:space="preserve">, ir neskaidra. Proti, no iepriekš minētās informācijas nav viennozīmīgi skaidrs, vai ir izveidota </w:t>
            </w:r>
            <w:r w:rsidRPr="00535F87">
              <w:rPr>
                <w:bCs/>
              </w:rPr>
              <w:t xml:space="preserve">Covid-19 infekcijas izplatības seku pārvarēšanas likuma 60. pantā minētā </w:t>
            </w:r>
            <w:r w:rsidRPr="00535F87">
              <w:t xml:space="preserve">vienotā Covid-19 atbalsta tālruņa līnija krīzes skarto personu psiholoģiskam un konsultatīvam atbalstam. </w:t>
            </w:r>
            <w:r w:rsidRPr="00854663">
              <w:t>Ja tā ir izveidota, kas šobrīd apmaksā tās darbību.</w:t>
            </w:r>
          </w:p>
          <w:p w14:paraId="77FC84D9" w14:textId="77777777" w:rsidR="00535F87" w:rsidRPr="00535F87" w:rsidRDefault="00535F87" w:rsidP="00535F87">
            <w:pPr>
              <w:pStyle w:val="naisc"/>
              <w:jc w:val="both"/>
            </w:pPr>
            <w:r w:rsidRPr="00535F87">
              <w:t>Ievērojot minēto, lūdzam izvērtēt projekta 4. punktā paredzētajā noteikumu 245.</w:t>
            </w:r>
            <w:r w:rsidRPr="00535F87">
              <w:rPr>
                <w:vertAlign w:val="superscript"/>
              </w:rPr>
              <w:t>1</w:t>
            </w:r>
            <w:r w:rsidRPr="00535F87">
              <w:t>2. apakšpunktā un projekta 5. punktā paredzētajā noteikumu 257. punktā ietverto regulējumu un nepieciešamības gadījumā precizēt to, kā arī papildināt anotāciju ar atbilstošu skaidrojumu.</w:t>
            </w:r>
          </w:p>
          <w:p w14:paraId="6FCA4E37" w14:textId="63671C9F" w:rsidR="00BC2256" w:rsidRDefault="00BC2256" w:rsidP="00BC2256">
            <w:pPr>
              <w:pStyle w:val="naisc"/>
              <w:spacing w:before="0" w:after="0"/>
              <w:jc w:val="both"/>
              <w:rPr>
                <w:b/>
                <w:bCs/>
                <w:color w:val="000000" w:themeColor="text1"/>
              </w:rPr>
            </w:pPr>
          </w:p>
        </w:tc>
        <w:tc>
          <w:tcPr>
            <w:tcW w:w="3261" w:type="dxa"/>
            <w:tcBorders>
              <w:top w:val="single" w:sz="6" w:space="0" w:color="000000"/>
              <w:left w:val="single" w:sz="6" w:space="0" w:color="000000"/>
              <w:bottom w:val="single" w:sz="6" w:space="0" w:color="000000"/>
              <w:right w:val="single" w:sz="6" w:space="0" w:color="000000"/>
            </w:tcBorders>
          </w:tcPr>
          <w:p w14:paraId="2F61E382" w14:textId="0432D4D8" w:rsidR="00BC2256" w:rsidRDefault="00BC2256" w:rsidP="00BC2256">
            <w:pPr>
              <w:pStyle w:val="naisc"/>
              <w:spacing w:before="0" w:after="0"/>
              <w:jc w:val="both"/>
              <w:rPr>
                <w:b/>
                <w:color w:val="000000" w:themeColor="text1"/>
              </w:rPr>
            </w:pPr>
            <w:r>
              <w:rPr>
                <w:b/>
                <w:color w:val="000000" w:themeColor="text1"/>
              </w:rPr>
              <w:lastRenderedPageBreak/>
              <w:t>Ņemts vērā</w:t>
            </w:r>
            <w:r w:rsidR="0066290F">
              <w:rPr>
                <w:b/>
                <w:color w:val="000000" w:themeColor="text1"/>
              </w:rPr>
              <w:t>.</w:t>
            </w:r>
          </w:p>
          <w:p w14:paraId="3F2784D3" w14:textId="27E2F6D2" w:rsidR="00BC2256" w:rsidRPr="00117743" w:rsidRDefault="00BC2256" w:rsidP="00750953">
            <w:pPr>
              <w:pStyle w:val="naisc"/>
              <w:spacing w:before="0" w:after="0"/>
              <w:jc w:val="both"/>
              <w:rPr>
                <w:bCs/>
                <w:color w:val="000000" w:themeColor="text1"/>
              </w:rPr>
            </w:pPr>
          </w:p>
        </w:tc>
        <w:tc>
          <w:tcPr>
            <w:tcW w:w="2268" w:type="dxa"/>
            <w:tcBorders>
              <w:top w:val="single" w:sz="4" w:space="0" w:color="auto"/>
              <w:left w:val="single" w:sz="4" w:space="0" w:color="auto"/>
              <w:bottom w:val="single" w:sz="4" w:space="0" w:color="auto"/>
            </w:tcBorders>
          </w:tcPr>
          <w:p w14:paraId="7302D7B9" w14:textId="77777777" w:rsidR="00BC2256" w:rsidRDefault="00C3709A" w:rsidP="00750953">
            <w:pPr>
              <w:contextualSpacing/>
              <w:jc w:val="both"/>
              <w:outlineLvl w:val="0"/>
            </w:pPr>
            <w:r>
              <w:t>Papildināta anotācija.</w:t>
            </w:r>
          </w:p>
          <w:p w14:paraId="6A1F5B68" w14:textId="154E2C36" w:rsidR="00C3709A" w:rsidRPr="00E577A8" w:rsidRDefault="00C3709A" w:rsidP="00750953">
            <w:pPr>
              <w:contextualSpacing/>
              <w:jc w:val="both"/>
              <w:outlineLvl w:val="0"/>
            </w:pPr>
          </w:p>
        </w:tc>
      </w:tr>
      <w:tr w:rsidR="002C7968" w:rsidRPr="001C57E1" w14:paraId="46D6D293" w14:textId="77777777" w:rsidTr="00F252F0">
        <w:tc>
          <w:tcPr>
            <w:tcW w:w="708" w:type="dxa"/>
            <w:tcBorders>
              <w:top w:val="single" w:sz="6" w:space="0" w:color="000000"/>
              <w:left w:val="single" w:sz="6" w:space="0" w:color="000000"/>
              <w:bottom w:val="single" w:sz="6" w:space="0" w:color="000000"/>
              <w:right w:val="single" w:sz="6" w:space="0" w:color="000000"/>
            </w:tcBorders>
          </w:tcPr>
          <w:p w14:paraId="3BD80919" w14:textId="04F209C1" w:rsidR="002C7968" w:rsidRDefault="00021625" w:rsidP="00C63BEB">
            <w:pPr>
              <w:pStyle w:val="naisc"/>
              <w:spacing w:before="0" w:after="0"/>
              <w:rPr>
                <w:color w:val="000000" w:themeColor="text1"/>
              </w:rPr>
            </w:pPr>
            <w:r>
              <w:rPr>
                <w:color w:val="000000" w:themeColor="text1"/>
              </w:rPr>
              <w:t>2</w:t>
            </w:r>
            <w:r w:rsidR="00896E24">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69E1EAF5" w14:textId="575142F3" w:rsidR="006B7CB6" w:rsidRDefault="00121373" w:rsidP="00750953">
            <w:pPr>
              <w:ind w:firstLine="27"/>
              <w:jc w:val="both"/>
            </w:pPr>
            <w:r>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3173EBD1" w14:textId="77777777" w:rsidR="00896E24" w:rsidRDefault="00896E24" w:rsidP="00C310AC">
            <w:pPr>
              <w:pStyle w:val="naisc"/>
              <w:spacing w:before="0" w:after="0"/>
              <w:jc w:val="both"/>
            </w:pPr>
            <w:r>
              <w:rPr>
                <w:b/>
                <w:bCs/>
                <w:color w:val="000000" w:themeColor="text1"/>
              </w:rPr>
              <w:t>Tieslietu ministrija</w:t>
            </w:r>
            <w:r w:rsidRPr="004C7EBF">
              <w:t xml:space="preserve"> </w:t>
            </w:r>
          </w:p>
          <w:p w14:paraId="44214C11" w14:textId="77777777" w:rsidR="00535F87" w:rsidRPr="00535F87" w:rsidRDefault="00535F87" w:rsidP="00535F87">
            <w:pPr>
              <w:pStyle w:val="naisc"/>
              <w:jc w:val="both"/>
            </w:pPr>
            <w:r w:rsidRPr="00535F87">
              <w:t>2. Ievērojot, ka nav skaidrs, kur noteikumu 6. pielikumā ir norādītas piemaksas par pacientu observāciju, lūdzam precizēt projekta 5. punktā paredzētajā noteikumu 254.2. apakšpunkta ievaddaļā ietverto regulējumu vai papildināt anotācijas I sadaļas 2. punktu ar atbilstošu skaidrojumu.</w:t>
            </w:r>
          </w:p>
          <w:p w14:paraId="1AFFA1E8" w14:textId="278540C4" w:rsidR="002C7968" w:rsidRDefault="002C7968" w:rsidP="00C310AC">
            <w:pPr>
              <w:pStyle w:val="naisc"/>
              <w:spacing w:before="0" w:after="0"/>
              <w:jc w:val="both"/>
              <w:rPr>
                <w:b/>
                <w:bCs/>
                <w:color w:val="000000" w:themeColor="text1"/>
              </w:rPr>
            </w:pPr>
          </w:p>
        </w:tc>
        <w:tc>
          <w:tcPr>
            <w:tcW w:w="3261" w:type="dxa"/>
            <w:tcBorders>
              <w:top w:val="single" w:sz="6" w:space="0" w:color="000000"/>
              <w:left w:val="single" w:sz="6" w:space="0" w:color="000000"/>
              <w:bottom w:val="single" w:sz="6" w:space="0" w:color="000000"/>
              <w:right w:val="single" w:sz="6" w:space="0" w:color="000000"/>
            </w:tcBorders>
          </w:tcPr>
          <w:p w14:paraId="5BF30025" w14:textId="4F36A3AA" w:rsidR="00E63A19" w:rsidRPr="007642F8" w:rsidRDefault="00831EDE" w:rsidP="00E577A8">
            <w:pPr>
              <w:pStyle w:val="naisc"/>
              <w:spacing w:before="0" w:after="0"/>
              <w:jc w:val="both"/>
              <w:rPr>
                <w:b/>
                <w:color w:val="000000" w:themeColor="text1"/>
              </w:rPr>
            </w:pPr>
            <w:r>
              <w:rPr>
                <w:b/>
                <w:color w:val="000000" w:themeColor="text1"/>
              </w:rPr>
              <w:lastRenderedPageBreak/>
              <w:t>Ņemts vērā</w:t>
            </w:r>
            <w:r w:rsidR="00C820F8" w:rsidRPr="00C820F8">
              <w:rPr>
                <w:bCs/>
              </w:rPr>
              <w:t>.</w:t>
            </w:r>
          </w:p>
        </w:tc>
        <w:tc>
          <w:tcPr>
            <w:tcW w:w="2268" w:type="dxa"/>
            <w:tcBorders>
              <w:top w:val="single" w:sz="4" w:space="0" w:color="auto"/>
              <w:left w:val="single" w:sz="4" w:space="0" w:color="auto"/>
              <w:bottom w:val="single" w:sz="4" w:space="0" w:color="auto"/>
            </w:tcBorders>
          </w:tcPr>
          <w:p w14:paraId="1459747E" w14:textId="3809FEE7" w:rsidR="00CC1504" w:rsidRPr="004B2D70" w:rsidRDefault="00121373" w:rsidP="00121373">
            <w:pPr>
              <w:ind w:firstLine="27"/>
              <w:jc w:val="both"/>
            </w:pPr>
            <w:r>
              <w:t>Papildināta anotācija.</w:t>
            </w:r>
          </w:p>
        </w:tc>
      </w:tr>
      <w:tr w:rsidR="009B0010" w:rsidRPr="001C57E1" w14:paraId="11E90C0E" w14:textId="77777777" w:rsidTr="00F252F0">
        <w:tc>
          <w:tcPr>
            <w:tcW w:w="708" w:type="dxa"/>
            <w:tcBorders>
              <w:top w:val="single" w:sz="6" w:space="0" w:color="000000"/>
              <w:left w:val="single" w:sz="6" w:space="0" w:color="000000"/>
              <w:bottom w:val="single" w:sz="6" w:space="0" w:color="000000"/>
              <w:right w:val="single" w:sz="6" w:space="0" w:color="000000"/>
            </w:tcBorders>
          </w:tcPr>
          <w:p w14:paraId="7183DCF7" w14:textId="6E512022" w:rsidR="009B0010" w:rsidRDefault="00021625" w:rsidP="00C63BEB">
            <w:pPr>
              <w:pStyle w:val="naisc"/>
              <w:spacing w:before="0" w:after="0"/>
              <w:rPr>
                <w:color w:val="000000" w:themeColor="text1"/>
              </w:rPr>
            </w:pPr>
            <w:r>
              <w:rPr>
                <w:color w:val="000000" w:themeColor="text1"/>
              </w:rPr>
              <w:t>3</w:t>
            </w:r>
            <w:r w:rsidR="009B0010">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6AC0E537" w14:textId="5C1AEBC5" w:rsidR="009B0010" w:rsidRPr="009B0010" w:rsidRDefault="00121373" w:rsidP="00896E24">
            <w:pPr>
              <w:ind w:firstLine="27"/>
              <w:jc w:val="both"/>
            </w:pPr>
            <w:r>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27B19215" w14:textId="1904AA49" w:rsidR="009B0010" w:rsidRDefault="009B0010" w:rsidP="009B0010">
            <w:pPr>
              <w:pStyle w:val="naisc"/>
              <w:spacing w:before="0" w:after="0"/>
              <w:jc w:val="both"/>
            </w:pPr>
            <w:r>
              <w:rPr>
                <w:b/>
                <w:bCs/>
                <w:color w:val="000000" w:themeColor="text1"/>
              </w:rPr>
              <w:t>Tieslietu ministrija</w:t>
            </w:r>
            <w:r w:rsidRPr="004C7EBF">
              <w:t xml:space="preserve"> </w:t>
            </w:r>
          </w:p>
          <w:p w14:paraId="052667FE" w14:textId="22B966F5" w:rsidR="009B0010" w:rsidRDefault="00535F87" w:rsidP="00C310AC">
            <w:pPr>
              <w:pStyle w:val="naisc"/>
              <w:spacing w:before="0" w:after="0"/>
              <w:jc w:val="both"/>
              <w:rPr>
                <w:b/>
                <w:bCs/>
                <w:color w:val="000000" w:themeColor="text1"/>
              </w:rPr>
            </w:pPr>
            <w:r>
              <w:rPr>
                <w:rFonts w:eastAsia="Calibri"/>
                <w:lang w:eastAsia="en-US"/>
              </w:rPr>
              <w:t xml:space="preserve">3. </w:t>
            </w:r>
            <w:r w:rsidRPr="00535F87">
              <w:rPr>
                <w:rFonts w:eastAsia="Calibri"/>
                <w:lang w:eastAsia="en-US"/>
              </w:rPr>
              <w:t xml:space="preserve">Vēršam uzmanību uz to, ka Oficiālo publikāciju un tiesiskās informācijas likuma 9. panta ceturtā daļa noteic, ka </w:t>
            </w:r>
            <w:r w:rsidRPr="00535F87">
              <w:rPr>
                <w:rFonts w:eastAsia="Calibri"/>
                <w:u w:val="single"/>
                <w:lang w:eastAsia="en-US"/>
              </w:rPr>
              <w:t>normatīvajam aktam vai tā daļai nav atpakaļejoša spēka, izņemot likumā īpaši paredzētus gadījumus</w:t>
            </w:r>
            <w:r w:rsidRPr="00535F87">
              <w:rPr>
                <w:rFonts w:eastAsia="Calibri"/>
                <w:lang w:eastAsia="en-US"/>
              </w:rPr>
              <w:t xml:space="preserve">. Savukārt projekta 5. punktā paredzētajā noteikumu 256. punktā ir noteikts, ka noteikumu 254.2. apakšpunktā paredzēto regulējumu </w:t>
            </w:r>
            <w:r w:rsidRPr="00535F87">
              <w:rPr>
                <w:rFonts w:eastAsia="Calibri"/>
                <w:u w:val="single"/>
                <w:lang w:eastAsia="en-US"/>
              </w:rPr>
              <w:t>piemēro no 2021. gada 1. marta</w:t>
            </w:r>
            <w:r w:rsidRPr="00535F87">
              <w:rPr>
                <w:rFonts w:eastAsia="Calibri"/>
                <w:lang w:eastAsia="en-US"/>
              </w:rPr>
              <w:t>. Ievērojot minēto, lūdzam izvērtēt projekta 5. punktā paredzētajā noteikumu 256. punktā noteikto termiņu un attiecīgi precizēt to, vai papildināt anotāciju ar skaidrojumu, no kuras likuma normas izriet attiecīgais regulējums.</w:t>
            </w:r>
          </w:p>
        </w:tc>
        <w:tc>
          <w:tcPr>
            <w:tcW w:w="3261" w:type="dxa"/>
            <w:tcBorders>
              <w:top w:val="single" w:sz="6" w:space="0" w:color="000000"/>
              <w:left w:val="single" w:sz="6" w:space="0" w:color="000000"/>
              <w:bottom w:val="single" w:sz="6" w:space="0" w:color="000000"/>
              <w:right w:val="single" w:sz="6" w:space="0" w:color="000000"/>
            </w:tcBorders>
          </w:tcPr>
          <w:p w14:paraId="22439676" w14:textId="6733AE48" w:rsidR="009B0010" w:rsidRDefault="00831EDE" w:rsidP="006C03EC">
            <w:pPr>
              <w:pStyle w:val="naisc"/>
              <w:spacing w:before="0" w:after="0"/>
              <w:jc w:val="both"/>
              <w:rPr>
                <w:b/>
                <w:color w:val="000000" w:themeColor="text1"/>
              </w:rPr>
            </w:pPr>
            <w:r>
              <w:rPr>
                <w:b/>
                <w:color w:val="000000" w:themeColor="text1"/>
              </w:rPr>
              <w:t>Ņemts vērā</w:t>
            </w:r>
            <w:r w:rsidR="0066290F">
              <w:rPr>
                <w:b/>
                <w:color w:val="000000" w:themeColor="text1"/>
              </w:rPr>
              <w:t>.</w:t>
            </w:r>
          </w:p>
          <w:p w14:paraId="2D703C2A" w14:textId="5FA5B956" w:rsidR="0075112A" w:rsidRPr="0075112A" w:rsidRDefault="0075112A" w:rsidP="006C03EC">
            <w:pPr>
              <w:pStyle w:val="naisc"/>
              <w:spacing w:before="0" w:after="0"/>
              <w:jc w:val="both"/>
              <w:rPr>
                <w:bCs/>
                <w:color w:val="000000" w:themeColor="text1"/>
              </w:rPr>
            </w:pPr>
          </w:p>
        </w:tc>
        <w:tc>
          <w:tcPr>
            <w:tcW w:w="2268" w:type="dxa"/>
            <w:tcBorders>
              <w:top w:val="single" w:sz="4" w:space="0" w:color="auto"/>
              <w:left w:val="single" w:sz="4" w:space="0" w:color="auto"/>
              <w:bottom w:val="single" w:sz="4" w:space="0" w:color="auto"/>
            </w:tcBorders>
          </w:tcPr>
          <w:p w14:paraId="45C0D646" w14:textId="6872108B" w:rsidR="009B0010" w:rsidRPr="004B2D70" w:rsidRDefault="00121373" w:rsidP="00750953">
            <w:pPr>
              <w:ind w:firstLine="27"/>
            </w:pPr>
            <w:r>
              <w:t>Precizēta anotācija.</w:t>
            </w:r>
          </w:p>
        </w:tc>
      </w:tr>
      <w:tr w:rsidR="00FD3D13" w:rsidRPr="001C57E1" w14:paraId="10E67BB6" w14:textId="77777777" w:rsidTr="00F252F0">
        <w:tc>
          <w:tcPr>
            <w:tcW w:w="708" w:type="dxa"/>
            <w:tcBorders>
              <w:top w:val="single" w:sz="6" w:space="0" w:color="000000"/>
              <w:left w:val="single" w:sz="6" w:space="0" w:color="000000"/>
              <w:bottom w:val="single" w:sz="6" w:space="0" w:color="000000"/>
              <w:right w:val="single" w:sz="6" w:space="0" w:color="000000"/>
            </w:tcBorders>
          </w:tcPr>
          <w:p w14:paraId="176320EF" w14:textId="7E52A279" w:rsidR="00FD3D13" w:rsidRDefault="00021625" w:rsidP="00C63BEB">
            <w:pPr>
              <w:pStyle w:val="naisc"/>
              <w:spacing w:before="0" w:after="0"/>
              <w:rPr>
                <w:color w:val="000000" w:themeColor="text1"/>
              </w:rPr>
            </w:pPr>
            <w:r>
              <w:rPr>
                <w:color w:val="000000" w:themeColor="text1"/>
              </w:rPr>
              <w:t>4</w:t>
            </w:r>
            <w:r w:rsidR="00FD3D13">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50F3348F" w14:textId="24A7E318" w:rsidR="00970EB4" w:rsidRPr="000A130C" w:rsidRDefault="00121373" w:rsidP="00750953">
            <w:pPr>
              <w:ind w:firstLine="27"/>
            </w:pPr>
            <w:r>
              <w:t>Skatīt</w:t>
            </w:r>
            <w:r w:rsidR="009B07BF">
              <w:t xml:space="preserve"> noteikumu projektu un</w:t>
            </w:r>
            <w:r>
              <w:t xml:space="preserve">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39877A02" w14:textId="1A5714D5" w:rsidR="000A130C" w:rsidRDefault="000A130C" w:rsidP="009B0010">
            <w:pPr>
              <w:pStyle w:val="naisc"/>
              <w:spacing w:before="0" w:after="0"/>
              <w:jc w:val="both"/>
            </w:pPr>
            <w:r>
              <w:rPr>
                <w:b/>
                <w:bCs/>
                <w:color w:val="000000" w:themeColor="text1"/>
              </w:rPr>
              <w:t>Tieslietu ministrija</w:t>
            </w:r>
            <w:r w:rsidRPr="004C7EBF">
              <w:t xml:space="preserve"> </w:t>
            </w:r>
          </w:p>
          <w:p w14:paraId="1D343395" w14:textId="231EA03A" w:rsidR="00FD3D13" w:rsidRDefault="00535F87" w:rsidP="00610A45">
            <w:pPr>
              <w:pStyle w:val="naisc"/>
              <w:jc w:val="both"/>
              <w:rPr>
                <w:b/>
                <w:bCs/>
                <w:color w:val="000000" w:themeColor="text1"/>
              </w:rPr>
            </w:pPr>
            <w:r>
              <w:t xml:space="preserve">4. </w:t>
            </w:r>
            <w:r w:rsidRPr="00535F87">
              <w:t>Lūdzam papildināt anotācijas I sadaļas 2. punktu ar skaidrojumu par to, kādēļ projekta 6. punkts paredz grozījumus noteikumu 1. pielikuma 2. punkta piezīmēs.</w:t>
            </w:r>
          </w:p>
        </w:tc>
        <w:tc>
          <w:tcPr>
            <w:tcW w:w="3261" w:type="dxa"/>
            <w:tcBorders>
              <w:top w:val="single" w:sz="6" w:space="0" w:color="000000"/>
              <w:left w:val="single" w:sz="6" w:space="0" w:color="000000"/>
              <w:bottom w:val="single" w:sz="6" w:space="0" w:color="000000"/>
              <w:right w:val="single" w:sz="6" w:space="0" w:color="000000"/>
            </w:tcBorders>
          </w:tcPr>
          <w:p w14:paraId="5E99C6DA" w14:textId="44B1E2FD" w:rsidR="00812C8E" w:rsidRPr="007642F8" w:rsidRDefault="00812C8E" w:rsidP="00812C8E">
            <w:pPr>
              <w:pStyle w:val="naisc"/>
              <w:spacing w:before="0" w:after="0"/>
              <w:jc w:val="both"/>
              <w:rPr>
                <w:b/>
                <w:color w:val="000000" w:themeColor="text1"/>
              </w:rPr>
            </w:pPr>
            <w:r w:rsidRPr="007642F8">
              <w:rPr>
                <w:b/>
                <w:color w:val="000000" w:themeColor="text1"/>
              </w:rPr>
              <w:t>Ņemts vērā</w:t>
            </w:r>
            <w:r w:rsidR="001A320D">
              <w:rPr>
                <w:b/>
                <w:color w:val="000000" w:themeColor="text1"/>
              </w:rPr>
              <w:t>.</w:t>
            </w:r>
          </w:p>
          <w:p w14:paraId="76ABA89A" w14:textId="4A66CE5F" w:rsidR="00FD3D13" w:rsidRPr="002514D3" w:rsidRDefault="00FD3D13" w:rsidP="00812C8E">
            <w:pPr>
              <w:pStyle w:val="naisc"/>
              <w:spacing w:before="0" w:after="0"/>
              <w:jc w:val="both"/>
              <w:rPr>
                <w:bCs/>
                <w:color w:val="000000" w:themeColor="text1"/>
              </w:rPr>
            </w:pPr>
          </w:p>
        </w:tc>
        <w:tc>
          <w:tcPr>
            <w:tcW w:w="2268" w:type="dxa"/>
            <w:tcBorders>
              <w:top w:val="single" w:sz="4" w:space="0" w:color="auto"/>
              <w:left w:val="single" w:sz="4" w:space="0" w:color="auto"/>
              <w:bottom w:val="single" w:sz="4" w:space="0" w:color="auto"/>
            </w:tcBorders>
          </w:tcPr>
          <w:p w14:paraId="3270151B" w14:textId="6507FBB6" w:rsidR="00FD3D13" w:rsidRPr="004B2D70" w:rsidRDefault="00E73E13" w:rsidP="00494B51">
            <w:pPr>
              <w:ind w:firstLine="27"/>
            </w:pPr>
            <w:r>
              <w:t>Papildināta noteikumu projekta redakcija un anotācija ar attiecīgu skaidrojumu.</w:t>
            </w:r>
          </w:p>
        </w:tc>
      </w:tr>
      <w:tr w:rsidR="00D776A2" w:rsidRPr="001C57E1" w14:paraId="5C7DB171" w14:textId="77777777" w:rsidTr="00F252F0">
        <w:tc>
          <w:tcPr>
            <w:tcW w:w="708" w:type="dxa"/>
            <w:tcBorders>
              <w:top w:val="single" w:sz="6" w:space="0" w:color="000000"/>
              <w:left w:val="single" w:sz="6" w:space="0" w:color="000000"/>
              <w:bottom w:val="single" w:sz="6" w:space="0" w:color="000000"/>
              <w:right w:val="single" w:sz="6" w:space="0" w:color="000000"/>
            </w:tcBorders>
          </w:tcPr>
          <w:p w14:paraId="17DD8D2C" w14:textId="2B691D6C" w:rsidR="00D776A2" w:rsidRDefault="007A34BF" w:rsidP="00D776A2">
            <w:pPr>
              <w:pStyle w:val="naisc"/>
              <w:spacing w:before="0" w:after="0"/>
              <w:rPr>
                <w:color w:val="000000" w:themeColor="text1"/>
              </w:rPr>
            </w:pPr>
            <w:r>
              <w:rPr>
                <w:color w:val="000000" w:themeColor="text1"/>
              </w:rPr>
              <w:t>5.</w:t>
            </w:r>
          </w:p>
        </w:tc>
        <w:tc>
          <w:tcPr>
            <w:tcW w:w="2377" w:type="dxa"/>
            <w:gridSpan w:val="2"/>
            <w:tcBorders>
              <w:top w:val="single" w:sz="6" w:space="0" w:color="000000"/>
              <w:left w:val="single" w:sz="6" w:space="0" w:color="000000"/>
              <w:bottom w:val="single" w:sz="6" w:space="0" w:color="000000"/>
              <w:right w:val="single" w:sz="6" w:space="0" w:color="000000"/>
            </w:tcBorders>
          </w:tcPr>
          <w:p w14:paraId="297D9E89" w14:textId="5F9234FC" w:rsidR="00D776A2" w:rsidRPr="00C912AC" w:rsidRDefault="00A673A6" w:rsidP="00A75E8C">
            <w:pPr>
              <w:ind w:firstLine="27"/>
              <w:jc w:val="both"/>
            </w:pPr>
            <w:r w:rsidRPr="00A673A6">
              <w:rPr>
                <w:color w:val="000000" w:themeColor="text1"/>
              </w:rPr>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7423C890" w14:textId="77777777" w:rsidR="00D776A2" w:rsidRDefault="00D776A2" w:rsidP="00D776A2">
            <w:pPr>
              <w:pStyle w:val="naisc"/>
              <w:spacing w:before="0" w:after="0"/>
              <w:jc w:val="both"/>
            </w:pPr>
            <w:r>
              <w:rPr>
                <w:b/>
                <w:bCs/>
                <w:color w:val="000000" w:themeColor="text1"/>
              </w:rPr>
              <w:t>Tieslietu ministrija</w:t>
            </w:r>
            <w:r w:rsidRPr="004C7EBF">
              <w:t xml:space="preserve"> </w:t>
            </w:r>
          </w:p>
          <w:p w14:paraId="5B8B998B" w14:textId="77777777" w:rsidR="00535F87" w:rsidRPr="00535F87" w:rsidRDefault="00535F87" w:rsidP="00535F87">
            <w:pPr>
              <w:contextualSpacing/>
              <w:jc w:val="both"/>
              <w:rPr>
                <w:color w:val="000000" w:themeColor="text1"/>
              </w:rPr>
            </w:pPr>
            <w:r w:rsidRPr="00535F87">
              <w:rPr>
                <w:color w:val="000000" w:themeColor="text1"/>
              </w:rPr>
              <w:t xml:space="preserve">5. Anotācijas I sadaļas 2. punktā ir norādīts, ka 2020. gada 24. novembrī tika pieņemti grozījumi likumā "Par akcīzes nodokli", novirzot līdzekļus prostatas vēža skrīningam. Turklāt norādīts, ka projekta 1., 2. un 3. punktā paredzētais grozījums noteikumu 7., 71. un 72. punktā ir izstrādāts, lai īstenotu iepriekš minētajos grozījumos likumā "Par akcīzes nodokli" noteikto mērķi. Savukārt ne no anotācijas I sadaļas 2. punktā ietvertās informācijas, ne no likumā "Par akcīzes nodokli" ietvertā regulējuma nav skaidrs, kurā likuma "Par akcīzes nodokli" normā ir paredzēts attiecīgais regulējums. Ievērojot minēto, lūdzam papildināt anotācijas </w:t>
            </w:r>
            <w:r w:rsidRPr="00535F87">
              <w:rPr>
                <w:color w:val="000000" w:themeColor="text1"/>
              </w:rPr>
              <w:lastRenderedPageBreak/>
              <w:t>I sadaļas 2. punktā ietverto informāciju ar atbilstošu skaidrojumu.</w:t>
            </w:r>
          </w:p>
          <w:p w14:paraId="5337C788" w14:textId="11288BE5" w:rsidR="00D776A2" w:rsidRPr="004F180D" w:rsidRDefault="00D776A2" w:rsidP="00D776A2">
            <w:pPr>
              <w:contextualSpacing/>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11F0B331" w14:textId="0C6D0D7C" w:rsidR="00A75E8C" w:rsidRDefault="00D776A2" w:rsidP="00D776A2">
            <w:pPr>
              <w:pStyle w:val="naisc"/>
              <w:spacing w:before="0" w:after="0"/>
              <w:jc w:val="both"/>
            </w:pPr>
            <w:r>
              <w:rPr>
                <w:b/>
                <w:color w:val="000000" w:themeColor="text1"/>
              </w:rPr>
              <w:lastRenderedPageBreak/>
              <w:t>Ņemts vērā</w:t>
            </w:r>
            <w:r w:rsidR="00BE4809">
              <w:rPr>
                <w:b/>
                <w:color w:val="000000" w:themeColor="text1"/>
              </w:rPr>
              <w:t>.</w:t>
            </w:r>
            <w:r w:rsidR="00A75E8C">
              <w:t xml:space="preserve"> </w:t>
            </w:r>
          </w:p>
          <w:p w14:paraId="1DEE9D7A" w14:textId="01D59A4F" w:rsidR="00D776A2" w:rsidRPr="007642F8" w:rsidRDefault="00D776A2" w:rsidP="00D776A2">
            <w:pPr>
              <w:pStyle w:val="naisc"/>
              <w:spacing w:before="0" w:after="0"/>
              <w:jc w:val="both"/>
              <w:rPr>
                <w:b/>
                <w:color w:val="000000" w:themeColor="text1"/>
              </w:rPr>
            </w:pPr>
          </w:p>
        </w:tc>
        <w:tc>
          <w:tcPr>
            <w:tcW w:w="2268" w:type="dxa"/>
            <w:tcBorders>
              <w:top w:val="single" w:sz="4" w:space="0" w:color="auto"/>
              <w:left w:val="single" w:sz="4" w:space="0" w:color="auto"/>
              <w:bottom w:val="single" w:sz="4" w:space="0" w:color="auto"/>
            </w:tcBorders>
          </w:tcPr>
          <w:p w14:paraId="661C0877" w14:textId="751143C1" w:rsidR="00D776A2" w:rsidRPr="00E12C76" w:rsidRDefault="00BE4809" w:rsidP="006D107F">
            <w:r>
              <w:t>Precizēts anotācijas I sadaļas 2.punkts un III sadaļas 6.punkts.</w:t>
            </w:r>
          </w:p>
        </w:tc>
      </w:tr>
      <w:tr w:rsidR="00A4609A" w:rsidRPr="001C57E1" w14:paraId="31370851" w14:textId="77777777" w:rsidTr="00F252F0">
        <w:tc>
          <w:tcPr>
            <w:tcW w:w="708" w:type="dxa"/>
            <w:tcBorders>
              <w:top w:val="single" w:sz="6" w:space="0" w:color="000000"/>
              <w:left w:val="single" w:sz="6" w:space="0" w:color="000000"/>
              <w:bottom w:val="single" w:sz="6" w:space="0" w:color="000000"/>
              <w:right w:val="single" w:sz="6" w:space="0" w:color="000000"/>
            </w:tcBorders>
          </w:tcPr>
          <w:p w14:paraId="0CDC70DC" w14:textId="65159C0A" w:rsidR="00A4609A" w:rsidRDefault="00A4609A" w:rsidP="00A4609A">
            <w:pPr>
              <w:pStyle w:val="naisc"/>
              <w:spacing w:before="0" w:after="0"/>
              <w:rPr>
                <w:color w:val="000000" w:themeColor="text1"/>
              </w:rPr>
            </w:pPr>
            <w:r>
              <w:rPr>
                <w:color w:val="000000" w:themeColor="text1"/>
              </w:rPr>
              <w:t>6.</w:t>
            </w:r>
          </w:p>
        </w:tc>
        <w:tc>
          <w:tcPr>
            <w:tcW w:w="2377" w:type="dxa"/>
            <w:gridSpan w:val="2"/>
            <w:tcBorders>
              <w:top w:val="single" w:sz="6" w:space="0" w:color="000000"/>
              <w:left w:val="single" w:sz="6" w:space="0" w:color="000000"/>
              <w:bottom w:val="single" w:sz="6" w:space="0" w:color="000000"/>
              <w:right w:val="single" w:sz="6" w:space="0" w:color="000000"/>
            </w:tcBorders>
          </w:tcPr>
          <w:p w14:paraId="7FE26715" w14:textId="04FACF0A" w:rsidR="00A4609A" w:rsidRDefault="00A4609A" w:rsidP="00A4609A">
            <w:pPr>
              <w:ind w:firstLine="27"/>
              <w:jc w:val="both"/>
            </w:pPr>
            <w:r>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0F0242C6" w14:textId="1AAB4E14" w:rsidR="00A4609A" w:rsidRPr="00A4609A" w:rsidRDefault="00A4609A" w:rsidP="00A4609A">
            <w:pPr>
              <w:pStyle w:val="naisc"/>
              <w:jc w:val="both"/>
              <w:rPr>
                <w:color w:val="000000" w:themeColor="text1"/>
              </w:rPr>
            </w:pPr>
            <w:r w:rsidRPr="00A4609A">
              <w:rPr>
                <w:b/>
                <w:bCs/>
                <w:color w:val="000000" w:themeColor="text1"/>
              </w:rPr>
              <w:t>Tieslietu ministrija</w:t>
            </w:r>
            <w:r>
              <w:rPr>
                <w:b/>
                <w:bCs/>
                <w:color w:val="000000" w:themeColor="text1"/>
              </w:rPr>
              <w:t xml:space="preserve">. </w:t>
            </w:r>
            <w:r w:rsidRPr="00A4609A">
              <w:rPr>
                <w:color w:val="000000" w:themeColor="text1"/>
              </w:rPr>
              <w:t xml:space="preserve">Iebildums </w:t>
            </w:r>
            <w:r w:rsidR="00DC2F59">
              <w:rPr>
                <w:color w:val="000000" w:themeColor="text1"/>
              </w:rPr>
              <w:t>saņemts</w:t>
            </w:r>
            <w:r w:rsidRPr="00A4609A">
              <w:rPr>
                <w:color w:val="000000" w:themeColor="text1"/>
              </w:rPr>
              <w:t xml:space="preserve"> projekta saskaņošanas laikā</w:t>
            </w:r>
            <w:r>
              <w:rPr>
                <w:color w:val="000000" w:themeColor="text1"/>
              </w:rPr>
              <w:t>.</w:t>
            </w:r>
          </w:p>
          <w:p w14:paraId="16078D48" w14:textId="575C67AD" w:rsidR="00A4609A" w:rsidRPr="00D3149D" w:rsidRDefault="00A4609A" w:rsidP="00A4609A">
            <w:pPr>
              <w:pStyle w:val="naisc"/>
              <w:jc w:val="both"/>
              <w:rPr>
                <w:color w:val="000000" w:themeColor="text1"/>
              </w:rPr>
            </w:pPr>
            <w:r w:rsidRPr="00D3149D">
              <w:rPr>
                <w:color w:val="000000" w:themeColor="text1"/>
              </w:rPr>
              <w:t xml:space="preserve">2. Projekta 5. punkts ir papildināts ar jaunu noteikumu 258. punktu, kas paredz, ka Nacionālais veselības dienests šo noteikumu 10. pielikuma 2.23. apakšpunktā minētā veselības aprūpes pakalpojuma sniedzējam kompensē izdevumus </w:t>
            </w:r>
            <w:r w:rsidRPr="00D3149D">
              <w:rPr>
                <w:color w:val="000000" w:themeColor="text1"/>
                <w:u w:val="single"/>
              </w:rPr>
              <w:t>par garastāvokļa traucējumu kabineta bērniem</w:t>
            </w:r>
            <w:r w:rsidRPr="00D3149D">
              <w:rPr>
                <w:color w:val="000000" w:themeColor="text1"/>
              </w:rPr>
              <w:t xml:space="preserve"> izveidošanu pakalpojumu sniegšanai reģionos no 2021. gada 1. jūlija. Anotācijas I sadaļas 2. punktā ir norādīts, ka šis regulējums paredzēts, lai nodrošinātu informatīvajā ziņojumā plānotā pasākuma "Nodrošināta pakalpojumu pieejamība </w:t>
            </w:r>
            <w:r w:rsidRPr="00D3149D">
              <w:rPr>
                <w:color w:val="000000" w:themeColor="text1"/>
                <w:u w:val="single"/>
              </w:rPr>
              <w:t>jauniešiem ar garastāvokļa un uzvedības traucējumiem</w:t>
            </w:r>
            <w:r w:rsidRPr="00D3149D">
              <w:rPr>
                <w:color w:val="000000" w:themeColor="text1"/>
              </w:rPr>
              <w:t xml:space="preserve"> un to seku mazināšana Latvijas reģionos" izpildi. </w:t>
            </w:r>
          </w:p>
          <w:p w14:paraId="3AC3BFC6" w14:textId="77777777" w:rsidR="00A4609A" w:rsidRPr="00D3149D" w:rsidRDefault="00A4609A" w:rsidP="00A4609A">
            <w:pPr>
              <w:pStyle w:val="naisc"/>
              <w:jc w:val="both"/>
              <w:rPr>
                <w:color w:val="000000" w:themeColor="text1"/>
              </w:rPr>
            </w:pPr>
            <w:r w:rsidRPr="00D3149D">
              <w:rPr>
                <w:color w:val="000000" w:themeColor="text1"/>
              </w:rPr>
              <w:t xml:space="preserve">Vēršam uzmanību uz to, ka anotācijas I sadaļas 2. punktā ietvertais skaidrojums ir neskaidrs. Proti, atbilstoši Bērnu tiesību aizsardzības likuma 3. panta pirmajā daļā noteiktajam </w:t>
            </w:r>
            <w:r w:rsidRPr="00D3149D">
              <w:rPr>
                <w:color w:val="000000" w:themeColor="text1"/>
                <w:u w:val="single"/>
              </w:rPr>
              <w:t>bērns ir persona, kas nav sasniegusi 18 gadu vecumu</w:t>
            </w:r>
            <w:r w:rsidRPr="00D3149D">
              <w:rPr>
                <w:color w:val="000000" w:themeColor="text1"/>
              </w:rPr>
              <w:t xml:space="preserve">, izņemot tās personas, kuras saskaņā ar likumu izsludinātas par pilngadīgām vai stājušās laulībā pirms 18 gadu vecuma sasniegšanas. Savukārt no Jaunatnes likuma 1. pantā noteiktā izriet, ka </w:t>
            </w:r>
            <w:r w:rsidRPr="00D3149D">
              <w:rPr>
                <w:color w:val="000000" w:themeColor="text1"/>
                <w:u w:val="single"/>
              </w:rPr>
              <w:t>jaunieši ir personas vecumā no 13 līdz 25 gadiem</w:t>
            </w:r>
            <w:r w:rsidRPr="00D3149D">
              <w:rPr>
                <w:color w:val="000000" w:themeColor="text1"/>
              </w:rPr>
              <w:t xml:space="preserve">. Līdz ar to bērns un jaunietis ir atšķirīga vecuma personas un nav skaidrs, kādēļ bērni tiek pielīdzināti jauniešiem. Ievērojot minēto, lūdzam izvērtēt projekta 5. punktā paredzētajā noteikumu 258. punktā ietverto regulējumu un anotācijas </w:t>
            </w:r>
            <w:r w:rsidRPr="00D3149D">
              <w:rPr>
                <w:color w:val="000000" w:themeColor="text1"/>
              </w:rPr>
              <w:lastRenderedPageBreak/>
              <w:t>I sadaļas 2. punktā ietverto informāciju un attiecīgi precizēt to. </w:t>
            </w:r>
          </w:p>
          <w:p w14:paraId="2B99958E" w14:textId="77777777" w:rsidR="00A4609A" w:rsidRDefault="00A4609A" w:rsidP="00A4609A">
            <w:pPr>
              <w:contextualSpacing/>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0501341E" w14:textId="77777777" w:rsidR="00A4609A" w:rsidRPr="00A4609A" w:rsidRDefault="00A4609A" w:rsidP="00A4609A">
            <w:pPr>
              <w:pStyle w:val="naisc"/>
              <w:jc w:val="left"/>
              <w:rPr>
                <w:b/>
                <w:color w:val="000000" w:themeColor="text1"/>
              </w:rPr>
            </w:pPr>
            <w:r w:rsidRPr="00A4609A">
              <w:rPr>
                <w:b/>
                <w:color w:val="000000" w:themeColor="text1"/>
              </w:rPr>
              <w:lastRenderedPageBreak/>
              <w:t xml:space="preserve">Ņemts vērā. </w:t>
            </w:r>
          </w:p>
          <w:p w14:paraId="3E0B250E" w14:textId="77777777" w:rsidR="00A4609A" w:rsidRDefault="00A4609A" w:rsidP="00A4609A">
            <w:pPr>
              <w:pStyle w:val="naisc"/>
              <w:spacing w:before="0" w:after="0"/>
              <w:jc w:val="both"/>
              <w:rPr>
                <w:b/>
                <w:color w:val="000000" w:themeColor="text1"/>
              </w:rPr>
            </w:pPr>
          </w:p>
        </w:tc>
        <w:tc>
          <w:tcPr>
            <w:tcW w:w="2268" w:type="dxa"/>
            <w:tcBorders>
              <w:top w:val="single" w:sz="4" w:space="0" w:color="auto"/>
              <w:left w:val="single" w:sz="4" w:space="0" w:color="auto"/>
              <w:bottom w:val="single" w:sz="4" w:space="0" w:color="auto"/>
            </w:tcBorders>
          </w:tcPr>
          <w:p w14:paraId="4C9953F7" w14:textId="748CC487" w:rsidR="00A4609A" w:rsidRPr="006616B1" w:rsidRDefault="00A4609A" w:rsidP="00A4609A">
            <w:pPr>
              <w:ind w:firstLine="27"/>
              <w:rPr>
                <w:bCs/>
                <w:color w:val="000000" w:themeColor="text1"/>
              </w:rPr>
            </w:pPr>
            <w:r>
              <w:rPr>
                <w:bCs/>
                <w:color w:val="000000" w:themeColor="text1"/>
              </w:rPr>
              <w:t>Precizēta anotācija.</w:t>
            </w:r>
          </w:p>
        </w:tc>
      </w:tr>
      <w:tr w:rsidR="00A4609A" w:rsidRPr="001C57E1" w14:paraId="184E27FC" w14:textId="77777777" w:rsidTr="00F252F0">
        <w:tc>
          <w:tcPr>
            <w:tcW w:w="708" w:type="dxa"/>
            <w:tcBorders>
              <w:top w:val="single" w:sz="6" w:space="0" w:color="000000"/>
              <w:left w:val="single" w:sz="6" w:space="0" w:color="000000"/>
              <w:bottom w:val="single" w:sz="6" w:space="0" w:color="000000"/>
              <w:right w:val="single" w:sz="6" w:space="0" w:color="000000"/>
            </w:tcBorders>
          </w:tcPr>
          <w:p w14:paraId="5D465DDA" w14:textId="6B5B1B17" w:rsidR="00A4609A" w:rsidRDefault="00D7451B" w:rsidP="00A4609A">
            <w:pPr>
              <w:pStyle w:val="naisc"/>
              <w:spacing w:before="0" w:after="0"/>
              <w:rPr>
                <w:color w:val="000000" w:themeColor="text1"/>
              </w:rPr>
            </w:pPr>
            <w:r>
              <w:rPr>
                <w:color w:val="000000" w:themeColor="text1"/>
              </w:rPr>
              <w:t>7</w:t>
            </w:r>
            <w:r w:rsidR="00A4609A">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465BA6A1" w14:textId="153AE58F" w:rsidR="00A4609A" w:rsidRDefault="00A4609A" w:rsidP="00A4609A">
            <w:pPr>
              <w:ind w:firstLine="27"/>
              <w:jc w:val="both"/>
            </w:pPr>
            <w:r>
              <w:t xml:space="preserve">Skatīt noteikumu projektu un anotāciju. </w:t>
            </w:r>
          </w:p>
          <w:p w14:paraId="6F8B6350" w14:textId="48E64E6E" w:rsidR="00A4609A" w:rsidRPr="00C912AC" w:rsidRDefault="00A4609A" w:rsidP="00A4609A">
            <w:pPr>
              <w:ind w:firstLine="27"/>
              <w:jc w:val="both"/>
            </w:pPr>
          </w:p>
        </w:tc>
        <w:tc>
          <w:tcPr>
            <w:tcW w:w="5412" w:type="dxa"/>
            <w:gridSpan w:val="3"/>
            <w:tcBorders>
              <w:top w:val="single" w:sz="6" w:space="0" w:color="000000"/>
              <w:left w:val="single" w:sz="6" w:space="0" w:color="000000"/>
              <w:bottom w:val="single" w:sz="6" w:space="0" w:color="000000"/>
              <w:right w:val="single" w:sz="6" w:space="0" w:color="000000"/>
            </w:tcBorders>
          </w:tcPr>
          <w:p w14:paraId="4C8CCE90" w14:textId="1385CFAC" w:rsidR="00A4609A" w:rsidRPr="004F180D" w:rsidRDefault="00A4609A" w:rsidP="00A4609A">
            <w:pPr>
              <w:contextualSpacing/>
              <w:jc w:val="both"/>
              <w:rPr>
                <w:b/>
                <w:bCs/>
              </w:rPr>
            </w:pPr>
            <w:r>
              <w:rPr>
                <w:b/>
                <w:bCs/>
              </w:rPr>
              <w:t>Finanšu</w:t>
            </w:r>
            <w:r w:rsidRPr="004F180D">
              <w:rPr>
                <w:b/>
                <w:bCs/>
              </w:rPr>
              <w:t xml:space="preserve"> ministrija </w:t>
            </w:r>
          </w:p>
          <w:p w14:paraId="00964824" w14:textId="5D4E3CCF" w:rsidR="00A4609A" w:rsidRPr="00535F87" w:rsidRDefault="00A4609A" w:rsidP="00A4609A">
            <w:pPr>
              <w:pStyle w:val="naisc"/>
              <w:jc w:val="both"/>
            </w:pPr>
            <w:r>
              <w:t xml:space="preserve">1. </w:t>
            </w:r>
            <w:r w:rsidRPr="00535F87">
              <w:t xml:space="preserve">Noteikumu projekta 5.punkts paredz papildināt Ministru kabineta 2018.gada 28.augusta noteikumus Nr.555 “Veselības aprūpes pakalpojumu organizēšanas un samaksas kārtība” (turpmāk – MKN 555) ar 254.2.apakšpunktu, nosakot papildus MKN 555 6.pielikumā norādītajai </w:t>
            </w:r>
            <w:bookmarkStart w:id="0" w:name="_Hlk68074070"/>
            <w:r w:rsidRPr="00535F87">
              <w:t xml:space="preserve">piemaksai par pacientu observāciju līdz 24 stundām </w:t>
            </w:r>
            <w:r w:rsidRPr="00535F87">
              <w:rPr>
                <w:u w:val="single"/>
              </w:rPr>
              <w:t>ikmēneša piemaksu</w:t>
            </w:r>
            <w:r w:rsidRPr="00535F87">
              <w:t xml:space="preserve"> par pacientu veselības stāvokļa novērošanu uzņemšanas nodaļā</w:t>
            </w:r>
            <w:bookmarkEnd w:id="0"/>
            <w:r w:rsidRPr="00535F87">
              <w:t xml:space="preserve">, sadalot finansējumu pa ārstniecības iestādēm. Savukārt, atbilstoši anotācijas 6.pielikumam minētajā apakšpunktā ārstniecības iestādēm aprēķinātais finansējums norādīts </w:t>
            </w:r>
            <w:r w:rsidRPr="00535F87">
              <w:rPr>
                <w:u w:val="single"/>
              </w:rPr>
              <w:t>par 10 mēnešiem</w:t>
            </w:r>
            <w:r w:rsidRPr="00535F87">
              <w:t>. Ņemot vērā, ka minētajā apakšpunktā un 6.pielikumā norādītie finansējuma apmēri sadalījumā pa ārstniecības iestādēm sakrīt, precizējams 254.2.apakšpunkts, to salāgojot ar 6.pielikumu.</w:t>
            </w:r>
          </w:p>
          <w:p w14:paraId="516DF337" w14:textId="5349249F" w:rsidR="00A4609A" w:rsidRPr="00E12C76" w:rsidRDefault="00A4609A" w:rsidP="00A4609A">
            <w:pPr>
              <w:pStyle w:val="naisc"/>
              <w:spacing w:before="0" w:after="0"/>
              <w:jc w:val="both"/>
              <w:rPr>
                <w:color w:val="000000" w:themeColor="text1"/>
              </w:rPr>
            </w:pPr>
          </w:p>
        </w:tc>
        <w:tc>
          <w:tcPr>
            <w:tcW w:w="3261" w:type="dxa"/>
            <w:tcBorders>
              <w:top w:val="single" w:sz="6" w:space="0" w:color="000000"/>
              <w:left w:val="single" w:sz="6" w:space="0" w:color="000000"/>
              <w:bottom w:val="single" w:sz="6" w:space="0" w:color="000000"/>
              <w:right w:val="single" w:sz="6" w:space="0" w:color="000000"/>
            </w:tcBorders>
          </w:tcPr>
          <w:p w14:paraId="421B3C7F" w14:textId="775DCDC9" w:rsidR="00A4609A" w:rsidRDefault="00A4609A" w:rsidP="00A4609A">
            <w:pPr>
              <w:pStyle w:val="naisc"/>
              <w:spacing w:before="0" w:after="0"/>
              <w:jc w:val="both"/>
              <w:rPr>
                <w:b/>
                <w:color w:val="000000" w:themeColor="text1"/>
              </w:rPr>
            </w:pPr>
            <w:r>
              <w:rPr>
                <w:b/>
                <w:color w:val="000000" w:themeColor="text1"/>
              </w:rPr>
              <w:t>Ņemts vērā.</w:t>
            </w:r>
          </w:p>
          <w:p w14:paraId="02186844" w14:textId="58778498" w:rsidR="00A4609A" w:rsidRPr="006616B1" w:rsidRDefault="00A4609A" w:rsidP="00A4609A">
            <w:pPr>
              <w:pStyle w:val="naisc"/>
              <w:spacing w:before="0" w:after="0"/>
              <w:jc w:val="both"/>
              <w:rPr>
                <w:bCs/>
                <w:color w:val="000000" w:themeColor="text1"/>
              </w:rPr>
            </w:pPr>
          </w:p>
        </w:tc>
        <w:tc>
          <w:tcPr>
            <w:tcW w:w="2268" w:type="dxa"/>
            <w:tcBorders>
              <w:top w:val="single" w:sz="4" w:space="0" w:color="auto"/>
              <w:left w:val="single" w:sz="4" w:space="0" w:color="auto"/>
              <w:bottom w:val="single" w:sz="4" w:space="0" w:color="auto"/>
            </w:tcBorders>
          </w:tcPr>
          <w:p w14:paraId="7D649FAA" w14:textId="7C2695A7" w:rsidR="00A4609A" w:rsidRPr="00970EB4" w:rsidRDefault="00A4609A" w:rsidP="00B95C45">
            <w:r w:rsidRPr="006616B1">
              <w:rPr>
                <w:bCs/>
                <w:color w:val="000000" w:themeColor="text1"/>
              </w:rPr>
              <w:t>Papildināta noteikumu projekta redakcija un anotācija ar attiecīgu skaidrojumu.</w:t>
            </w:r>
          </w:p>
        </w:tc>
      </w:tr>
      <w:tr w:rsidR="00A4609A" w:rsidRPr="001C57E1" w14:paraId="54FED93D" w14:textId="77777777" w:rsidTr="00F252F0">
        <w:tc>
          <w:tcPr>
            <w:tcW w:w="708" w:type="dxa"/>
            <w:tcBorders>
              <w:top w:val="single" w:sz="6" w:space="0" w:color="000000"/>
              <w:left w:val="single" w:sz="6" w:space="0" w:color="000000"/>
              <w:bottom w:val="single" w:sz="6" w:space="0" w:color="000000"/>
              <w:right w:val="single" w:sz="6" w:space="0" w:color="000000"/>
            </w:tcBorders>
          </w:tcPr>
          <w:p w14:paraId="4473050F" w14:textId="13455F49" w:rsidR="00A4609A" w:rsidRDefault="00D7451B" w:rsidP="00A4609A">
            <w:pPr>
              <w:pStyle w:val="naisc"/>
              <w:spacing w:before="0" w:after="0"/>
              <w:rPr>
                <w:color w:val="000000" w:themeColor="text1"/>
              </w:rPr>
            </w:pPr>
            <w:r>
              <w:rPr>
                <w:color w:val="000000" w:themeColor="text1"/>
              </w:rPr>
              <w:t>8</w:t>
            </w:r>
            <w:r w:rsidR="00A4609A">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0B95ED5D" w14:textId="5BAF8D2F" w:rsidR="00A4609A" w:rsidRDefault="00A4609A" w:rsidP="00A4609A">
            <w:pPr>
              <w:contextualSpacing/>
              <w:jc w:val="both"/>
              <w:outlineLvl w:val="0"/>
            </w:pPr>
            <w:r>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207C72ED" w14:textId="18528BA3" w:rsidR="00A4609A" w:rsidRDefault="00A4609A" w:rsidP="00A4609A">
            <w:pPr>
              <w:ind w:firstLine="27"/>
              <w:jc w:val="both"/>
            </w:pPr>
            <w:r>
              <w:rPr>
                <w:b/>
                <w:bCs/>
              </w:rPr>
              <w:t>Finanšu</w:t>
            </w:r>
            <w:r w:rsidRPr="00E12C76">
              <w:rPr>
                <w:b/>
                <w:bCs/>
              </w:rPr>
              <w:t xml:space="preserve"> ministrija</w:t>
            </w:r>
            <w:r w:rsidRPr="00E12C76">
              <w:t xml:space="preserve"> </w:t>
            </w:r>
          </w:p>
          <w:p w14:paraId="5AFDD63B" w14:textId="5591F856" w:rsidR="00A4609A" w:rsidRPr="00535F87" w:rsidRDefault="00A4609A" w:rsidP="00A4609A">
            <w:pPr>
              <w:jc w:val="both"/>
            </w:pPr>
            <w:r>
              <w:t xml:space="preserve">2. </w:t>
            </w:r>
            <w:r w:rsidRPr="00535F87">
              <w:t xml:space="preserve">Noteikumu projekta 5.punkts paredz papildināt MKN 555 ar 256.punktu, nosakot, ka Nacionālais veselības dienests noteikumu 254.2.apakšpunktā minēto </w:t>
            </w:r>
            <w:r w:rsidRPr="00535F87">
              <w:rPr>
                <w:bCs/>
              </w:rPr>
              <w:t>piemaksu par pacientu veselības stāvokļa novērošanu uzņemšanas nodaļā veic par laika periodu no 2021.gada 1.marta. Ņemot vērā, ka  noteikumu projektu paredzēts izskatīt Ministru kabineta sēdē pēc noteikumu projekta 5.punktā paredzētā pasākuma datuma, lūdzam precizēt noteikuma projekta 5.punktu un attiecīgi anotāciju.</w:t>
            </w:r>
          </w:p>
          <w:p w14:paraId="11BFC541" w14:textId="77777777" w:rsidR="00A4609A" w:rsidRPr="00DF6059" w:rsidRDefault="00A4609A" w:rsidP="00A4609A">
            <w:pPr>
              <w:ind w:firstLine="27"/>
              <w:jc w:val="both"/>
            </w:pPr>
          </w:p>
        </w:tc>
        <w:tc>
          <w:tcPr>
            <w:tcW w:w="3261" w:type="dxa"/>
            <w:tcBorders>
              <w:top w:val="single" w:sz="6" w:space="0" w:color="000000"/>
              <w:left w:val="single" w:sz="6" w:space="0" w:color="000000"/>
              <w:bottom w:val="single" w:sz="6" w:space="0" w:color="000000"/>
              <w:right w:val="single" w:sz="6" w:space="0" w:color="000000"/>
            </w:tcBorders>
          </w:tcPr>
          <w:p w14:paraId="386AC4BB" w14:textId="77777777" w:rsidR="00A4609A" w:rsidRDefault="00A4609A" w:rsidP="00A4609A">
            <w:pPr>
              <w:pStyle w:val="naisc"/>
              <w:spacing w:before="0" w:after="0"/>
              <w:jc w:val="both"/>
              <w:rPr>
                <w:b/>
                <w:color w:val="000000" w:themeColor="text1"/>
              </w:rPr>
            </w:pPr>
            <w:r>
              <w:rPr>
                <w:b/>
                <w:color w:val="000000" w:themeColor="text1"/>
              </w:rPr>
              <w:lastRenderedPageBreak/>
              <w:t>Ņemts vērā.</w:t>
            </w:r>
          </w:p>
          <w:p w14:paraId="04FF187F" w14:textId="79E655F5" w:rsidR="00A4609A" w:rsidRPr="00D654F4" w:rsidRDefault="00A4609A" w:rsidP="00A4609A">
            <w:pPr>
              <w:pStyle w:val="naisc"/>
              <w:spacing w:before="0" w:after="0"/>
              <w:jc w:val="both"/>
              <w:rPr>
                <w:bCs/>
                <w:color w:val="000000" w:themeColor="text1"/>
              </w:rPr>
            </w:pPr>
          </w:p>
        </w:tc>
        <w:tc>
          <w:tcPr>
            <w:tcW w:w="2268" w:type="dxa"/>
            <w:tcBorders>
              <w:top w:val="single" w:sz="4" w:space="0" w:color="auto"/>
              <w:left w:val="single" w:sz="4" w:space="0" w:color="auto"/>
              <w:bottom w:val="single" w:sz="4" w:space="0" w:color="auto"/>
            </w:tcBorders>
          </w:tcPr>
          <w:p w14:paraId="495B775C" w14:textId="02B123E8" w:rsidR="00A4609A" w:rsidRDefault="00A4609A" w:rsidP="00A4609A">
            <w:pPr>
              <w:rPr>
                <w:color w:val="000000" w:themeColor="text1"/>
              </w:rPr>
            </w:pPr>
            <w:r>
              <w:rPr>
                <w:color w:val="000000" w:themeColor="text1"/>
              </w:rPr>
              <w:t>Precizēta un papildināta anotācij</w:t>
            </w:r>
            <w:r w:rsidR="00B95C45">
              <w:rPr>
                <w:color w:val="000000" w:themeColor="text1"/>
              </w:rPr>
              <w:t>a</w:t>
            </w:r>
            <w:r>
              <w:rPr>
                <w:color w:val="000000" w:themeColor="text1"/>
              </w:rPr>
              <w:t>.</w:t>
            </w:r>
          </w:p>
        </w:tc>
      </w:tr>
      <w:tr w:rsidR="00A4609A" w:rsidRPr="001C57E1" w14:paraId="6AFC9767" w14:textId="77777777" w:rsidTr="00F252F0">
        <w:tc>
          <w:tcPr>
            <w:tcW w:w="708" w:type="dxa"/>
            <w:tcBorders>
              <w:top w:val="single" w:sz="6" w:space="0" w:color="000000"/>
              <w:left w:val="single" w:sz="6" w:space="0" w:color="000000"/>
              <w:bottom w:val="single" w:sz="6" w:space="0" w:color="000000"/>
              <w:right w:val="single" w:sz="6" w:space="0" w:color="000000"/>
            </w:tcBorders>
          </w:tcPr>
          <w:p w14:paraId="68584531" w14:textId="306A613B" w:rsidR="00A4609A" w:rsidRDefault="00D7451B" w:rsidP="00A4609A">
            <w:pPr>
              <w:pStyle w:val="naisc"/>
              <w:spacing w:before="0" w:after="0"/>
              <w:rPr>
                <w:color w:val="000000" w:themeColor="text1"/>
              </w:rPr>
            </w:pPr>
            <w:r>
              <w:rPr>
                <w:color w:val="000000" w:themeColor="text1"/>
              </w:rPr>
              <w:t>9</w:t>
            </w:r>
            <w:r w:rsidR="00A4609A">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5FCF9895" w14:textId="6D0AE5B8" w:rsidR="00A4609A" w:rsidRPr="002E4083" w:rsidRDefault="00A4609A" w:rsidP="00A4609A">
            <w:pPr>
              <w:contextualSpacing/>
              <w:jc w:val="both"/>
              <w:outlineLvl w:val="0"/>
              <w:rPr>
                <w:bCs/>
              </w:rPr>
            </w:pPr>
            <w:r>
              <w:rPr>
                <w:bCs/>
              </w:rPr>
              <w:t>Skatīt noteikumu projekta redakciju.</w:t>
            </w:r>
            <w:r w:rsidRPr="002E4083">
              <w:rPr>
                <w:bCs/>
              </w:rPr>
              <w:t xml:space="preserve"> </w:t>
            </w:r>
          </w:p>
          <w:p w14:paraId="1D635AC5" w14:textId="77777777" w:rsidR="00A4609A" w:rsidRDefault="00A4609A" w:rsidP="00A4609A">
            <w:pPr>
              <w:contextualSpacing/>
              <w:jc w:val="both"/>
              <w:outlineLvl w:val="0"/>
            </w:pPr>
          </w:p>
        </w:tc>
        <w:tc>
          <w:tcPr>
            <w:tcW w:w="5412" w:type="dxa"/>
            <w:gridSpan w:val="3"/>
            <w:tcBorders>
              <w:top w:val="single" w:sz="6" w:space="0" w:color="000000"/>
              <w:left w:val="single" w:sz="6" w:space="0" w:color="000000"/>
              <w:bottom w:val="single" w:sz="6" w:space="0" w:color="000000"/>
              <w:right w:val="single" w:sz="6" w:space="0" w:color="000000"/>
            </w:tcBorders>
          </w:tcPr>
          <w:p w14:paraId="0301FCEB" w14:textId="2610D432" w:rsidR="00A4609A" w:rsidRDefault="00A4609A" w:rsidP="00A4609A">
            <w:pPr>
              <w:jc w:val="both"/>
              <w:rPr>
                <w:b/>
                <w:bCs/>
              </w:rPr>
            </w:pPr>
            <w:r w:rsidRPr="00535F87">
              <w:rPr>
                <w:b/>
                <w:bCs/>
              </w:rPr>
              <w:t xml:space="preserve">Finanšu ministrija </w:t>
            </w:r>
          </w:p>
          <w:p w14:paraId="6EF544A7" w14:textId="55D30B50" w:rsidR="00A4609A" w:rsidRPr="00535F87" w:rsidRDefault="00A4609A" w:rsidP="00A4609A">
            <w:pPr>
              <w:jc w:val="both"/>
            </w:pPr>
            <w:r>
              <w:t xml:space="preserve">3. </w:t>
            </w:r>
            <w:r w:rsidRPr="00535F87">
              <w:t>Lūdzam precizēt noteikumu projekta 5.punktā paredzētā MKN 555 254.1.1.apakšpunkta redakciju, jo nav saprotams tā beigu daļā norādītais “un kam papildus maksā pakalpojuma sniegšanā iesaistīto darbinieku darba samaksu”.</w:t>
            </w:r>
          </w:p>
          <w:p w14:paraId="079DF59C" w14:textId="77777777" w:rsidR="00A4609A" w:rsidRPr="00535F87" w:rsidRDefault="00A4609A" w:rsidP="00A4609A">
            <w:pPr>
              <w:ind w:firstLine="27"/>
              <w:jc w:val="both"/>
            </w:pPr>
          </w:p>
        </w:tc>
        <w:tc>
          <w:tcPr>
            <w:tcW w:w="3261" w:type="dxa"/>
            <w:tcBorders>
              <w:top w:val="single" w:sz="6" w:space="0" w:color="000000"/>
              <w:left w:val="single" w:sz="6" w:space="0" w:color="000000"/>
              <w:bottom w:val="single" w:sz="6" w:space="0" w:color="000000"/>
              <w:right w:val="single" w:sz="6" w:space="0" w:color="000000"/>
            </w:tcBorders>
          </w:tcPr>
          <w:p w14:paraId="21F9C7B4" w14:textId="77777777" w:rsidR="00A4609A" w:rsidRDefault="00A4609A" w:rsidP="00A4609A">
            <w:pPr>
              <w:pStyle w:val="naisc"/>
              <w:spacing w:before="0" w:after="0"/>
              <w:jc w:val="both"/>
              <w:rPr>
                <w:b/>
                <w:color w:val="000000" w:themeColor="text1"/>
              </w:rPr>
            </w:pPr>
            <w:r>
              <w:rPr>
                <w:b/>
                <w:color w:val="000000" w:themeColor="text1"/>
              </w:rPr>
              <w:t>Ņemts vērā.</w:t>
            </w:r>
          </w:p>
          <w:p w14:paraId="51E4246F" w14:textId="50E786A6" w:rsidR="00A4609A" w:rsidRPr="002E4083" w:rsidRDefault="00A4609A" w:rsidP="00A4609A">
            <w:pPr>
              <w:pStyle w:val="naisc"/>
              <w:spacing w:before="0" w:after="0"/>
              <w:jc w:val="both"/>
              <w:rPr>
                <w:bCs/>
                <w:color w:val="000000" w:themeColor="text1"/>
              </w:rPr>
            </w:pPr>
          </w:p>
        </w:tc>
        <w:tc>
          <w:tcPr>
            <w:tcW w:w="2268" w:type="dxa"/>
            <w:tcBorders>
              <w:top w:val="single" w:sz="4" w:space="0" w:color="auto"/>
              <w:left w:val="single" w:sz="4" w:space="0" w:color="auto"/>
              <w:bottom w:val="single" w:sz="4" w:space="0" w:color="auto"/>
            </w:tcBorders>
          </w:tcPr>
          <w:p w14:paraId="38568A18" w14:textId="2DF202E3" w:rsidR="00A4609A" w:rsidRDefault="00A4609A" w:rsidP="00A4609A">
            <w:pPr>
              <w:rPr>
                <w:color w:val="000000" w:themeColor="text1"/>
              </w:rPr>
            </w:pPr>
            <w:r>
              <w:rPr>
                <w:bCs/>
                <w:color w:val="000000" w:themeColor="text1"/>
              </w:rPr>
              <w:t>Precizēta noteikumu projekta redakcija.</w:t>
            </w:r>
          </w:p>
        </w:tc>
      </w:tr>
      <w:tr w:rsidR="00A4609A" w:rsidRPr="001C57E1" w14:paraId="4330BC05" w14:textId="77777777" w:rsidTr="00F252F0">
        <w:tc>
          <w:tcPr>
            <w:tcW w:w="708" w:type="dxa"/>
            <w:tcBorders>
              <w:top w:val="single" w:sz="6" w:space="0" w:color="000000"/>
              <w:left w:val="single" w:sz="6" w:space="0" w:color="000000"/>
              <w:bottom w:val="single" w:sz="6" w:space="0" w:color="000000"/>
              <w:right w:val="single" w:sz="6" w:space="0" w:color="000000"/>
            </w:tcBorders>
          </w:tcPr>
          <w:p w14:paraId="43E6A064" w14:textId="3C62DF1A" w:rsidR="00A4609A" w:rsidRDefault="00D7451B" w:rsidP="00A4609A">
            <w:pPr>
              <w:pStyle w:val="naisc"/>
              <w:spacing w:before="0" w:after="0"/>
              <w:rPr>
                <w:color w:val="000000" w:themeColor="text1"/>
              </w:rPr>
            </w:pPr>
            <w:r>
              <w:rPr>
                <w:color w:val="000000" w:themeColor="text1"/>
              </w:rPr>
              <w:t>10</w:t>
            </w:r>
            <w:r w:rsidR="00A4609A">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01A3EA68" w14:textId="71877160" w:rsidR="00A4609A" w:rsidRDefault="00A4609A" w:rsidP="00A4609A">
            <w:pPr>
              <w:contextualSpacing/>
              <w:jc w:val="both"/>
              <w:outlineLvl w:val="0"/>
            </w:pPr>
            <w:r>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2F49DE4F" w14:textId="77777777" w:rsidR="00A4609A" w:rsidRPr="00535F87" w:rsidRDefault="00A4609A" w:rsidP="00A4609A">
            <w:pPr>
              <w:jc w:val="both"/>
              <w:rPr>
                <w:b/>
                <w:bCs/>
              </w:rPr>
            </w:pPr>
            <w:r w:rsidRPr="00535F87">
              <w:rPr>
                <w:b/>
                <w:bCs/>
              </w:rPr>
              <w:t xml:space="preserve">Finanšu ministrija </w:t>
            </w:r>
          </w:p>
          <w:p w14:paraId="257FD118" w14:textId="5FCDD10E" w:rsidR="00A4609A" w:rsidRPr="00750953" w:rsidRDefault="00A4609A" w:rsidP="00A4609A">
            <w:pPr>
              <w:jc w:val="both"/>
            </w:pPr>
            <w:r w:rsidRPr="00750953">
              <w:t xml:space="preserve">4. Lūdzam precizēt anotācijas III sadaļas 1. un 2. ailē “saskaņā ar valsts budžetu kārtējam gadam” norādīto finansējumu VM pamatbudžeta programmai 99.00.00 “Līdzekļu neparedzētiem gadījumiem izlietojums” atbilstoši FM rīkojumiem, norādot tikai to finansējumu, kas attiecināms uz šajā noteikumu projektā paredzēto pasākumu īstenošanu,  attiecīgi precizējot anotācijas III sadaļas 6.punktu. </w:t>
            </w:r>
          </w:p>
          <w:p w14:paraId="0864559A" w14:textId="77777777" w:rsidR="00A4609A" w:rsidRPr="00535F87" w:rsidRDefault="00A4609A" w:rsidP="00A4609A">
            <w:pPr>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0C34A2CE" w14:textId="7CB59647" w:rsidR="00A4609A" w:rsidRPr="002D3A58" w:rsidRDefault="00A4609A" w:rsidP="00A4609A">
            <w:pPr>
              <w:pStyle w:val="naisc"/>
              <w:spacing w:before="0" w:after="0"/>
              <w:jc w:val="both"/>
              <w:rPr>
                <w:b/>
                <w:color w:val="000000" w:themeColor="text1"/>
              </w:rPr>
            </w:pPr>
            <w:r>
              <w:rPr>
                <w:b/>
                <w:color w:val="000000" w:themeColor="text1"/>
              </w:rPr>
              <w:t xml:space="preserve">Ņemts vērā. </w:t>
            </w:r>
          </w:p>
        </w:tc>
        <w:tc>
          <w:tcPr>
            <w:tcW w:w="2268" w:type="dxa"/>
            <w:tcBorders>
              <w:top w:val="single" w:sz="4" w:space="0" w:color="auto"/>
              <w:left w:val="single" w:sz="4" w:space="0" w:color="auto"/>
              <w:bottom w:val="single" w:sz="4" w:space="0" w:color="auto"/>
            </w:tcBorders>
          </w:tcPr>
          <w:p w14:paraId="5A567E1B" w14:textId="05A7B50E" w:rsidR="00A4609A" w:rsidRDefault="00A4609A" w:rsidP="00A4609A">
            <w:pPr>
              <w:rPr>
                <w:color w:val="000000" w:themeColor="text1"/>
              </w:rPr>
            </w:pPr>
            <w:r>
              <w:rPr>
                <w:color w:val="000000" w:themeColor="text1"/>
              </w:rPr>
              <w:t>Precizēt</w:t>
            </w:r>
            <w:r w:rsidR="00B95C45">
              <w:rPr>
                <w:color w:val="000000" w:themeColor="text1"/>
              </w:rPr>
              <w:t>a</w:t>
            </w:r>
            <w:r>
              <w:rPr>
                <w:color w:val="000000" w:themeColor="text1"/>
              </w:rPr>
              <w:t xml:space="preserve"> anotācijas III sadaļa.</w:t>
            </w:r>
          </w:p>
        </w:tc>
      </w:tr>
      <w:tr w:rsidR="00A4609A" w:rsidRPr="001C57E1" w14:paraId="347B2F68" w14:textId="77777777" w:rsidTr="00F252F0">
        <w:tc>
          <w:tcPr>
            <w:tcW w:w="708" w:type="dxa"/>
            <w:tcBorders>
              <w:top w:val="single" w:sz="6" w:space="0" w:color="000000"/>
              <w:left w:val="single" w:sz="6" w:space="0" w:color="000000"/>
              <w:bottom w:val="single" w:sz="6" w:space="0" w:color="000000"/>
              <w:right w:val="single" w:sz="6" w:space="0" w:color="000000"/>
            </w:tcBorders>
          </w:tcPr>
          <w:p w14:paraId="254B8BC1" w14:textId="375ACA37" w:rsidR="00A4609A" w:rsidRDefault="00A4609A" w:rsidP="00A4609A">
            <w:pPr>
              <w:pStyle w:val="naisc"/>
              <w:spacing w:before="0" w:after="0"/>
              <w:rPr>
                <w:color w:val="000000" w:themeColor="text1"/>
              </w:rPr>
            </w:pPr>
            <w:r>
              <w:rPr>
                <w:color w:val="000000" w:themeColor="text1"/>
              </w:rPr>
              <w:t>1</w:t>
            </w:r>
            <w:r w:rsidR="00D7451B">
              <w:rPr>
                <w:color w:val="000000" w:themeColor="text1"/>
              </w:rPr>
              <w:t>1</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5E3D33A4" w14:textId="018B00F0" w:rsidR="00A4609A" w:rsidRDefault="00A4609A" w:rsidP="00A4609A">
            <w:pPr>
              <w:contextualSpacing/>
              <w:jc w:val="both"/>
              <w:outlineLvl w:val="0"/>
            </w:pPr>
            <w:r w:rsidRPr="00712A48">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38C96388" w14:textId="085D5123" w:rsidR="00A4609A" w:rsidRDefault="00A4609A" w:rsidP="00A4609A">
            <w:pPr>
              <w:jc w:val="both"/>
              <w:rPr>
                <w:b/>
                <w:bCs/>
              </w:rPr>
            </w:pPr>
            <w:r>
              <w:rPr>
                <w:b/>
                <w:bCs/>
              </w:rPr>
              <w:t>Finanšu ministrija</w:t>
            </w:r>
          </w:p>
          <w:p w14:paraId="6CF3142F" w14:textId="0AFD76F6" w:rsidR="00A4609A" w:rsidRPr="00750953" w:rsidRDefault="00A4609A" w:rsidP="00A4609A">
            <w:pPr>
              <w:jc w:val="both"/>
            </w:pPr>
            <w:r w:rsidRPr="00750953">
              <w:t>5. Lūdzam precizēt anotācijas III sadaļas 1. un 2.ailē “saskaņā ar vidēja termiņa budžeta ietvaru” (2022. un 2023.gadam) norādīto finansējumu atbilstoši likumam “Par vidēja termiņa budžeta ietvaru 2022., 2023. un 2024.gadam”, attiecīgi precizējot anotācijas III sadaļas 6.punktu.</w:t>
            </w:r>
          </w:p>
        </w:tc>
        <w:tc>
          <w:tcPr>
            <w:tcW w:w="3261" w:type="dxa"/>
            <w:tcBorders>
              <w:top w:val="single" w:sz="6" w:space="0" w:color="000000"/>
              <w:left w:val="single" w:sz="6" w:space="0" w:color="000000"/>
              <w:bottom w:val="single" w:sz="6" w:space="0" w:color="000000"/>
              <w:right w:val="single" w:sz="6" w:space="0" w:color="000000"/>
            </w:tcBorders>
          </w:tcPr>
          <w:p w14:paraId="445A47B5" w14:textId="046DC945" w:rsidR="00A4609A" w:rsidRPr="002D3A58" w:rsidRDefault="00A4609A" w:rsidP="00A4609A">
            <w:pPr>
              <w:pStyle w:val="naisc"/>
              <w:spacing w:before="0" w:after="0"/>
              <w:jc w:val="both"/>
              <w:rPr>
                <w:b/>
                <w:color w:val="000000" w:themeColor="text1"/>
              </w:rPr>
            </w:pPr>
            <w:r>
              <w:rPr>
                <w:b/>
                <w:color w:val="000000" w:themeColor="text1"/>
              </w:rPr>
              <w:t>Ņemts vērā.</w:t>
            </w:r>
          </w:p>
        </w:tc>
        <w:tc>
          <w:tcPr>
            <w:tcW w:w="2268" w:type="dxa"/>
            <w:tcBorders>
              <w:top w:val="single" w:sz="4" w:space="0" w:color="auto"/>
              <w:left w:val="single" w:sz="4" w:space="0" w:color="auto"/>
              <w:bottom w:val="single" w:sz="4" w:space="0" w:color="auto"/>
            </w:tcBorders>
          </w:tcPr>
          <w:p w14:paraId="567DD5AD" w14:textId="5923E6A7" w:rsidR="00A4609A" w:rsidRDefault="00A4609A" w:rsidP="00A4609A">
            <w:pPr>
              <w:rPr>
                <w:color w:val="000000" w:themeColor="text1"/>
              </w:rPr>
            </w:pPr>
            <w:r>
              <w:rPr>
                <w:color w:val="000000" w:themeColor="text1"/>
              </w:rPr>
              <w:t>Precizēt</w:t>
            </w:r>
            <w:r w:rsidR="00B95C45">
              <w:rPr>
                <w:color w:val="000000" w:themeColor="text1"/>
              </w:rPr>
              <w:t>a</w:t>
            </w:r>
            <w:r>
              <w:rPr>
                <w:color w:val="000000" w:themeColor="text1"/>
              </w:rPr>
              <w:t xml:space="preserve"> anotācijas III sadaļa.</w:t>
            </w:r>
          </w:p>
        </w:tc>
      </w:tr>
      <w:tr w:rsidR="00A4609A" w:rsidRPr="001C57E1" w14:paraId="6CC4AEA4" w14:textId="77777777" w:rsidTr="00F252F0">
        <w:tc>
          <w:tcPr>
            <w:tcW w:w="708" w:type="dxa"/>
            <w:tcBorders>
              <w:top w:val="single" w:sz="6" w:space="0" w:color="000000"/>
              <w:left w:val="single" w:sz="6" w:space="0" w:color="000000"/>
              <w:bottom w:val="single" w:sz="6" w:space="0" w:color="000000"/>
              <w:right w:val="single" w:sz="6" w:space="0" w:color="000000"/>
            </w:tcBorders>
          </w:tcPr>
          <w:p w14:paraId="503EBBC8" w14:textId="46FD9B36" w:rsidR="00A4609A" w:rsidRDefault="00A4609A" w:rsidP="00A4609A">
            <w:pPr>
              <w:pStyle w:val="naisc"/>
              <w:spacing w:before="0" w:after="0"/>
              <w:rPr>
                <w:color w:val="000000" w:themeColor="text1"/>
              </w:rPr>
            </w:pPr>
            <w:r>
              <w:rPr>
                <w:color w:val="000000" w:themeColor="text1"/>
              </w:rPr>
              <w:t>1</w:t>
            </w:r>
            <w:r w:rsidR="00D7451B">
              <w:rPr>
                <w:color w:val="000000" w:themeColor="text1"/>
              </w:rPr>
              <w:t>2</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11B6D5A7" w14:textId="4CAFAFFC" w:rsidR="00A4609A" w:rsidRDefault="00A4609A" w:rsidP="00A4609A">
            <w:pPr>
              <w:contextualSpacing/>
              <w:jc w:val="both"/>
              <w:outlineLvl w:val="0"/>
            </w:pPr>
            <w:r w:rsidRPr="00712A48">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0AB064BD" w14:textId="28600C5A" w:rsidR="00A4609A" w:rsidRDefault="00A4609A" w:rsidP="00A4609A">
            <w:pPr>
              <w:jc w:val="both"/>
              <w:rPr>
                <w:b/>
                <w:bCs/>
              </w:rPr>
            </w:pPr>
            <w:r>
              <w:rPr>
                <w:b/>
                <w:bCs/>
              </w:rPr>
              <w:t>Finanšu ministrija</w:t>
            </w:r>
          </w:p>
          <w:p w14:paraId="2A96AC67" w14:textId="77777777" w:rsidR="00A4609A" w:rsidRPr="00750953" w:rsidRDefault="00A4609A" w:rsidP="00A4609A">
            <w:pPr>
              <w:jc w:val="both"/>
            </w:pPr>
            <w:r w:rsidRPr="00750953">
              <w:t xml:space="preserve">6. Ņemot vērā, ka atbilstoši anotācijas III sadaļas 6.punktā norādītajam noteikumu 254.2. apakšpunkta īstenošanai piešķirts finansējums atbilstoši Ministru kabineta 11.02.2021. rīkojumam Nr.81, finansējuma apmērs norādams anotācijas III sadalas 2.punkta 3.ailē, attiecīgi precizējot anotācijas III sadaļas 4.punktu. </w:t>
            </w:r>
          </w:p>
          <w:p w14:paraId="2E2F3405" w14:textId="7160B55F" w:rsidR="00A4609A" w:rsidRDefault="00A4609A" w:rsidP="00A4609A">
            <w:pPr>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63EB812D" w14:textId="6477C196" w:rsidR="00A4609A" w:rsidRPr="002D3A58" w:rsidRDefault="00A4609A" w:rsidP="00A4609A">
            <w:pPr>
              <w:pStyle w:val="naisc"/>
              <w:spacing w:before="0" w:after="0"/>
              <w:jc w:val="both"/>
              <w:rPr>
                <w:b/>
                <w:color w:val="000000" w:themeColor="text1"/>
              </w:rPr>
            </w:pPr>
            <w:r>
              <w:rPr>
                <w:b/>
                <w:color w:val="000000" w:themeColor="text1"/>
              </w:rPr>
              <w:lastRenderedPageBreak/>
              <w:t>Ņemts vērā.</w:t>
            </w:r>
          </w:p>
        </w:tc>
        <w:tc>
          <w:tcPr>
            <w:tcW w:w="2268" w:type="dxa"/>
            <w:tcBorders>
              <w:top w:val="single" w:sz="4" w:space="0" w:color="auto"/>
              <w:left w:val="single" w:sz="4" w:space="0" w:color="auto"/>
              <w:bottom w:val="single" w:sz="4" w:space="0" w:color="auto"/>
            </w:tcBorders>
          </w:tcPr>
          <w:p w14:paraId="5CC781A0" w14:textId="6D71194F" w:rsidR="00A4609A" w:rsidRDefault="00A4609A" w:rsidP="00A4609A">
            <w:pPr>
              <w:rPr>
                <w:color w:val="000000" w:themeColor="text1"/>
              </w:rPr>
            </w:pPr>
            <w:r>
              <w:rPr>
                <w:color w:val="000000" w:themeColor="text1"/>
              </w:rPr>
              <w:t>Precizēt</w:t>
            </w:r>
            <w:r w:rsidR="00B95C45">
              <w:rPr>
                <w:color w:val="000000" w:themeColor="text1"/>
              </w:rPr>
              <w:t>a</w:t>
            </w:r>
            <w:r>
              <w:rPr>
                <w:color w:val="000000" w:themeColor="text1"/>
              </w:rPr>
              <w:t xml:space="preserve"> anotācijas III sadaļa.</w:t>
            </w:r>
          </w:p>
        </w:tc>
      </w:tr>
      <w:tr w:rsidR="00A4609A" w:rsidRPr="001C57E1" w14:paraId="07AC5F6E" w14:textId="77777777" w:rsidTr="00F252F0">
        <w:tc>
          <w:tcPr>
            <w:tcW w:w="708" w:type="dxa"/>
            <w:tcBorders>
              <w:top w:val="single" w:sz="6" w:space="0" w:color="000000"/>
              <w:left w:val="single" w:sz="6" w:space="0" w:color="000000"/>
              <w:bottom w:val="single" w:sz="6" w:space="0" w:color="000000"/>
              <w:right w:val="single" w:sz="6" w:space="0" w:color="000000"/>
            </w:tcBorders>
          </w:tcPr>
          <w:p w14:paraId="5ACE66E1" w14:textId="2A52C295" w:rsidR="00A4609A" w:rsidRDefault="00A4609A" w:rsidP="00A4609A">
            <w:pPr>
              <w:pStyle w:val="naisc"/>
              <w:spacing w:before="0" w:after="0"/>
              <w:rPr>
                <w:color w:val="000000" w:themeColor="text1"/>
              </w:rPr>
            </w:pPr>
            <w:r>
              <w:rPr>
                <w:color w:val="000000" w:themeColor="text1"/>
              </w:rPr>
              <w:t>1</w:t>
            </w:r>
            <w:r w:rsidR="00D7451B">
              <w:rPr>
                <w:color w:val="000000" w:themeColor="text1"/>
              </w:rPr>
              <w:t>3</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3B4D9D1B" w14:textId="28296814" w:rsidR="00A4609A" w:rsidRDefault="00A4609A" w:rsidP="00A4609A">
            <w:pPr>
              <w:contextualSpacing/>
              <w:jc w:val="both"/>
              <w:outlineLvl w:val="0"/>
            </w:pPr>
            <w:r w:rsidRPr="00E73E13">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515ACC5B" w14:textId="77777777" w:rsidR="00A4609A" w:rsidRPr="00750953" w:rsidRDefault="00A4609A" w:rsidP="00A4609A">
            <w:pPr>
              <w:jc w:val="both"/>
              <w:rPr>
                <w:b/>
                <w:bCs/>
              </w:rPr>
            </w:pPr>
            <w:r w:rsidRPr="00750953">
              <w:rPr>
                <w:b/>
                <w:bCs/>
              </w:rPr>
              <w:t>Finanšu ministrija</w:t>
            </w:r>
          </w:p>
          <w:p w14:paraId="109CCB21" w14:textId="77777777" w:rsidR="00A4609A" w:rsidRPr="00750953" w:rsidRDefault="00A4609A" w:rsidP="00A4609A">
            <w:pPr>
              <w:jc w:val="both"/>
            </w:pPr>
            <w:r w:rsidRPr="00750953">
              <w:t xml:space="preserve">7. Ņemot vērā, ka atbilstoši anotācijas III sadaļā norādītajam 2021.gadā valsts apmaksātas regulāras pārbaudes prostatas vēža diagnostikai realizēšanai nepieciešams finansējums 82 043 </w:t>
            </w:r>
            <w:r w:rsidRPr="00750953">
              <w:rPr>
                <w:i/>
                <w:iCs/>
              </w:rPr>
              <w:t xml:space="preserve">euro, </w:t>
            </w:r>
            <w:r w:rsidRPr="00750953">
              <w:t xml:space="preserve">savukārt Saeimā 2.lasījumā tika atbalstīts un paredzēts likumā “Par valsts budžetu 2021.gadam” minētajam mērķim finansējums 109 390 </w:t>
            </w:r>
            <w:r w:rsidRPr="00750953">
              <w:rPr>
                <w:i/>
                <w:iCs/>
              </w:rPr>
              <w:t>euro</w:t>
            </w:r>
            <w:r w:rsidRPr="00750953">
              <w:t>, lūdzam papildināt anotāciju ar skaidrojumu par atlikušā finansējuma plānoto izlietojumu.</w:t>
            </w:r>
          </w:p>
          <w:p w14:paraId="2B90E6B5" w14:textId="6A29788B" w:rsidR="00A4609A" w:rsidRDefault="00A4609A" w:rsidP="00A4609A">
            <w:pPr>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592E79C9" w14:textId="77777777" w:rsidR="00A4609A" w:rsidRDefault="00A4609A" w:rsidP="00A4609A">
            <w:pPr>
              <w:pStyle w:val="naisc"/>
              <w:spacing w:before="0" w:after="0"/>
              <w:jc w:val="both"/>
              <w:rPr>
                <w:b/>
                <w:color w:val="000000" w:themeColor="text1"/>
              </w:rPr>
            </w:pPr>
            <w:r>
              <w:rPr>
                <w:b/>
                <w:color w:val="000000" w:themeColor="text1"/>
              </w:rPr>
              <w:t>Ņemts vērā.</w:t>
            </w:r>
          </w:p>
          <w:p w14:paraId="70EF75AF" w14:textId="3ADFE03A" w:rsidR="00A4609A" w:rsidRPr="00F252F0" w:rsidRDefault="00A4609A" w:rsidP="00A4609A">
            <w:pPr>
              <w:pStyle w:val="naisc"/>
              <w:spacing w:before="0" w:after="0"/>
              <w:jc w:val="both"/>
              <w:rPr>
                <w:bCs/>
                <w:color w:val="000000" w:themeColor="text1"/>
              </w:rPr>
            </w:pPr>
            <w:r>
              <w:rPr>
                <w:bCs/>
                <w:color w:val="000000" w:themeColor="text1"/>
              </w:rPr>
              <w:t>Ņemot vērā p</w:t>
            </w:r>
            <w:r w:rsidRPr="00F252F0">
              <w:rPr>
                <w:bCs/>
                <w:color w:val="000000" w:themeColor="text1"/>
              </w:rPr>
              <w:t>rioritār</w:t>
            </w:r>
            <w:r>
              <w:rPr>
                <w:bCs/>
                <w:color w:val="000000" w:themeColor="text1"/>
              </w:rPr>
              <w:t>ā</w:t>
            </w:r>
            <w:r w:rsidRPr="00F252F0">
              <w:rPr>
                <w:bCs/>
                <w:color w:val="000000" w:themeColor="text1"/>
              </w:rPr>
              <w:t xml:space="preserve"> pasākuma “Vēža skrīninga uzlabošana un medikamentu pieejamība onkoloģiskiem pacientiem”</w:t>
            </w:r>
            <w:r>
              <w:rPr>
                <w:bCs/>
                <w:color w:val="000000" w:themeColor="text1"/>
              </w:rPr>
              <w:t xml:space="preserve"> un</w:t>
            </w:r>
            <w:r w:rsidRPr="00F252F0">
              <w:rPr>
                <w:bCs/>
                <w:color w:val="000000" w:themeColor="text1"/>
              </w:rPr>
              <w:t xml:space="preserve"> tā ietvaros onkoloģisko pacientu laboratorisko izmeklējumu veikšan</w:t>
            </w:r>
            <w:r>
              <w:rPr>
                <w:bCs/>
                <w:color w:val="000000" w:themeColor="text1"/>
              </w:rPr>
              <w:t>as</w:t>
            </w:r>
            <w:r w:rsidRPr="00F252F0">
              <w:rPr>
                <w:bCs/>
                <w:color w:val="000000" w:themeColor="text1"/>
              </w:rPr>
              <w:t xml:space="preserve"> ambulatorajā aprūpē - prostatas vēža skrīning</w:t>
            </w:r>
            <w:r>
              <w:rPr>
                <w:bCs/>
                <w:color w:val="000000" w:themeColor="text1"/>
              </w:rPr>
              <w:t>a</w:t>
            </w:r>
            <w:r w:rsidRPr="00F252F0">
              <w:rPr>
                <w:bCs/>
                <w:color w:val="000000" w:themeColor="text1"/>
              </w:rPr>
              <w:t>, veicot valsts apmaksātu PSA noteikšanu</w:t>
            </w:r>
            <w:r>
              <w:rPr>
                <w:bCs/>
                <w:color w:val="000000" w:themeColor="text1"/>
              </w:rPr>
              <w:t xml:space="preserve">, nozīmīgumu, konsultējoties ar nozares speciālistiem, Veselības ministrija ir pieņēmusi lēmumu šīm mērķim novirzīt pilnu 2021.gadam paredzēto finansējumu. Lai sasniegtu 2021.gadam sākotnēji plānoto mērķa grupas aptveri, </w:t>
            </w:r>
            <w:r w:rsidRPr="004D5585">
              <w:rPr>
                <w:bCs/>
              </w:rPr>
              <w:t xml:space="preserve">Nacionālais veselības dienests sadarbībā ar Veselības ministriju pastiprināti pievērsis ģimenes ārstu uzmanību nepieciešamībai </w:t>
            </w:r>
            <w:r w:rsidRPr="00793AAB">
              <w:rPr>
                <w:bCs/>
              </w:rPr>
              <w:t>aicināt vīriešus, kas ietilpst prostatas vēža skrīninga mērķa grupā veikt izmeklējumus un  pastāvīgi monitorēt aptveres rezultātu.</w:t>
            </w:r>
          </w:p>
        </w:tc>
        <w:tc>
          <w:tcPr>
            <w:tcW w:w="2268" w:type="dxa"/>
            <w:tcBorders>
              <w:top w:val="single" w:sz="4" w:space="0" w:color="auto"/>
              <w:left w:val="single" w:sz="4" w:space="0" w:color="auto"/>
              <w:bottom w:val="single" w:sz="4" w:space="0" w:color="auto"/>
            </w:tcBorders>
          </w:tcPr>
          <w:p w14:paraId="2D82A2CD" w14:textId="6436665C" w:rsidR="00A4609A" w:rsidRDefault="00A4609A" w:rsidP="00A4609A">
            <w:pPr>
              <w:rPr>
                <w:color w:val="000000" w:themeColor="text1"/>
              </w:rPr>
            </w:pPr>
            <w:r>
              <w:rPr>
                <w:color w:val="000000" w:themeColor="text1"/>
              </w:rPr>
              <w:t>Precizēt</w:t>
            </w:r>
            <w:r w:rsidR="00B95C45">
              <w:rPr>
                <w:color w:val="000000" w:themeColor="text1"/>
              </w:rPr>
              <w:t>a</w:t>
            </w:r>
            <w:r>
              <w:rPr>
                <w:color w:val="000000" w:themeColor="text1"/>
              </w:rPr>
              <w:t xml:space="preserve"> anotācijas III sadaļa.</w:t>
            </w:r>
          </w:p>
        </w:tc>
      </w:tr>
      <w:tr w:rsidR="00A4609A" w:rsidRPr="001C57E1" w14:paraId="5CD624EC" w14:textId="77777777" w:rsidTr="00F252F0">
        <w:tc>
          <w:tcPr>
            <w:tcW w:w="708" w:type="dxa"/>
            <w:tcBorders>
              <w:top w:val="single" w:sz="6" w:space="0" w:color="000000"/>
              <w:left w:val="single" w:sz="6" w:space="0" w:color="000000"/>
              <w:bottom w:val="single" w:sz="6" w:space="0" w:color="000000"/>
              <w:right w:val="single" w:sz="6" w:space="0" w:color="000000"/>
            </w:tcBorders>
          </w:tcPr>
          <w:p w14:paraId="699E5C4A" w14:textId="41B088B5" w:rsidR="00A4609A" w:rsidRDefault="00A4609A" w:rsidP="00A4609A">
            <w:pPr>
              <w:pStyle w:val="naisc"/>
              <w:spacing w:before="0" w:after="0"/>
              <w:rPr>
                <w:color w:val="000000" w:themeColor="text1"/>
              </w:rPr>
            </w:pPr>
            <w:r>
              <w:rPr>
                <w:color w:val="000000" w:themeColor="text1"/>
              </w:rPr>
              <w:lastRenderedPageBreak/>
              <w:t>1</w:t>
            </w:r>
            <w:r w:rsidR="00D7451B">
              <w:rPr>
                <w:color w:val="000000" w:themeColor="text1"/>
              </w:rPr>
              <w:t>4</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7B476BA1" w14:textId="5459129F" w:rsidR="00A4609A" w:rsidRDefault="00A4609A" w:rsidP="00A4609A">
            <w:pPr>
              <w:contextualSpacing/>
              <w:jc w:val="both"/>
              <w:outlineLvl w:val="0"/>
            </w:pPr>
            <w:r w:rsidRPr="00E73E13">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271C4AF5" w14:textId="77777777" w:rsidR="00A4609A" w:rsidRDefault="00A4609A" w:rsidP="00A4609A">
            <w:pPr>
              <w:jc w:val="both"/>
              <w:rPr>
                <w:b/>
                <w:bCs/>
              </w:rPr>
            </w:pPr>
            <w:r>
              <w:rPr>
                <w:b/>
                <w:bCs/>
              </w:rPr>
              <w:t>Finanšu ministrija</w:t>
            </w:r>
          </w:p>
          <w:p w14:paraId="3113CE88" w14:textId="77777777" w:rsidR="00A4609A" w:rsidRPr="00750953" w:rsidRDefault="00A4609A" w:rsidP="00A4609A">
            <w:pPr>
              <w:jc w:val="both"/>
            </w:pPr>
            <w:r w:rsidRPr="00750953">
              <w:t>8. Lūdzam papildināt anotācijas III sadaļas “Tiesību akta projekta ietekme uz valsts budžetu un pašvaldību budžetiem” (turpmāk – III sadaļa) 6.punktu, norādot kopējo finansējumu noteikumu projektā paredzēto pasākumu īstenošanai.</w:t>
            </w:r>
          </w:p>
          <w:p w14:paraId="7DF8FD24" w14:textId="430A4852" w:rsidR="00A4609A" w:rsidRPr="00750953" w:rsidRDefault="00A4609A" w:rsidP="00A4609A">
            <w:pPr>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54143F72" w14:textId="062A6F57" w:rsidR="00A4609A" w:rsidRPr="002D3A58" w:rsidRDefault="00A4609A" w:rsidP="00A4609A">
            <w:pPr>
              <w:pStyle w:val="naisc"/>
              <w:spacing w:before="0" w:after="0"/>
              <w:jc w:val="both"/>
              <w:rPr>
                <w:b/>
                <w:color w:val="000000" w:themeColor="text1"/>
              </w:rPr>
            </w:pPr>
            <w:r>
              <w:rPr>
                <w:b/>
                <w:color w:val="000000" w:themeColor="text1"/>
              </w:rPr>
              <w:t>Ņemts vērā.</w:t>
            </w:r>
          </w:p>
        </w:tc>
        <w:tc>
          <w:tcPr>
            <w:tcW w:w="2268" w:type="dxa"/>
            <w:tcBorders>
              <w:top w:val="single" w:sz="4" w:space="0" w:color="auto"/>
              <w:left w:val="single" w:sz="4" w:space="0" w:color="auto"/>
              <w:bottom w:val="single" w:sz="4" w:space="0" w:color="auto"/>
            </w:tcBorders>
          </w:tcPr>
          <w:p w14:paraId="27D2CB83" w14:textId="211807CD" w:rsidR="00A4609A" w:rsidRDefault="00A4609A" w:rsidP="00A4609A">
            <w:pPr>
              <w:rPr>
                <w:color w:val="000000" w:themeColor="text1"/>
              </w:rPr>
            </w:pPr>
            <w:r>
              <w:rPr>
                <w:color w:val="000000" w:themeColor="text1"/>
              </w:rPr>
              <w:t>Papildināts anotācijas III sadaļas 6.punkts</w:t>
            </w:r>
          </w:p>
        </w:tc>
      </w:tr>
      <w:tr w:rsidR="00A4609A" w:rsidRPr="001C57E1" w14:paraId="568C1A87" w14:textId="77777777" w:rsidTr="00F252F0">
        <w:tc>
          <w:tcPr>
            <w:tcW w:w="708" w:type="dxa"/>
            <w:tcBorders>
              <w:top w:val="single" w:sz="6" w:space="0" w:color="000000"/>
              <w:left w:val="single" w:sz="6" w:space="0" w:color="000000"/>
              <w:bottom w:val="single" w:sz="6" w:space="0" w:color="000000"/>
              <w:right w:val="single" w:sz="6" w:space="0" w:color="000000"/>
            </w:tcBorders>
          </w:tcPr>
          <w:p w14:paraId="5AF1E47C" w14:textId="45549067" w:rsidR="00A4609A" w:rsidRDefault="00A4609A" w:rsidP="00A4609A">
            <w:pPr>
              <w:pStyle w:val="naisc"/>
              <w:spacing w:before="0" w:after="0"/>
              <w:rPr>
                <w:color w:val="000000" w:themeColor="text1"/>
              </w:rPr>
            </w:pPr>
            <w:r>
              <w:rPr>
                <w:color w:val="000000" w:themeColor="text1"/>
              </w:rPr>
              <w:t>1</w:t>
            </w:r>
            <w:r w:rsidR="00D7451B">
              <w:rPr>
                <w:color w:val="000000" w:themeColor="text1"/>
              </w:rPr>
              <w:t>5</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0CD7418A" w14:textId="6315226D" w:rsidR="00A4609A" w:rsidRDefault="00A4609A" w:rsidP="00A4609A">
            <w:pPr>
              <w:contextualSpacing/>
              <w:jc w:val="both"/>
              <w:outlineLvl w:val="0"/>
            </w:pPr>
            <w:r w:rsidRPr="004F04FE">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7CFAAFA8" w14:textId="4FE30DFB" w:rsidR="00A4609A" w:rsidRDefault="00A4609A" w:rsidP="00A4609A">
            <w:pPr>
              <w:jc w:val="both"/>
              <w:rPr>
                <w:b/>
                <w:bCs/>
              </w:rPr>
            </w:pPr>
            <w:r>
              <w:rPr>
                <w:b/>
                <w:bCs/>
              </w:rPr>
              <w:t>Finanšu ministrija</w:t>
            </w:r>
          </w:p>
          <w:p w14:paraId="38FA1277" w14:textId="3831BC90" w:rsidR="00A4609A" w:rsidRPr="00750953" w:rsidRDefault="00A4609A" w:rsidP="00A4609A">
            <w:pPr>
              <w:jc w:val="both"/>
            </w:pPr>
            <w:r w:rsidRPr="00750953">
              <w:t>9. Ņemot vērā anotācijas III sadaļas 6.punktā norādīto, ka noteikumu projekta paredzēto pasākumu turpināšanai 2022.gadam un turpmāk ik gadu būs nepieciešams papildu valsts budžeta finansējums, papildināms anotācijas III sadaļas 6.punkts, norādot, ka jautājums par papildu finansējuma piešķiršanu 2022.gadam un turpmāk ik gadu izskatāms Ministru kabinetā likumprojekta “Par valsts budžetu 2022.gadam” un likumprojekta “Par vidējā termiņa budžeta ietvaru 2022., 2023. un 2024.gadam” sagatavošanas un izskatīšanas procesā kopā ar visu ministriju un citu centrālo valsts iestāžu iesniegtajiem prioritāro pasākumu pieteikumiem atbilstoši valsts budžeta finansiālajām iespējām.</w:t>
            </w:r>
          </w:p>
        </w:tc>
        <w:tc>
          <w:tcPr>
            <w:tcW w:w="3261" w:type="dxa"/>
            <w:tcBorders>
              <w:top w:val="single" w:sz="6" w:space="0" w:color="000000"/>
              <w:left w:val="single" w:sz="6" w:space="0" w:color="000000"/>
              <w:bottom w:val="single" w:sz="6" w:space="0" w:color="000000"/>
              <w:right w:val="single" w:sz="6" w:space="0" w:color="000000"/>
            </w:tcBorders>
          </w:tcPr>
          <w:p w14:paraId="6CA33612" w14:textId="28CE7347" w:rsidR="00A4609A" w:rsidRPr="002D3A58" w:rsidRDefault="00A4609A" w:rsidP="00A4609A">
            <w:pPr>
              <w:pStyle w:val="naisc"/>
              <w:spacing w:before="0" w:after="0"/>
              <w:jc w:val="both"/>
              <w:rPr>
                <w:b/>
                <w:color w:val="000000" w:themeColor="text1"/>
              </w:rPr>
            </w:pPr>
            <w:r>
              <w:rPr>
                <w:b/>
                <w:color w:val="000000" w:themeColor="text1"/>
              </w:rPr>
              <w:t>Ņemts vērā.</w:t>
            </w:r>
          </w:p>
        </w:tc>
        <w:tc>
          <w:tcPr>
            <w:tcW w:w="2268" w:type="dxa"/>
            <w:tcBorders>
              <w:top w:val="single" w:sz="4" w:space="0" w:color="auto"/>
              <w:left w:val="single" w:sz="4" w:space="0" w:color="auto"/>
              <w:bottom w:val="single" w:sz="4" w:space="0" w:color="auto"/>
            </w:tcBorders>
          </w:tcPr>
          <w:p w14:paraId="4C5E3E62" w14:textId="43E0CE99" w:rsidR="00A4609A" w:rsidRDefault="00A4609A" w:rsidP="00A4609A">
            <w:pPr>
              <w:rPr>
                <w:color w:val="000000" w:themeColor="text1"/>
              </w:rPr>
            </w:pPr>
            <w:r>
              <w:rPr>
                <w:color w:val="000000" w:themeColor="text1"/>
              </w:rPr>
              <w:t>Papildināts anotācijas III sadaļas 6.punkts</w:t>
            </w:r>
          </w:p>
        </w:tc>
      </w:tr>
      <w:tr w:rsidR="00A4609A" w:rsidRPr="001C57E1" w14:paraId="68DC8C2D" w14:textId="77777777" w:rsidTr="00F252F0">
        <w:tc>
          <w:tcPr>
            <w:tcW w:w="708" w:type="dxa"/>
            <w:tcBorders>
              <w:top w:val="single" w:sz="6" w:space="0" w:color="000000"/>
              <w:left w:val="single" w:sz="6" w:space="0" w:color="000000"/>
              <w:bottom w:val="single" w:sz="6" w:space="0" w:color="000000"/>
              <w:right w:val="single" w:sz="6" w:space="0" w:color="000000"/>
            </w:tcBorders>
          </w:tcPr>
          <w:p w14:paraId="3E340A4E" w14:textId="74F6AA00" w:rsidR="00A4609A" w:rsidRDefault="00A4609A" w:rsidP="00A4609A">
            <w:pPr>
              <w:pStyle w:val="naisc"/>
              <w:spacing w:before="0" w:after="0"/>
              <w:rPr>
                <w:color w:val="000000" w:themeColor="text1"/>
              </w:rPr>
            </w:pPr>
            <w:r>
              <w:rPr>
                <w:color w:val="000000" w:themeColor="text1"/>
              </w:rPr>
              <w:t>1</w:t>
            </w:r>
            <w:r w:rsidR="00D7451B">
              <w:rPr>
                <w:color w:val="000000" w:themeColor="text1"/>
              </w:rPr>
              <w:t>6</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6D7C1788" w14:textId="3CD697D3" w:rsidR="00A4609A" w:rsidRDefault="00A4609A" w:rsidP="00A4609A">
            <w:pPr>
              <w:contextualSpacing/>
              <w:jc w:val="both"/>
              <w:outlineLvl w:val="0"/>
            </w:pPr>
            <w:r w:rsidRPr="004F04FE">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4E740304" w14:textId="595CE1EE" w:rsidR="00A4609A" w:rsidRPr="002E4083" w:rsidRDefault="00A4609A" w:rsidP="00A4609A">
            <w:pPr>
              <w:jc w:val="both"/>
              <w:rPr>
                <w:b/>
                <w:bCs/>
              </w:rPr>
            </w:pPr>
            <w:r w:rsidRPr="002E4083">
              <w:rPr>
                <w:b/>
                <w:bCs/>
              </w:rPr>
              <w:t>Finanšu ministrija</w:t>
            </w:r>
          </w:p>
          <w:p w14:paraId="3EC7F338" w14:textId="77777777" w:rsidR="00A4609A" w:rsidRDefault="00A4609A" w:rsidP="00A4609A">
            <w:pPr>
              <w:jc w:val="both"/>
            </w:pPr>
            <w:r w:rsidRPr="00CE10C2">
              <w:t>10. Lūdzam anotācijas III sadaļas 6.punktu papildināt, norādot noteikumu projekta 7. un 8.punktā paredzētā pasākuma īstenošanai plānoto finansējuma apmēru, pievienojot detalizētus aprēķinus, ņemot vērā anotācijā norādīto (11.lpp.), ka pasākums tiks īstenots VM piešķirto līdzekļu ietvaros, pamatojoties uz MK 19.01.2021. rīkojumu Nr.35 “Par finanšu līdzekļu piešķiršanu no valsts budžeta programmas “Līdzekļi neparedzētiem gadījumiem””.</w:t>
            </w:r>
          </w:p>
          <w:p w14:paraId="4C9F9F9C" w14:textId="0A7B7F1B" w:rsidR="00A4609A" w:rsidRPr="002E4083" w:rsidRDefault="00A4609A" w:rsidP="00A4609A">
            <w:pPr>
              <w:jc w:val="both"/>
            </w:pPr>
          </w:p>
        </w:tc>
        <w:tc>
          <w:tcPr>
            <w:tcW w:w="3261" w:type="dxa"/>
            <w:tcBorders>
              <w:top w:val="single" w:sz="6" w:space="0" w:color="000000"/>
              <w:left w:val="single" w:sz="6" w:space="0" w:color="000000"/>
              <w:bottom w:val="single" w:sz="6" w:space="0" w:color="000000"/>
              <w:right w:val="single" w:sz="6" w:space="0" w:color="000000"/>
            </w:tcBorders>
          </w:tcPr>
          <w:p w14:paraId="22BB1065" w14:textId="02B42B54" w:rsidR="00A4609A" w:rsidRPr="002D3A58" w:rsidRDefault="00A4609A" w:rsidP="00A4609A">
            <w:pPr>
              <w:pStyle w:val="naisc"/>
              <w:spacing w:before="0" w:after="0"/>
              <w:jc w:val="both"/>
              <w:rPr>
                <w:b/>
                <w:color w:val="000000" w:themeColor="text1"/>
              </w:rPr>
            </w:pPr>
            <w:r>
              <w:rPr>
                <w:b/>
                <w:color w:val="000000" w:themeColor="text1"/>
              </w:rPr>
              <w:t>Ņemts vērā.</w:t>
            </w:r>
          </w:p>
        </w:tc>
        <w:tc>
          <w:tcPr>
            <w:tcW w:w="2268" w:type="dxa"/>
            <w:tcBorders>
              <w:top w:val="single" w:sz="4" w:space="0" w:color="auto"/>
              <w:left w:val="single" w:sz="4" w:space="0" w:color="auto"/>
              <w:bottom w:val="single" w:sz="4" w:space="0" w:color="auto"/>
            </w:tcBorders>
          </w:tcPr>
          <w:p w14:paraId="7D70BBAB" w14:textId="1A74D20E" w:rsidR="00A4609A" w:rsidRDefault="00A4609A" w:rsidP="00A4609A">
            <w:pPr>
              <w:rPr>
                <w:color w:val="000000" w:themeColor="text1"/>
              </w:rPr>
            </w:pPr>
            <w:r>
              <w:rPr>
                <w:color w:val="000000" w:themeColor="text1"/>
              </w:rPr>
              <w:t>Papildināts anotācijas III sadaļas 6.punkts un pievienots 7.pielikums</w:t>
            </w:r>
          </w:p>
        </w:tc>
      </w:tr>
      <w:tr w:rsidR="00A4609A" w:rsidRPr="001C57E1" w14:paraId="6ED7EA3C" w14:textId="77777777" w:rsidTr="00F252F0">
        <w:tc>
          <w:tcPr>
            <w:tcW w:w="708" w:type="dxa"/>
            <w:tcBorders>
              <w:top w:val="single" w:sz="6" w:space="0" w:color="000000"/>
              <w:left w:val="single" w:sz="6" w:space="0" w:color="000000"/>
              <w:bottom w:val="single" w:sz="6" w:space="0" w:color="000000"/>
              <w:right w:val="single" w:sz="6" w:space="0" w:color="000000"/>
            </w:tcBorders>
          </w:tcPr>
          <w:p w14:paraId="15118AA6" w14:textId="20D35B0E" w:rsidR="00A4609A" w:rsidRDefault="00A4609A" w:rsidP="00A4609A">
            <w:pPr>
              <w:pStyle w:val="naisc"/>
              <w:spacing w:before="0" w:after="0"/>
              <w:rPr>
                <w:color w:val="000000" w:themeColor="text1"/>
              </w:rPr>
            </w:pPr>
            <w:r>
              <w:rPr>
                <w:color w:val="000000" w:themeColor="text1"/>
              </w:rPr>
              <w:lastRenderedPageBreak/>
              <w:t>1</w:t>
            </w:r>
            <w:r w:rsidR="00D7451B">
              <w:rPr>
                <w:color w:val="000000" w:themeColor="text1"/>
              </w:rPr>
              <w:t>7</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5D00ADC3" w14:textId="0F8B4688" w:rsidR="00A4609A" w:rsidRDefault="00A4609A" w:rsidP="00A4609A">
            <w:pPr>
              <w:contextualSpacing/>
              <w:jc w:val="both"/>
              <w:outlineLvl w:val="0"/>
            </w:pPr>
            <w:r w:rsidRPr="004F04FE">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23EDE2E5" w14:textId="74FEE2AF" w:rsidR="00A4609A" w:rsidRDefault="00A4609A" w:rsidP="00A4609A">
            <w:pPr>
              <w:jc w:val="both"/>
              <w:rPr>
                <w:b/>
                <w:bCs/>
              </w:rPr>
            </w:pPr>
            <w:r>
              <w:rPr>
                <w:b/>
                <w:bCs/>
              </w:rPr>
              <w:t>Finanšu ministrija</w:t>
            </w:r>
          </w:p>
          <w:p w14:paraId="7E16F92A" w14:textId="0DD3DDE5" w:rsidR="00A4609A" w:rsidRPr="0013163F" w:rsidRDefault="00A4609A" w:rsidP="00A4609A">
            <w:pPr>
              <w:jc w:val="both"/>
            </w:pPr>
            <w:r w:rsidRPr="0013163F">
              <w:t>11. Lūdzam precizēt anotācijas III sadaļas 5.aili “izmaiņas, salīdzinot ar vidēja termiņa budžeta ietvaru 2022.gadam”, gadu “2021.” aizstājot ar gadu “2022.”.</w:t>
            </w:r>
          </w:p>
        </w:tc>
        <w:tc>
          <w:tcPr>
            <w:tcW w:w="3261" w:type="dxa"/>
            <w:tcBorders>
              <w:top w:val="single" w:sz="6" w:space="0" w:color="000000"/>
              <w:left w:val="single" w:sz="6" w:space="0" w:color="000000"/>
              <w:bottom w:val="single" w:sz="6" w:space="0" w:color="000000"/>
              <w:right w:val="single" w:sz="6" w:space="0" w:color="000000"/>
            </w:tcBorders>
          </w:tcPr>
          <w:p w14:paraId="5261AC9A" w14:textId="7D1EC016" w:rsidR="00A4609A" w:rsidRPr="002D3A58" w:rsidRDefault="00A4609A" w:rsidP="00A4609A">
            <w:pPr>
              <w:pStyle w:val="naisc"/>
              <w:spacing w:before="0" w:after="0"/>
              <w:jc w:val="both"/>
              <w:rPr>
                <w:b/>
                <w:color w:val="000000" w:themeColor="text1"/>
              </w:rPr>
            </w:pPr>
            <w:r>
              <w:rPr>
                <w:b/>
                <w:color w:val="000000" w:themeColor="text1"/>
              </w:rPr>
              <w:t>Ņemts vēra.</w:t>
            </w:r>
          </w:p>
        </w:tc>
        <w:tc>
          <w:tcPr>
            <w:tcW w:w="2268" w:type="dxa"/>
            <w:tcBorders>
              <w:top w:val="single" w:sz="4" w:space="0" w:color="auto"/>
              <w:left w:val="single" w:sz="4" w:space="0" w:color="auto"/>
              <w:bottom w:val="single" w:sz="4" w:space="0" w:color="auto"/>
            </w:tcBorders>
          </w:tcPr>
          <w:p w14:paraId="082782F7" w14:textId="61C7393B" w:rsidR="00A4609A" w:rsidRDefault="00A4609A" w:rsidP="00A4609A">
            <w:pPr>
              <w:rPr>
                <w:color w:val="000000" w:themeColor="text1"/>
              </w:rPr>
            </w:pPr>
            <w:r>
              <w:rPr>
                <w:color w:val="000000" w:themeColor="text1"/>
              </w:rPr>
              <w:t>Precizēta anotācijas III sadaļas 5.aile.</w:t>
            </w:r>
          </w:p>
        </w:tc>
      </w:tr>
      <w:tr w:rsidR="00A4609A" w:rsidRPr="001C57E1" w14:paraId="1F3DA74B" w14:textId="77777777" w:rsidTr="00F252F0">
        <w:tc>
          <w:tcPr>
            <w:tcW w:w="708" w:type="dxa"/>
            <w:tcBorders>
              <w:top w:val="single" w:sz="6" w:space="0" w:color="000000"/>
              <w:left w:val="single" w:sz="6" w:space="0" w:color="000000"/>
              <w:bottom w:val="single" w:sz="6" w:space="0" w:color="000000"/>
              <w:right w:val="single" w:sz="6" w:space="0" w:color="000000"/>
            </w:tcBorders>
          </w:tcPr>
          <w:p w14:paraId="27A5222A" w14:textId="5A02716B" w:rsidR="00A4609A" w:rsidRDefault="00A4609A" w:rsidP="00A4609A">
            <w:pPr>
              <w:pStyle w:val="naisc"/>
              <w:spacing w:before="0" w:after="0"/>
              <w:rPr>
                <w:color w:val="000000" w:themeColor="text1"/>
              </w:rPr>
            </w:pPr>
            <w:r>
              <w:rPr>
                <w:color w:val="000000" w:themeColor="text1"/>
              </w:rPr>
              <w:t>1</w:t>
            </w:r>
            <w:r w:rsidR="00D7451B">
              <w:rPr>
                <w:color w:val="000000" w:themeColor="text1"/>
              </w:rPr>
              <w:t>8</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051C7F53" w14:textId="5B012D00" w:rsidR="00A4609A" w:rsidRDefault="00A4609A" w:rsidP="00A4609A">
            <w:pPr>
              <w:contextualSpacing/>
              <w:jc w:val="both"/>
              <w:outlineLvl w:val="0"/>
            </w:pPr>
            <w:r w:rsidRPr="004D5585">
              <w:t>Skatīt anotācijas pielikumu.</w:t>
            </w:r>
          </w:p>
        </w:tc>
        <w:tc>
          <w:tcPr>
            <w:tcW w:w="5412" w:type="dxa"/>
            <w:gridSpan w:val="3"/>
            <w:tcBorders>
              <w:top w:val="single" w:sz="6" w:space="0" w:color="000000"/>
              <w:left w:val="single" w:sz="6" w:space="0" w:color="000000"/>
              <w:bottom w:val="single" w:sz="6" w:space="0" w:color="000000"/>
              <w:right w:val="single" w:sz="6" w:space="0" w:color="000000"/>
            </w:tcBorders>
          </w:tcPr>
          <w:p w14:paraId="0EF3D21E" w14:textId="0FE4A633" w:rsidR="00A4609A" w:rsidRPr="0013163F" w:rsidRDefault="00A4609A" w:rsidP="00A4609A">
            <w:pPr>
              <w:jc w:val="both"/>
              <w:rPr>
                <w:b/>
                <w:bCs/>
              </w:rPr>
            </w:pPr>
            <w:r w:rsidRPr="0013163F">
              <w:rPr>
                <w:b/>
                <w:bCs/>
              </w:rPr>
              <w:t>Finanšu ministrija</w:t>
            </w:r>
          </w:p>
          <w:p w14:paraId="43C56644" w14:textId="644BF8FF" w:rsidR="00A4609A" w:rsidRPr="0013163F" w:rsidRDefault="00A4609A" w:rsidP="00A4609A">
            <w:pPr>
              <w:jc w:val="both"/>
            </w:pPr>
            <w:r>
              <w:t xml:space="preserve">12. </w:t>
            </w:r>
            <w:r w:rsidRPr="0013163F">
              <w:t>Lūdzam precizēt anotācijas 1.pielikumu, jo:</w:t>
            </w:r>
          </w:p>
          <w:p w14:paraId="06F1164C" w14:textId="77777777" w:rsidR="00A4609A" w:rsidRPr="0013163F" w:rsidRDefault="00A4609A" w:rsidP="00A4609A">
            <w:pPr>
              <w:jc w:val="both"/>
            </w:pPr>
            <w:r w:rsidRPr="0013163F">
              <w:t xml:space="preserve">12.1. nav norādīts, cik lielam kontingentam tiks nodrošināts prostatas vēža skrīnings;  </w:t>
            </w:r>
          </w:p>
          <w:p w14:paraId="69F1220C" w14:textId="77777777" w:rsidR="00A4609A" w:rsidRPr="0013163F" w:rsidRDefault="00A4609A" w:rsidP="00A4609A">
            <w:pPr>
              <w:jc w:val="both"/>
            </w:pPr>
            <w:r w:rsidRPr="0013163F">
              <w:t>12.2. ailē “Unikālo pacientu skaits 2019.gadā vecumā no 50-75 gadiem, kam bija noteikts PSA (neieskaitot “zaļā koridora” izmeklējumus)” unikālo pacientu skaits norādīts par 2019.gadu, savukārt ailē “Izmaksas 2020.gadā, euro” norādītas izmaksas par 2020.gadu un, aprēķinot izmaksas 2020.gadam, tiek izmantots unikālo pacientu skaits 2019.gadam.</w:t>
            </w:r>
          </w:p>
          <w:p w14:paraId="314D535E" w14:textId="62B4084A" w:rsidR="00A4609A" w:rsidRDefault="00A4609A" w:rsidP="00A4609A">
            <w:pPr>
              <w:jc w:val="both"/>
              <w:rPr>
                <w:b/>
                <w:bCs/>
              </w:rPr>
            </w:pPr>
            <w:r w:rsidRPr="0013163F">
              <w:t>12.3. nav saprotams ailē “Nepieciešamais finansējums mērķa grupai ar aptveri 81%, euro” norādītais mērķa grupas aptveres koeficients.</w:t>
            </w:r>
          </w:p>
        </w:tc>
        <w:tc>
          <w:tcPr>
            <w:tcW w:w="3261" w:type="dxa"/>
            <w:tcBorders>
              <w:top w:val="single" w:sz="6" w:space="0" w:color="000000"/>
              <w:left w:val="single" w:sz="6" w:space="0" w:color="000000"/>
              <w:bottom w:val="single" w:sz="6" w:space="0" w:color="000000"/>
              <w:right w:val="single" w:sz="6" w:space="0" w:color="000000"/>
            </w:tcBorders>
          </w:tcPr>
          <w:p w14:paraId="7E840A2C" w14:textId="24CD89AA" w:rsidR="00A4609A" w:rsidRPr="002D3A58" w:rsidRDefault="00A4609A" w:rsidP="00A4609A">
            <w:pPr>
              <w:pStyle w:val="naisc"/>
              <w:spacing w:before="0" w:after="0"/>
              <w:jc w:val="both"/>
              <w:rPr>
                <w:b/>
                <w:color w:val="000000" w:themeColor="text1"/>
              </w:rPr>
            </w:pPr>
            <w:r>
              <w:rPr>
                <w:b/>
                <w:color w:val="000000" w:themeColor="text1"/>
              </w:rPr>
              <w:t>Ņemts vērā.</w:t>
            </w:r>
          </w:p>
        </w:tc>
        <w:tc>
          <w:tcPr>
            <w:tcW w:w="2268" w:type="dxa"/>
            <w:tcBorders>
              <w:top w:val="single" w:sz="4" w:space="0" w:color="auto"/>
              <w:left w:val="single" w:sz="4" w:space="0" w:color="auto"/>
              <w:bottom w:val="single" w:sz="4" w:space="0" w:color="auto"/>
            </w:tcBorders>
          </w:tcPr>
          <w:p w14:paraId="2A872FB3" w14:textId="436EC9DF" w:rsidR="00A4609A" w:rsidRDefault="00A4609A" w:rsidP="00A4609A">
            <w:pPr>
              <w:rPr>
                <w:color w:val="000000" w:themeColor="text1"/>
              </w:rPr>
            </w:pPr>
            <w:r>
              <w:rPr>
                <w:color w:val="000000" w:themeColor="text1"/>
              </w:rPr>
              <w:t>Papildināts anotācijas 1.pielikums</w:t>
            </w:r>
          </w:p>
        </w:tc>
      </w:tr>
      <w:tr w:rsidR="00A4609A" w:rsidRPr="001C57E1" w14:paraId="73E3BBF5" w14:textId="77777777" w:rsidTr="00F252F0">
        <w:tc>
          <w:tcPr>
            <w:tcW w:w="708" w:type="dxa"/>
            <w:tcBorders>
              <w:top w:val="single" w:sz="6" w:space="0" w:color="000000"/>
              <w:left w:val="single" w:sz="6" w:space="0" w:color="000000"/>
              <w:bottom w:val="single" w:sz="6" w:space="0" w:color="000000"/>
              <w:right w:val="single" w:sz="6" w:space="0" w:color="000000"/>
            </w:tcBorders>
          </w:tcPr>
          <w:p w14:paraId="167CA526" w14:textId="091C2D2D" w:rsidR="00A4609A" w:rsidRDefault="00A4609A" w:rsidP="00A4609A">
            <w:pPr>
              <w:pStyle w:val="naisc"/>
              <w:spacing w:before="0" w:after="0"/>
              <w:rPr>
                <w:color w:val="000000" w:themeColor="text1"/>
              </w:rPr>
            </w:pPr>
            <w:r>
              <w:rPr>
                <w:color w:val="000000" w:themeColor="text1"/>
              </w:rPr>
              <w:t>1</w:t>
            </w:r>
            <w:r w:rsidR="00D7451B">
              <w:rPr>
                <w:color w:val="000000" w:themeColor="text1"/>
              </w:rPr>
              <w:t>9</w:t>
            </w:r>
            <w:r>
              <w:rPr>
                <w:color w:val="000000" w:themeColor="text1"/>
              </w:rPr>
              <w:t>.</w:t>
            </w:r>
          </w:p>
        </w:tc>
        <w:tc>
          <w:tcPr>
            <w:tcW w:w="2377" w:type="dxa"/>
            <w:gridSpan w:val="2"/>
            <w:tcBorders>
              <w:top w:val="single" w:sz="6" w:space="0" w:color="000000"/>
              <w:left w:val="single" w:sz="6" w:space="0" w:color="000000"/>
              <w:bottom w:val="single" w:sz="6" w:space="0" w:color="000000"/>
              <w:right w:val="single" w:sz="6" w:space="0" w:color="000000"/>
            </w:tcBorders>
          </w:tcPr>
          <w:p w14:paraId="46D85E4C" w14:textId="5ECEB901" w:rsidR="00A4609A" w:rsidRDefault="00A4609A" w:rsidP="00A4609A">
            <w:pPr>
              <w:contextualSpacing/>
              <w:jc w:val="both"/>
              <w:outlineLvl w:val="0"/>
            </w:pPr>
            <w:r w:rsidRPr="0098668F">
              <w:t>Skatīt anotācij</w:t>
            </w:r>
            <w:r>
              <w:t>as pielikumu.</w:t>
            </w:r>
          </w:p>
        </w:tc>
        <w:tc>
          <w:tcPr>
            <w:tcW w:w="5412" w:type="dxa"/>
            <w:gridSpan w:val="3"/>
            <w:tcBorders>
              <w:top w:val="single" w:sz="6" w:space="0" w:color="000000"/>
              <w:left w:val="single" w:sz="6" w:space="0" w:color="000000"/>
              <w:bottom w:val="single" w:sz="6" w:space="0" w:color="000000"/>
              <w:right w:val="single" w:sz="6" w:space="0" w:color="000000"/>
            </w:tcBorders>
          </w:tcPr>
          <w:p w14:paraId="0F8CF441" w14:textId="37A74469" w:rsidR="00A4609A" w:rsidRDefault="00A4609A" w:rsidP="00A4609A">
            <w:pPr>
              <w:jc w:val="both"/>
              <w:rPr>
                <w:b/>
                <w:bCs/>
              </w:rPr>
            </w:pPr>
            <w:r>
              <w:rPr>
                <w:b/>
                <w:bCs/>
              </w:rPr>
              <w:t>Finanšu ministrija</w:t>
            </w:r>
            <w:r w:rsidR="00DC2F59">
              <w:rPr>
                <w:b/>
                <w:bCs/>
              </w:rPr>
              <w:t xml:space="preserve">. </w:t>
            </w:r>
          </w:p>
          <w:p w14:paraId="0296D34C" w14:textId="361F8CA0" w:rsidR="00A4609A" w:rsidRPr="0013163F" w:rsidRDefault="00A4609A" w:rsidP="00A4609A">
            <w:pPr>
              <w:jc w:val="both"/>
            </w:pPr>
            <w:r w:rsidRPr="0013163F">
              <w:t>14. Lūdzam anotācijas 6.pielikumā precizēt ārstniecības iestāžu numerāciju.</w:t>
            </w:r>
          </w:p>
          <w:p w14:paraId="75A66BFD" w14:textId="443DBD1E" w:rsidR="00A4609A" w:rsidRDefault="00A4609A" w:rsidP="00A4609A">
            <w:pPr>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0C89B5B6" w14:textId="360182FC" w:rsidR="00A4609A" w:rsidRPr="002D3A58" w:rsidRDefault="00A4609A" w:rsidP="00A4609A">
            <w:pPr>
              <w:pStyle w:val="naisc"/>
              <w:spacing w:before="0" w:after="0"/>
              <w:jc w:val="both"/>
              <w:rPr>
                <w:b/>
                <w:color w:val="000000" w:themeColor="text1"/>
              </w:rPr>
            </w:pPr>
            <w:r>
              <w:rPr>
                <w:b/>
                <w:color w:val="000000" w:themeColor="text1"/>
              </w:rPr>
              <w:t>Ņemts vērā.</w:t>
            </w:r>
          </w:p>
        </w:tc>
        <w:tc>
          <w:tcPr>
            <w:tcW w:w="2268" w:type="dxa"/>
            <w:tcBorders>
              <w:top w:val="single" w:sz="4" w:space="0" w:color="auto"/>
              <w:left w:val="single" w:sz="4" w:space="0" w:color="auto"/>
              <w:bottom w:val="single" w:sz="4" w:space="0" w:color="auto"/>
            </w:tcBorders>
          </w:tcPr>
          <w:p w14:paraId="1A0CB0B4" w14:textId="43700A2F" w:rsidR="00A4609A" w:rsidRDefault="00A4609A" w:rsidP="00A4609A">
            <w:pPr>
              <w:rPr>
                <w:color w:val="000000" w:themeColor="text1"/>
              </w:rPr>
            </w:pPr>
            <w:r>
              <w:rPr>
                <w:color w:val="000000" w:themeColor="text1"/>
              </w:rPr>
              <w:t>Precizēta anotācijas 6.pielikumā ārstniecības iestāžu numerācija.</w:t>
            </w:r>
          </w:p>
        </w:tc>
      </w:tr>
      <w:tr w:rsidR="00DC2F59" w:rsidRPr="001C57E1" w14:paraId="4EE5E51D" w14:textId="77777777" w:rsidTr="00F252F0">
        <w:tc>
          <w:tcPr>
            <w:tcW w:w="708" w:type="dxa"/>
            <w:tcBorders>
              <w:top w:val="single" w:sz="6" w:space="0" w:color="000000"/>
              <w:left w:val="single" w:sz="6" w:space="0" w:color="000000"/>
              <w:bottom w:val="single" w:sz="6" w:space="0" w:color="000000"/>
              <w:right w:val="single" w:sz="6" w:space="0" w:color="000000"/>
            </w:tcBorders>
          </w:tcPr>
          <w:p w14:paraId="3CF0898F" w14:textId="3A88B4C2" w:rsidR="00DC2F59" w:rsidRDefault="00DC2F59" w:rsidP="00DC2F59">
            <w:pPr>
              <w:pStyle w:val="naisc"/>
              <w:spacing w:before="0" w:after="0"/>
              <w:rPr>
                <w:color w:val="000000" w:themeColor="text1"/>
              </w:rPr>
            </w:pPr>
            <w:r>
              <w:rPr>
                <w:color w:val="000000" w:themeColor="text1"/>
              </w:rPr>
              <w:t>20.</w:t>
            </w:r>
          </w:p>
        </w:tc>
        <w:tc>
          <w:tcPr>
            <w:tcW w:w="2377" w:type="dxa"/>
            <w:gridSpan w:val="2"/>
            <w:tcBorders>
              <w:top w:val="single" w:sz="6" w:space="0" w:color="000000"/>
              <w:left w:val="single" w:sz="6" w:space="0" w:color="000000"/>
              <w:bottom w:val="single" w:sz="6" w:space="0" w:color="000000"/>
              <w:right w:val="single" w:sz="6" w:space="0" w:color="000000"/>
            </w:tcBorders>
          </w:tcPr>
          <w:p w14:paraId="72DA03CB" w14:textId="66A73DD6" w:rsidR="00DC2F59" w:rsidRPr="0098668F" w:rsidRDefault="00DC2F59" w:rsidP="00DC2F59">
            <w:pPr>
              <w:contextualSpacing/>
              <w:jc w:val="both"/>
              <w:outlineLvl w:val="0"/>
            </w:pPr>
            <w:r w:rsidRPr="00523B91">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17AF69D5" w14:textId="77777777" w:rsidR="00DC2F59" w:rsidRPr="00DC2F59" w:rsidRDefault="00DC2F59" w:rsidP="00DC2F59">
            <w:pPr>
              <w:jc w:val="both"/>
              <w:rPr>
                <w:b/>
                <w:bCs/>
                <w:color w:val="000000" w:themeColor="text1"/>
              </w:rPr>
            </w:pPr>
            <w:r w:rsidRPr="00DC2F59">
              <w:rPr>
                <w:b/>
                <w:bCs/>
                <w:color w:val="000000" w:themeColor="text1"/>
              </w:rPr>
              <w:t xml:space="preserve">Finanšu ministrija. </w:t>
            </w:r>
          </w:p>
          <w:p w14:paraId="35E71899" w14:textId="77777777" w:rsidR="00DC2F59" w:rsidRDefault="00DC2F59" w:rsidP="00DC2F59">
            <w:pPr>
              <w:jc w:val="both"/>
              <w:rPr>
                <w:color w:val="000000" w:themeColor="text1"/>
              </w:rPr>
            </w:pPr>
            <w:r w:rsidRPr="00ED7B2C">
              <w:rPr>
                <w:color w:val="000000" w:themeColor="text1"/>
              </w:rPr>
              <w:t xml:space="preserve">Iebildums </w:t>
            </w:r>
            <w:r>
              <w:rPr>
                <w:color w:val="000000" w:themeColor="text1"/>
              </w:rPr>
              <w:t>saņemts</w:t>
            </w:r>
            <w:r w:rsidRPr="00ED7B2C">
              <w:rPr>
                <w:color w:val="000000" w:themeColor="text1"/>
              </w:rPr>
              <w:t xml:space="preserve"> projekta saskaņošanas laikā.</w:t>
            </w:r>
          </w:p>
          <w:p w14:paraId="05D82CBB" w14:textId="04322564" w:rsidR="00DC2F59" w:rsidRPr="00DC2F59" w:rsidRDefault="00DC2F59" w:rsidP="00DC2F59">
            <w:pPr>
              <w:jc w:val="both"/>
              <w:rPr>
                <w:color w:val="000000" w:themeColor="text1"/>
              </w:rPr>
            </w:pPr>
            <w:r>
              <w:rPr>
                <w:color w:val="000000" w:themeColor="text1"/>
              </w:rPr>
              <w:t xml:space="preserve">15. </w:t>
            </w:r>
            <w:r w:rsidRPr="00DC2F59">
              <w:rPr>
                <w:color w:val="000000" w:themeColor="text1"/>
              </w:rPr>
              <w:t>Noteikumu projekta 5.punkts paredz papildināt Ministru kabineta 2018.gada 28.augusta noteikumus Nr.555 “Veselības aprūpes pakalpojumu organizēšanas un samaksas kārtība” (turpmāk – MKN 555) ar 257.punktu, nosakot, ka noteikumu 245.</w:t>
            </w:r>
            <w:r w:rsidRPr="00DC2F59">
              <w:rPr>
                <w:color w:val="000000" w:themeColor="text1"/>
                <w:vertAlign w:val="superscript"/>
              </w:rPr>
              <w:t>1</w:t>
            </w:r>
            <w:r w:rsidRPr="00DC2F59">
              <w:rPr>
                <w:color w:val="000000" w:themeColor="text1"/>
              </w:rPr>
              <w:t xml:space="preserve">.2. apakšpunkts stājas spēkā 2021.gada 1.jūlijā. Savukārt </w:t>
            </w:r>
            <w:r w:rsidRPr="00DC2F59">
              <w:rPr>
                <w:bCs/>
                <w:color w:val="000000" w:themeColor="text1"/>
              </w:rPr>
              <w:t xml:space="preserve">anotācijas III sadaļas “Tiesību akta projekta ietekme uz valsts budžetu un pašvaldību budžetiem” (turpmāk – III sadaļa) 6.punktā (11.lpp.) norādīts, ka </w:t>
            </w:r>
            <w:r w:rsidRPr="00DC2F59">
              <w:rPr>
                <w:color w:val="000000" w:themeColor="text1"/>
              </w:rPr>
              <w:t xml:space="preserve">maksu par </w:t>
            </w:r>
            <w:r w:rsidRPr="00DC2F59">
              <w:rPr>
                <w:color w:val="000000" w:themeColor="text1"/>
              </w:rPr>
              <w:lastRenderedPageBreak/>
              <w:t>konsultatīvā tālruņa darbības nodrošināšanu iedzīvotājiem psihoemocionālā atbalsta saņemšanai veic par laika periodu no 2021.gada 1.februāra. Ņemot vērā minēto, nepieciešams precizēt anotāciju un tās 3.pielikumu, attiecīgi samazinot minētā pasākuma īstenošanai nepieciešamo finansējuma apmēru.</w:t>
            </w:r>
          </w:p>
          <w:p w14:paraId="30D08293" w14:textId="5ECB3CC4" w:rsidR="00DC2F59" w:rsidRDefault="00DC2F59" w:rsidP="00DC2F59">
            <w:pPr>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4A2E16BF" w14:textId="3C9E2BC3" w:rsidR="00DC2F59" w:rsidRDefault="00DC2F59" w:rsidP="00DC2F59">
            <w:pPr>
              <w:pStyle w:val="naisc"/>
              <w:spacing w:before="0" w:after="0"/>
              <w:jc w:val="both"/>
              <w:rPr>
                <w:b/>
                <w:color w:val="000000" w:themeColor="text1"/>
              </w:rPr>
            </w:pPr>
            <w:r w:rsidRPr="003E1FCB">
              <w:rPr>
                <w:b/>
                <w:color w:val="000000" w:themeColor="text1"/>
              </w:rPr>
              <w:lastRenderedPageBreak/>
              <w:t>Ņemts vērā.</w:t>
            </w:r>
          </w:p>
        </w:tc>
        <w:tc>
          <w:tcPr>
            <w:tcW w:w="2268" w:type="dxa"/>
            <w:tcBorders>
              <w:top w:val="single" w:sz="4" w:space="0" w:color="auto"/>
              <w:left w:val="single" w:sz="4" w:space="0" w:color="auto"/>
              <w:bottom w:val="single" w:sz="4" w:space="0" w:color="auto"/>
            </w:tcBorders>
          </w:tcPr>
          <w:p w14:paraId="652B72F4" w14:textId="019CFD58" w:rsidR="00DC2F59" w:rsidRDefault="00DC2F59" w:rsidP="00DC2F59">
            <w:pPr>
              <w:rPr>
                <w:color w:val="000000" w:themeColor="text1"/>
              </w:rPr>
            </w:pPr>
            <w:r w:rsidRPr="00DC2F59">
              <w:rPr>
                <w:color w:val="000000" w:themeColor="text1"/>
              </w:rPr>
              <w:t>Precizēta anotācijas III sadaļa</w:t>
            </w:r>
            <w:r w:rsidR="00D2161A">
              <w:rPr>
                <w:color w:val="000000" w:themeColor="text1"/>
              </w:rPr>
              <w:t>.</w:t>
            </w:r>
          </w:p>
        </w:tc>
      </w:tr>
      <w:tr w:rsidR="00DC2F59" w:rsidRPr="001C57E1" w14:paraId="5FD9FE8F" w14:textId="77777777" w:rsidTr="00F252F0">
        <w:tc>
          <w:tcPr>
            <w:tcW w:w="708" w:type="dxa"/>
            <w:tcBorders>
              <w:top w:val="single" w:sz="6" w:space="0" w:color="000000"/>
              <w:left w:val="single" w:sz="6" w:space="0" w:color="000000"/>
              <w:bottom w:val="single" w:sz="6" w:space="0" w:color="000000"/>
              <w:right w:val="single" w:sz="6" w:space="0" w:color="000000"/>
            </w:tcBorders>
          </w:tcPr>
          <w:p w14:paraId="40CE5A8C" w14:textId="79B4D36A" w:rsidR="00DC2F59" w:rsidRDefault="00DC2F59" w:rsidP="00DC2F59">
            <w:pPr>
              <w:pStyle w:val="naisc"/>
              <w:spacing w:before="0" w:after="0"/>
              <w:rPr>
                <w:color w:val="000000" w:themeColor="text1"/>
              </w:rPr>
            </w:pPr>
            <w:r>
              <w:rPr>
                <w:color w:val="000000" w:themeColor="text1"/>
              </w:rPr>
              <w:t>21.</w:t>
            </w:r>
          </w:p>
        </w:tc>
        <w:tc>
          <w:tcPr>
            <w:tcW w:w="2377" w:type="dxa"/>
            <w:gridSpan w:val="2"/>
            <w:tcBorders>
              <w:top w:val="single" w:sz="6" w:space="0" w:color="000000"/>
              <w:left w:val="single" w:sz="6" w:space="0" w:color="000000"/>
              <w:bottom w:val="single" w:sz="6" w:space="0" w:color="000000"/>
              <w:right w:val="single" w:sz="6" w:space="0" w:color="000000"/>
            </w:tcBorders>
          </w:tcPr>
          <w:p w14:paraId="4774856D" w14:textId="3AFBDACD" w:rsidR="00DC2F59" w:rsidRPr="0098668F" w:rsidRDefault="00DC2F59" w:rsidP="00DC2F59">
            <w:pPr>
              <w:contextualSpacing/>
              <w:jc w:val="both"/>
              <w:outlineLvl w:val="0"/>
            </w:pPr>
            <w:r w:rsidRPr="00523B91">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1CDCF501" w14:textId="77777777" w:rsidR="00DC2F59" w:rsidRPr="00DC2F59" w:rsidRDefault="00DC2F59" w:rsidP="00DC2F59">
            <w:pPr>
              <w:jc w:val="both"/>
              <w:rPr>
                <w:b/>
                <w:bCs/>
                <w:color w:val="000000" w:themeColor="text1"/>
              </w:rPr>
            </w:pPr>
            <w:r w:rsidRPr="00DC2F59">
              <w:rPr>
                <w:b/>
                <w:bCs/>
                <w:color w:val="000000" w:themeColor="text1"/>
              </w:rPr>
              <w:t xml:space="preserve">Finanšu ministrija. </w:t>
            </w:r>
          </w:p>
          <w:p w14:paraId="79ED4723" w14:textId="77777777" w:rsidR="00DC2F59" w:rsidRDefault="00DC2F59" w:rsidP="00DC2F59">
            <w:pPr>
              <w:jc w:val="both"/>
              <w:rPr>
                <w:color w:val="000000" w:themeColor="text1"/>
              </w:rPr>
            </w:pPr>
            <w:r w:rsidRPr="00ED7B2C">
              <w:rPr>
                <w:color w:val="000000" w:themeColor="text1"/>
              </w:rPr>
              <w:t xml:space="preserve">Iebildums </w:t>
            </w:r>
            <w:r>
              <w:rPr>
                <w:color w:val="000000" w:themeColor="text1"/>
              </w:rPr>
              <w:t>saņemts</w:t>
            </w:r>
            <w:r w:rsidRPr="00ED7B2C">
              <w:rPr>
                <w:color w:val="000000" w:themeColor="text1"/>
              </w:rPr>
              <w:t xml:space="preserve"> projekta saskaņošanas laikā.</w:t>
            </w:r>
          </w:p>
          <w:p w14:paraId="5C2F74E5" w14:textId="7F92EC1C" w:rsidR="00DC2F59" w:rsidRDefault="00DC2F59" w:rsidP="00DC2F59">
            <w:pPr>
              <w:jc w:val="both"/>
              <w:rPr>
                <w:b/>
                <w:bCs/>
              </w:rPr>
            </w:pPr>
            <w:r>
              <w:t xml:space="preserve">16. </w:t>
            </w:r>
            <w:r w:rsidRPr="00DC2F59">
              <w:t xml:space="preserve">Lūdzam precizēt anotācijas III sadaļas 2.ailes “saskaņā ar valsts budžetu kārtējam gadam*” 1. un 2.punktā norādīto kopējo finansējumu, jo, saskaitot finansējumu pa programmām/apakšprogrammām,  veidojas summa 318 390 069 </w:t>
            </w:r>
            <w:r w:rsidRPr="00DC2F59">
              <w:rPr>
                <w:i/>
                <w:iCs/>
              </w:rPr>
              <w:t>euro</w:t>
            </w:r>
            <w:r w:rsidRPr="00DC2F59">
              <w:t xml:space="preserve">, nevis 327 472 480 </w:t>
            </w:r>
            <w:r w:rsidRPr="00DC2F59">
              <w:rPr>
                <w:i/>
                <w:iCs/>
              </w:rPr>
              <w:t>euro.</w:t>
            </w:r>
          </w:p>
        </w:tc>
        <w:tc>
          <w:tcPr>
            <w:tcW w:w="3261" w:type="dxa"/>
            <w:tcBorders>
              <w:top w:val="single" w:sz="6" w:space="0" w:color="000000"/>
              <w:left w:val="single" w:sz="6" w:space="0" w:color="000000"/>
              <w:bottom w:val="single" w:sz="6" w:space="0" w:color="000000"/>
              <w:right w:val="single" w:sz="6" w:space="0" w:color="000000"/>
            </w:tcBorders>
          </w:tcPr>
          <w:p w14:paraId="23A46E47" w14:textId="1B01BABF" w:rsidR="00DC2F59" w:rsidRDefault="00DC2F59" w:rsidP="00DC2F59">
            <w:pPr>
              <w:pStyle w:val="naisc"/>
              <w:spacing w:before="0" w:after="0"/>
              <w:jc w:val="both"/>
              <w:rPr>
                <w:b/>
                <w:color w:val="000000" w:themeColor="text1"/>
              </w:rPr>
            </w:pPr>
            <w:r w:rsidRPr="003E1FCB">
              <w:rPr>
                <w:b/>
                <w:color w:val="000000" w:themeColor="text1"/>
              </w:rPr>
              <w:t>Ņemts vērā.</w:t>
            </w:r>
          </w:p>
        </w:tc>
        <w:tc>
          <w:tcPr>
            <w:tcW w:w="2268" w:type="dxa"/>
            <w:tcBorders>
              <w:top w:val="single" w:sz="4" w:space="0" w:color="auto"/>
              <w:left w:val="single" w:sz="4" w:space="0" w:color="auto"/>
              <w:bottom w:val="single" w:sz="4" w:space="0" w:color="auto"/>
            </w:tcBorders>
          </w:tcPr>
          <w:p w14:paraId="762761A5" w14:textId="53D2E4E2" w:rsidR="00DC2F59" w:rsidRDefault="00DC2F59" w:rsidP="00DC2F59">
            <w:pPr>
              <w:rPr>
                <w:color w:val="000000" w:themeColor="text1"/>
              </w:rPr>
            </w:pPr>
            <w:r w:rsidRPr="00D20A03">
              <w:rPr>
                <w:color w:val="000000" w:themeColor="text1"/>
              </w:rPr>
              <w:t>Precizēta anotācijas III sadaļa</w:t>
            </w:r>
            <w:r w:rsidR="00D2161A">
              <w:rPr>
                <w:color w:val="000000" w:themeColor="text1"/>
              </w:rPr>
              <w:t>.</w:t>
            </w:r>
          </w:p>
        </w:tc>
      </w:tr>
      <w:tr w:rsidR="00DC2F59" w:rsidRPr="001C57E1" w14:paraId="35B0DF1F" w14:textId="77777777" w:rsidTr="00F252F0">
        <w:tc>
          <w:tcPr>
            <w:tcW w:w="708" w:type="dxa"/>
            <w:tcBorders>
              <w:top w:val="single" w:sz="6" w:space="0" w:color="000000"/>
              <w:left w:val="single" w:sz="6" w:space="0" w:color="000000"/>
              <w:bottom w:val="single" w:sz="6" w:space="0" w:color="000000"/>
              <w:right w:val="single" w:sz="6" w:space="0" w:color="000000"/>
            </w:tcBorders>
          </w:tcPr>
          <w:p w14:paraId="2CF60FF7" w14:textId="5AE66F5A" w:rsidR="00DC2F59" w:rsidRDefault="00DC2F59" w:rsidP="00DC2F59">
            <w:pPr>
              <w:pStyle w:val="naisc"/>
              <w:spacing w:before="0" w:after="0"/>
              <w:rPr>
                <w:color w:val="000000" w:themeColor="text1"/>
              </w:rPr>
            </w:pPr>
            <w:r>
              <w:rPr>
                <w:color w:val="000000" w:themeColor="text1"/>
              </w:rPr>
              <w:t>22.</w:t>
            </w:r>
          </w:p>
        </w:tc>
        <w:tc>
          <w:tcPr>
            <w:tcW w:w="2377" w:type="dxa"/>
            <w:gridSpan w:val="2"/>
            <w:tcBorders>
              <w:top w:val="single" w:sz="6" w:space="0" w:color="000000"/>
              <w:left w:val="single" w:sz="6" w:space="0" w:color="000000"/>
              <w:bottom w:val="single" w:sz="6" w:space="0" w:color="000000"/>
              <w:right w:val="single" w:sz="6" w:space="0" w:color="000000"/>
            </w:tcBorders>
          </w:tcPr>
          <w:p w14:paraId="76CF3E22" w14:textId="54916208" w:rsidR="00DC2F59" w:rsidRPr="0098668F" w:rsidRDefault="00DC2F59" w:rsidP="00DC2F59">
            <w:pPr>
              <w:contextualSpacing/>
              <w:jc w:val="both"/>
              <w:outlineLvl w:val="0"/>
            </w:pPr>
            <w:r w:rsidRPr="00523B91">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786E1495" w14:textId="77777777" w:rsidR="00DC2F59" w:rsidRPr="00DC2F59" w:rsidRDefault="00DC2F59" w:rsidP="00DC2F59">
            <w:pPr>
              <w:jc w:val="both"/>
              <w:rPr>
                <w:b/>
                <w:bCs/>
                <w:color w:val="000000" w:themeColor="text1"/>
              </w:rPr>
            </w:pPr>
            <w:r w:rsidRPr="00DC2F59">
              <w:rPr>
                <w:b/>
                <w:bCs/>
                <w:color w:val="000000" w:themeColor="text1"/>
              </w:rPr>
              <w:t xml:space="preserve">Finanšu ministrija. </w:t>
            </w:r>
          </w:p>
          <w:p w14:paraId="31DCA763" w14:textId="77777777" w:rsidR="00DC2F59" w:rsidRDefault="00DC2F59" w:rsidP="00DC2F59">
            <w:pPr>
              <w:jc w:val="both"/>
              <w:rPr>
                <w:color w:val="000000" w:themeColor="text1"/>
              </w:rPr>
            </w:pPr>
            <w:r w:rsidRPr="00ED7B2C">
              <w:rPr>
                <w:color w:val="000000" w:themeColor="text1"/>
              </w:rPr>
              <w:t xml:space="preserve">Iebildums </w:t>
            </w:r>
            <w:r>
              <w:rPr>
                <w:color w:val="000000" w:themeColor="text1"/>
              </w:rPr>
              <w:t>saņemts</w:t>
            </w:r>
            <w:r w:rsidRPr="00ED7B2C">
              <w:rPr>
                <w:color w:val="000000" w:themeColor="text1"/>
              </w:rPr>
              <w:t xml:space="preserve"> projekta saskaņošanas laikā.</w:t>
            </w:r>
          </w:p>
          <w:p w14:paraId="078FA287" w14:textId="5195C5F7" w:rsidR="00DC2F59" w:rsidRPr="00DC2F59" w:rsidRDefault="00DC2F59" w:rsidP="00DC2F59">
            <w:pPr>
              <w:jc w:val="both"/>
            </w:pPr>
            <w:r w:rsidRPr="00DC2F59">
              <w:t>17. Lūdzam  precizēt anotācijas III sadaļas 6.punktā (9.lpp.) norādīto finansējumu VM pamatbudžeta programmai 99.00.00 “Līdzekļu neparedzētiem gadījumiem izlietojums” atbilstoši FM rīkojumiem, norādot tikai to finansējumu, kas attiecināms uz šajā noteikumu projektā paredzēto pasākumu īstenošanu.</w:t>
            </w:r>
          </w:p>
        </w:tc>
        <w:tc>
          <w:tcPr>
            <w:tcW w:w="3261" w:type="dxa"/>
            <w:tcBorders>
              <w:top w:val="single" w:sz="6" w:space="0" w:color="000000"/>
              <w:left w:val="single" w:sz="6" w:space="0" w:color="000000"/>
              <w:bottom w:val="single" w:sz="6" w:space="0" w:color="000000"/>
              <w:right w:val="single" w:sz="6" w:space="0" w:color="000000"/>
            </w:tcBorders>
          </w:tcPr>
          <w:p w14:paraId="2C5AD868" w14:textId="2C66023C" w:rsidR="00DC2F59" w:rsidRDefault="00DC2F59" w:rsidP="00DC2F59">
            <w:pPr>
              <w:pStyle w:val="naisc"/>
              <w:spacing w:before="0" w:after="0"/>
              <w:jc w:val="both"/>
              <w:rPr>
                <w:b/>
                <w:color w:val="000000" w:themeColor="text1"/>
              </w:rPr>
            </w:pPr>
            <w:r w:rsidRPr="003E1FCB">
              <w:rPr>
                <w:b/>
                <w:color w:val="000000" w:themeColor="text1"/>
              </w:rPr>
              <w:t>Ņemts vērā.</w:t>
            </w:r>
          </w:p>
        </w:tc>
        <w:tc>
          <w:tcPr>
            <w:tcW w:w="2268" w:type="dxa"/>
            <w:tcBorders>
              <w:top w:val="single" w:sz="4" w:space="0" w:color="auto"/>
              <w:left w:val="single" w:sz="4" w:space="0" w:color="auto"/>
              <w:bottom w:val="single" w:sz="4" w:space="0" w:color="auto"/>
            </w:tcBorders>
          </w:tcPr>
          <w:p w14:paraId="342CCC92" w14:textId="2AC8555C" w:rsidR="00DC2F59" w:rsidRDefault="00DC2F59" w:rsidP="00DC2F59">
            <w:pPr>
              <w:rPr>
                <w:color w:val="000000" w:themeColor="text1"/>
              </w:rPr>
            </w:pPr>
            <w:r w:rsidRPr="00D20A03">
              <w:rPr>
                <w:color w:val="000000" w:themeColor="text1"/>
              </w:rPr>
              <w:t>Precizēta anotācijas III sadaļa</w:t>
            </w:r>
            <w:r w:rsidR="00D2161A">
              <w:rPr>
                <w:color w:val="000000" w:themeColor="text1"/>
              </w:rPr>
              <w:t>.</w:t>
            </w:r>
          </w:p>
        </w:tc>
      </w:tr>
      <w:tr w:rsidR="00DC2F59" w:rsidRPr="001C57E1" w14:paraId="4A34F5C5" w14:textId="77777777" w:rsidTr="00F252F0">
        <w:tc>
          <w:tcPr>
            <w:tcW w:w="708" w:type="dxa"/>
            <w:tcBorders>
              <w:top w:val="single" w:sz="6" w:space="0" w:color="000000"/>
              <w:left w:val="single" w:sz="6" w:space="0" w:color="000000"/>
              <w:bottom w:val="single" w:sz="6" w:space="0" w:color="000000"/>
              <w:right w:val="single" w:sz="6" w:space="0" w:color="000000"/>
            </w:tcBorders>
          </w:tcPr>
          <w:p w14:paraId="6A7E6535" w14:textId="04BDE104" w:rsidR="00DC2F59" w:rsidRDefault="00DC2F59" w:rsidP="00DC2F59">
            <w:pPr>
              <w:pStyle w:val="naisc"/>
              <w:spacing w:before="0" w:after="0"/>
              <w:rPr>
                <w:color w:val="000000" w:themeColor="text1"/>
              </w:rPr>
            </w:pPr>
            <w:r>
              <w:rPr>
                <w:color w:val="000000" w:themeColor="text1"/>
              </w:rPr>
              <w:t>23.</w:t>
            </w:r>
          </w:p>
        </w:tc>
        <w:tc>
          <w:tcPr>
            <w:tcW w:w="2377" w:type="dxa"/>
            <w:gridSpan w:val="2"/>
            <w:tcBorders>
              <w:top w:val="single" w:sz="6" w:space="0" w:color="000000"/>
              <w:left w:val="single" w:sz="6" w:space="0" w:color="000000"/>
              <w:bottom w:val="single" w:sz="6" w:space="0" w:color="000000"/>
              <w:right w:val="single" w:sz="6" w:space="0" w:color="000000"/>
            </w:tcBorders>
          </w:tcPr>
          <w:p w14:paraId="0DFD8A68" w14:textId="5E74C017" w:rsidR="00DC2F59" w:rsidRPr="0098668F" w:rsidRDefault="00DC2F59" w:rsidP="00DC2F59">
            <w:pPr>
              <w:contextualSpacing/>
              <w:jc w:val="both"/>
              <w:outlineLvl w:val="0"/>
            </w:pPr>
            <w:r w:rsidRPr="00523B91">
              <w:t>Skatīt anotāciju.</w:t>
            </w:r>
          </w:p>
        </w:tc>
        <w:tc>
          <w:tcPr>
            <w:tcW w:w="5412" w:type="dxa"/>
            <w:gridSpan w:val="3"/>
            <w:tcBorders>
              <w:top w:val="single" w:sz="6" w:space="0" w:color="000000"/>
              <w:left w:val="single" w:sz="6" w:space="0" w:color="000000"/>
              <w:bottom w:val="single" w:sz="6" w:space="0" w:color="000000"/>
              <w:right w:val="single" w:sz="6" w:space="0" w:color="000000"/>
            </w:tcBorders>
          </w:tcPr>
          <w:p w14:paraId="3B391FF8" w14:textId="77777777" w:rsidR="00DC2F59" w:rsidRPr="00DC2F59" w:rsidRDefault="00DC2F59" w:rsidP="00DC2F59">
            <w:pPr>
              <w:jc w:val="both"/>
              <w:rPr>
                <w:b/>
                <w:bCs/>
                <w:color w:val="000000" w:themeColor="text1"/>
              </w:rPr>
            </w:pPr>
            <w:r w:rsidRPr="00DC2F59">
              <w:rPr>
                <w:b/>
                <w:bCs/>
                <w:color w:val="000000" w:themeColor="text1"/>
              </w:rPr>
              <w:t xml:space="preserve">Finanšu ministrija. </w:t>
            </w:r>
          </w:p>
          <w:p w14:paraId="019A8BBF" w14:textId="77777777" w:rsidR="00DC2F59" w:rsidRDefault="00DC2F59" w:rsidP="00DC2F59">
            <w:pPr>
              <w:jc w:val="both"/>
              <w:rPr>
                <w:color w:val="000000" w:themeColor="text1"/>
              </w:rPr>
            </w:pPr>
            <w:r w:rsidRPr="00ED7B2C">
              <w:rPr>
                <w:color w:val="000000" w:themeColor="text1"/>
              </w:rPr>
              <w:t xml:space="preserve">Iebildums </w:t>
            </w:r>
            <w:r>
              <w:rPr>
                <w:color w:val="000000" w:themeColor="text1"/>
              </w:rPr>
              <w:t>saņemts</w:t>
            </w:r>
            <w:r w:rsidRPr="00ED7B2C">
              <w:rPr>
                <w:color w:val="000000" w:themeColor="text1"/>
              </w:rPr>
              <w:t xml:space="preserve"> projekta saskaņošanas laikā.</w:t>
            </w:r>
          </w:p>
          <w:p w14:paraId="1448C40F" w14:textId="6EC5F4FF" w:rsidR="00DC2F59" w:rsidRPr="00DC2F59" w:rsidRDefault="00DC2F59" w:rsidP="00DC2F59">
            <w:pPr>
              <w:jc w:val="both"/>
            </w:pPr>
            <w:r w:rsidRPr="00DC2F59">
              <w:t xml:space="preserve">18. Lūdzam papildināt anotācijas III sadaļas 6.punktu, norādot kopējo finansējumu noteikumu projektā paredzēto pasākumu īstenošanai 2021.gadam un turpmākajiem  gadiem sadalījumā pa finansēšanas avotiem. </w:t>
            </w:r>
          </w:p>
          <w:p w14:paraId="52B37DB0" w14:textId="79D87F5A" w:rsidR="00DC2F59" w:rsidRDefault="00DC2F59" w:rsidP="00DC2F59">
            <w:pPr>
              <w:jc w:val="both"/>
              <w:rPr>
                <w:b/>
                <w:bCs/>
              </w:rPr>
            </w:pPr>
          </w:p>
        </w:tc>
        <w:tc>
          <w:tcPr>
            <w:tcW w:w="3261" w:type="dxa"/>
            <w:tcBorders>
              <w:top w:val="single" w:sz="6" w:space="0" w:color="000000"/>
              <w:left w:val="single" w:sz="6" w:space="0" w:color="000000"/>
              <w:bottom w:val="single" w:sz="6" w:space="0" w:color="000000"/>
              <w:right w:val="single" w:sz="6" w:space="0" w:color="000000"/>
            </w:tcBorders>
          </w:tcPr>
          <w:p w14:paraId="4AE9B4D5" w14:textId="60709142" w:rsidR="00DC2F59" w:rsidRDefault="00DC2F59" w:rsidP="00DC2F59">
            <w:pPr>
              <w:pStyle w:val="naisc"/>
              <w:spacing w:before="0" w:after="0"/>
              <w:jc w:val="both"/>
              <w:rPr>
                <w:b/>
                <w:color w:val="000000" w:themeColor="text1"/>
              </w:rPr>
            </w:pPr>
            <w:r w:rsidRPr="003E1FCB">
              <w:rPr>
                <w:b/>
                <w:color w:val="000000" w:themeColor="text1"/>
              </w:rPr>
              <w:t>Ņemts vērā.</w:t>
            </w:r>
          </w:p>
        </w:tc>
        <w:tc>
          <w:tcPr>
            <w:tcW w:w="2268" w:type="dxa"/>
            <w:tcBorders>
              <w:top w:val="single" w:sz="4" w:space="0" w:color="auto"/>
              <w:left w:val="single" w:sz="4" w:space="0" w:color="auto"/>
              <w:bottom w:val="single" w:sz="4" w:space="0" w:color="auto"/>
            </w:tcBorders>
          </w:tcPr>
          <w:p w14:paraId="02CB3ECD" w14:textId="108F4FAF" w:rsidR="00DC2F59" w:rsidRDefault="00DC2F59" w:rsidP="00DC2F59">
            <w:pPr>
              <w:rPr>
                <w:color w:val="000000" w:themeColor="text1"/>
              </w:rPr>
            </w:pPr>
            <w:r w:rsidRPr="00D20A03">
              <w:rPr>
                <w:color w:val="000000" w:themeColor="text1"/>
              </w:rPr>
              <w:t>Precizēta anotācijas III sadaļa</w:t>
            </w:r>
            <w:r w:rsidR="00D2161A">
              <w:rPr>
                <w:color w:val="000000" w:themeColor="text1"/>
              </w:rPr>
              <w:t>.</w:t>
            </w:r>
          </w:p>
        </w:tc>
      </w:tr>
      <w:tr w:rsidR="00A4609A" w:rsidRPr="001C57E1" w14:paraId="4A6D7E0D" w14:textId="77777777" w:rsidTr="00F252F0">
        <w:tblPrEx>
          <w:tblBorders>
            <w:top w:val="none" w:sz="0" w:space="0" w:color="auto"/>
            <w:left w:val="none" w:sz="0" w:space="0" w:color="auto"/>
            <w:bottom w:val="none" w:sz="0" w:space="0" w:color="auto"/>
            <w:right w:val="none" w:sz="0" w:space="0" w:color="auto"/>
          </w:tblBorders>
        </w:tblPrEx>
        <w:trPr>
          <w:gridBefore w:val="2"/>
          <w:gridAfter w:val="1"/>
          <w:wBefore w:w="1809" w:type="dxa"/>
          <w:wAfter w:w="2268" w:type="dxa"/>
        </w:trPr>
        <w:tc>
          <w:tcPr>
            <w:tcW w:w="4820" w:type="dxa"/>
            <w:gridSpan w:val="3"/>
          </w:tcPr>
          <w:p w14:paraId="1DC07F9A" w14:textId="77777777" w:rsidR="00A4609A" w:rsidRPr="001C57E1" w:rsidRDefault="00A4609A" w:rsidP="00A4609A">
            <w:pPr>
              <w:pStyle w:val="naiskr"/>
              <w:spacing w:before="0" w:after="0"/>
              <w:rPr>
                <w:color w:val="000000" w:themeColor="text1"/>
              </w:rPr>
            </w:pPr>
          </w:p>
          <w:p w14:paraId="7CEBEFD0" w14:textId="77777777" w:rsidR="00A4609A" w:rsidRPr="001C57E1" w:rsidRDefault="00A4609A" w:rsidP="00A4609A">
            <w:pPr>
              <w:pStyle w:val="naiskr"/>
              <w:spacing w:before="0" w:after="0"/>
              <w:rPr>
                <w:color w:val="000000" w:themeColor="text1"/>
              </w:rPr>
            </w:pPr>
          </w:p>
          <w:p w14:paraId="025BF999" w14:textId="77777777" w:rsidR="00A4609A" w:rsidRPr="001C57E1" w:rsidRDefault="00A4609A" w:rsidP="00A4609A">
            <w:pPr>
              <w:pStyle w:val="naiskr"/>
              <w:spacing w:before="0" w:after="0"/>
              <w:rPr>
                <w:color w:val="000000" w:themeColor="text1"/>
              </w:rPr>
            </w:pPr>
            <w:r w:rsidRPr="001C57E1">
              <w:rPr>
                <w:color w:val="000000" w:themeColor="text1"/>
              </w:rPr>
              <w:lastRenderedPageBreak/>
              <w:t>Atbildīgā amatpersona</w:t>
            </w:r>
          </w:p>
        </w:tc>
        <w:tc>
          <w:tcPr>
            <w:tcW w:w="5129" w:type="dxa"/>
            <w:gridSpan w:val="2"/>
            <w:tcBorders>
              <w:bottom w:val="single" w:sz="4" w:space="0" w:color="auto"/>
            </w:tcBorders>
          </w:tcPr>
          <w:p w14:paraId="1D831FF3" w14:textId="77777777" w:rsidR="00A4609A" w:rsidRPr="001C57E1" w:rsidRDefault="00A4609A" w:rsidP="00A4609A">
            <w:pPr>
              <w:pStyle w:val="naiskr"/>
              <w:spacing w:before="0" w:after="0"/>
              <w:ind w:firstLine="720"/>
              <w:rPr>
                <w:color w:val="000000" w:themeColor="text1"/>
              </w:rPr>
            </w:pPr>
            <w:r w:rsidRPr="001C57E1">
              <w:rPr>
                <w:color w:val="000000" w:themeColor="text1"/>
              </w:rPr>
              <w:lastRenderedPageBreak/>
              <w:t>  </w:t>
            </w:r>
          </w:p>
        </w:tc>
      </w:tr>
      <w:tr w:rsidR="00A4609A" w:rsidRPr="001C57E1" w14:paraId="0B43D78C" w14:textId="77777777" w:rsidTr="00F252F0">
        <w:tblPrEx>
          <w:tblBorders>
            <w:top w:val="none" w:sz="0" w:space="0" w:color="auto"/>
            <w:left w:val="none" w:sz="0" w:space="0" w:color="auto"/>
            <w:bottom w:val="none" w:sz="0" w:space="0" w:color="auto"/>
            <w:right w:val="none" w:sz="0" w:space="0" w:color="auto"/>
          </w:tblBorders>
        </w:tblPrEx>
        <w:trPr>
          <w:gridAfter w:val="1"/>
          <w:wAfter w:w="2268" w:type="dxa"/>
        </w:trPr>
        <w:tc>
          <w:tcPr>
            <w:tcW w:w="3108" w:type="dxa"/>
            <w:gridSpan w:val="4"/>
          </w:tcPr>
          <w:p w14:paraId="6589A238" w14:textId="77777777" w:rsidR="00A4609A" w:rsidRPr="001C57E1" w:rsidRDefault="00A4609A" w:rsidP="00A4609A">
            <w:pPr>
              <w:pStyle w:val="naiskr"/>
              <w:spacing w:before="0" w:after="0"/>
              <w:ind w:firstLine="720"/>
              <w:rPr>
                <w:color w:val="000000" w:themeColor="text1"/>
              </w:rPr>
            </w:pPr>
          </w:p>
          <w:p w14:paraId="6C2134F4" w14:textId="77777777" w:rsidR="00A4609A" w:rsidRPr="001C57E1" w:rsidRDefault="00A4609A" w:rsidP="00A4609A">
            <w:pPr>
              <w:pStyle w:val="naiskr"/>
              <w:spacing w:before="0" w:after="0"/>
              <w:ind w:firstLine="720"/>
              <w:rPr>
                <w:color w:val="000000" w:themeColor="text1"/>
              </w:rPr>
            </w:pPr>
          </w:p>
          <w:p w14:paraId="50F96316" w14:textId="77777777" w:rsidR="00A4609A" w:rsidRPr="001C57E1" w:rsidRDefault="00A4609A" w:rsidP="00A4609A">
            <w:pPr>
              <w:pStyle w:val="naiskr"/>
              <w:spacing w:before="0" w:after="0"/>
              <w:rPr>
                <w:color w:val="000000" w:themeColor="text1"/>
              </w:rPr>
            </w:pPr>
          </w:p>
          <w:p w14:paraId="0A5B12F2" w14:textId="77777777" w:rsidR="00A4609A" w:rsidRPr="001C57E1" w:rsidRDefault="00A4609A" w:rsidP="00A4609A">
            <w:pPr>
              <w:pStyle w:val="naiskr"/>
              <w:spacing w:before="0" w:after="0"/>
              <w:ind w:firstLine="720"/>
              <w:rPr>
                <w:color w:val="000000" w:themeColor="text1"/>
              </w:rPr>
            </w:pPr>
          </w:p>
        </w:tc>
        <w:tc>
          <w:tcPr>
            <w:tcW w:w="8650" w:type="dxa"/>
            <w:gridSpan w:val="3"/>
          </w:tcPr>
          <w:p w14:paraId="62F27A1F" w14:textId="77777777" w:rsidR="00A4609A" w:rsidRPr="001C57E1" w:rsidRDefault="00A4609A" w:rsidP="00A4609A">
            <w:pPr>
              <w:pStyle w:val="naisc"/>
              <w:spacing w:before="0" w:after="0"/>
              <w:ind w:firstLine="720"/>
              <w:rPr>
                <w:color w:val="000000" w:themeColor="text1"/>
              </w:rPr>
            </w:pPr>
            <w:r w:rsidRPr="001C57E1">
              <w:rPr>
                <w:color w:val="000000" w:themeColor="text1"/>
              </w:rPr>
              <w:t xml:space="preserve">                                                              (paraksts)</w:t>
            </w:r>
            <w:r>
              <w:rPr>
                <w:color w:val="000000" w:themeColor="text1"/>
              </w:rPr>
              <w:t>*</w:t>
            </w:r>
          </w:p>
        </w:tc>
      </w:tr>
    </w:tbl>
    <w:p w14:paraId="44B0D8FF" w14:textId="77777777" w:rsidR="00F64FD2" w:rsidRDefault="00F64FD2" w:rsidP="00F64FD2">
      <w:pPr>
        <w:ind w:firstLine="720"/>
        <w:rPr>
          <w:color w:val="000000" w:themeColor="text1"/>
        </w:rPr>
      </w:pPr>
      <w:r>
        <w:rPr>
          <w:color w:val="000000" w:themeColor="text1"/>
        </w:rPr>
        <w:t xml:space="preserve">Piezīme. * Dokumenta rekvizītu </w:t>
      </w:r>
      <w:r w:rsidRPr="00BE5FCA">
        <w:rPr>
          <w:sz w:val="22"/>
          <w:szCs w:val="22"/>
        </w:rPr>
        <w:t>„</w:t>
      </w:r>
      <w:r>
        <w:rPr>
          <w:color w:val="000000" w:themeColor="text1"/>
        </w:rPr>
        <w:t xml:space="preserve">paraksts” neaizpilda, ja elektroniskais dokuments ir sagatavots atbilstoši normatīvajiem aktiem par elektronisko dokumentu noformēšanu. </w:t>
      </w:r>
    </w:p>
    <w:p w14:paraId="4F817EE2" w14:textId="77777777" w:rsidR="00F64FD2" w:rsidRDefault="00F64FD2" w:rsidP="002E2EFC">
      <w:pPr>
        <w:rPr>
          <w:color w:val="000000" w:themeColor="text1"/>
        </w:rPr>
      </w:pPr>
    </w:p>
    <w:p w14:paraId="35ED928C" w14:textId="77777777" w:rsidR="000D02D0" w:rsidRDefault="000D02D0" w:rsidP="002E2EFC">
      <w:pPr>
        <w:rPr>
          <w:color w:val="000000" w:themeColor="text1"/>
        </w:rPr>
      </w:pPr>
    </w:p>
    <w:p w14:paraId="03ABC73D" w14:textId="77777777" w:rsidR="00E365E9" w:rsidRDefault="00E365E9" w:rsidP="002E2EFC">
      <w:pPr>
        <w:rPr>
          <w:color w:val="000000" w:themeColor="text1"/>
        </w:rPr>
      </w:pPr>
    </w:p>
    <w:p w14:paraId="435E6864" w14:textId="182062D4" w:rsidR="00E34B0D" w:rsidRPr="001C57E1" w:rsidRDefault="00E34B0D" w:rsidP="00E34B0D">
      <w:pPr>
        <w:tabs>
          <w:tab w:val="left" w:pos="1560"/>
        </w:tabs>
        <w:rPr>
          <w:color w:val="000000" w:themeColor="text1"/>
        </w:rPr>
      </w:pPr>
    </w:p>
    <w:p w14:paraId="61C588B2" w14:textId="77777777" w:rsidR="00D2161A" w:rsidRDefault="00D2161A" w:rsidP="00D2161A">
      <w:pPr>
        <w:pStyle w:val="naisf"/>
        <w:rPr>
          <w:color w:val="000000" w:themeColor="text1"/>
        </w:rPr>
      </w:pPr>
      <w:r>
        <w:rPr>
          <w:color w:val="000000" w:themeColor="text1"/>
        </w:rPr>
        <w:t>Svetlana Batare</w:t>
      </w:r>
    </w:p>
    <w:p w14:paraId="7219F0D3" w14:textId="77777777" w:rsidR="00D2161A" w:rsidRPr="00D2161A" w:rsidRDefault="00D2161A" w:rsidP="00D2161A">
      <w:pPr>
        <w:pStyle w:val="naisf"/>
        <w:rPr>
          <w:color w:val="000000" w:themeColor="text1"/>
        </w:rPr>
      </w:pPr>
      <w:r w:rsidRPr="00D2161A">
        <w:rPr>
          <w:color w:val="000000" w:themeColor="text1"/>
        </w:rPr>
        <w:t xml:space="preserve">Veselības ministrijas </w:t>
      </w:r>
    </w:p>
    <w:p w14:paraId="6838B886" w14:textId="77777777" w:rsidR="00D2161A" w:rsidRPr="00D2161A" w:rsidRDefault="00D2161A" w:rsidP="00D2161A">
      <w:pPr>
        <w:pStyle w:val="naisf"/>
        <w:rPr>
          <w:color w:val="000000" w:themeColor="text1"/>
          <w:lang w:val="en-GB"/>
        </w:rPr>
      </w:pPr>
      <w:r w:rsidRPr="00D2161A">
        <w:rPr>
          <w:color w:val="000000" w:themeColor="text1"/>
          <w:lang w:val="en-GB"/>
        </w:rPr>
        <w:t>Nozares budžeta plānošanas departament</w:t>
      </w:r>
      <w:r>
        <w:rPr>
          <w:color w:val="000000" w:themeColor="text1"/>
          <w:lang w:val="en-GB"/>
        </w:rPr>
        <w:t>a</w:t>
      </w:r>
    </w:p>
    <w:p w14:paraId="630BDFD8" w14:textId="77777777" w:rsidR="00D2161A" w:rsidRPr="00D2161A" w:rsidRDefault="00D2161A" w:rsidP="00D2161A">
      <w:pPr>
        <w:pStyle w:val="naisf"/>
        <w:rPr>
          <w:color w:val="000000" w:themeColor="text1"/>
        </w:rPr>
      </w:pPr>
      <w:r>
        <w:rPr>
          <w:color w:val="000000" w:themeColor="text1"/>
        </w:rPr>
        <w:t>direktores vietniece</w:t>
      </w:r>
    </w:p>
    <w:p w14:paraId="59974246" w14:textId="77777777" w:rsidR="00D2161A" w:rsidRPr="00D2161A" w:rsidRDefault="00D2161A" w:rsidP="00D2161A">
      <w:pPr>
        <w:pStyle w:val="naisf"/>
        <w:rPr>
          <w:color w:val="000000" w:themeColor="text1"/>
        </w:rPr>
      </w:pPr>
      <w:r w:rsidRPr="00D2161A">
        <w:rPr>
          <w:color w:val="000000" w:themeColor="text1"/>
        </w:rPr>
        <w:t>tālr. 678760</w:t>
      </w:r>
      <w:r>
        <w:rPr>
          <w:color w:val="000000" w:themeColor="text1"/>
        </w:rPr>
        <w:t>42</w:t>
      </w:r>
      <w:r w:rsidRPr="00D2161A">
        <w:rPr>
          <w:color w:val="000000" w:themeColor="text1"/>
        </w:rPr>
        <w:t>, fakss 67876002</w:t>
      </w:r>
    </w:p>
    <w:p w14:paraId="1AD66B59" w14:textId="2EE0E8BC" w:rsidR="00D2161A" w:rsidRDefault="00B95C45" w:rsidP="00D2161A">
      <w:pPr>
        <w:pStyle w:val="naisf"/>
        <w:rPr>
          <w:color w:val="000000" w:themeColor="text1"/>
        </w:rPr>
      </w:pPr>
      <w:hyperlink r:id="rId9" w:history="1">
        <w:r w:rsidR="00D2161A" w:rsidRPr="0026217F">
          <w:rPr>
            <w:rStyle w:val="Hyperlink"/>
          </w:rPr>
          <w:t>Svetlana.Batare</w:t>
        </w:r>
        <w:r w:rsidR="00D2161A" w:rsidRPr="00D2161A">
          <w:rPr>
            <w:rStyle w:val="Hyperlink"/>
          </w:rPr>
          <w:t>@vm.gov.lv</w:t>
        </w:r>
      </w:hyperlink>
    </w:p>
    <w:p w14:paraId="054D3F01" w14:textId="77777777" w:rsidR="00D2161A" w:rsidRPr="00D2161A" w:rsidRDefault="00D2161A" w:rsidP="00D2161A">
      <w:pPr>
        <w:pStyle w:val="naisf"/>
        <w:rPr>
          <w:color w:val="000000" w:themeColor="text1"/>
        </w:rPr>
      </w:pPr>
    </w:p>
    <w:p w14:paraId="0D30A555" w14:textId="50BB81C9" w:rsidR="00291DEF" w:rsidRPr="00291DEF" w:rsidRDefault="00291DEF" w:rsidP="00291DEF">
      <w:pPr>
        <w:pStyle w:val="naisf"/>
        <w:rPr>
          <w:color w:val="000000" w:themeColor="text1"/>
        </w:rPr>
      </w:pPr>
      <w:r>
        <w:rPr>
          <w:color w:val="000000" w:themeColor="text1"/>
        </w:rPr>
        <w:t>Gunta Stūre</w:t>
      </w:r>
    </w:p>
    <w:p w14:paraId="1E4374D4" w14:textId="77777777" w:rsidR="00291DEF" w:rsidRPr="00291DEF" w:rsidRDefault="00291DEF" w:rsidP="00291DEF">
      <w:pPr>
        <w:pStyle w:val="naisf"/>
        <w:rPr>
          <w:color w:val="000000" w:themeColor="text1"/>
        </w:rPr>
      </w:pPr>
      <w:bookmarkStart w:id="1" w:name="_Hlk69906352"/>
      <w:r w:rsidRPr="00291DEF">
        <w:rPr>
          <w:color w:val="000000" w:themeColor="text1"/>
        </w:rPr>
        <w:t xml:space="preserve">Veselības ministrijas </w:t>
      </w:r>
    </w:p>
    <w:p w14:paraId="1CE5B420" w14:textId="77777777" w:rsidR="00291DEF" w:rsidRPr="00291DEF" w:rsidRDefault="00291DEF" w:rsidP="00291DEF">
      <w:pPr>
        <w:pStyle w:val="naisf"/>
        <w:rPr>
          <w:color w:val="000000" w:themeColor="text1"/>
        </w:rPr>
      </w:pPr>
      <w:r w:rsidRPr="00291DEF">
        <w:rPr>
          <w:color w:val="000000" w:themeColor="text1"/>
        </w:rPr>
        <w:t>Veselības aprūpes departamenta</w:t>
      </w:r>
    </w:p>
    <w:p w14:paraId="333BEAAB" w14:textId="1D6DA1F4" w:rsidR="00291DEF" w:rsidRPr="00291DEF" w:rsidRDefault="00291DEF" w:rsidP="00291DEF">
      <w:pPr>
        <w:pStyle w:val="naisf"/>
        <w:rPr>
          <w:color w:val="000000" w:themeColor="text1"/>
        </w:rPr>
      </w:pPr>
      <w:r w:rsidRPr="00291DEF">
        <w:rPr>
          <w:color w:val="000000" w:themeColor="text1"/>
        </w:rPr>
        <w:t>Veselīb</w:t>
      </w:r>
      <w:r w:rsidRPr="00291DEF">
        <w:rPr>
          <w:color w:val="000000" w:themeColor="text1"/>
          <w:lang w:val="es-ES"/>
        </w:rPr>
        <w:t xml:space="preserve">as aprūpes organizācijas </w:t>
      </w:r>
      <w:r w:rsidRPr="00291DEF">
        <w:rPr>
          <w:color w:val="000000" w:themeColor="text1"/>
        </w:rPr>
        <w:t xml:space="preserve">nodaļas vecākā </w:t>
      </w:r>
      <w:r>
        <w:rPr>
          <w:color w:val="000000" w:themeColor="text1"/>
        </w:rPr>
        <w:t>referente</w:t>
      </w:r>
    </w:p>
    <w:p w14:paraId="1CA6810F" w14:textId="476B0B2E" w:rsidR="00291DEF" w:rsidRPr="00291DEF" w:rsidRDefault="00291DEF" w:rsidP="00291DEF">
      <w:pPr>
        <w:pStyle w:val="naisf"/>
        <w:rPr>
          <w:color w:val="000000" w:themeColor="text1"/>
        </w:rPr>
      </w:pPr>
      <w:r w:rsidRPr="00291DEF">
        <w:rPr>
          <w:color w:val="000000" w:themeColor="text1"/>
        </w:rPr>
        <w:t>tālr. 678760</w:t>
      </w:r>
      <w:r>
        <w:rPr>
          <w:color w:val="000000" w:themeColor="text1"/>
        </w:rPr>
        <w:t>66</w:t>
      </w:r>
      <w:r w:rsidRPr="00291DEF">
        <w:rPr>
          <w:color w:val="000000" w:themeColor="text1"/>
        </w:rPr>
        <w:t>, fakss 67876002</w:t>
      </w:r>
    </w:p>
    <w:p w14:paraId="3AB1D53F" w14:textId="7BA3FA47" w:rsidR="00291DEF" w:rsidRDefault="00B95C45" w:rsidP="00291DEF">
      <w:pPr>
        <w:pStyle w:val="naisf"/>
        <w:rPr>
          <w:color w:val="000000" w:themeColor="text1"/>
        </w:rPr>
      </w:pPr>
      <w:hyperlink r:id="rId10" w:history="1">
        <w:r w:rsidR="00D2161A" w:rsidRPr="0026217F">
          <w:rPr>
            <w:rStyle w:val="Hyperlink"/>
          </w:rPr>
          <w:t>Gunta.Sture@vm.gov.lv</w:t>
        </w:r>
      </w:hyperlink>
    </w:p>
    <w:bookmarkEnd w:id="1"/>
    <w:p w14:paraId="5DF0A194" w14:textId="73739BAE" w:rsidR="00D2161A" w:rsidRDefault="00D2161A" w:rsidP="00D2161A">
      <w:pPr>
        <w:pStyle w:val="naisf"/>
        <w:ind w:firstLine="0"/>
        <w:rPr>
          <w:color w:val="000000" w:themeColor="text1"/>
        </w:rPr>
      </w:pPr>
    </w:p>
    <w:p w14:paraId="4955126C" w14:textId="77777777" w:rsidR="00D2161A" w:rsidRPr="00291DEF" w:rsidRDefault="00D2161A" w:rsidP="00291DEF">
      <w:pPr>
        <w:pStyle w:val="naisf"/>
        <w:rPr>
          <w:color w:val="000000" w:themeColor="text1"/>
        </w:rPr>
      </w:pPr>
    </w:p>
    <w:p w14:paraId="6CDCF46E" w14:textId="45ABF1B7" w:rsidR="002E2EFC" w:rsidRPr="001C57E1" w:rsidRDefault="002E2EFC" w:rsidP="00DE7FCE">
      <w:pPr>
        <w:pStyle w:val="naisf"/>
        <w:spacing w:before="0" w:after="0"/>
        <w:ind w:firstLine="0"/>
        <w:rPr>
          <w:color w:val="000000" w:themeColor="text1"/>
        </w:rPr>
      </w:pPr>
    </w:p>
    <w:sectPr w:rsidR="002E2EFC" w:rsidRPr="001C57E1"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6F01" w14:textId="77777777" w:rsidR="000E2278" w:rsidRDefault="000E2278">
      <w:r>
        <w:separator/>
      </w:r>
    </w:p>
  </w:endnote>
  <w:endnote w:type="continuationSeparator" w:id="0">
    <w:p w14:paraId="5E3EBC52" w14:textId="77777777" w:rsidR="000E2278" w:rsidRDefault="000E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507D" w14:textId="6220CA12" w:rsidR="006119B2" w:rsidRPr="000D02D0" w:rsidRDefault="000D02D0" w:rsidP="000D02D0">
    <w:pPr>
      <w:jc w:val="both"/>
      <w:rPr>
        <w:sz w:val="20"/>
        <w:szCs w:val="20"/>
      </w:rPr>
    </w:pPr>
    <w:r w:rsidRPr="000D02D0">
      <w:rPr>
        <w:sz w:val="20"/>
        <w:szCs w:val="20"/>
      </w:rPr>
      <w:t>VMizz_</w:t>
    </w:r>
    <w:r w:rsidR="00D2161A">
      <w:rPr>
        <w:sz w:val="20"/>
        <w:szCs w:val="20"/>
      </w:rPr>
      <w:t>21</w:t>
    </w:r>
    <w:r w:rsidR="004D5585">
      <w:rPr>
        <w:sz w:val="20"/>
        <w:szCs w:val="20"/>
      </w:rPr>
      <w:t>0421</w:t>
    </w:r>
    <w:r w:rsidRPr="000D02D0">
      <w:rPr>
        <w:sz w:val="20"/>
        <w:szCs w:val="20"/>
      </w:rPr>
      <w:t>_</w:t>
    </w:r>
    <w:r w:rsidR="00D2704E">
      <w:rPr>
        <w:sz w:val="20"/>
        <w:szCs w:val="20"/>
      </w:rPr>
      <w:t>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1470" w14:textId="6DE2B8B0" w:rsidR="006119B2" w:rsidRPr="000D02D0" w:rsidRDefault="006119B2" w:rsidP="00BE5FCA">
    <w:pPr>
      <w:jc w:val="both"/>
      <w:rPr>
        <w:sz w:val="20"/>
        <w:szCs w:val="20"/>
      </w:rPr>
    </w:pPr>
    <w:r w:rsidRPr="000D02D0">
      <w:rPr>
        <w:sz w:val="20"/>
        <w:szCs w:val="20"/>
      </w:rPr>
      <w:t>VMizz_</w:t>
    </w:r>
    <w:r w:rsidR="0069167F">
      <w:rPr>
        <w:sz w:val="20"/>
        <w:szCs w:val="20"/>
      </w:rPr>
      <w:t>1112</w:t>
    </w:r>
    <w:r w:rsidR="000D02D0" w:rsidRPr="000D02D0">
      <w:rPr>
        <w:sz w:val="20"/>
        <w:szCs w:val="20"/>
      </w:rPr>
      <w:t>20</w:t>
    </w:r>
    <w:r w:rsidRPr="000D02D0">
      <w:rPr>
        <w:sz w:val="20"/>
        <w:szCs w:val="20"/>
      </w:rPr>
      <w:t>_</w:t>
    </w:r>
    <w:r w:rsidR="00D2704E">
      <w:rPr>
        <w:sz w:val="20"/>
        <w:szCs w:val="20"/>
      </w:rPr>
      <w:t>not555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E955" w14:textId="77777777" w:rsidR="000E2278" w:rsidRDefault="000E2278">
      <w:r>
        <w:separator/>
      </w:r>
    </w:p>
  </w:footnote>
  <w:footnote w:type="continuationSeparator" w:id="0">
    <w:p w14:paraId="377ACB20" w14:textId="77777777" w:rsidR="000E2278" w:rsidRDefault="000E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7D16"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98F5B" w14:textId="77777777" w:rsidR="006119B2" w:rsidRDefault="0061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D858" w14:textId="77777777" w:rsidR="006119B2" w:rsidRDefault="006119B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73489F2D" w14:textId="77777777" w:rsidR="006119B2" w:rsidRDefault="00611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1211" w:hanging="360"/>
      </w:pPr>
      <w:rPr>
        <w:b w:val="0"/>
        <w:bCs w:val="0"/>
        <w:color w:val="000000"/>
        <w:sz w:val="28"/>
        <w:szCs w:val="28"/>
      </w:rPr>
    </w:lvl>
    <w:lvl w:ilvl="1">
      <w:start w:val="1"/>
      <w:numFmt w:val="decimal"/>
      <w:lvlText w:val="%1.%2."/>
      <w:lvlJc w:val="left"/>
      <w:pPr>
        <w:tabs>
          <w:tab w:val="num" w:pos="0"/>
        </w:tabs>
        <w:ind w:left="1888" w:hanging="1320"/>
      </w:pPr>
      <w:rPr>
        <w:color w:val="000000"/>
        <w:sz w:val="28"/>
        <w:szCs w:val="28"/>
      </w:rPr>
    </w:lvl>
    <w:lvl w:ilvl="2">
      <w:start w:val="1"/>
      <w:numFmt w:val="decimal"/>
      <w:lvlText w:val="%1.%2.%3."/>
      <w:lvlJc w:val="left"/>
      <w:pPr>
        <w:tabs>
          <w:tab w:val="num" w:pos="0"/>
        </w:tabs>
        <w:ind w:left="2040" w:hanging="1320"/>
      </w:pPr>
    </w:lvl>
    <w:lvl w:ilvl="3">
      <w:start w:val="1"/>
      <w:numFmt w:val="decimal"/>
      <w:lvlText w:val="%1.%2.%3.%4."/>
      <w:lvlJc w:val="left"/>
      <w:pPr>
        <w:tabs>
          <w:tab w:val="num" w:pos="0"/>
        </w:tabs>
        <w:ind w:left="2040" w:hanging="1320"/>
      </w:pPr>
    </w:lvl>
    <w:lvl w:ilvl="4">
      <w:start w:val="1"/>
      <w:numFmt w:val="decimal"/>
      <w:lvlText w:val="%1.%2.%3.%4.%5."/>
      <w:lvlJc w:val="left"/>
      <w:pPr>
        <w:tabs>
          <w:tab w:val="num" w:pos="0"/>
        </w:tabs>
        <w:ind w:left="2040" w:hanging="132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193D8D"/>
    <w:multiLevelType w:val="hybridMultilevel"/>
    <w:tmpl w:val="076E72DE"/>
    <w:lvl w:ilvl="0" w:tplc="C73287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36600"/>
    <w:multiLevelType w:val="multilevel"/>
    <w:tmpl w:val="BEFC3FE8"/>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0E4D15"/>
    <w:multiLevelType w:val="hybridMultilevel"/>
    <w:tmpl w:val="8F02C6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E144B"/>
    <w:multiLevelType w:val="multilevel"/>
    <w:tmpl w:val="A09044D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5230A7"/>
    <w:multiLevelType w:val="hybridMultilevel"/>
    <w:tmpl w:val="F65E0FBE"/>
    <w:lvl w:ilvl="0" w:tplc="1A9C2F4C">
      <w:start w:val="7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95280"/>
    <w:multiLevelType w:val="hybridMultilevel"/>
    <w:tmpl w:val="74C082B2"/>
    <w:lvl w:ilvl="0" w:tplc="0426000F">
      <w:start w:val="1"/>
      <w:numFmt w:val="decimal"/>
      <w:lvlText w:val="%1."/>
      <w:lvlJc w:val="left"/>
      <w:pPr>
        <w:tabs>
          <w:tab w:val="num" w:pos="1494"/>
        </w:tabs>
        <w:ind w:left="1494" w:hanging="360"/>
      </w:p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8" w15:restartNumberingAfterBreak="0">
    <w:nsid w:val="1E817E2C"/>
    <w:multiLevelType w:val="hybridMultilevel"/>
    <w:tmpl w:val="678A869C"/>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C32A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33230C"/>
    <w:multiLevelType w:val="hybridMultilevel"/>
    <w:tmpl w:val="917831DA"/>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418EA"/>
    <w:multiLevelType w:val="multilevel"/>
    <w:tmpl w:val="49BAF3E4"/>
    <w:lvl w:ilvl="0">
      <w:start w:val="1"/>
      <w:numFmt w:val="decimal"/>
      <w:lvlText w:val="%1."/>
      <w:lvlJc w:val="left"/>
      <w:pPr>
        <w:ind w:left="1218"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1938" w:hanging="1080"/>
      </w:pPr>
      <w:rPr>
        <w:rFonts w:hint="default"/>
      </w:rPr>
    </w:lvl>
    <w:lvl w:ilvl="4">
      <w:start w:val="1"/>
      <w:numFmt w:val="decimal"/>
      <w:isLgl/>
      <w:lvlText w:val="%1.%2.%3.%4.%5."/>
      <w:lvlJc w:val="left"/>
      <w:pPr>
        <w:ind w:left="1938" w:hanging="1080"/>
      </w:pPr>
      <w:rPr>
        <w:rFonts w:hint="default"/>
      </w:rPr>
    </w:lvl>
    <w:lvl w:ilvl="5">
      <w:start w:val="1"/>
      <w:numFmt w:val="decimal"/>
      <w:isLgl/>
      <w:lvlText w:val="%1.%2.%3.%4.%5.%6."/>
      <w:lvlJc w:val="left"/>
      <w:pPr>
        <w:ind w:left="2298" w:hanging="1440"/>
      </w:pPr>
      <w:rPr>
        <w:rFonts w:hint="default"/>
      </w:rPr>
    </w:lvl>
    <w:lvl w:ilvl="6">
      <w:start w:val="1"/>
      <w:numFmt w:val="decimal"/>
      <w:isLgl/>
      <w:lvlText w:val="%1.%2.%3.%4.%5.%6.%7."/>
      <w:lvlJc w:val="left"/>
      <w:pPr>
        <w:ind w:left="2658" w:hanging="1800"/>
      </w:pPr>
      <w:rPr>
        <w:rFonts w:hint="default"/>
      </w:rPr>
    </w:lvl>
    <w:lvl w:ilvl="7">
      <w:start w:val="1"/>
      <w:numFmt w:val="decimal"/>
      <w:isLgl/>
      <w:lvlText w:val="%1.%2.%3.%4.%5.%6.%7.%8."/>
      <w:lvlJc w:val="left"/>
      <w:pPr>
        <w:ind w:left="2658" w:hanging="1800"/>
      </w:pPr>
      <w:rPr>
        <w:rFonts w:hint="default"/>
      </w:rPr>
    </w:lvl>
    <w:lvl w:ilvl="8">
      <w:start w:val="1"/>
      <w:numFmt w:val="decimal"/>
      <w:isLgl/>
      <w:lvlText w:val="%1.%2.%3.%4.%5.%6.%7.%8.%9."/>
      <w:lvlJc w:val="left"/>
      <w:pPr>
        <w:ind w:left="3018" w:hanging="2160"/>
      </w:pPr>
      <w:rPr>
        <w:rFonts w:hint="default"/>
      </w:rPr>
    </w:lvl>
  </w:abstractNum>
  <w:abstractNum w:abstractNumId="12"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344016"/>
    <w:multiLevelType w:val="hybridMultilevel"/>
    <w:tmpl w:val="22740A1C"/>
    <w:lvl w:ilvl="0" w:tplc="68340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0E6AF9"/>
    <w:multiLevelType w:val="hybridMultilevel"/>
    <w:tmpl w:val="0E72A51C"/>
    <w:lvl w:ilvl="0" w:tplc="331653F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960145"/>
    <w:multiLevelType w:val="hybridMultilevel"/>
    <w:tmpl w:val="ABA0BA88"/>
    <w:lvl w:ilvl="0" w:tplc="D4D81158">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1A185E"/>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827E58"/>
    <w:multiLevelType w:val="multilevel"/>
    <w:tmpl w:val="74E6FEE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FD0AD3"/>
    <w:multiLevelType w:val="multilevel"/>
    <w:tmpl w:val="F79489F2"/>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500CE"/>
    <w:multiLevelType w:val="hybridMultilevel"/>
    <w:tmpl w:val="FFC23FA0"/>
    <w:lvl w:ilvl="0" w:tplc="FF8C4E0E">
      <w:start w:val="6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3D1C83"/>
    <w:multiLevelType w:val="hybridMultilevel"/>
    <w:tmpl w:val="C59C70A2"/>
    <w:lvl w:ilvl="0" w:tplc="62584F0A">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B9A1F76"/>
    <w:multiLevelType w:val="hybridMultilevel"/>
    <w:tmpl w:val="FC02624E"/>
    <w:lvl w:ilvl="0" w:tplc="E39A21E4">
      <w:start w:val="1"/>
      <w:numFmt w:val="decimal"/>
      <w:lvlText w:val="%1."/>
      <w:lvlJc w:val="left"/>
      <w:pPr>
        <w:ind w:left="720" w:hanging="360"/>
      </w:pPr>
    </w:lvl>
    <w:lvl w:ilvl="1" w:tplc="74C29F54">
      <w:start w:val="1"/>
      <w:numFmt w:val="lowerLetter"/>
      <w:lvlText w:val="%2."/>
      <w:lvlJc w:val="left"/>
      <w:pPr>
        <w:ind w:left="1440" w:hanging="360"/>
      </w:pPr>
    </w:lvl>
    <w:lvl w:ilvl="2" w:tplc="0B58A944">
      <w:start w:val="1"/>
      <w:numFmt w:val="lowerRoman"/>
      <w:lvlText w:val="%3."/>
      <w:lvlJc w:val="right"/>
      <w:pPr>
        <w:ind w:left="2160" w:hanging="180"/>
      </w:pPr>
    </w:lvl>
    <w:lvl w:ilvl="3" w:tplc="04A48A18">
      <w:start w:val="1"/>
      <w:numFmt w:val="decimal"/>
      <w:lvlText w:val="%4."/>
      <w:lvlJc w:val="left"/>
      <w:pPr>
        <w:ind w:left="2880" w:hanging="360"/>
      </w:pPr>
    </w:lvl>
    <w:lvl w:ilvl="4" w:tplc="52DAFD8E">
      <w:start w:val="1"/>
      <w:numFmt w:val="lowerLetter"/>
      <w:lvlText w:val="%5."/>
      <w:lvlJc w:val="left"/>
      <w:pPr>
        <w:ind w:left="3600" w:hanging="360"/>
      </w:pPr>
    </w:lvl>
    <w:lvl w:ilvl="5" w:tplc="F1C493CC">
      <w:start w:val="1"/>
      <w:numFmt w:val="lowerRoman"/>
      <w:lvlText w:val="%6."/>
      <w:lvlJc w:val="right"/>
      <w:pPr>
        <w:ind w:left="4320" w:hanging="180"/>
      </w:pPr>
    </w:lvl>
    <w:lvl w:ilvl="6" w:tplc="A3904B32">
      <w:start w:val="1"/>
      <w:numFmt w:val="decimal"/>
      <w:lvlText w:val="%7."/>
      <w:lvlJc w:val="left"/>
      <w:pPr>
        <w:ind w:left="5040" w:hanging="360"/>
      </w:pPr>
    </w:lvl>
    <w:lvl w:ilvl="7" w:tplc="295635B6">
      <w:start w:val="1"/>
      <w:numFmt w:val="lowerLetter"/>
      <w:lvlText w:val="%8."/>
      <w:lvlJc w:val="left"/>
      <w:pPr>
        <w:ind w:left="5760" w:hanging="360"/>
      </w:pPr>
    </w:lvl>
    <w:lvl w:ilvl="8" w:tplc="E3DCF0F2">
      <w:start w:val="1"/>
      <w:numFmt w:val="lowerRoman"/>
      <w:lvlText w:val="%9."/>
      <w:lvlJc w:val="right"/>
      <w:pPr>
        <w:ind w:left="6480" w:hanging="180"/>
      </w:pPr>
    </w:lvl>
  </w:abstractNum>
  <w:abstractNum w:abstractNumId="22"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4C7A1C71"/>
    <w:multiLevelType w:val="hybridMultilevel"/>
    <w:tmpl w:val="FCB0B956"/>
    <w:lvl w:ilvl="0" w:tplc="0400B26A">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617B50"/>
    <w:multiLevelType w:val="hybridMultilevel"/>
    <w:tmpl w:val="2B66655A"/>
    <w:lvl w:ilvl="0" w:tplc="8F08C704">
      <w:start w:val="1"/>
      <w:numFmt w:val="decimal"/>
      <w:lvlText w:val="%1."/>
      <w:lvlJc w:val="left"/>
      <w:pPr>
        <w:ind w:left="720" w:hanging="360"/>
      </w:pPr>
      <w:rPr>
        <w:rFonts w:ascii="Times New Roman" w:eastAsia="Times New Roman"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BF037D"/>
    <w:multiLevelType w:val="hybridMultilevel"/>
    <w:tmpl w:val="17383696"/>
    <w:lvl w:ilvl="0" w:tplc="46C8B3E0">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F25E8A"/>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4B4B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9F4B91"/>
    <w:multiLevelType w:val="multilevel"/>
    <w:tmpl w:val="854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656763"/>
    <w:multiLevelType w:val="hybridMultilevel"/>
    <w:tmpl w:val="B588AF5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9BD4F0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4C3005"/>
    <w:multiLevelType w:val="hybridMultilevel"/>
    <w:tmpl w:val="F8208D60"/>
    <w:lvl w:ilvl="0" w:tplc="939EA2B8">
      <w:start w:val="6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DD3C20"/>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FF6687"/>
    <w:multiLevelType w:val="hybridMultilevel"/>
    <w:tmpl w:val="6D3C05F4"/>
    <w:lvl w:ilvl="0" w:tplc="F3B6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372369"/>
    <w:multiLevelType w:val="hybridMultilevel"/>
    <w:tmpl w:val="CF2E9CA0"/>
    <w:lvl w:ilvl="0" w:tplc="F2125DEC">
      <w:start w:val="1"/>
      <w:numFmt w:val="decimal"/>
      <w:lvlText w:val="%1."/>
      <w:lvlJc w:val="left"/>
      <w:pPr>
        <w:tabs>
          <w:tab w:val="num" w:pos="1755"/>
        </w:tabs>
        <w:ind w:left="1755" w:hanging="1035"/>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5121289"/>
    <w:multiLevelType w:val="hybridMultilevel"/>
    <w:tmpl w:val="1C1251FC"/>
    <w:lvl w:ilvl="0" w:tplc="65F623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85937CD"/>
    <w:multiLevelType w:val="hybridMultilevel"/>
    <w:tmpl w:val="4FA02716"/>
    <w:lvl w:ilvl="0" w:tplc="E1BA3C6A">
      <w:start w:val="1"/>
      <w:numFmt w:val="decimal"/>
      <w:lvlText w:val="%1."/>
      <w:lvlJc w:val="left"/>
      <w:pPr>
        <w:ind w:left="1211" w:hanging="360"/>
      </w:pPr>
      <w:rPr>
        <w:rFonts w:hint="default"/>
      </w:rPr>
    </w:lvl>
    <w:lvl w:ilvl="1" w:tplc="FBE8A570" w:tentative="1">
      <w:start w:val="1"/>
      <w:numFmt w:val="lowerLetter"/>
      <w:lvlText w:val="%2."/>
      <w:lvlJc w:val="left"/>
      <w:pPr>
        <w:ind w:left="1931" w:hanging="360"/>
      </w:pPr>
    </w:lvl>
    <w:lvl w:ilvl="2" w:tplc="352656D2" w:tentative="1">
      <w:start w:val="1"/>
      <w:numFmt w:val="lowerRoman"/>
      <w:lvlText w:val="%3."/>
      <w:lvlJc w:val="right"/>
      <w:pPr>
        <w:ind w:left="2651" w:hanging="180"/>
      </w:pPr>
    </w:lvl>
    <w:lvl w:ilvl="3" w:tplc="21983CCC" w:tentative="1">
      <w:start w:val="1"/>
      <w:numFmt w:val="decimal"/>
      <w:lvlText w:val="%4."/>
      <w:lvlJc w:val="left"/>
      <w:pPr>
        <w:ind w:left="3371" w:hanging="360"/>
      </w:pPr>
    </w:lvl>
    <w:lvl w:ilvl="4" w:tplc="AE3CD5EE" w:tentative="1">
      <w:start w:val="1"/>
      <w:numFmt w:val="lowerLetter"/>
      <w:lvlText w:val="%5."/>
      <w:lvlJc w:val="left"/>
      <w:pPr>
        <w:ind w:left="4091" w:hanging="360"/>
      </w:pPr>
    </w:lvl>
    <w:lvl w:ilvl="5" w:tplc="86026188" w:tentative="1">
      <w:start w:val="1"/>
      <w:numFmt w:val="lowerRoman"/>
      <w:lvlText w:val="%6."/>
      <w:lvlJc w:val="right"/>
      <w:pPr>
        <w:ind w:left="4811" w:hanging="180"/>
      </w:pPr>
    </w:lvl>
    <w:lvl w:ilvl="6" w:tplc="139CAAEA" w:tentative="1">
      <w:start w:val="1"/>
      <w:numFmt w:val="decimal"/>
      <w:lvlText w:val="%7."/>
      <w:lvlJc w:val="left"/>
      <w:pPr>
        <w:ind w:left="5531" w:hanging="360"/>
      </w:pPr>
    </w:lvl>
    <w:lvl w:ilvl="7" w:tplc="847AC1F2" w:tentative="1">
      <w:start w:val="1"/>
      <w:numFmt w:val="lowerLetter"/>
      <w:lvlText w:val="%8."/>
      <w:lvlJc w:val="left"/>
      <w:pPr>
        <w:ind w:left="6251" w:hanging="360"/>
      </w:pPr>
    </w:lvl>
    <w:lvl w:ilvl="8" w:tplc="F76ECFD6" w:tentative="1">
      <w:start w:val="1"/>
      <w:numFmt w:val="lowerRoman"/>
      <w:lvlText w:val="%9."/>
      <w:lvlJc w:val="right"/>
      <w:pPr>
        <w:ind w:left="6971" w:hanging="180"/>
      </w:pPr>
    </w:lvl>
  </w:abstractNum>
  <w:abstractNum w:abstractNumId="40" w15:restartNumberingAfterBreak="0">
    <w:nsid w:val="78FD5A48"/>
    <w:multiLevelType w:val="multilevel"/>
    <w:tmpl w:val="92149B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B040CDB"/>
    <w:multiLevelType w:val="hybridMultilevel"/>
    <w:tmpl w:val="B1CC9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2"/>
  </w:num>
  <w:num w:numId="3">
    <w:abstractNumId w:val="31"/>
  </w:num>
  <w:num w:numId="4">
    <w:abstractNumId w:val="26"/>
  </w:num>
  <w:num w:numId="5">
    <w:abstractNumId w:val="24"/>
  </w:num>
  <w:num w:numId="6">
    <w:abstractNumId w:val="37"/>
  </w:num>
  <w:num w:numId="7">
    <w:abstractNumId w:val="7"/>
  </w:num>
  <w:num w:numId="8">
    <w:abstractNumId w:val="23"/>
  </w:num>
  <w:num w:numId="9">
    <w:abstractNumId w:val="1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0"/>
  </w:num>
  <w:num w:numId="13">
    <w:abstractNumId w:val="22"/>
  </w:num>
  <w:num w:numId="14">
    <w:abstractNumId w:val="17"/>
  </w:num>
  <w:num w:numId="15">
    <w:abstractNumId w:val="19"/>
  </w:num>
  <w:num w:numId="16">
    <w:abstractNumId w:val="6"/>
  </w:num>
  <w:num w:numId="17">
    <w:abstractNumId w:val="8"/>
  </w:num>
  <w:num w:numId="18">
    <w:abstractNumId w:val="34"/>
  </w:num>
  <w:num w:numId="19">
    <w:abstractNumId w:val="3"/>
  </w:num>
  <w:num w:numId="20">
    <w:abstractNumId w:val="14"/>
  </w:num>
  <w:num w:numId="21">
    <w:abstractNumId w:val="15"/>
  </w:num>
  <w:num w:numId="22">
    <w:abstractNumId w:val="28"/>
  </w:num>
  <w:num w:numId="23">
    <w:abstractNumId w:val="9"/>
  </w:num>
  <w:num w:numId="24">
    <w:abstractNumId w:val="33"/>
  </w:num>
  <w:num w:numId="25">
    <w:abstractNumId w:val="41"/>
  </w:num>
  <w:num w:numId="26">
    <w:abstractNumId w:val="35"/>
  </w:num>
  <w:num w:numId="27">
    <w:abstractNumId w:val="29"/>
  </w:num>
  <w:num w:numId="28">
    <w:abstractNumId w:val="16"/>
  </w:num>
  <w:num w:numId="29">
    <w:abstractNumId w:val="0"/>
  </w:num>
  <w:num w:numId="30">
    <w:abstractNumId w:val="5"/>
  </w:num>
  <w:num w:numId="31">
    <w:abstractNumId w:val="2"/>
  </w:num>
  <w:num w:numId="32">
    <w:abstractNumId w:val="1"/>
  </w:num>
  <w:num w:numId="33">
    <w:abstractNumId w:val="13"/>
  </w:num>
  <w:num w:numId="34">
    <w:abstractNumId w:val="27"/>
  </w:num>
  <w:num w:numId="35">
    <w:abstractNumId w:val="40"/>
  </w:num>
  <w:num w:numId="36">
    <w:abstractNumId w:val="4"/>
  </w:num>
  <w:num w:numId="37">
    <w:abstractNumId w:val="18"/>
  </w:num>
  <w:num w:numId="38">
    <w:abstractNumId w:val="36"/>
  </w:num>
  <w:num w:numId="39">
    <w:abstractNumId w:val="21"/>
  </w:num>
  <w:num w:numId="40">
    <w:abstractNumId w:val="11"/>
  </w:num>
  <w:num w:numId="41">
    <w:abstractNumId w:val="39"/>
  </w:num>
  <w:num w:numId="42">
    <w:abstractNumId w:val="30"/>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F5"/>
    <w:rsid w:val="00000D72"/>
    <w:rsid w:val="000016CA"/>
    <w:rsid w:val="00001F89"/>
    <w:rsid w:val="00003B89"/>
    <w:rsid w:val="00003BFF"/>
    <w:rsid w:val="00003C53"/>
    <w:rsid w:val="0000456E"/>
    <w:rsid w:val="000055EA"/>
    <w:rsid w:val="00005BE4"/>
    <w:rsid w:val="00005CEA"/>
    <w:rsid w:val="000067D9"/>
    <w:rsid w:val="00006BF1"/>
    <w:rsid w:val="0001118D"/>
    <w:rsid w:val="0001131F"/>
    <w:rsid w:val="00011663"/>
    <w:rsid w:val="00011C35"/>
    <w:rsid w:val="00011E0C"/>
    <w:rsid w:val="00012009"/>
    <w:rsid w:val="0001249F"/>
    <w:rsid w:val="000125C0"/>
    <w:rsid w:val="0001270C"/>
    <w:rsid w:val="000136AA"/>
    <w:rsid w:val="00013B4C"/>
    <w:rsid w:val="00013BF6"/>
    <w:rsid w:val="00013DC4"/>
    <w:rsid w:val="00013DCB"/>
    <w:rsid w:val="0001554C"/>
    <w:rsid w:val="00015B94"/>
    <w:rsid w:val="00015DE5"/>
    <w:rsid w:val="00016FD9"/>
    <w:rsid w:val="000172E2"/>
    <w:rsid w:val="00017449"/>
    <w:rsid w:val="00020249"/>
    <w:rsid w:val="000202FD"/>
    <w:rsid w:val="00021625"/>
    <w:rsid w:val="00022338"/>
    <w:rsid w:val="0002296A"/>
    <w:rsid w:val="00022B0F"/>
    <w:rsid w:val="00022B9A"/>
    <w:rsid w:val="00022E21"/>
    <w:rsid w:val="00023FD6"/>
    <w:rsid w:val="0002416A"/>
    <w:rsid w:val="000248E2"/>
    <w:rsid w:val="00024CCD"/>
    <w:rsid w:val="00024D20"/>
    <w:rsid w:val="000253DB"/>
    <w:rsid w:val="000278E7"/>
    <w:rsid w:val="00027A63"/>
    <w:rsid w:val="00027F9D"/>
    <w:rsid w:val="000302F2"/>
    <w:rsid w:val="000307B5"/>
    <w:rsid w:val="00030A1B"/>
    <w:rsid w:val="00031F75"/>
    <w:rsid w:val="00032360"/>
    <w:rsid w:val="00032457"/>
    <w:rsid w:val="0003413A"/>
    <w:rsid w:val="000346F1"/>
    <w:rsid w:val="000349CA"/>
    <w:rsid w:val="00034F53"/>
    <w:rsid w:val="0003557A"/>
    <w:rsid w:val="00035697"/>
    <w:rsid w:val="00035A82"/>
    <w:rsid w:val="00035C06"/>
    <w:rsid w:val="0003652E"/>
    <w:rsid w:val="000366DF"/>
    <w:rsid w:val="00036729"/>
    <w:rsid w:val="00036D12"/>
    <w:rsid w:val="000376CD"/>
    <w:rsid w:val="0004038C"/>
    <w:rsid w:val="00040A5C"/>
    <w:rsid w:val="00041561"/>
    <w:rsid w:val="000419A1"/>
    <w:rsid w:val="00041AB9"/>
    <w:rsid w:val="00041ACF"/>
    <w:rsid w:val="00043005"/>
    <w:rsid w:val="00043051"/>
    <w:rsid w:val="0004345F"/>
    <w:rsid w:val="00043765"/>
    <w:rsid w:val="00044026"/>
    <w:rsid w:val="00046075"/>
    <w:rsid w:val="00046CAD"/>
    <w:rsid w:val="00046F5C"/>
    <w:rsid w:val="0004709D"/>
    <w:rsid w:val="00047385"/>
    <w:rsid w:val="000500B9"/>
    <w:rsid w:val="00050554"/>
    <w:rsid w:val="00051FFC"/>
    <w:rsid w:val="00052C4D"/>
    <w:rsid w:val="00052C53"/>
    <w:rsid w:val="00053706"/>
    <w:rsid w:val="00053E04"/>
    <w:rsid w:val="000544B3"/>
    <w:rsid w:val="00054CF5"/>
    <w:rsid w:val="000579E6"/>
    <w:rsid w:val="00060E03"/>
    <w:rsid w:val="00061770"/>
    <w:rsid w:val="000619DE"/>
    <w:rsid w:val="00062552"/>
    <w:rsid w:val="000641CE"/>
    <w:rsid w:val="00065081"/>
    <w:rsid w:val="00065271"/>
    <w:rsid w:val="0006604C"/>
    <w:rsid w:val="00066176"/>
    <w:rsid w:val="0006618D"/>
    <w:rsid w:val="00066885"/>
    <w:rsid w:val="0006692F"/>
    <w:rsid w:val="0006694E"/>
    <w:rsid w:val="00066A37"/>
    <w:rsid w:val="00066F05"/>
    <w:rsid w:val="00066F3D"/>
    <w:rsid w:val="00066F94"/>
    <w:rsid w:val="00067BEB"/>
    <w:rsid w:val="000715D7"/>
    <w:rsid w:val="00071A0A"/>
    <w:rsid w:val="00072116"/>
    <w:rsid w:val="00072628"/>
    <w:rsid w:val="000728ED"/>
    <w:rsid w:val="000733F5"/>
    <w:rsid w:val="000733FF"/>
    <w:rsid w:val="0007412B"/>
    <w:rsid w:val="00075156"/>
    <w:rsid w:val="0007577A"/>
    <w:rsid w:val="000767BB"/>
    <w:rsid w:val="00076EB1"/>
    <w:rsid w:val="000775D0"/>
    <w:rsid w:val="000802DF"/>
    <w:rsid w:val="00081391"/>
    <w:rsid w:val="00081B0F"/>
    <w:rsid w:val="0008283D"/>
    <w:rsid w:val="00082D64"/>
    <w:rsid w:val="00083090"/>
    <w:rsid w:val="00083214"/>
    <w:rsid w:val="00083840"/>
    <w:rsid w:val="00083B8F"/>
    <w:rsid w:val="00084B11"/>
    <w:rsid w:val="00085322"/>
    <w:rsid w:val="000857CD"/>
    <w:rsid w:val="000859B9"/>
    <w:rsid w:val="0008656F"/>
    <w:rsid w:val="00086AB9"/>
    <w:rsid w:val="00086BCE"/>
    <w:rsid w:val="00086F36"/>
    <w:rsid w:val="000875E5"/>
    <w:rsid w:val="00087838"/>
    <w:rsid w:val="00090168"/>
    <w:rsid w:val="00090294"/>
    <w:rsid w:val="00090C76"/>
    <w:rsid w:val="00091033"/>
    <w:rsid w:val="00091F10"/>
    <w:rsid w:val="00092440"/>
    <w:rsid w:val="00092EF4"/>
    <w:rsid w:val="0009302B"/>
    <w:rsid w:val="00093EC2"/>
    <w:rsid w:val="000953E0"/>
    <w:rsid w:val="000958A2"/>
    <w:rsid w:val="00095980"/>
    <w:rsid w:val="00096102"/>
    <w:rsid w:val="00096491"/>
    <w:rsid w:val="000965E7"/>
    <w:rsid w:val="000A0041"/>
    <w:rsid w:val="000A06FC"/>
    <w:rsid w:val="000A130C"/>
    <w:rsid w:val="000A1A02"/>
    <w:rsid w:val="000A4003"/>
    <w:rsid w:val="000A4035"/>
    <w:rsid w:val="000A483A"/>
    <w:rsid w:val="000A55D2"/>
    <w:rsid w:val="000A64D3"/>
    <w:rsid w:val="000A74BA"/>
    <w:rsid w:val="000A77B9"/>
    <w:rsid w:val="000A7EA7"/>
    <w:rsid w:val="000A7F0A"/>
    <w:rsid w:val="000B0403"/>
    <w:rsid w:val="000B057B"/>
    <w:rsid w:val="000B06E7"/>
    <w:rsid w:val="000B0C94"/>
    <w:rsid w:val="000B15E5"/>
    <w:rsid w:val="000B2382"/>
    <w:rsid w:val="000B2F9E"/>
    <w:rsid w:val="000B3171"/>
    <w:rsid w:val="000B34A5"/>
    <w:rsid w:val="000B3C39"/>
    <w:rsid w:val="000B45B0"/>
    <w:rsid w:val="000B4746"/>
    <w:rsid w:val="000B5BA1"/>
    <w:rsid w:val="000B65C3"/>
    <w:rsid w:val="000B7966"/>
    <w:rsid w:val="000B7CB1"/>
    <w:rsid w:val="000C0AE6"/>
    <w:rsid w:val="000C0D0D"/>
    <w:rsid w:val="000C1B48"/>
    <w:rsid w:val="000C2555"/>
    <w:rsid w:val="000C3545"/>
    <w:rsid w:val="000C3644"/>
    <w:rsid w:val="000C498A"/>
    <w:rsid w:val="000C4C16"/>
    <w:rsid w:val="000C56FC"/>
    <w:rsid w:val="000C5BAE"/>
    <w:rsid w:val="000C5C74"/>
    <w:rsid w:val="000C7907"/>
    <w:rsid w:val="000C7A11"/>
    <w:rsid w:val="000C7F5E"/>
    <w:rsid w:val="000D00AC"/>
    <w:rsid w:val="000D02D0"/>
    <w:rsid w:val="000D0AED"/>
    <w:rsid w:val="000D3093"/>
    <w:rsid w:val="000D3602"/>
    <w:rsid w:val="000D3A99"/>
    <w:rsid w:val="000D4D89"/>
    <w:rsid w:val="000D575C"/>
    <w:rsid w:val="000D6BBD"/>
    <w:rsid w:val="000D7751"/>
    <w:rsid w:val="000D7C23"/>
    <w:rsid w:val="000E0296"/>
    <w:rsid w:val="000E0A16"/>
    <w:rsid w:val="000E0B29"/>
    <w:rsid w:val="000E1702"/>
    <w:rsid w:val="000E1BFA"/>
    <w:rsid w:val="000E2142"/>
    <w:rsid w:val="000E21D0"/>
    <w:rsid w:val="000E2278"/>
    <w:rsid w:val="000E2A38"/>
    <w:rsid w:val="000E2ACC"/>
    <w:rsid w:val="000E343E"/>
    <w:rsid w:val="000E447A"/>
    <w:rsid w:val="000E46A5"/>
    <w:rsid w:val="000E5463"/>
    <w:rsid w:val="000E5509"/>
    <w:rsid w:val="000E585F"/>
    <w:rsid w:val="000E5A32"/>
    <w:rsid w:val="000E61DC"/>
    <w:rsid w:val="000E66F8"/>
    <w:rsid w:val="000E7AF3"/>
    <w:rsid w:val="000F054F"/>
    <w:rsid w:val="000F079D"/>
    <w:rsid w:val="000F0912"/>
    <w:rsid w:val="000F0D9D"/>
    <w:rsid w:val="000F18CC"/>
    <w:rsid w:val="000F1D56"/>
    <w:rsid w:val="000F2534"/>
    <w:rsid w:val="000F28D9"/>
    <w:rsid w:val="000F2D43"/>
    <w:rsid w:val="000F2F9A"/>
    <w:rsid w:val="000F3599"/>
    <w:rsid w:val="000F3AA0"/>
    <w:rsid w:val="000F4AEB"/>
    <w:rsid w:val="000F4B40"/>
    <w:rsid w:val="000F4C3B"/>
    <w:rsid w:val="000F4E7B"/>
    <w:rsid w:val="000F56AB"/>
    <w:rsid w:val="000F57C3"/>
    <w:rsid w:val="000F5C0C"/>
    <w:rsid w:val="000F5C37"/>
    <w:rsid w:val="000F5DF0"/>
    <w:rsid w:val="000F6A0B"/>
    <w:rsid w:val="000F72EA"/>
    <w:rsid w:val="000F7695"/>
    <w:rsid w:val="001012E3"/>
    <w:rsid w:val="00101EEB"/>
    <w:rsid w:val="00102411"/>
    <w:rsid w:val="00102ADA"/>
    <w:rsid w:val="00103261"/>
    <w:rsid w:val="00103572"/>
    <w:rsid w:val="00103740"/>
    <w:rsid w:val="0010375A"/>
    <w:rsid w:val="001038ED"/>
    <w:rsid w:val="001042B0"/>
    <w:rsid w:val="00105005"/>
    <w:rsid w:val="001065B2"/>
    <w:rsid w:val="00106937"/>
    <w:rsid w:val="00106F4F"/>
    <w:rsid w:val="001071D3"/>
    <w:rsid w:val="001075A8"/>
    <w:rsid w:val="001079ED"/>
    <w:rsid w:val="00110259"/>
    <w:rsid w:val="00110AA9"/>
    <w:rsid w:val="00111128"/>
    <w:rsid w:val="00111C2C"/>
    <w:rsid w:val="0011253A"/>
    <w:rsid w:val="0011254D"/>
    <w:rsid w:val="00112B78"/>
    <w:rsid w:val="001139C2"/>
    <w:rsid w:val="00114559"/>
    <w:rsid w:val="00114EA9"/>
    <w:rsid w:val="00115ED0"/>
    <w:rsid w:val="0011683C"/>
    <w:rsid w:val="00117743"/>
    <w:rsid w:val="001179E8"/>
    <w:rsid w:val="0012021B"/>
    <w:rsid w:val="00121373"/>
    <w:rsid w:val="0012222D"/>
    <w:rsid w:val="00125058"/>
    <w:rsid w:val="001255E6"/>
    <w:rsid w:val="00125FD3"/>
    <w:rsid w:val="0012672E"/>
    <w:rsid w:val="00127D9B"/>
    <w:rsid w:val="0013053A"/>
    <w:rsid w:val="0013066A"/>
    <w:rsid w:val="001307AE"/>
    <w:rsid w:val="001315EF"/>
    <w:rsid w:val="0013163F"/>
    <w:rsid w:val="00131F39"/>
    <w:rsid w:val="00132375"/>
    <w:rsid w:val="00132E73"/>
    <w:rsid w:val="00133071"/>
    <w:rsid w:val="00133505"/>
    <w:rsid w:val="00134188"/>
    <w:rsid w:val="001347EA"/>
    <w:rsid w:val="00137403"/>
    <w:rsid w:val="00137890"/>
    <w:rsid w:val="0013793E"/>
    <w:rsid w:val="00140706"/>
    <w:rsid w:val="001410FD"/>
    <w:rsid w:val="0014122A"/>
    <w:rsid w:val="00141E85"/>
    <w:rsid w:val="0014319C"/>
    <w:rsid w:val="001436B3"/>
    <w:rsid w:val="001438BA"/>
    <w:rsid w:val="00143976"/>
    <w:rsid w:val="00143DAC"/>
    <w:rsid w:val="00144622"/>
    <w:rsid w:val="00144781"/>
    <w:rsid w:val="00144917"/>
    <w:rsid w:val="0014492B"/>
    <w:rsid w:val="0014702D"/>
    <w:rsid w:val="00147596"/>
    <w:rsid w:val="0015003B"/>
    <w:rsid w:val="0015021D"/>
    <w:rsid w:val="0015113A"/>
    <w:rsid w:val="00152718"/>
    <w:rsid w:val="001530CF"/>
    <w:rsid w:val="00153232"/>
    <w:rsid w:val="00153F12"/>
    <w:rsid w:val="00153FB5"/>
    <w:rsid w:val="001543DB"/>
    <w:rsid w:val="00154BC9"/>
    <w:rsid w:val="00155473"/>
    <w:rsid w:val="00155B92"/>
    <w:rsid w:val="00155DC2"/>
    <w:rsid w:val="00156D90"/>
    <w:rsid w:val="00156E9F"/>
    <w:rsid w:val="00157A57"/>
    <w:rsid w:val="00157DB6"/>
    <w:rsid w:val="00157EC2"/>
    <w:rsid w:val="00157F67"/>
    <w:rsid w:val="001605C7"/>
    <w:rsid w:val="00161100"/>
    <w:rsid w:val="00161526"/>
    <w:rsid w:val="001618AD"/>
    <w:rsid w:val="00162A68"/>
    <w:rsid w:val="00162E08"/>
    <w:rsid w:val="001633F1"/>
    <w:rsid w:val="0016531E"/>
    <w:rsid w:val="0016565C"/>
    <w:rsid w:val="00166314"/>
    <w:rsid w:val="00166746"/>
    <w:rsid w:val="00166FD9"/>
    <w:rsid w:val="00167590"/>
    <w:rsid w:val="00167918"/>
    <w:rsid w:val="00167B7D"/>
    <w:rsid w:val="00167C1E"/>
    <w:rsid w:val="001700B7"/>
    <w:rsid w:val="0017043B"/>
    <w:rsid w:val="001706A1"/>
    <w:rsid w:val="00170914"/>
    <w:rsid w:val="001709AF"/>
    <w:rsid w:val="00170DF2"/>
    <w:rsid w:val="001728E1"/>
    <w:rsid w:val="00174841"/>
    <w:rsid w:val="001749EB"/>
    <w:rsid w:val="001761FD"/>
    <w:rsid w:val="00176D33"/>
    <w:rsid w:val="001773B1"/>
    <w:rsid w:val="00177D61"/>
    <w:rsid w:val="00180125"/>
    <w:rsid w:val="001808CA"/>
    <w:rsid w:val="00180923"/>
    <w:rsid w:val="00180CE5"/>
    <w:rsid w:val="00181187"/>
    <w:rsid w:val="00181BAA"/>
    <w:rsid w:val="00181D2D"/>
    <w:rsid w:val="001820F4"/>
    <w:rsid w:val="0018210A"/>
    <w:rsid w:val="00182DE0"/>
    <w:rsid w:val="00183365"/>
    <w:rsid w:val="0018386C"/>
    <w:rsid w:val="00184479"/>
    <w:rsid w:val="0018472C"/>
    <w:rsid w:val="00184838"/>
    <w:rsid w:val="00184DAE"/>
    <w:rsid w:val="00184DD8"/>
    <w:rsid w:val="00184DEB"/>
    <w:rsid w:val="0018538F"/>
    <w:rsid w:val="001856A9"/>
    <w:rsid w:val="00185755"/>
    <w:rsid w:val="001859E5"/>
    <w:rsid w:val="00187398"/>
    <w:rsid w:val="001876F6"/>
    <w:rsid w:val="00187858"/>
    <w:rsid w:val="00187F73"/>
    <w:rsid w:val="00187FB0"/>
    <w:rsid w:val="001902E9"/>
    <w:rsid w:val="00190327"/>
    <w:rsid w:val="00190547"/>
    <w:rsid w:val="00190A0A"/>
    <w:rsid w:val="001918D9"/>
    <w:rsid w:val="001922E0"/>
    <w:rsid w:val="001926F2"/>
    <w:rsid w:val="00192DA8"/>
    <w:rsid w:val="00193A6E"/>
    <w:rsid w:val="00193BCE"/>
    <w:rsid w:val="00194B2D"/>
    <w:rsid w:val="00194B87"/>
    <w:rsid w:val="0019569A"/>
    <w:rsid w:val="00195962"/>
    <w:rsid w:val="00195EE4"/>
    <w:rsid w:val="00196CC7"/>
    <w:rsid w:val="00197533"/>
    <w:rsid w:val="001977E7"/>
    <w:rsid w:val="00197CCA"/>
    <w:rsid w:val="001A023F"/>
    <w:rsid w:val="001A0D8A"/>
    <w:rsid w:val="001A192D"/>
    <w:rsid w:val="001A1A8E"/>
    <w:rsid w:val="001A320D"/>
    <w:rsid w:val="001A321F"/>
    <w:rsid w:val="001A3B6F"/>
    <w:rsid w:val="001A60FF"/>
    <w:rsid w:val="001A66D6"/>
    <w:rsid w:val="001A7C72"/>
    <w:rsid w:val="001A7E53"/>
    <w:rsid w:val="001A7F93"/>
    <w:rsid w:val="001B084B"/>
    <w:rsid w:val="001B0CEC"/>
    <w:rsid w:val="001B0FFC"/>
    <w:rsid w:val="001B10A7"/>
    <w:rsid w:val="001B1CF2"/>
    <w:rsid w:val="001B1D76"/>
    <w:rsid w:val="001B4388"/>
    <w:rsid w:val="001B463E"/>
    <w:rsid w:val="001B469D"/>
    <w:rsid w:val="001B4954"/>
    <w:rsid w:val="001B49E0"/>
    <w:rsid w:val="001B4CBC"/>
    <w:rsid w:val="001B5124"/>
    <w:rsid w:val="001B5377"/>
    <w:rsid w:val="001B6553"/>
    <w:rsid w:val="001B6647"/>
    <w:rsid w:val="001B6A47"/>
    <w:rsid w:val="001B6B0A"/>
    <w:rsid w:val="001B6C3C"/>
    <w:rsid w:val="001B6DD7"/>
    <w:rsid w:val="001C0625"/>
    <w:rsid w:val="001C0824"/>
    <w:rsid w:val="001C0B83"/>
    <w:rsid w:val="001C1510"/>
    <w:rsid w:val="001C1989"/>
    <w:rsid w:val="001C28FD"/>
    <w:rsid w:val="001C3349"/>
    <w:rsid w:val="001C3F1E"/>
    <w:rsid w:val="001C4ABA"/>
    <w:rsid w:val="001C546B"/>
    <w:rsid w:val="001C57E1"/>
    <w:rsid w:val="001C5EA2"/>
    <w:rsid w:val="001C6608"/>
    <w:rsid w:val="001C6AA9"/>
    <w:rsid w:val="001C6C7D"/>
    <w:rsid w:val="001D0470"/>
    <w:rsid w:val="001D0FF6"/>
    <w:rsid w:val="001D1CB1"/>
    <w:rsid w:val="001D2AC0"/>
    <w:rsid w:val="001D2DBA"/>
    <w:rsid w:val="001D2FD0"/>
    <w:rsid w:val="001D3830"/>
    <w:rsid w:val="001D3BA6"/>
    <w:rsid w:val="001D4FC0"/>
    <w:rsid w:val="001D5564"/>
    <w:rsid w:val="001D5FD7"/>
    <w:rsid w:val="001D5FF8"/>
    <w:rsid w:val="001D6863"/>
    <w:rsid w:val="001D68AF"/>
    <w:rsid w:val="001D6FAA"/>
    <w:rsid w:val="001D70FA"/>
    <w:rsid w:val="001D7BA9"/>
    <w:rsid w:val="001E039D"/>
    <w:rsid w:val="001E0985"/>
    <w:rsid w:val="001E0C85"/>
    <w:rsid w:val="001E22E7"/>
    <w:rsid w:val="001E2714"/>
    <w:rsid w:val="001E2D5C"/>
    <w:rsid w:val="001E398C"/>
    <w:rsid w:val="001E4456"/>
    <w:rsid w:val="001E4A85"/>
    <w:rsid w:val="001E4DDC"/>
    <w:rsid w:val="001E774F"/>
    <w:rsid w:val="001E7C1D"/>
    <w:rsid w:val="001F073F"/>
    <w:rsid w:val="001F13CD"/>
    <w:rsid w:val="001F3009"/>
    <w:rsid w:val="001F3358"/>
    <w:rsid w:val="001F35CB"/>
    <w:rsid w:val="001F38A0"/>
    <w:rsid w:val="001F390F"/>
    <w:rsid w:val="001F3B44"/>
    <w:rsid w:val="001F3BB2"/>
    <w:rsid w:val="001F3C43"/>
    <w:rsid w:val="001F4C88"/>
    <w:rsid w:val="001F5CD1"/>
    <w:rsid w:val="001F6D49"/>
    <w:rsid w:val="001F7257"/>
    <w:rsid w:val="001F7739"/>
    <w:rsid w:val="0020011B"/>
    <w:rsid w:val="0020068A"/>
    <w:rsid w:val="0020187E"/>
    <w:rsid w:val="00201DC6"/>
    <w:rsid w:val="00202375"/>
    <w:rsid w:val="0020242C"/>
    <w:rsid w:val="002025EA"/>
    <w:rsid w:val="00202884"/>
    <w:rsid w:val="00202E44"/>
    <w:rsid w:val="00203556"/>
    <w:rsid w:val="00204D0F"/>
    <w:rsid w:val="00204DB6"/>
    <w:rsid w:val="002056ED"/>
    <w:rsid w:val="00205C3A"/>
    <w:rsid w:val="00206DC3"/>
    <w:rsid w:val="002072DE"/>
    <w:rsid w:val="00207EB3"/>
    <w:rsid w:val="00211015"/>
    <w:rsid w:val="00211293"/>
    <w:rsid w:val="00211793"/>
    <w:rsid w:val="00211C11"/>
    <w:rsid w:val="00212345"/>
    <w:rsid w:val="00212E10"/>
    <w:rsid w:val="0021370A"/>
    <w:rsid w:val="0021374A"/>
    <w:rsid w:val="00214809"/>
    <w:rsid w:val="002149A1"/>
    <w:rsid w:val="00214E7A"/>
    <w:rsid w:val="00215BFE"/>
    <w:rsid w:val="00215C44"/>
    <w:rsid w:val="0021653B"/>
    <w:rsid w:val="00216E73"/>
    <w:rsid w:val="0021774C"/>
    <w:rsid w:val="00217F92"/>
    <w:rsid w:val="00217FF6"/>
    <w:rsid w:val="00220497"/>
    <w:rsid w:val="0022126E"/>
    <w:rsid w:val="002218EE"/>
    <w:rsid w:val="00221E97"/>
    <w:rsid w:val="00222386"/>
    <w:rsid w:val="002229DC"/>
    <w:rsid w:val="00222F51"/>
    <w:rsid w:val="00223038"/>
    <w:rsid w:val="002230E1"/>
    <w:rsid w:val="00223361"/>
    <w:rsid w:val="002244BA"/>
    <w:rsid w:val="002247AA"/>
    <w:rsid w:val="00224DA7"/>
    <w:rsid w:val="0022504D"/>
    <w:rsid w:val="002256C7"/>
    <w:rsid w:val="002261CB"/>
    <w:rsid w:val="002268BF"/>
    <w:rsid w:val="00227BDE"/>
    <w:rsid w:val="00230045"/>
    <w:rsid w:val="0023014E"/>
    <w:rsid w:val="002308FA"/>
    <w:rsid w:val="0023132F"/>
    <w:rsid w:val="00231AA5"/>
    <w:rsid w:val="00231ECD"/>
    <w:rsid w:val="00232BF7"/>
    <w:rsid w:val="00232F90"/>
    <w:rsid w:val="0023339B"/>
    <w:rsid w:val="0023469C"/>
    <w:rsid w:val="00234C71"/>
    <w:rsid w:val="00235511"/>
    <w:rsid w:val="00235BA8"/>
    <w:rsid w:val="002366E0"/>
    <w:rsid w:val="00236DE1"/>
    <w:rsid w:val="002372EE"/>
    <w:rsid w:val="002372FD"/>
    <w:rsid w:val="0023764D"/>
    <w:rsid w:val="0023778F"/>
    <w:rsid w:val="0024025E"/>
    <w:rsid w:val="00240DC7"/>
    <w:rsid w:val="002415BC"/>
    <w:rsid w:val="00241937"/>
    <w:rsid w:val="00241D9D"/>
    <w:rsid w:val="002434B2"/>
    <w:rsid w:val="002442F4"/>
    <w:rsid w:val="002445EA"/>
    <w:rsid w:val="00244ECE"/>
    <w:rsid w:val="00244FC5"/>
    <w:rsid w:val="00245D1D"/>
    <w:rsid w:val="00250EDA"/>
    <w:rsid w:val="002513E8"/>
    <w:rsid w:val="002514D3"/>
    <w:rsid w:val="00251502"/>
    <w:rsid w:val="002518E8"/>
    <w:rsid w:val="00251C10"/>
    <w:rsid w:val="00251DCB"/>
    <w:rsid w:val="00252307"/>
    <w:rsid w:val="00252C9E"/>
    <w:rsid w:val="00252E1E"/>
    <w:rsid w:val="002538BA"/>
    <w:rsid w:val="0025469D"/>
    <w:rsid w:val="002552B1"/>
    <w:rsid w:val="00255D01"/>
    <w:rsid w:val="00256B12"/>
    <w:rsid w:val="00256E55"/>
    <w:rsid w:val="00257E0E"/>
    <w:rsid w:val="00257FF4"/>
    <w:rsid w:val="002600E0"/>
    <w:rsid w:val="002602CA"/>
    <w:rsid w:val="00260FCB"/>
    <w:rsid w:val="002615F5"/>
    <w:rsid w:val="002616B9"/>
    <w:rsid w:val="00261A62"/>
    <w:rsid w:val="00261C34"/>
    <w:rsid w:val="00261F86"/>
    <w:rsid w:val="0026217B"/>
    <w:rsid w:val="002629E4"/>
    <w:rsid w:val="0026365F"/>
    <w:rsid w:val="00263E01"/>
    <w:rsid w:val="00263E0E"/>
    <w:rsid w:val="00263FE3"/>
    <w:rsid w:val="0026501C"/>
    <w:rsid w:val="00265107"/>
    <w:rsid w:val="00265593"/>
    <w:rsid w:val="00266B38"/>
    <w:rsid w:val="00266CEF"/>
    <w:rsid w:val="00266FA6"/>
    <w:rsid w:val="00266FC8"/>
    <w:rsid w:val="002675EA"/>
    <w:rsid w:val="00267BC5"/>
    <w:rsid w:val="00267CBE"/>
    <w:rsid w:val="00267E0B"/>
    <w:rsid w:val="00270680"/>
    <w:rsid w:val="00271103"/>
    <w:rsid w:val="00271877"/>
    <w:rsid w:val="00271DC1"/>
    <w:rsid w:val="002721FA"/>
    <w:rsid w:val="0027230C"/>
    <w:rsid w:val="00272B99"/>
    <w:rsid w:val="00273085"/>
    <w:rsid w:val="0027380D"/>
    <w:rsid w:val="002743A6"/>
    <w:rsid w:val="0027468E"/>
    <w:rsid w:val="00274826"/>
    <w:rsid w:val="00275005"/>
    <w:rsid w:val="002752A1"/>
    <w:rsid w:val="002752AB"/>
    <w:rsid w:val="002756D6"/>
    <w:rsid w:val="0027573C"/>
    <w:rsid w:val="00276374"/>
    <w:rsid w:val="00280258"/>
    <w:rsid w:val="00280524"/>
    <w:rsid w:val="0028133E"/>
    <w:rsid w:val="002815D0"/>
    <w:rsid w:val="0028187F"/>
    <w:rsid w:val="00281C7C"/>
    <w:rsid w:val="002820A7"/>
    <w:rsid w:val="00283B82"/>
    <w:rsid w:val="00283E13"/>
    <w:rsid w:val="00286478"/>
    <w:rsid w:val="00287EDD"/>
    <w:rsid w:val="00290C7D"/>
    <w:rsid w:val="00290F23"/>
    <w:rsid w:val="0029110E"/>
    <w:rsid w:val="00291195"/>
    <w:rsid w:val="0029141B"/>
    <w:rsid w:val="00291DEF"/>
    <w:rsid w:val="00292746"/>
    <w:rsid w:val="002927D3"/>
    <w:rsid w:val="00294BDE"/>
    <w:rsid w:val="00295DB6"/>
    <w:rsid w:val="0029788B"/>
    <w:rsid w:val="00297D1B"/>
    <w:rsid w:val="00297ED5"/>
    <w:rsid w:val="00297F4D"/>
    <w:rsid w:val="002A0226"/>
    <w:rsid w:val="002A0661"/>
    <w:rsid w:val="002A066A"/>
    <w:rsid w:val="002A1CF2"/>
    <w:rsid w:val="002A2ED0"/>
    <w:rsid w:val="002A3A84"/>
    <w:rsid w:val="002A4475"/>
    <w:rsid w:val="002A4C3E"/>
    <w:rsid w:val="002A56BC"/>
    <w:rsid w:val="002A5C53"/>
    <w:rsid w:val="002A6AD6"/>
    <w:rsid w:val="002A72CC"/>
    <w:rsid w:val="002A76AB"/>
    <w:rsid w:val="002A7A4F"/>
    <w:rsid w:val="002A7AFE"/>
    <w:rsid w:val="002B01DB"/>
    <w:rsid w:val="002B09C0"/>
    <w:rsid w:val="002B1235"/>
    <w:rsid w:val="002B13B3"/>
    <w:rsid w:val="002B183D"/>
    <w:rsid w:val="002B1DBF"/>
    <w:rsid w:val="002B207F"/>
    <w:rsid w:val="002B2548"/>
    <w:rsid w:val="002B2A48"/>
    <w:rsid w:val="002B2BEE"/>
    <w:rsid w:val="002B31AD"/>
    <w:rsid w:val="002B3EA7"/>
    <w:rsid w:val="002B4BAE"/>
    <w:rsid w:val="002B538B"/>
    <w:rsid w:val="002B581B"/>
    <w:rsid w:val="002B741A"/>
    <w:rsid w:val="002B745E"/>
    <w:rsid w:val="002C0659"/>
    <w:rsid w:val="002C0E49"/>
    <w:rsid w:val="002C2253"/>
    <w:rsid w:val="002C2892"/>
    <w:rsid w:val="002C3E5E"/>
    <w:rsid w:val="002C4702"/>
    <w:rsid w:val="002C4DC8"/>
    <w:rsid w:val="002C58AB"/>
    <w:rsid w:val="002C6AEB"/>
    <w:rsid w:val="002C6D84"/>
    <w:rsid w:val="002C7968"/>
    <w:rsid w:val="002C7D21"/>
    <w:rsid w:val="002D1564"/>
    <w:rsid w:val="002D1CA4"/>
    <w:rsid w:val="002D1E5A"/>
    <w:rsid w:val="002D1F1D"/>
    <w:rsid w:val="002D2C09"/>
    <w:rsid w:val="002D2C45"/>
    <w:rsid w:val="002D2C92"/>
    <w:rsid w:val="002D38A4"/>
    <w:rsid w:val="002D3A58"/>
    <w:rsid w:val="002D3EC9"/>
    <w:rsid w:val="002D4899"/>
    <w:rsid w:val="002D4969"/>
    <w:rsid w:val="002D4EE1"/>
    <w:rsid w:val="002D4F49"/>
    <w:rsid w:val="002D63C1"/>
    <w:rsid w:val="002D69FC"/>
    <w:rsid w:val="002D7746"/>
    <w:rsid w:val="002D778E"/>
    <w:rsid w:val="002E04D7"/>
    <w:rsid w:val="002E06DD"/>
    <w:rsid w:val="002E08FA"/>
    <w:rsid w:val="002E171A"/>
    <w:rsid w:val="002E2A24"/>
    <w:rsid w:val="002E2EFC"/>
    <w:rsid w:val="002E3D66"/>
    <w:rsid w:val="002E3F11"/>
    <w:rsid w:val="002E4083"/>
    <w:rsid w:val="002E47C6"/>
    <w:rsid w:val="002E4B11"/>
    <w:rsid w:val="002E4F70"/>
    <w:rsid w:val="002E5616"/>
    <w:rsid w:val="002E5886"/>
    <w:rsid w:val="002E5A70"/>
    <w:rsid w:val="002E5AD3"/>
    <w:rsid w:val="002E60D3"/>
    <w:rsid w:val="002E635D"/>
    <w:rsid w:val="002E6CC8"/>
    <w:rsid w:val="002E7562"/>
    <w:rsid w:val="002E79D1"/>
    <w:rsid w:val="002F0050"/>
    <w:rsid w:val="002F071F"/>
    <w:rsid w:val="002F0895"/>
    <w:rsid w:val="002F16D5"/>
    <w:rsid w:val="002F18EC"/>
    <w:rsid w:val="002F1A90"/>
    <w:rsid w:val="002F1C2F"/>
    <w:rsid w:val="002F3D1C"/>
    <w:rsid w:val="002F42F0"/>
    <w:rsid w:val="002F43A1"/>
    <w:rsid w:val="002F4EA1"/>
    <w:rsid w:val="002F52DE"/>
    <w:rsid w:val="002F55C1"/>
    <w:rsid w:val="002F6227"/>
    <w:rsid w:val="002F66B0"/>
    <w:rsid w:val="002F797A"/>
    <w:rsid w:val="00300483"/>
    <w:rsid w:val="00300FB9"/>
    <w:rsid w:val="00301C91"/>
    <w:rsid w:val="00303B10"/>
    <w:rsid w:val="00303F2B"/>
    <w:rsid w:val="00304228"/>
    <w:rsid w:val="00304607"/>
    <w:rsid w:val="0030467A"/>
    <w:rsid w:val="00304D4E"/>
    <w:rsid w:val="00304FFD"/>
    <w:rsid w:val="00305608"/>
    <w:rsid w:val="00305B72"/>
    <w:rsid w:val="0030610A"/>
    <w:rsid w:val="00306627"/>
    <w:rsid w:val="003069DD"/>
    <w:rsid w:val="00306CAB"/>
    <w:rsid w:val="003077FF"/>
    <w:rsid w:val="00307B9D"/>
    <w:rsid w:val="00310248"/>
    <w:rsid w:val="00310D23"/>
    <w:rsid w:val="00310D64"/>
    <w:rsid w:val="0031146F"/>
    <w:rsid w:val="00311795"/>
    <w:rsid w:val="003117B1"/>
    <w:rsid w:val="00311B70"/>
    <w:rsid w:val="00311CBE"/>
    <w:rsid w:val="00312165"/>
    <w:rsid w:val="00312280"/>
    <w:rsid w:val="00312B2C"/>
    <w:rsid w:val="00312CD0"/>
    <w:rsid w:val="0031449F"/>
    <w:rsid w:val="003145A5"/>
    <w:rsid w:val="003148B9"/>
    <w:rsid w:val="00314A2E"/>
    <w:rsid w:val="00315266"/>
    <w:rsid w:val="0031693B"/>
    <w:rsid w:val="003169CE"/>
    <w:rsid w:val="00316F0A"/>
    <w:rsid w:val="0031736F"/>
    <w:rsid w:val="00317DC7"/>
    <w:rsid w:val="003200F9"/>
    <w:rsid w:val="003202EF"/>
    <w:rsid w:val="00320F38"/>
    <w:rsid w:val="00321183"/>
    <w:rsid w:val="00321694"/>
    <w:rsid w:val="00321F0A"/>
    <w:rsid w:val="003223CE"/>
    <w:rsid w:val="003224CF"/>
    <w:rsid w:val="00322A2D"/>
    <w:rsid w:val="00322E80"/>
    <w:rsid w:val="00324D5B"/>
    <w:rsid w:val="00325045"/>
    <w:rsid w:val="00325D91"/>
    <w:rsid w:val="003267B4"/>
    <w:rsid w:val="00326EBA"/>
    <w:rsid w:val="003274AF"/>
    <w:rsid w:val="00331193"/>
    <w:rsid w:val="00331377"/>
    <w:rsid w:val="0033269F"/>
    <w:rsid w:val="003333D4"/>
    <w:rsid w:val="00334951"/>
    <w:rsid w:val="00334C5C"/>
    <w:rsid w:val="003352AF"/>
    <w:rsid w:val="003360B9"/>
    <w:rsid w:val="00336411"/>
    <w:rsid w:val="0033678D"/>
    <w:rsid w:val="0033720D"/>
    <w:rsid w:val="003373E8"/>
    <w:rsid w:val="003430EA"/>
    <w:rsid w:val="003439F1"/>
    <w:rsid w:val="00343AF2"/>
    <w:rsid w:val="003443DD"/>
    <w:rsid w:val="00344D5A"/>
    <w:rsid w:val="003467A6"/>
    <w:rsid w:val="00346EB6"/>
    <w:rsid w:val="00347527"/>
    <w:rsid w:val="00347EDB"/>
    <w:rsid w:val="00350212"/>
    <w:rsid w:val="00350797"/>
    <w:rsid w:val="00351A85"/>
    <w:rsid w:val="003522E8"/>
    <w:rsid w:val="00352352"/>
    <w:rsid w:val="00352359"/>
    <w:rsid w:val="003526E5"/>
    <w:rsid w:val="0035348D"/>
    <w:rsid w:val="00353989"/>
    <w:rsid w:val="003554FC"/>
    <w:rsid w:val="00355B7A"/>
    <w:rsid w:val="0035617C"/>
    <w:rsid w:val="00356524"/>
    <w:rsid w:val="00356E7E"/>
    <w:rsid w:val="00356EB8"/>
    <w:rsid w:val="00357265"/>
    <w:rsid w:val="00357448"/>
    <w:rsid w:val="00357B83"/>
    <w:rsid w:val="003602A0"/>
    <w:rsid w:val="00361024"/>
    <w:rsid w:val="003614A8"/>
    <w:rsid w:val="0036160E"/>
    <w:rsid w:val="00362610"/>
    <w:rsid w:val="00362F6A"/>
    <w:rsid w:val="003634D0"/>
    <w:rsid w:val="00363830"/>
    <w:rsid w:val="00363D2D"/>
    <w:rsid w:val="00364633"/>
    <w:rsid w:val="00364BB6"/>
    <w:rsid w:val="00364D6B"/>
    <w:rsid w:val="00365408"/>
    <w:rsid w:val="003654F4"/>
    <w:rsid w:val="00365CC0"/>
    <w:rsid w:val="003668DF"/>
    <w:rsid w:val="00366D11"/>
    <w:rsid w:val="00366F4A"/>
    <w:rsid w:val="00367688"/>
    <w:rsid w:val="00371F49"/>
    <w:rsid w:val="00372221"/>
    <w:rsid w:val="00372B02"/>
    <w:rsid w:val="00372CF2"/>
    <w:rsid w:val="00373BB3"/>
    <w:rsid w:val="00374C7E"/>
    <w:rsid w:val="00376006"/>
    <w:rsid w:val="0037689B"/>
    <w:rsid w:val="00376E2A"/>
    <w:rsid w:val="00377353"/>
    <w:rsid w:val="0037736B"/>
    <w:rsid w:val="003811AF"/>
    <w:rsid w:val="00381F57"/>
    <w:rsid w:val="0038216E"/>
    <w:rsid w:val="003822E5"/>
    <w:rsid w:val="00382B56"/>
    <w:rsid w:val="00382F55"/>
    <w:rsid w:val="003830B8"/>
    <w:rsid w:val="00383262"/>
    <w:rsid w:val="003837F1"/>
    <w:rsid w:val="00383984"/>
    <w:rsid w:val="0038415A"/>
    <w:rsid w:val="0038425D"/>
    <w:rsid w:val="003863EE"/>
    <w:rsid w:val="00387BC7"/>
    <w:rsid w:val="00391575"/>
    <w:rsid w:val="00391B8E"/>
    <w:rsid w:val="00395EA7"/>
    <w:rsid w:val="00396DE1"/>
    <w:rsid w:val="00397346"/>
    <w:rsid w:val="003A157A"/>
    <w:rsid w:val="003A283F"/>
    <w:rsid w:val="003A2A16"/>
    <w:rsid w:val="003A2FDD"/>
    <w:rsid w:val="003A3C43"/>
    <w:rsid w:val="003A3FC1"/>
    <w:rsid w:val="003A495D"/>
    <w:rsid w:val="003A5097"/>
    <w:rsid w:val="003A5CCC"/>
    <w:rsid w:val="003A6ED8"/>
    <w:rsid w:val="003A70FF"/>
    <w:rsid w:val="003A74D2"/>
    <w:rsid w:val="003A756B"/>
    <w:rsid w:val="003A7902"/>
    <w:rsid w:val="003B0032"/>
    <w:rsid w:val="003B23D7"/>
    <w:rsid w:val="003B243B"/>
    <w:rsid w:val="003B2AF2"/>
    <w:rsid w:val="003B34CB"/>
    <w:rsid w:val="003B380B"/>
    <w:rsid w:val="003B3A89"/>
    <w:rsid w:val="003B3AB4"/>
    <w:rsid w:val="003B3CA8"/>
    <w:rsid w:val="003B45D5"/>
    <w:rsid w:val="003B52FE"/>
    <w:rsid w:val="003B5508"/>
    <w:rsid w:val="003B572A"/>
    <w:rsid w:val="003B57B9"/>
    <w:rsid w:val="003B6269"/>
    <w:rsid w:val="003B6325"/>
    <w:rsid w:val="003B71E0"/>
    <w:rsid w:val="003B7787"/>
    <w:rsid w:val="003B78A4"/>
    <w:rsid w:val="003C08EF"/>
    <w:rsid w:val="003C144E"/>
    <w:rsid w:val="003C1A07"/>
    <w:rsid w:val="003C1E74"/>
    <w:rsid w:val="003C20A2"/>
    <w:rsid w:val="003C2673"/>
    <w:rsid w:val="003C27A2"/>
    <w:rsid w:val="003C3546"/>
    <w:rsid w:val="003C4DD1"/>
    <w:rsid w:val="003C4DEE"/>
    <w:rsid w:val="003C53BD"/>
    <w:rsid w:val="003C567C"/>
    <w:rsid w:val="003C59B8"/>
    <w:rsid w:val="003C6809"/>
    <w:rsid w:val="003C7897"/>
    <w:rsid w:val="003D0937"/>
    <w:rsid w:val="003D15EC"/>
    <w:rsid w:val="003D17E6"/>
    <w:rsid w:val="003D1A20"/>
    <w:rsid w:val="003D1AC9"/>
    <w:rsid w:val="003D2AC9"/>
    <w:rsid w:val="003D2CD8"/>
    <w:rsid w:val="003D3573"/>
    <w:rsid w:val="003D3724"/>
    <w:rsid w:val="003D37B5"/>
    <w:rsid w:val="003D46A7"/>
    <w:rsid w:val="003D6376"/>
    <w:rsid w:val="003D69D0"/>
    <w:rsid w:val="003D6D42"/>
    <w:rsid w:val="003E1235"/>
    <w:rsid w:val="003E2A35"/>
    <w:rsid w:val="003E2B56"/>
    <w:rsid w:val="003E2CE1"/>
    <w:rsid w:val="003E2DCB"/>
    <w:rsid w:val="003E37EA"/>
    <w:rsid w:val="003E3A8E"/>
    <w:rsid w:val="003E3B3F"/>
    <w:rsid w:val="003E3F12"/>
    <w:rsid w:val="003E428C"/>
    <w:rsid w:val="003E4C3F"/>
    <w:rsid w:val="003E4D7C"/>
    <w:rsid w:val="003E4FC8"/>
    <w:rsid w:val="003E5AC0"/>
    <w:rsid w:val="003E5FA8"/>
    <w:rsid w:val="003E6252"/>
    <w:rsid w:val="003E6D54"/>
    <w:rsid w:val="003E7813"/>
    <w:rsid w:val="003F1200"/>
    <w:rsid w:val="003F1421"/>
    <w:rsid w:val="003F1844"/>
    <w:rsid w:val="003F241E"/>
    <w:rsid w:val="003F28C0"/>
    <w:rsid w:val="003F3278"/>
    <w:rsid w:val="003F4C77"/>
    <w:rsid w:val="003F52B2"/>
    <w:rsid w:val="003F5339"/>
    <w:rsid w:val="003F63A1"/>
    <w:rsid w:val="003F6B32"/>
    <w:rsid w:val="003F716E"/>
    <w:rsid w:val="003F72A0"/>
    <w:rsid w:val="00400061"/>
    <w:rsid w:val="0040068A"/>
    <w:rsid w:val="00400813"/>
    <w:rsid w:val="004013AD"/>
    <w:rsid w:val="00401CA0"/>
    <w:rsid w:val="00402215"/>
    <w:rsid w:val="00402BDC"/>
    <w:rsid w:val="00402C35"/>
    <w:rsid w:val="0040326B"/>
    <w:rsid w:val="0040405B"/>
    <w:rsid w:val="00404195"/>
    <w:rsid w:val="00404211"/>
    <w:rsid w:val="004042A4"/>
    <w:rsid w:val="00404346"/>
    <w:rsid w:val="004043F3"/>
    <w:rsid w:val="0040497F"/>
    <w:rsid w:val="00404B29"/>
    <w:rsid w:val="00404DAA"/>
    <w:rsid w:val="00404DDD"/>
    <w:rsid w:val="00405461"/>
    <w:rsid w:val="00405480"/>
    <w:rsid w:val="0040578B"/>
    <w:rsid w:val="00405B40"/>
    <w:rsid w:val="004065D6"/>
    <w:rsid w:val="0040687D"/>
    <w:rsid w:val="0040709D"/>
    <w:rsid w:val="0040713F"/>
    <w:rsid w:val="004075A3"/>
    <w:rsid w:val="00410C48"/>
    <w:rsid w:val="004116F0"/>
    <w:rsid w:val="00411AB7"/>
    <w:rsid w:val="0041383C"/>
    <w:rsid w:val="0041520F"/>
    <w:rsid w:val="00416277"/>
    <w:rsid w:val="0041675E"/>
    <w:rsid w:val="00416B9B"/>
    <w:rsid w:val="00416E24"/>
    <w:rsid w:val="0042063D"/>
    <w:rsid w:val="004211EC"/>
    <w:rsid w:val="0042157A"/>
    <w:rsid w:val="00421B19"/>
    <w:rsid w:val="00422B23"/>
    <w:rsid w:val="00423A60"/>
    <w:rsid w:val="00423B3B"/>
    <w:rsid w:val="004249B6"/>
    <w:rsid w:val="0042565F"/>
    <w:rsid w:val="00425E77"/>
    <w:rsid w:val="004260A8"/>
    <w:rsid w:val="00426147"/>
    <w:rsid w:val="0042651C"/>
    <w:rsid w:val="00426E9B"/>
    <w:rsid w:val="00427325"/>
    <w:rsid w:val="004274DB"/>
    <w:rsid w:val="00427569"/>
    <w:rsid w:val="00427D55"/>
    <w:rsid w:val="00432013"/>
    <w:rsid w:val="0043233C"/>
    <w:rsid w:val="00433559"/>
    <w:rsid w:val="004345A6"/>
    <w:rsid w:val="00435B2F"/>
    <w:rsid w:val="00435E03"/>
    <w:rsid w:val="004373E1"/>
    <w:rsid w:val="004374A3"/>
    <w:rsid w:val="0043789D"/>
    <w:rsid w:val="00437A7E"/>
    <w:rsid w:val="00437B6C"/>
    <w:rsid w:val="00440144"/>
    <w:rsid w:val="0044064E"/>
    <w:rsid w:val="00440805"/>
    <w:rsid w:val="004412E1"/>
    <w:rsid w:val="00441554"/>
    <w:rsid w:val="00441E87"/>
    <w:rsid w:val="004426E0"/>
    <w:rsid w:val="00442E48"/>
    <w:rsid w:val="00443DCD"/>
    <w:rsid w:val="00443E7E"/>
    <w:rsid w:val="0044437C"/>
    <w:rsid w:val="00444C06"/>
    <w:rsid w:val="00444D14"/>
    <w:rsid w:val="00444FDC"/>
    <w:rsid w:val="004454DF"/>
    <w:rsid w:val="00445DF9"/>
    <w:rsid w:val="00445F61"/>
    <w:rsid w:val="00446804"/>
    <w:rsid w:val="004478D4"/>
    <w:rsid w:val="00447E70"/>
    <w:rsid w:val="00450380"/>
    <w:rsid w:val="004505C6"/>
    <w:rsid w:val="00450F3A"/>
    <w:rsid w:val="00451FE9"/>
    <w:rsid w:val="004520CD"/>
    <w:rsid w:val="00452DF3"/>
    <w:rsid w:val="0045302B"/>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B15"/>
    <w:rsid w:val="004662AD"/>
    <w:rsid w:val="00466516"/>
    <w:rsid w:val="00467B65"/>
    <w:rsid w:val="00467EC7"/>
    <w:rsid w:val="00470903"/>
    <w:rsid w:val="00471EA5"/>
    <w:rsid w:val="004720C9"/>
    <w:rsid w:val="00472257"/>
    <w:rsid w:val="00472E49"/>
    <w:rsid w:val="004731D2"/>
    <w:rsid w:val="004732BB"/>
    <w:rsid w:val="0047397B"/>
    <w:rsid w:val="00474C60"/>
    <w:rsid w:val="00475944"/>
    <w:rsid w:val="00475DF0"/>
    <w:rsid w:val="00476525"/>
    <w:rsid w:val="00476671"/>
    <w:rsid w:val="0047727F"/>
    <w:rsid w:val="004772E2"/>
    <w:rsid w:val="0047739F"/>
    <w:rsid w:val="00477EA3"/>
    <w:rsid w:val="00477F97"/>
    <w:rsid w:val="004802B4"/>
    <w:rsid w:val="00480A2D"/>
    <w:rsid w:val="00480AFB"/>
    <w:rsid w:val="00481247"/>
    <w:rsid w:val="004828DC"/>
    <w:rsid w:val="00482FF7"/>
    <w:rsid w:val="00483098"/>
    <w:rsid w:val="00483AFB"/>
    <w:rsid w:val="0048402B"/>
    <w:rsid w:val="0048414A"/>
    <w:rsid w:val="00484BBC"/>
    <w:rsid w:val="004854A8"/>
    <w:rsid w:val="00485839"/>
    <w:rsid w:val="00485C56"/>
    <w:rsid w:val="0048627A"/>
    <w:rsid w:val="00486B79"/>
    <w:rsid w:val="00486CA2"/>
    <w:rsid w:val="00487141"/>
    <w:rsid w:val="0048723D"/>
    <w:rsid w:val="00487B35"/>
    <w:rsid w:val="00487BA0"/>
    <w:rsid w:val="00490B25"/>
    <w:rsid w:val="00490B3C"/>
    <w:rsid w:val="00490FD6"/>
    <w:rsid w:val="004911C4"/>
    <w:rsid w:val="00493204"/>
    <w:rsid w:val="00494B51"/>
    <w:rsid w:val="00494CC8"/>
    <w:rsid w:val="004955E7"/>
    <w:rsid w:val="0049589C"/>
    <w:rsid w:val="00495EF1"/>
    <w:rsid w:val="0049611E"/>
    <w:rsid w:val="004966D8"/>
    <w:rsid w:val="00496ED4"/>
    <w:rsid w:val="00497D4A"/>
    <w:rsid w:val="004A0441"/>
    <w:rsid w:val="004A084C"/>
    <w:rsid w:val="004A12EC"/>
    <w:rsid w:val="004A15B3"/>
    <w:rsid w:val="004A1D01"/>
    <w:rsid w:val="004A2A54"/>
    <w:rsid w:val="004A2EF3"/>
    <w:rsid w:val="004A3B0D"/>
    <w:rsid w:val="004A4212"/>
    <w:rsid w:val="004A52F5"/>
    <w:rsid w:val="004A57D1"/>
    <w:rsid w:val="004A5D3A"/>
    <w:rsid w:val="004A6865"/>
    <w:rsid w:val="004A6897"/>
    <w:rsid w:val="004A692B"/>
    <w:rsid w:val="004A6EB6"/>
    <w:rsid w:val="004A794C"/>
    <w:rsid w:val="004B1252"/>
    <w:rsid w:val="004B2D70"/>
    <w:rsid w:val="004B3EC7"/>
    <w:rsid w:val="004B5664"/>
    <w:rsid w:val="004B673D"/>
    <w:rsid w:val="004B6FE4"/>
    <w:rsid w:val="004B7807"/>
    <w:rsid w:val="004C11B3"/>
    <w:rsid w:val="004C1221"/>
    <w:rsid w:val="004C1504"/>
    <w:rsid w:val="004C2107"/>
    <w:rsid w:val="004C25F9"/>
    <w:rsid w:val="004C31EC"/>
    <w:rsid w:val="004C553B"/>
    <w:rsid w:val="004C5A21"/>
    <w:rsid w:val="004C5FC6"/>
    <w:rsid w:val="004C6435"/>
    <w:rsid w:val="004C649B"/>
    <w:rsid w:val="004C7B9C"/>
    <w:rsid w:val="004C7D55"/>
    <w:rsid w:val="004D089A"/>
    <w:rsid w:val="004D130C"/>
    <w:rsid w:val="004D2CA0"/>
    <w:rsid w:val="004D317A"/>
    <w:rsid w:val="004D3184"/>
    <w:rsid w:val="004D4DD6"/>
    <w:rsid w:val="004D5030"/>
    <w:rsid w:val="004D5585"/>
    <w:rsid w:val="004D5D2C"/>
    <w:rsid w:val="004D602C"/>
    <w:rsid w:val="004D6045"/>
    <w:rsid w:val="004D6EE7"/>
    <w:rsid w:val="004D7240"/>
    <w:rsid w:val="004D7546"/>
    <w:rsid w:val="004D7EC5"/>
    <w:rsid w:val="004E0016"/>
    <w:rsid w:val="004E02B0"/>
    <w:rsid w:val="004E0B29"/>
    <w:rsid w:val="004E0E11"/>
    <w:rsid w:val="004E0F08"/>
    <w:rsid w:val="004E1546"/>
    <w:rsid w:val="004E19DC"/>
    <w:rsid w:val="004E2390"/>
    <w:rsid w:val="004E35E8"/>
    <w:rsid w:val="004E44D5"/>
    <w:rsid w:val="004E4970"/>
    <w:rsid w:val="004E50F0"/>
    <w:rsid w:val="004E5AA2"/>
    <w:rsid w:val="004E6A03"/>
    <w:rsid w:val="004F0070"/>
    <w:rsid w:val="004F0468"/>
    <w:rsid w:val="004F0C51"/>
    <w:rsid w:val="004F180D"/>
    <w:rsid w:val="004F263C"/>
    <w:rsid w:val="004F2BB1"/>
    <w:rsid w:val="004F2DDD"/>
    <w:rsid w:val="004F2EC7"/>
    <w:rsid w:val="004F3AC4"/>
    <w:rsid w:val="004F3CE8"/>
    <w:rsid w:val="004F422D"/>
    <w:rsid w:val="004F44FB"/>
    <w:rsid w:val="004F4FFB"/>
    <w:rsid w:val="004F52BD"/>
    <w:rsid w:val="004F5C82"/>
    <w:rsid w:val="004F6BFB"/>
    <w:rsid w:val="004F7E4A"/>
    <w:rsid w:val="0050049A"/>
    <w:rsid w:val="00500532"/>
    <w:rsid w:val="0050147C"/>
    <w:rsid w:val="0050182B"/>
    <w:rsid w:val="005022CB"/>
    <w:rsid w:val="00502579"/>
    <w:rsid w:val="005028BB"/>
    <w:rsid w:val="005029F7"/>
    <w:rsid w:val="00502D18"/>
    <w:rsid w:val="00503D4C"/>
    <w:rsid w:val="00503F57"/>
    <w:rsid w:val="00504C0C"/>
    <w:rsid w:val="00504E48"/>
    <w:rsid w:val="00505796"/>
    <w:rsid w:val="00506E03"/>
    <w:rsid w:val="005070FF"/>
    <w:rsid w:val="00507A25"/>
    <w:rsid w:val="00510AD7"/>
    <w:rsid w:val="00511BB9"/>
    <w:rsid w:val="00512346"/>
    <w:rsid w:val="00512726"/>
    <w:rsid w:val="00512BBC"/>
    <w:rsid w:val="005134FB"/>
    <w:rsid w:val="005135FD"/>
    <w:rsid w:val="0051366C"/>
    <w:rsid w:val="00513798"/>
    <w:rsid w:val="00514F58"/>
    <w:rsid w:val="005153C9"/>
    <w:rsid w:val="0051540E"/>
    <w:rsid w:val="0051606C"/>
    <w:rsid w:val="005160EF"/>
    <w:rsid w:val="0051684F"/>
    <w:rsid w:val="00516A92"/>
    <w:rsid w:val="00516B9F"/>
    <w:rsid w:val="0051761C"/>
    <w:rsid w:val="00517693"/>
    <w:rsid w:val="005205AB"/>
    <w:rsid w:val="00522882"/>
    <w:rsid w:val="00523378"/>
    <w:rsid w:val="005243BD"/>
    <w:rsid w:val="0052477F"/>
    <w:rsid w:val="0052550F"/>
    <w:rsid w:val="00526C0F"/>
    <w:rsid w:val="00526E86"/>
    <w:rsid w:val="0052702A"/>
    <w:rsid w:val="00527A6F"/>
    <w:rsid w:val="00530397"/>
    <w:rsid w:val="00530A75"/>
    <w:rsid w:val="00530F73"/>
    <w:rsid w:val="0053211E"/>
    <w:rsid w:val="00532F35"/>
    <w:rsid w:val="00533B8E"/>
    <w:rsid w:val="0053502A"/>
    <w:rsid w:val="005352DC"/>
    <w:rsid w:val="00535417"/>
    <w:rsid w:val="00535833"/>
    <w:rsid w:val="00535F87"/>
    <w:rsid w:val="005363AE"/>
    <w:rsid w:val="005363F0"/>
    <w:rsid w:val="00536D28"/>
    <w:rsid w:val="00536DE7"/>
    <w:rsid w:val="005372C5"/>
    <w:rsid w:val="00537A26"/>
    <w:rsid w:val="00540304"/>
    <w:rsid w:val="00540CBD"/>
    <w:rsid w:val="00540E47"/>
    <w:rsid w:val="00541D22"/>
    <w:rsid w:val="00542DEF"/>
    <w:rsid w:val="00543283"/>
    <w:rsid w:val="0054364C"/>
    <w:rsid w:val="0054557E"/>
    <w:rsid w:val="00546747"/>
    <w:rsid w:val="00546C66"/>
    <w:rsid w:val="00547510"/>
    <w:rsid w:val="00547ECC"/>
    <w:rsid w:val="005510A1"/>
    <w:rsid w:val="0055125E"/>
    <w:rsid w:val="00551C42"/>
    <w:rsid w:val="00551D5A"/>
    <w:rsid w:val="00551EC3"/>
    <w:rsid w:val="00552259"/>
    <w:rsid w:val="00553A07"/>
    <w:rsid w:val="005547A4"/>
    <w:rsid w:val="00554A44"/>
    <w:rsid w:val="00554C53"/>
    <w:rsid w:val="00554F18"/>
    <w:rsid w:val="00555220"/>
    <w:rsid w:val="005555F0"/>
    <w:rsid w:val="00555739"/>
    <w:rsid w:val="005561F9"/>
    <w:rsid w:val="005562B6"/>
    <w:rsid w:val="005562BE"/>
    <w:rsid w:val="00556E75"/>
    <w:rsid w:val="005571AE"/>
    <w:rsid w:val="005576E4"/>
    <w:rsid w:val="0056069A"/>
    <w:rsid w:val="00560C3B"/>
    <w:rsid w:val="00561EA1"/>
    <w:rsid w:val="00562219"/>
    <w:rsid w:val="005624C7"/>
    <w:rsid w:val="00562799"/>
    <w:rsid w:val="00562BE4"/>
    <w:rsid w:val="0056331A"/>
    <w:rsid w:val="00564804"/>
    <w:rsid w:val="00565598"/>
    <w:rsid w:val="005655A3"/>
    <w:rsid w:val="00565B5A"/>
    <w:rsid w:val="00565FAC"/>
    <w:rsid w:val="0056760F"/>
    <w:rsid w:val="00567E8F"/>
    <w:rsid w:val="005702D6"/>
    <w:rsid w:val="00570A2C"/>
    <w:rsid w:val="00570C26"/>
    <w:rsid w:val="0057135D"/>
    <w:rsid w:val="005722A4"/>
    <w:rsid w:val="00572588"/>
    <w:rsid w:val="00573144"/>
    <w:rsid w:val="00573A50"/>
    <w:rsid w:val="005746D2"/>
    <w:rsid w:val="00574E8A"/>
    <w:rsid w:val="00575090"/>
    <w:rsid w:val="00577775"/>
    <w:rsid w:val="0058083F"/>
    <w:rsid w:val="00581046"/>
    <w:rsid w:val="0058121A"/>
    <w:rsid w:val="00581863"/>
    <w:rsid w:val="00581EA3"/>
    <w:rsid w:val="0058205A"/>
    <w:rsid w:val="0058260B"/>
    <w:rsid w:val="0058290E"/>
    <w:rsid w:val="00584D1E"/>
    <w:rsid w:val="00586029"/>
    <w:rsid w:val="00586795"/>
    <w:rsid w:val="00586B82"/>
    <w:rsid w:val="00587E13"/>
    <w:rsid w:val="00590039"/>
    <w:rsid w:val="00590716"/>
    <w:rsid w:val="00590821"/>
    <w:rsid w:val="00591CB8"/>
    <w:rsid w:val="005921E9"/>
    <w:rsid w:val="005933AA"/>
    <w:rsid w:val="0059387F"/>
    <w:rsid w:val="00593CFF"/>
    <w:rsid w:val="00593D9C"/>
    <w:rsid w:val="005940AA"/>
    <w:rsid w:val="00594467"/>
    <w:rsid w:val="00594614"/>
    <w:rsid w:val="0059479D"/>
    <w:rsid w:val="00594E10"/>
    <w:rsid w:val="00595C71"/>
    <w:rsid w:val="00595C8D"/>
    <w:rsid w:val="005961E1"/>
    <w:rsid w:val="00596306"/>
    <w:rsid w:val="00596487"/>
    <w:rsid w:val="00596D5A"/>
    <w:rsid w:val="005A0748"/>
    <w:rsid w:val="005A0809"/>
    <w:rsid w:val="005A087F"/>
    <w:rsid w:val="005A0B91"/>
    <w:rsid w:val="005A0DE3"/>
    <w:rsid w:val="005A1494"/>
    <w:rsid w:val="005A1E96"/>
    <w:rsid w:val="005A28F2"/>
    <w:rsid w:val="005A3590"/>
    <w:rsid w:val="005A3682"/>
    <w:rsid w:val="005A490F"/>
    <w:rsid w:val="005A4A1C"/>
    <w:rsid w:val="005A5305"/>
    <w:rsid w:val="005A5BD8"/>
    <w:rsid w:val="005A63A4"/>
    <w:rsid w:val="005A692A"/>
    <w:rsid w:val="005A6AB8"/>
    <w:rsid w:val="005B11C2"/>
    <w:rsid w:val="005B11F9"/>
    <w:rsid w:val="005B180A"/>
    <w:rsid w:val="005B1C1F"/>
    <w:rsid w:val="005B2D0C"/>
    <w:rsid w:val="005B315D"/>
    <w:rsid w:val="005B382C"/>
    <w:rsid w:val="005B3C11"/>
    <w:rsid w:val="005B3CA2"/>
    <w:rsid w:val="005B3F8D"/>
    <w:rsid w:val="005B40DA"/>
    <w:rsid w:val="005B4226"/>
    <w:rsid w:val="005B5AA4"/>
    <w:rsid w:val="005B5EB5"/>
    <w:rsid w:val="005B6386"/>
    <w:rsid w:val="005B656B"/>
    <w:rsid w:val="005B71B3"/>
    <w:rsid w:val="005B76A4"/>
    <w:rsid w:val="005B7E21"/>
    <w:rsid w:val="005C00E3"/>
    <w:rsid w:val="005C04A7"/>
    <w:rsid w:val="005C0524"/>
    <w:rsid w:val="005C16A3"/>
    <w:rsid w:val="005C17A4"/>
    <w:rsid w:val="005C1ADC"/>
    <w:rsid w:val="005C261F"/>
    <w:rsid w:val="005C27CC"/>
    <w:rsid w:val="005C2BD1"/>
    <w:rsid w:val="005C3490"/>
    <w:rsid w:val="005C370D"/>
    <w:rsid w:val="005C4422"/>
    <w:rsid w:val="005C504E"/>
    <w:rsid w:val="005C6153"/>
    <w:rsid w:val="005C77E5"/>
    <w:rsid w:val="005C78B0"/>
    <w:rsid w:val="005C7B95"/>
    <w:rsid w:val="005D01EB"/>
    <w:rsid w:val="005D0DFB"/>
    <w:rsid w:val="005D1112"/>
    <w:rsid w:val="005D14B2"/>
    <w:rsid w:val="005D237C"/>
    <w:rsid w:val="005D25E2"/>
    <w:rsid w:val="005D25FF"/>
    <w:rsid w:val="005D2632"/>
    <w:rsid w:val="005D28B9"/>
    <w:rsid w:val="005D356A"/>
    <w:rsid w:val="005D38E0"/>
    <w:rsid w:val="005D3F32"/>
    <w:rsid w:val="005D49A7"/>
    <w:rsid w:val="005D4E3E"/>
    <w:rsid w:val="005D4E93"/>
    <w:rsid w:val="005D5720"/>
    <w:rsid w:val="005D5CFF"/>
    <w:rsid w:val="005D67F7"/>
    <w:rsid w:val="005D7D7E"/>
    <w:rsid w:val="005E0AA5"/>
    <w:rsid w:val="005E0B59"/>
    <w:rsid w:val="005E1105"/>
    <w:rsid w:val="005E162F"/>
    <w:rsid w:val="005E29F2"/>
    <w:rsid w:val="005E2C60"/>
    <w:rsid w:val="005E31F6"/>
    <w:rsid w:val="005E3349"/>
    <w:rsid w:val="005E3622"/>
    <w:rsid w:val="005E48E1"/>
    <w:rsid w:val="005E506C"/>
    <w:rsid w:val="005E60B3"/>
    <w:rsid w:val="005E672E"/>
    <w:rsid w:val="005E675B"/>
    <w:rsid w:val="005E676C"/>
    <w:rsid w:val="005E6CB9"/>
    <w:rsid w:val="005E7F14"/>
    <w:rsid w:val="005F0154"/>
    <w:rsid w:val="005F0164"/>
    <w:rsid w:val="005F0176"/>
    <w:rsid w:val="005F021D"/>
    <w:rsid w:val="005F0D67"/>
    <w:rsid w:val="005F15B3"/>
    <w:rsid w:val="005F1EAC"/>
    <w:rsid w:val="005F308F"/>
    <w:rsid w:val="005F3AB3"/>
    <w:rsid w:val="005F4869"/>
    <w:rsid w:val="005F4BFD"/>
    <w:rsid w:val="005F56E1"/>
    <w:rsid w:val="005F5748"/>
    <w:rsid w:val="005F57C4"/>
    <w:rsid w:val="005F5834"/>
    <w:rsid w:val="005F5E11"/>
    <w:rsid w:val="00600144"/>
    <w:rsid w:val="006003E5"/>
    <w:rsid w:val="00600E63"/>
    <w:rsid w:val="0060106C"/>
    <w:rsid w:val="00601561"/>
    <w:rsid w:val="00601E55"/>
    <w:rsid w:val="00601F74"/>
    <w:rsid w:val="00602037"/>
    <w:rsid w:val="006029DD"/>
    <w:rsid w:val="00602C6A"/>
    <w:rsid w:val="00603AF5"/>
    <w:rsid w:val="00603F55"/>
    <w:rsid w:val="00604BC1"/>
    <w:rsid w:val="00606C66"/>
    <w:rsid w:val="00610103"/>
    <w:rsid w:val="00610145"/>
    <w:rsid w:val="00610A45"/>
    <w:rsid w:val="00610D1F"/>
    <w:rsid w:val="006119B2"/>
    <w:rsid w:val="006123C6"/>
    <w:rsid w:val="00612C02"/>
    <w:rsid w:val="00612CDD"/>
    <w:rsid w:val="00613080"/>
    <w:rsid w:val="006135E4"/>
    <w:rsid w:val="006139E1"/>
    <w:rsid w:val="00614137"/>
    <w:rsid w:val="0061466A"/>
    <w:rsid w:val="00615483"/>
    <w:rsid w:val="0061562E"/>
    <w:rsid w:val="00616D41"/>
    <w:rsid w:val="00617292"/>
    <w:rsid w:val="006200A9"/>
    <w:rsid w:val="00620113"/>
    <w:rsid w:val="00620203"/>
    <w:rsid w:val="006216C5"/>
    <w:rsid w:val="00621A93"/>
    <w:rsid w:val="00622225"/>
    <w:rsid w:val="00622D03"/>
    <w:rsid w:val="00622DCD"/>
    <w:rsid w:val="00622F57"/>
    <w:rsid w:val="00623DD5"/>
    <w:rsid w:val="00624269"/>
    <w:rsid w:val="00624A34"/>
    <w:rsid w:val="0062568D"/>
    <w:rsid w:val="006256D3"/>
    <w:rsid w:val="0062577C"/>
    <w:rsid w:val="006258C1"/>
    <w:rsid w:val="0062644E"/>
    <w:rsid w:val="006267F5"/>
    <w:rsid w:val="00627337"/>
    <w:rsid w:val="00627B12"/>
    <w:rsid w:val="00627BEC"/>
    <w:rsid w:val="00630069"/>
    <w:rsid w:val="00630315"/>
    <w:rsid w:val="00630583"/>
    <w:rsid w:val="00630621"/>
    <w:rsid w:val="0063088C"/>
    <w:rsid w:val="00630D2E"/>
    <w:rsid w:val="00630D39"/>
    <w:rsid w:val="00631E19"/>
    <w:rsid w:val="00633E76"/>
    <w:rsid w:val="00633EC9"/>
    <w:rsid w:val="006340F5"/>
    <w:rsid w:val="00634542"/>
    <w:rsid w:val="0063515B"/>
    <w:rsid w:val="00635423"/>
    <w:rsid w:val="00635E4D"/>
    <w:rsid w:val="0063620C"/>
    <w:rsid w:val="006370A8"/>
    <w:rsid w:val="00637E18"/>
    <w:rsid w:val="0064032E"/>
    <w:rsid w:val="0064038D"/>
    <w:rsid w:val="00641207"/>
    <w:rsid w:val="00641A0B"/>
    <w:rsid w:val="00641D5A"/>
    <w:rsid w:val="00641E06"/>
    <w:rsid w:val="00641F21"/>
    <w:rsid w:val="00643007"/>
    <w:rsid w:val="006431D0"/>
    <w:rsid w:val="006432C5"/>
    <w:rsid w:val="006436FA"/>
    <w:rsid w:val="00643852"/>
    <w:rsid w:val="00643C27"/>
    <w:rsid w:val="006455E7"/>
    <w:rsid w:val="00645758"/>
    <w:rsid w:val="00645FB2"/>
    <w:rsid w:val="006461A1"/>
    <w:rsid w:val="00646743"/>
    <w:rsid w:val="00647422"/>
    <w:rsid w:val="00647E6B"/>
    <w:rsid w:val="00650E84"/>
    <w:rsid w:val="0065105D"/>
    <w:rsid w:val="00651675"/>
    <w:rsid w:val="0065198B"/>
    <w:rsid w:val="006525AF"/>
    <w:rsid w:val="0065266A"/>
    <w:rsid w:val="00652DBC"/>
    <w:rsid w:val="00653F9C"/>
    <w:rsid w:val="006550A3"/>
    <w:rsid w:val="00655256"/>
    <w:rsid w:val="00655470"/>
    <w:rsid w:val="00655611"/>
    <w:rsid w:val="0065625D"/>
    <w:rsid w:val="00656FEE"/>
    <w:rsid w:val="0065758F"/>
    <w:rsid w:val="00657FCC"/>
    <w:rsid w:val="00660897"/>
    <w:rsid w:val="00661028"/>
    <w:rsid w:val="006616B1"/>
    <w:rsid w:val="006617BD"/>
    <w:rsid w:val="0066194D"/>
    <w:rsid w:val="00661E53"/>
    <w:rsid w:val="0066290F"/>
    <w:rsid w:val="00664695"/>
    <w:rsid w:val="00664840"/>
    <w:rsid w:val="00664B44"/>
    <w:rsid w:val="00665248"/>
    <w:rsid w:val="006652BF"/>
    <w:rsid w:val="00665351"/>
    <w:rsid w:val="0066630C"/>
    <w:rsid w:val="006668BB"/>
    <w:rsid w:val="00667BBD"/>
    <w:rsid w:val="00667CED"/>
    <w:rsid w:val="00671149"/>
    <w:rsid w:val="00671615"/>
    <w:rsid w:val="00671652"/>
    <w:rsid w:val="00671741"/>
    <w:rsid w:val="00671766"/>
    <w:rsid w:val="00672914"/>
    <w:rsid w:val="00672AAE"/>
    <w:rsid w:val="00673960"/>
    <w:rsid w:val="00673B93"/>
    <w:rsid w:val="006744C3"/>
    <w:rsid w:val="0067537F"/>
    <w:rsid w:val="00676410"/>
    <w:rsid w:val="00680509"/>
    <w:rsid w:val="006805CB"/>
    <w:rsid w:val="00681790"/>
    <w:rsid w:val="00681CC1"/>
    <w:rsid w:val="006820E9"/>
    <w:rsid w:val="0068233B"/>
    <w:rsid w:val="00682E11"/>
    <w:rsid w:val="00683081"/>
    <w:rsid w:val="00684708"/>
    <w:rsid w:val="00684AC8"/>
    <w:rsid w:val="00684C95"/>
    <w:rsid w:val="00684E28"/>
    <w:rsid w:val="006850D3"/>
    <w:rsid w:val="00685249"/>
    <w:rsid w:val="006856B9"/>
    <w:rsid w:val="00685BDE"/>
    <w:rsid w:val="00685E60"/>
    <w:rsid w:val="00686085"/>
    <w:rsid w:val="00686E60"/>
    <w:rsid w:val="006870B5"/>
    <w:rsid w:val="006873F0"/>
    <w:rsid w:val="00687C0D"/>
    <w:rsid w:val="00691237"/>
    <w:rsid w:val="0069134E"/>
    <w:rsid w:val="0069167F"/>
    <w:rsid w:val="006920E6"/>
    <w:rsid w:val="00692175"/>
    <w:rsid w:val="00692555"/>
    <w:rsid w:val="00693795"/>
    <w:rsid w:val="00695B3B"/>
    <w:rsid w:val="00696566"/>
    <w:rsid w:val="006966BA"/>
    <w:rsid w:val="006970B2"/>
    <w:rsid w:val="0069722D"/>
    <w:rsid w:val="00697335"/>
    <w:rsid w:val="00697365"/>
    <w:rsid w:val="006979BE"/>
    <w:rsid w:val="006A0052"/>
    <w:rsid w:val="006A0A9E"/>
    <w:rsid w:val="006A1F1C"/>
    <w:rsid w:val="006A22B3"/>
    <w:rsid w:val="006A235C"/>
    <w:rsid w:val="006A3836"/>
    <w:rsid w:val="006A38A4"/>
    <w:rsid w:val="006A3DD3"/>
    <w:rsid w:val="006A3E2B"/>
    <w:rsid w:val="006A4625"/>
    <w:rsid w:val="006A47AE"/>
    <w:rsid w:val="006A4B10"/>
    <w:rsid w:val="006A4B53"/>
    <w:rsid w:val="006A5763"/>
    <w:rsid w:val="006A5B5E"/>
    <w:rsid w:val="006A668B"/>
    <w:rsid w:val="006A67CB"/>
    <w:rsid w:val="006A73EF"/>
    <w:rsid w:val="006A7442"/>
    <w:rsid w:val="006B0368"/>
    <w:rsid w:val="006B0F6E"/>
    <w:rsid w:val="006B1D7B"/>
    <w:rsid w:val="006B22BE"/>
    <w:rsid w:val="006B27D4"/>
    <w:rsid w:val="006B2C9C"/>
    <w:rsid w:val="006B2D07"/>
    <w:rsid w:val="006B3E60"/>
    <w:rsid w:val="006B48EB"/>
    <w:rsid w:val="006B4C00"/>
    <w:rsid w:val="006B5190"/>
    <w:rsid w:val="006B56FC"/>
    <w:rsid w:val="006B60CD"/>
    <w:rsid w:val="006B6568"/>
    <w:rsid w:val="006B6DDA"/>
    <w:rsid w:val="006B73D9"/>
    <w:rsid w:val="006B7B93"/>
    <w:rsid w:val="006B7CB6"/>
    <w:rsid w:val="006B7DF0"/>
    <w:rsid w:val="006B7E74"/>
    <w:rsid w:val="006C03EC"/>
    <w:rsid w:val="006C0781"/>
    <w:rsid w:val="006C07A3"/>
    <w:rsid w:val="006C09D8"/>
    <w:rsid w:val="006C0D75"/>
    <w:rsid w:val="006C1C48"/>
    <w:rsid w:val="006C3C1D"/>
    <w:rsid w:val="006C41FF"/>
    <w:rsid w:val="006C466F"/>
    <w:rsid w:val="006C5145"/>
    <w:rsid w:val="006C60BD"/>
    <w:rsid w:val="006C629A"/>
    <w:rsid w:val="006C65A8"/>
    <w:rsid w:val="006C6ABB"/>
    <w:rsid w:val="006C7DE6"/>
    <w:rsid w:val="006D05AD"/>
    <w:rsid w:val="006D07BB"/>
    <w:rsid w:val="006D0EC1"/>
    <w:rsid w:val="006D107F"/>
    <w:rsid w:val="006D16F8"/>
    <w:rsid w:val="006D1813"/>
    <w:rsid w:val="006D1B23"/>
    <w:rsid w:val="006D24A9"/>
    <w:rsid w:val="006D2AF3"/>
    <w:rsid w:val="006D2F4D"/>
    <w:rsid w:val="006D3722"/>
    <w:rsid w:val="006D4AB1"/>
    <w:rsid w:val="006D4BC7"/>
    <w:rsid w:val="006D4D79"/>
    <w:rsid w:val="006D4FBD"/>
    <w:rsid w:val="006D5879"/>
    <w:rsid w:val="006D63FD"/>
    <w:rsid w:val="006D65B4"/>
    <w:rsid w:val="006D754A"/>
    <w:rsid w:val="006D7990"/>
    <w:rsid w:val="006D7B9C"/>
    <w:rsid w:val="006E04C6"/>
    <w:rsid w:val="006E0A65"/>
    <w:rsid w:val="006E1B01"/>
    <w:rsid w:val="006E3E3D"/>
    <w:rsid w:val="006E4836"/>
    <w:rsid w:val="006E5DDD"/>
    <w:rsid w:val="006E6244"/>
    <w:rsid w:val="006E64D2"/>
    <w:rsid w:val="006E7811"/>
    <w:rsid w:val="006F030E"/>
    <w:rsid w:val="006F04DA"/>
    <w:rsid w:val="006F0557"/>
    <w:rsid w:val="006F0EA3"/>
    <w:rsid w:val="006F1AEF"/>
    <w:rsid w:val="006F1B5D"/>
    <w:rsid w:val="006F1CDD"/>
    <w:rsid w:val="006F212B"/>
    <w:rsid w:val="006F37F7"/>
    <w:rsid w:val="006F4A61"/>
    <w:rsid w:val="006F4ADC"/>
    <w:rsid w:val="006F4EC6"/>
    <w:rsid w:val="006F643D"/>
    <w:rsid w:val="006F675C"/>
    <w:rsid w:val="006F6D13"/>
    <w:rsid w:val="006F7759"/>
    <w:rsid w:val="006F7D95"/>
    <w:rsid w:val="00700D41"/>
    <w:rsid w:val="007012D4"/>
    <w:rsid w:val="00701B21"/>
    <w:rsid w:val="00702384"/>
    <w:rsid w:val="00704811"/>
    <w:rsid w:val="00704835"/>
    <w:rsid w:val="00704BAE"/>
    <w:rsid w:val="00705026"/>
    <w:rsid w:val="00705807"/>
    <w:rsid w:val="00705C74"/>
    <w:rsid w:val="00705C78"/>
    <w:rsid w:val="007060E1"/>
    <w:rsid w:val="00706441"/>
    <w:rsid w:val="00706824"/>
    <w:rsid w:val="00706B85"/>
    <w:rsid w:val="007070AD"/>
    <w:rsid w:val="007071FC"/>
    <w:rsid w:val="00707C84"/>
    <w:rsid w:val="00710A59"/>
    <w:rsid w:val="00710FDE"/>
    <w:rsid w:val="007116C7"/>
    <w:rsid w:val="00711C5A"/>
    <w:rsid w:val="00712784"/>
    <w:rsid w:val="00712B66"/>
    <w:rsid w:val="00713C31"/>
    <w:rsid w:val="00713FDC"/>
    <w:rsid w:val="0071428D"/>
    <w:rsid w:val="007144C9"/>
    <w:rsid w:val="00714CE0"/>
    <w:rsid w:val="00715B0A"/>
    <w:rsid w:val="00715EF6"/>
    <w:rsid w:val="007166A0"/>
    <w:rsid w:val="00716B3C"/>
    <w:rsid w:val="007170C2"/>
    <w:rsid w:val="00717EE4"/>
    <w:rsid w:val="00717F2D"/>
    <w:rsid w:val="007200E3"/>
    <w:rsid w:val="00720453"/>
    <w:rsid w:val="00720853"/>
    <w:rsid w:val="00721AEE"/>
    <w:rsid w:val="00722129"/>
    <w:rsid w:val="00722A75"/>
    <w:rsid w:val="00722AB8"/>
    <w:rsid w:val="00724173"/>
    <w:rsid w:val="00724528"/>
    <w:rsid w:val="007247D2"/>
    <w:rsid w:val="00726730"/>
    <w:rsid w:val="00730598"/>
    <w:rsid w:val="00731C24"/>
    <w:rsid w:val="0073257E"/>
    <w:rsid w:val="007329F9"/>
    <w:rsid w:val="00732A32"/>
    <w:rsid w:val="00732D9A"/>
    <w:rsid w:val="00733066"/>
    <w:rsid w:val="00733469"/>
    <w:rsid w:val="00733539"/>
    <w:rsid w:val="00733FDC"/>
    <w:rsid w:val="00735557"/>
    <w:rsid w:val="00735ADE"/>
    <w:rsid w:val="00737108"/>
    <w:rsid w:val="007379CE"/>
    <w:rsid w:val="00740868"/>
    <w:rsid w:val="007419A7"/>
    <w:rsid w:val="00741B21"/>
    <w:rsid w:val="00741DD8"/>
    <w:rsid w:val="00741E49"/>
    <w:rsid w:val="00742369"/>
    <w:rsid w:val="0074250D"/>
    <w:rsid w:val="00742587"/>
    <w:rsid w:val="00742AA0"/>
    <w:rsid w:val="00742D72"/>
    <w:rsid w:val="00743646"/>
    <w:rsid w:val="007445E2"/>
    <w:rsid w:val="00744986"/>
    <w:rsid w:val="00745496"/>
    <w:rsid w:val="007460DA"/>
    <w:rsid w:val="00746213"/>
    <w:rsid w:val="0074705B"/>
    <w:rsid w:val="007470EC"/>
    <w:rsid w:val="0074712F"/>
    <w:rsid w:val="0075020B"/>
    <w:rsid w:val="00750953"/>
    <w:rsid w:val="00751017"/>
    <w:rsid w:val="0075112A"/>
    <w:rsid w:val="007512C0"/>
    <w:rsid w:val="007514A4"/>
    <w:rsid w:val="00751960"/>
    <w:rsid w:val="007535C7"/>
    <w:rsid w:val="00753ADE"/>
    <w:rsid w:val="00753FF8"/>
    <w:rsid w:val="00754B1B"/>
    <w:rsid w:val="00754C7F"/>
    <w:rsid w:val="00755827"/>
    <w:rsid w:val="00755EDB"/>
    <w:rsid w:val="00756551"/>
    <w:rsid w:val="0075723B"/>
    <w:rsid w:val="00757769"/>
    <w:rsid w:val="0076067E"/>
    <w:rsid w:val="007614A3"/>
    <w:rsid w:val="00761BFD"/>
    <w:rsid w:val="00761D5C"/>
    <w:rsid w:val="00761DD0"/>
    <w:rsid w:val="00761FE5"/>
    <w:rsid w:val="00762476"/>
    <w:rsid w:val="00762979"/>
    <w:rsid w:val="00762A18"/>
    <w:rsid w:val="00763AE2"/>
    <w:rsid w:val="00763E8B"/>
    <w:rsid w:val="007642F8"/>
    <w:rsid w:val="0076467D"/>
    <w:rsid w:val="007646E9"/>
    <w:rsid w:val="007647F1"/>
    <w:rsid w:val="0076640B"/>
    <w:rsid w:val="00766D90"/>
    <w:rsid w:val="00767C19"/>
    <w:rsid w:val="00767D4E"/>
    <w:rsid w:val="00770373"/>
    <w:rsid w:val="00770AB8"/>
    <w:rsid w:val="00771067"/>
    <w:rsid w:val="007722ED"/>
    <w:rsid w:val="00772E5A"/>
    <w:rsid w:val="00773294"/>
    <w:rsid w:val="00773315"/>
    <w:rsid w:val="00774AF6"/>
    <w:rsid w:val="00774EC8"/>
    <w:rsid w:val="00775D25"/>
    <w:rsid w:val="00775F7D"/>
    <w:rsid w:val="00776781"/>
    <w:rsid w:val="007776CC"/>
    <w:rsid w:val="00777B1B"/>
    <w:rsid w:val="00777CE9"/>
    <w:rsid w:val="00780D05"/>
    <w:rsid w:val="00781690"/>
    <w:rsid w:val="0078199B"/>
    <w:rsid w:val="00783A2E"/>
    <w:rsid w:val="00783C7B"/>
    <w:rsid w:val="00784627"/>
    <w:rsid w:val="00784B77"/>
    <w:rsid w:val="0078556C"/>
    <w:rsid w:val="007855C5"/>
    <w:rsid w:val="007856D3"/>
    <w:rsid w:val="00785868"/>
    <w:rsid w:val="00785ABD"/>
    <w:rsid w:val="007860C6"/>
    <w:rsid w:val="00786254"/>
    <w:rsid w:val="00786DB0"/>
    <w:rsid w:val="0078713D"/>
    <w:rsid w:val="00787D47"/>
    <w:rsid w:val="0079014E"/>
    <w:rsid w:val="007912B7"/>
    <w:rsid w:val="0079148B"/>
    <w:rsid w:val="00792399"/>
    <w:rsid w:val="00792971"/>
    <w:rsid w:val="0079303F"/>
    <w:rsid w:val="007935C6"/>
    <w:rsid w:val="00793AAB"/>
    <w:rsid w:val="00794129"/>
    <w:rsid w:val="00794188"/>
    <w:rsid w:val="00794516"/>
    <w:rsid w:val="00794526"/>
    <w:rsid w:val="00794878"/>
    <w:rsid w:val="00794DB1"/>
    <w:rsid w:val="00795512"/>
    <w:rsid w:val="00795AB7"/>
    <w:rsid w:val="00795CD7"/>
    <w:rsid w:val="00795DD7"/>
    <w:rsid w:val="00795E37"/>
    <w:rsid w:val="0079694C"/>
    <w:rsid w:val="00796D89"/>
    <w:rsid w:val="00796DA2"/>
    <w:rsid w:val="007970B1"/>
    <w:rsid w:val="007A018D"/>
    <w:rsid w:val="007A0415"/>
    <w:rsid w:val="007A06BA"/>
    <w:rsid w:val="007A2496"/>
    <w:rsid w:val="007A27BD"/>
    <w:rsid w:val="007A294A"/>
    <w:rsid w:val="007A34BF"/>
    <w:rsid w:val="007A41CA"/>
    <w:rsid w:val="007A42F6"/>
    <w:rsid w:val="007A4738"/>
    <w:rsid w:val="007A4C96"/>
    <w:rsid w:val="007A51A6"/>
    <w:rsid w:val="007A523D"/>
    <w:rsid w:val="007A5629"/>
    <w:rsid w:val="007A56E5"/>
    <w:rsid w:val="007A60CA"/>
    <w:rsid w:val="007A6EFE"/>
    <w:rsid w:val="007A6F0F"/>
    <w:rsid w:val="007A708C"/>
    <w:rsid w:val="007A7122"/>
    <w:rsid w:val="007A75B5"/>
    <w:rsid w:val="007A7985"/>
    <w:rsid w:val="007A7ABE"/>
    <w:rsid w:val="007A7B9A"/>
    <w:rsid w:val="007B03C5"/>
    <w:rsid w:val="007B18B3"/>
    <w:rsid w:val="007B2057"/>
    <w:rsid w:val="007B2680"/>
    <w:rsid w:val="007B26E1"/>
    <w:rsid w:val="007B3045"/>
    <w:rsid w:val="007B4009"/>
    <w:rsid w:val="007B4C0F"/>
    <w:rsid w:val="007B5E25"/>
    <w:rsid w:val="007B6E0E"/>
    <w:rsid w:val="007C152F"/>
    <w:rsid w:val="007C27FB"/>
    <w:rsid w:val="007C2CBB"/>
    <w:rsid w:val="007C309C"/>
    <w:rsid w:val="007C321C"/>
    <w:rsid w:val="007C4209"/>
    <w:rsid w:val="007C5C0F"/>
    <w:rsid w:val="007C5EB9"/>
    <w:rsid w:val="007C6D5C"/>
    <w:rsid w:val="007C72CD"/>
    <w:rsid w:val="007C7449"/>
    <w:rsid w:val="007C7EA5"/>
    <w:rsid w:val="007D091A"/>
    <w:rsid w:val="007D1A95"/>
    <w:rsid w:val="007D2036"/>
    <w:rsid w:val="007D245E"/>
    <w:rsid w:val="007D3151"/>
    <w:rsid w:val="007D3764"/>
    <w:rsid w:val="007D3890"/>
    <w:rsid w:val="007D3896"/>
    <w:rsid w:val="007D485A"/>
    <w:rsid w:val="007D54FF"/>
    <w:rsid w:val="007D57D4"/>
    <w:rsid w:val="007D58F5"/>
    <w:rsid w:val="007D6315"/>
    <w:rsid w:val="007D6912"/>
    <w:rsid w:val="007D6C39"/>
    <w:rsid w:val="007D6D08"/>
    <w:rsid w:val="007D724A"/>
    <w:rsid w:val="007D75A3"/>
    <w:rsid w:val="007D7D33"/>
    <w:rsid w:val="007E148C"/>
    <w:rsid w:val="007E16E2"/>
    <w:rsid w:val="007E19FE"/>
    <w:rsid w:val="007E1AAC"/>
    <w:rsid w:val="007E1BAD"/>
    <w:rsid w:val="007E1C21"/>
    <w:rsid w:val="007E1D26"/>
    <w:rsid w:val="007E1F47"/>
    <w:rsid w:val="007E2E22"/>
    <w:rsid w:val="007E33F5"/>
    <w:rsid w:val="007E3B9C"/>
    <w:rsid w:val="007E4A2F"/>
    <w:rsid w:val="007E4D35"/>
    <w:rsid w:val="007E5BBC"/>
    <w:rsid w:val="007E5C4A"/>
    <w:rsid w:val="007E6915"/>
    <w:rsid w:val="007E7109"/>
    <w:rsid w:val="007E74CA"/>
    <w:rsid w:val="007E7AD3"/>
    <w:rsid w:val="007F0070"/>
    <w:rsid w:val="007F0441"/>
    <w:rsid w:val="007F059C"/>
    <w:rsid w:val="007F0E99"/>
    <w:rsid w:val="007F20F1"/>
    <w:rsid w:val="007F37A0"/>
    <w:rsid w:val="007F4224"/>
    <w:rsid w:val="007F4C55"/>
    <w:rsid w:val="007F4DD2"/>
    <w:rsid w:val="007F4FB9"/>
    <w:rsid w:val="007F61E1"/>
    <w:rsid w:val="007F7022"/>
    <w:rsid w:val="007F7690"/>
    <w:rsid w:val="008011CC"/>
    <w:rsid w:val="00801404"/>
    <w:rsid w:val="008017AA"/>
    <w:rsid w:val="00801CBA"/>
    <w:rsid w:val="00801D92"/>
    <w:rsid w:val="00803512"/>
    <w:rsid w:val="00804BCF"/>
    <w:rsid w:val="00804FA4"/>
    <w:rsid w:val="00805275"/>
    <w:rsid w:val="00806128"/>
    <w:rsid w:val="00806A62"/>
    <w:rsid w:val="00806CE0"/>
    <w:rsid w:val="00806D81"/>
    <w:rsid w:val="00806E55"/>
    <w:rsid w:val="008075CE"/>
    <w:rsid w:val="0080791D"/>
    <w:rsid w:val="00810C21"/>
    <w:rsid w:val="00812179"/>
    <w:rsid w:val="0081247F"/>
    <w:rsid w:val="008124E2"/>
    <w:rsid w:val="00812C8E"/>
    <w:rsid w:val="0081359B"/>
    <w:rsid w:val="00813928"/>
    <w:rsid w:val="00815321"/>
    <w:rsid w:val="00815DE2"/>
    <w:rsid w:val="008162F8"/>
    <w:rsid w:val="008166DB"/>
    <w:rsid w:val="00816CCE"/>
    <w:rsid w:val="008173E0"/>
    <w:rsid w:val="008175C1"/>
    <w:rsid w:val="008200D4"/>
    <w:rsid w:val="00820370"/>
    <w:rsid w:val="00820CC6"/>
    <w:rsid w:val="00822C41"/>
    <w:rsid w:val="00824292"/>
    <w:rsid w:val="00825043"/>
    <w:rsid w:val="00825267"/>
    <w:rsid w:val="008264EC"/>
    <w:rsid w:val="00826F7E"/>
    <w:rsid w:val="00827C0D"/>
    <w:rsid w:val="00827DD5"/>
    <w:rsid w:val="00830642"/>
    <w:rsid w:val="00831250"/>
    <w:rsid w:val="008315D5"/>
    <w:rsid w:val="00831D8D"/>
    <w:rsid w:val="00831EDE"/>
    <w:rsid w:val="008329ED"/>
    <w:rsid w:val="008333B7"/>
    <w:rsid w:val="008336C1"/>
    <w:rsid w:val="008336EC"/>
    <w:rsid w:val="008337B9"/>
    <w:rsid w:val="00834FD2"/>
    <w:rsid w:val="0083504F"/>
    <w:rsid w:val="00835084"/>
    <w:rsid w:val="00835184"/>
    <w:rsid w:val="00835569"/>
    <w:rsid w:val="008356A7"/>
    <w:rsid w:val="00835802"/>
    <w:rsid w:val="00836295"/>
    <w:rsid w:val="008370EE"/>
    <w:rsid w:val="0084093F"/>
    <w:rsid w:val="0084098A"/>
    <w:rsid w:val="00840DB0"/>
    <w:rsid w:val="00840EDE"/>
    <w:rsid w:val="008418A5"/>
    <w:rsid w:val="00842D46"/>
    <w:rsid w:val="00842E29"/>
    <w:rsid w:val="00843548"/>
    <w:rsid w:val="0084383C"/>
    <w:rsid w:val="00843CC0"/>
    <w:rsid w:val="00844ADD"/>
    <w:rsid w:val="00844B5F"/>
    <w:rsid w:val="00844F38"/>
    <w:rsid w:val="0084534E"/>
    <w:rsid w:val="00845619"/>
    <w:rsid w:val="00846062"/>
    <w:rsid w:val="00846267"/>
    <w:rsid w:val="00846F36"/>
    <w:rsid w:val="008474C1"/>
    <w:rsid w:val="00847C1C"/>
    <w:rsid w:val="00847E22"/>
    <w:rsid w:val="0085055E"/>
    <w:rsid w:val="00850C3B"/>
    <w:rsid w:val="00851605"/>
    <w:rsid w:val="00852005"/>
    <w:rsid w:val="00852784"/>
    <w:rsid w:val="00852CA0"/>
    <w:rsid w:val="00852D85"/>
    <w:rsid w:val="00852F6C"/>
    <w:rsid w:val="00854556"/>
    <w:rsid w:val="0085465C"/>
    <w:rsid w:val="00854663"/>
    <w:rsid w:val="00854967"/>
    <w:rsid w:val="00854DF9"/>
    <w:rsid w:val="0085540B"/>
    <w:rsid w:val="00855511"/>
    <w:rsid w:val="0085582C"/>
    <w:rsid w:val="00855D6B"/>
    <w:rsid w:val="00855FD3"/>
    <w:rsid w:val="008563E4"/>
    <w:rsid w:val="00856933"/>
    <w:rsid w:val="00857086"/>
    <w:rsid w:val="00857572"/>
    <w:rsid w:val="00857B5D"/>
    <w:rsid w:val="00857CE0"/>
    <w:rsid w:val="00860F4D"/>
    <w:rsid w:val="00861116"/>
    <w:rsid w:val="008611DE"/>
    <w:rsid w:val="00861375"/>
    <w:rsid w:val="00861C56"/>
    <w:rsid w:val="00861F29"/>
    <w:rsid w:val="008620A2"/>
    <w:rsid w:val="00862741"/>
    <w:rsid w:val="00862BBD"/>
    <w:rsid w:val="00863C9F"/>
    <w:rsid w:val="008645D6"/>
    <w:rsid w:val="00865293"/>
    <w:rsid w:val="0086552B"/>
    <w:rsid w:val="008655A2"/>
    <w:rsid w:val="0086584F"/>
    <w:rsid w:val="008668C5"/>
    <w:rsid w:val="008671C7"/>
    <w:rsid w:val="00867EB8"/>
    <w:rsid w:val="00870335"/>
    <w:rsid w:val="00870AA2"/>
    <w:rsid w:val="00872C59"/>
    <w:rsid w:val="00873D88"/>
    <w:rsid w:val="0087433B"/>
    <w:rsid w:val="008761A3"/>
    <w:rsid w:val="0087621E"/>
    <w:rsid w:val="008767B2"/>
    <w:rsid w:val="00877328"/>
    <w:rsid w:val="0087787A"/>
    <w:rsid w:val="008802F0"/>
    <w:rsid w:val="008808FE"/>
    <w:rsid w:val="00880992"/>
    <w:rsid w:val="00880AEA"/>
    <w:rsid w:val="00881692"/>
    <w:rsid w:val="00883143"/>
    <w:rsid w:val="00886154"/>
    <w:rsid w:val="008867A1"/>
    <w:rsid w:val="00887803"/>
    <w:rsid w:val="00890058"/>
    <w:rsid w:val="00890277"/>
    <w:rsid w:val="0089061A"/>
    <w:rsid w:val="00891078"/>
    <w:rsid w:val="008915C6"/>
    <w:rsid w:val="00891677"/>
    <w:rsid w:val="00891E96"/>
    <w:rsid w:val="00892DB5"/>
    <w:rsid w:val="00894B61"/>
    <w:rsid w:val="00895255"/>
    <w:rsid w:val="00895326"/>
    <w:rsid w:val="00895DF1"/>
    <w:rsid w:val="00895F27"/>
    <w:rsid w:val="00896645"/>
    <w:rsid w:val="0089666C"/>
    <w:rsid w:val="00896E24"/>
    <w:rsid w:val="008975D2"/>
    <w:rsid w:val="00897F96"/>
    <w:rsid w:val="008A0064"/>
    <w:rsid w:val="008A01FF"/>
    <w:rsid w:val="008A02E8"/>
    <w:rsid w:val="008A035B"/>
    <w:rsid w:val="008A0459"/>
    <w:rsid w:val="008A1218"/>
    <w:rsid w:val="008A15B6"/>
    <w:rsid w:val="008A1A6E"/>
    <w:rsid w:val="008A202A"/>
    <w:rsid w:val="008A2757"/>
    <w:rsid w:val="008A2A79"/>
    <w:rsid w:val="008A2EA9"/>
    <w:rsid w:val="008A36C9"/>
    <w:rsid w:val="008A377C"/>
    <w:rsid w:val="008A3CCD"/>
    <w:rsid w:val="008A5264"/>
    <w:rsid w:val="008A5AF9"/>
    <w:rsid w:val="008A784A"/>
    <w:rsid w:val="008B16DE"/>
    <w:rsid w:val="008B251F"/>
    <w:rsid w:val="008B2602"/>
    <w:rsid w:val="008B2727"/>
    <w:rsid w:val="008B316B"/>
    <w:rsid w:val="008B38C9"/>
    <w:rsid w:val="008B4D71"/>
    <w:rsid w:val="008B5059"/>
    <w:rsid w:val="008B5BF2"/>
    <w:rsid w:val="008B6934"/>
    <w:rsid w:val="008B6CF8"/>
    <w:rsid w:val="008B72F6"/>
    <w:rsid w:val="008C051C"/>
    <w:rsid w:val="008C0F6B"/>
    <w:rsid w:val="008C10CF"/>
    <w:rsid w:val="008C119E"/>
    <w:rsid w:val="008C12AB"/>
    <w:rsid w:val="008C1E24"/>
    <w:rsid w:val="008C296B"/>
    <w:rsid w:val="008C2989"/>
    <w:rsid w:val="008C2A46"/>
    <w:rsid w:val="008C33DC"/>
    <w:rsid w:val="008C4278"/>
    <w:rsid w:val="008C520E"/>
    <w:rsid w:val="008C5612"/>
    <w:rsid w:val="008C563B"/>
    <w:rsid w:val="008C567E"/>
    <w:rsid w:val="008C5DEE"/>
    <w:rsid w:val="008C6285"/>
    <w:rsid w:val="008C6988"/>
    <w:rsid w:val="008C7182"/>
    <w:rsid w:val="008C7268"/>
    <w:rsid w:val="008C7CA5"/>
    <w:rsid w:val="008C7D9D"/>
    <w:rsid w:val="008D0416"/>
    <w:rsid w:val="008D13C6"/>
    <w:rsid w:val="008D1B04"/>
    <w:rsid w:val="008D1BC3"/>
    <w:rsid w:val="008D3235"/>
    <w:rsid w:val="008D33C8"/>
    <w:rsid w:val="008D3893"/>
    <w:rsid w:val="008D45CD"/>
    <w:rsid w:val="008D522C"/>
    <w:rsid w:val="008D55F1"/>
    <w:rsid w:val="008D5CD7"/>
    <w:rsid w:val="008D5EE9"/>
    <w:rsid w:val="008D6F91"/>
    <w:rsid w:val="008D718E"/>
    <w:rsid w:val="008D7A44"/>
    <w:rsid w:val="008D7F8E"/>
    <w:rsid w:val="008E09C5"/>
    <w:rsid w:val="008E0AA7"/>
    <w:rsid w:val="008E2188"/>
    <w:rsid w:val="008E2332"/>
    <w:rsid w:val="008E2355"/>
    <w:rsid w:val="008E3151"/>
    <w:rsid w:val="008E335C"/>
    <w:rsid w:val="008E3386"/>
    <w:rsid w:val="008E454F"/>
    <w:rsid w:val="008E5410"/>
    <w:rsid w:val="008E5762"/>
    <w:rsid w:val="008E5A3F"/>
    <w:rsid w:val="008E5ECB"/>
    <w:rsid w:val="008E7209"/>
    <w:rsid w:val="008E7448"/>
    <w:rsid w:val="008E76AF"/>
    <w:rsid w:val="008E7B98"/>
    <w:rsid w:val="008E7D27"/>
    <w:rsid w:val="008E7EF6"/>
    <w:rsid w:val="008E7F33"/>
    <w:rsid w:val="008F07CF"/>
    <w:rsid w:val="008F11BB"/>
    <w:rsid w:val="008F16FF"/>
    <w:rsid w:val="008F182F"/>
    <w:rsid w:val="008F1E95"/>
    <w:rsid w:val="008F2304"/>
    <w:rsid w:val="008F351E"/>
    <w:rsid w:val="008F3DAE"/>
    <w:rsid w:val="008F3FEB"/>
    <w:rsid w:val="008F403C"/>
    <w:rsid w:val="008F506A"/>
    <w:rsid w:val="008F5412"/>
    <w:rsid w:val="008F57DD"/>
    <w:rsid w:val="008F5AEE"/>
    <w:rsid w:val="008F6EAA"/>
    <w:rsid w:val="008F7563"/>
    <w:rsid w:val="008F77B3"/>
    <w:rsid w:val="008F7800"/>
    <w:rsid w:val="008F7BCA"/>
    <w:rsid w:val="00900CE2"/>
    <w:rsid w:val="00900F4D"/>
    <w:rsid w:val="009010EB"/>
    <w:rsid w:val="0090167B"/>
    <w:rsid w:val="009016CF"/>
    <w:rsid w:val="00901A87"/>
    <w:rsid w:val="00902DEC"/>
    <w:rsid w:val="0090342E"/>
    <w:rsid w:val="00903D3A"/>
    <w:rsid w:val="009044B9"/>
    <w:rsid w:val="00904671"/>
    <w:rsid w:val="009047B1"/>
    <w:rsid w:val="00904C86"/>
    <w:rsid w:val="00905708"/>
    <w:rsid w:val="00906158"/>
    <w:rsid w:val="0090680D"/>
    <w:rsid w:val="00907617"/>
    <w:rsid w:val="00907D68"/>
    <w:rsid w:val="0091045D"/>
    <w:rsid w:val="0091281A"/>
    <w:rsid w:val="00912B24"/>
    <w:rsid w:val="009135C4"/>
    <w:rsid w:val="0091368A"/>
    <w:rsid w:val="009139B5"/>
    <w:rsid w:val="00913D1D"/>
    <w:rsid w:val="00914514"/>
    <w:rsid w:val="00914549"/>
    <w:rsid w:val="00914794"/>
    <w:rsid w:val="00914C08"/>
    <w:rsid w:val="00914F2F"/>
    <w:rsid w:val="00914FA4"/>
    <w:rsid w:val="0091536D"/>
    <w:rsid w:val="0091571B"/>
    <w:rsid w:val="00915B17"/>
    <w:rsid w:val="00916057"/>
    <w:rsid w:val="00916AD1"/>
    <w:rsid w:val="00917637"/>
    <w:rsid w:val="00917FEE"/>
    <w:rsid w:val="0092023D"/>
    <w:rsid w:val="00920472"/>
    <w:rsid w:val="00920575"/>
    <w:rsid w:val="00921251"/>
    <w:rsid w:val="00921324"/>
    <w:rsid w:val="00921861"/>
    <w:rsid w:val="0092189E"/>
    <w:rsid w:val="009219FD"/>
    <w:rsid w:val="00921DF7"/>
    <w:rsid w:val="00922559"/>
    <w:rsid w:val="00924820"/>
    <w:rsid w:val="009257B0"/>
    <w:rsid w:val="009258BD"/>
    <w:rsid w:val="009259E3"/>
    <w:rsid w:val="00925DEB"/>
    <w:rsid w:val="009263C0"/>
    <w:rsid w:val="00927CC1"/>
    <w:rsid w:val="009302D4"/>
    <w:rsid w:val="009303BE"/>
    <w:rsid w:val="009307F2"/>
    <w:rsid w:val="00930CEC"/>
    <w:rsid w:val="00930F4A"/>
    <w:rsid w:val="0093289D"/>
    <w:rsid w:val="009335B4"/>
    <w:rsid w:val="0093375E"/>
    <w:rsid w:val="00933BEF"/>
    <w:rsid w:val="00933CD0"/>
    <w:rsid w:val="0093787E"/>
    <w:rsid w:val="00940945"/>
    <w:rsid w:val="009412CC"/>
    <w:rsid w:val="00942C6D"/>
    <w:rsid w:val="0094388B"/>
    <w:rsid w:val="00943D09"/>
    <w:rsid w:val="00944275"/>
    <w:rsid w:val="00944826"/>
    <w:rsid w:val="009457A1"/>
    <w:rsid w:val="009458D9"/>
    <w:rsid w:val="00945D95"/>
    <w:rsid w:val="00945E98"/>
    <w:rsid w:val="00946B9D"/>
    <w:rsid w:val="009471CC"/>
    <w:rsid w:val="009475FF"/>
    <w:rsid w:val="00947C5D"/>
    <w:rsid w:val="00947CA9"/>
    <w:rsid w:val="00950478"/>
    <w:rsid w:val="00950888"/>
    <w:rsid w:val="00950AF9"/>
    <w:rsid w:val="00950B5F"/>
    <w:rsid w:val="00950D35"/>
    <w:rsid w:val="0095144C"/>
    <w:rsid w:val="009515A7"/>
    <w:rsid w:val="0095165B"/>
    <w:rsid w:val="0095182B"/>
    <w:rsid w:val="00951B17"/>
    <w:rsid w:val="00951B8D"/>
    <w:rsid w:val="009536A8"/>
    <w:rsid w:val="00953C90"/>
    <w:rsid w:val="00954596"/>
    <w:rsid w:val="00955267"/>
    <w:rsid w:val="00955851"/>
    <w:rsid w:val="00957745"/>
    <w:rsid w:val="00957CF8"/>
    <w:rsid w:val="00957E23"/>
    <w:rsid w:val="00957FF7"/>
    <w:rsid w:val="00960B60"/>
    <w:rsid w:val="00960EA3"/>
    <w:rsid w:val="00961487"/>
    <w:rsid w:val="00961BA7"/>
    <w:rsid w:val="00961F01"/>
    <w:rsid w:val="009620C8"/>
    <w:rsid w:val="00962162"/>
    <w:rsid w:val="009623BC"/>
    <w:rsid w:val="009625CD"/>
    <w:rsid w:val="009628BE"/>
    <w:rsid w:val="009631C8"/>
    <w:rsid w:val="00963AE4"/>
    <w:rsid w:val="00963C14"/>
    <w:rsid w:val="009642CA"/>
    <w:rsid w:val="009645CD"/>
    <w:rsid w:val="0096573E"/>
    <w:rsid w:val="00965940"/>
    <w:rsid w:val="00965A4E"/>
    <w:rsid w:val="009665A3"/>
    <w:rsid w:val="00966BE5"/>
    <w:rsid w:val="00966EB0"/>
    <w:rsid w:val="009670D6"/>
    <w:rsid w:val="00967749"/>
    <w:rsid w:val="009709CC"/>
    <w:rsid w:val="00970EB4"/>
    <w:rsid w:val="00971116"/>
    <w:rsid w:val="00972E28"/>
    <w:rsid w:val="00973030"/>
    <w:rsid w:val="009733F3"/>
    <w:rsid w:val="00973532"/>
    <w:rsid w:val="00973C41"/>
    <w:rsid w:val="009748E4"/>
    <w:rsid w:val="00975EC7"/>
    <w:rsid w:val="00976D65"/>
    <w:rsid w:val="00977CE6"/>
    <w:rsid w:val="0098011D"/>
    <w:rsid w:val="009807AC"/>
    <w:rsid w:val="009808F8"/>
    <w:rsid w:val="00980C18"/>
    <w:rsid w:val="00980F76"/>
    <w:rsid w:val="009810E9"/>
    <w:rsid w:val="0098141C"/>
    <w:rsid w:val="00981A80"/>
    <w:rsid w:val="00981AA9"/>
    <w:rsid w:val="00981C91"/>
    <w:rsid w:val="00983132"/>
    <w:rsid w:val="00983314"/>
    <w:rsid w:val="00983C59"/>
    <w:rsid w:val="00983DF2"/>
    <w:rsid w:val="00983E7A"/>
    <w:rsid w:val="0098433A"/>
    <w:rsid w:val="009847F5"/>
    <w:rsid w:val="00985186"/>
    <w:rsid w:val="00985675"/>
    <w:rsid w:val="00985939"/>
    <w:rsid w:val="0098617C"/>
    <w:rsid w:val="0098637F"/>
    <w:rsid w:val="00986A9B"/>
    <w:rsid w:val="00986B9C"/>
    <w:rsid w:val="00987BAB"/>
    <w:rsid w:val="00987BFD"/>
    <w:rsid w:val="00990380"/>
    <w:rsid w:val="009906BF"/>
    <w:rsid w:val="009913F3"/>
    <w:rsid w:val="009916DA"/>
    <w:rsid w:val="00991DA1"/>
    <w:rsid w:val="0099259E"/>
    <w:rsid w:val="009927F1"/>
    <w:rsid w:val="00992D60"/>
    <w:rsid w:val="009936C4"/>
    <w:rsid w:val="009948ED"/>
    <w:rsid w:val="00995ADA"/>
    <w:rsid w:val="00995CB5"/>
    <w:rsid w:val="0099643A"/>
    <w:rsid w:val="00997959"/>
    <w:rsid w:val="009A01A5"/>
    <w:rsid w:val="009A0BAF"/>
    <w:rsid w:val="009A1431"/>
    <w:rsid w:val="009A153D"/>
    <w:rsid w:val="009A1634"/>
    <w:rsid w:val="009A28C2"/>
    <w:rsid w:val="009A2C12"/>
    <w:rsid w:val="009A2E7D"/>
    <w:rsid w:val="009A3A34"/>
    <w:rsid w:val="009A3BF8"/>
    <w:rsid w:val="009A3FE2"/>
    <w:rsid w:val="009A400C"/>
    <w:rsid w:val="009A4B2C"/>
    <w:rsid w:val="009A5592"/>
    <w:rsid w:val="009A59BA"/>
    <w:rsid w:val="009A6417"/>
    <w:rsid w:val="009B0010"/>
    <w:rsid w:val="009B01DF"/>
    <w:rsid w:val="009B020D"/>
    <w:rsid w:val="009B072F"/>
    <w:rsid w:val="009B07A1"/>
    <w:rsid w:val="009B07BF"/>
    <w:rsid w:val="009B09CC"/>
    <w:rsid w:val="009B0FD2"/>
    <w:rsid w:val="009B107A"/>
    <w:rsid w:val="009B173B"/>
    <w:rsid w:val="009B1A1A"/>
    <w:rsid w:val="009B2608"/>
    <w:rsid w:val="009B2A71"/>
    <w:rsid w:val="009B4027"/>
    <w:rsid w:val="009B4647"/>
    <w:rsid w:val="009B4975"/>
    <w:rsid w:val="009B5261"/>
    <w:rsid w:val="009B561F"/>
    <w:rsid w:val="009B5773"/>
    <w:rsid w:val="009B57D6"/>
    <w:rsid w:val="009B5D2D"/>
    <w:rsid w:val="009B7A27"/>
    <w:rsid w:val="009C058F"/>
    <w:rsid w:val="009C0A51"/>
    <w:rsid w:val="009C1324"/>
    <w:rsid w:val="009C17E8"/>
    <w:rsid w:val="009C22B1"/>
    <w:rsid w:val="009C28ED"/>
    <w:rsid w:val="009C2B3E"/>
    <w:rsid w:val="009C2EA2"/>
    <w:rsid w:val="009C3721"/>
    <w:rsid w:val="009C3D24"/>
    <w:rsid w:val="009C4141"/>
    <w:rsid w:val="009C4B55"/>
    <w:rsid w:val="009C5FCC"/>
    <w:rsid w:val="009C61A2"/>
    <w:rsid w:val="009C6DF6"/>
    <w:rsid w:val="009C6E92"/>
    <w:rsid w:val="009C75DD"/>
    <w:rsid w:val="009D04F7"/>
    <w:rsid w:val="009D1589"/>
    <w:rsid w:val="009D2003"/>
    <w:rsid w:val="009D38C2"/>
    <w:rsid w:val="009D417F"/>
    <w:rsid w:val="009D45E5"/>
    <w:rsid w:val="009D4B85"/>
    <w:rsid w:val="009D5335"/>
    <w:rsid w:val="009D535B"/>
    <w:rsid w:val="009D5576"/>
    <w:rsid w:val="009D55FD"/>
    <w:rsid w:val="009D6259"/>
    <w:rsid w:val="009D630B"/>
    <w:rsid w:val="009D63EA"/>
    <w:rsid w:val="009D6452"/>
    <w:rsid w:val="009D6CAA"/>
    <w:rsid w:val="009D6CF6"/>
    <w:rsid w:val="009D6E69"/>
    <w:rsid w:val="009E02DC"/>
    <w:rsid w:val="009E1F0D"/>
    <w:rsid w:val="009E2040"/>
    <w:rsid w:val="009E2EBC"/>
    <w:rsid w:val="009E33E1"/>
    <w:rsid w:val="009E49AE"/>
    <w:rsid w:val="009E4DC7"/>
    <w:rsid w:val="009E5685"/>
    <w:rsid w:val="009E6103"/>
    <w:rsid w:val="009E62A0"/>
    <w:rsid w:val="009E660A"/>
    <w:rsid w:val="009E6B64"/>
    <w:rsid w:val="009E72E5"/>
    <w:rsid w:val="009F0088"/>
    <w:rsid w:val="009F0AF6"/>
    <w:rsid w:val="009F0D26"/>
    <w:rsid w:val="009F13DB"/>
    <w:rsid w:val="009F3185"/>
    <w:rsid w:val="009F3B0B"/>
    <w:rsid w:val="009F40C5"/>
    <w:rsid w:val="009F437A"/>
    <w:rsid w:val="009F46C8"/>
    <w:rsid w:val="009F4F2A"/>
    <w:rsid w:val="009F512F"/>
    <w:rsid w:val="009F660B"/>
    <w:rsid w:val="009F671E"/>
    <w:rsid w:val="009F6B88"/>
    <w:rsid w:val="009F7ED1"/>
    <w:rsid w:val="00A009BE"/>
    <w:rsid w:val="00A01404"/>
    <w:rsid w:val="00A0149B"/>
    <w:rsid w:val="00A01607"/>
    <w:rsid w:val="00A018D4"/>
    <w:rsid w:val="00A01A3C"/>
    <w:rsid w:val="00A01B42"/>
    <w:rsid w:val="00A02183"/>
    <w:rsid w:val="00A02694"/>
    <w:rsid w:val="00A02F9D"/>
    <w:rsid w:val="00A03767"/>
    <w:rsid w:val="00A04834"/>
    <w:rsid w:val="00A05628"/>
    <w:rsid w:val="00A0656F"/>
    <w:rsid w:val="00A069F3"/>
    <w:rsid w:val="00A07350"/>
    <w:rsid w:val="00A07DCF"/>
    <w:rsid w:val="00A10443"/>
    <w:rsid w:val="00A10F81"/>
    <w:rsid w:val="00A12979"/>
    <w:rsid w:val="00A129CE"/>
    <w:rsid w:val="00A12DAE"/>
    <w:rsid w:val="00A131A9"/>
    <w:rsid w:val="00A140DC"/>
    <w:rsid w:val="00A1496E"/>
    <w:rsid w:val="00A14F84"/>
    <w:rsid w:val="00A15773"/>
    <w:rsid w:val="00A161AD"/>
    <w:rsid w:val="00A16D6D"/>
    <w:rsid w:val="00A17C75"/>
    <w:rsid w:val="00A17D6F"/>
    <w:rsid w:val="00A200E5"/>
    <w:rsid w:val="00A211C8"/>
    <w:rsid w:val="00A2121E"/>
    <w:rsid w:val="00A2156F"/>
    <w:rsid w:val="00A21EAC"/>
    <w:rsid w:val="00A221DE"/>
    <w:rsid w:val="00A22CB2"/>
    <w:rsid w:val="00A23138"/>
    <w:rsid w:val="00A2384A"/>
    <w:rsid w:val="00A23940"/>
    <w:rsid w:val="00A23ECC"/>
    <w:rsid w:val="00A24CD3"/>
    <w:rsid w:val="00A25461"/>
    <w:rsid w:val="00A26327"/>
    <w:rsid w:val="00A26367"/>
    <w:rsid w:val="00A2678A"/>
    <w:rsid w:val="00A269E1"/>
    <w:rsid w:val="00A2731C"/>
    <w:rsid w:val="00A27C1C"/>
    <w:rsid w:val="00A302C9"/>
    <w:rsid w:val="00A306CC"/>
    <w:rsid w:val="00A30CD4"/>
    <w:rsid w:val="00A30F6A"/>
    <w:rsid w:val="00A326C5"/>
    <w:rsid w:val="00A32AEA"/>
    <w:rsid w:val="00A32F32"/>
    <w:rsid w:val="00A33E80"/>
    <w:rsid w:val="00A33EFE"/>
    <w:rsid w:val="00A347E4"/>
    <w:rsid w:val="00A34AC5"/>
    <w:rsid w:val="00A34ADB"/>
    <w:rsid w:val="00A34C91"/>
    <w:rsid w:val="00A40B78"/>
    <w:rsid w:val="00A4148D"/>
    <w:rsid w:val="00A42ACA"/>
    <w:rsid w:val="00A44D0E"/>
    <w:rsid w:val="00A4609A"/>
    <w:rsid w:val="00A4621D"/>
    <w:rsid w:val="00A47171"/>
    <w:rsid w:val="00A4766B"/>
    <w:rsid w:val="00A479FC"/>
    <w:rsid w:val="00A50453"/>
    <w:rsid w:val="00A507BE"/>
    <w:rsid w:val="00A509FB"/>
    <w:rsid w:val="00A510B1"/>
    <w:rsid w:val="00A51C19"/>
    <w:rsid w:val="00A51E04"/>
    <w:rsid w:val="00A522B5"/>
    <w:rsid w:val="00A52C31"/>
    <w:rsid w:val="00A52F37"/>
    <w:rsid w:val="00A533C5"/>
    <w:rsid w:val="00A5388C"/>
    <w:rsid w:val="00A5397B"/>
    <w:rsid w:val="00A53BE1"/>
    <w:rsid w:val="00A54644"/>
    <w:rsid w:val="00A55921"/>
    <w:rsid w:val="00A55C44"/>
    <w:rsid w:val="00A560E3"/>
    <w:rsid w:val="00A5628F"/>
    <w:rsid w:val="00A564AF"/>
    <w:rsid w:val="00A566A8"/>
    <w:rsid w:val="00A56D0B"/>
    <w:rsid w:val="00A574F5"/>
    <w:rsid w:val="00A576E0"/>
    <w:rsid w:val="00A5775C"/>
    <w:rsid w:val="00A57B00"/>
    <w:rsid w:val="00A57DCD"/>
    <w:rsid w:val="00A60E72"/>
    <w:rsid w:val="00A6118F"/>
    <w:rsid w:val="00A611EC"/>
    <w:rsid w:val="00A61F0C"/>
    <w:rsid w:val="00A61FF0"/>
    <w:rsid w:val="00A62580"/>
    <w:rsid w:val="00A62841"/>
    <w:rsid w:val="00A62A41"/>
    <w:rsid w:val="00A63AC9"/>
    <w:rsid w:val="00A64502"/>
    <w:rsid w:val="00A64B5F"/>
    <w:rsid w:val="00A64CFD"/>
    <w:rsid w:val="00A6520E"/>
    <w:rsid w:val="00A656C5"/>
    <w:rsid w:val="00A65D88"/>
    <w:rsid w:val="00A65EA0"/>
    <w:rsid w:val="00A66517"/>
    <w:rsid w:val="00A673A6"/>
    <w:rsid w:val="00A67877"/>
    <w:rsid w:val="00A67B0E"/>
    <w:rsid w:val="00A67CF5"/>
    <w:rsid w:val="00A707CA"/>
    <w:rsid w:val="00A718EF"/>
    <w:rsid w:val="00A71E59"/>
    <w:rsid w:val="00A72134"/>
    <w:rsid w:val="00A72270"/>
    <w:rsid w:val="00A726A8"/>
    <w:rsid w:val="00A72951"/>
    <w:rsid w:val="00A73505"/>
    <w:rsid w:val="00A73545"/>
    <w:rsid w:val="00A75E02"/>
    <w:rsid w:val="00A75E8C"/>
    <w:rsid w:val="00A76E79"/>
    <w:rsid w:val="00A76F27"/>
    <w:rsid w:val="00A7771B"/>
    <w:rsid w:val="00A77B53"/>
    <w:rsid w:val="00A80DC9"/>
    <w:rsid w:val="00A811F1"/>
    <w:rsid w:val="00A82887"/>
    <w:rsid w:val="00A828E8"/>
    <w:rsid w:val="00A83010"/>
    <w:rsid w:val="00A83BF5"/>
    <w:rsid w:val="00A83F12"/>
    <w:rsid w:val="00A84CD1"/>
    <w:rsid w:val="00A8528A"/>
    <w:rsid w:val="00A85E2E"/>
    <w:rsid w:val="00A85F0D"/>
    <w:rsid w:val="00A861F3"/>
    <w:rsid w:val="00A86CC1"/>
    <w:rsid w:val="00A8728F"/>
    <w:rsid w:val="00A8756A"/>
    <w:rsid w:val="00A8757F"/>
    <w:rsid w:val="00A87F7D"/>
    <w:rsid w:val="00A906B7"/>
    <w:rsid w:val="00A9070E"/>
    <w:rsid w:val="00A9152C"/>
    <w:rsid w:val="00A91A22"/>
    <w:rsid w:val="00A92DD4"/>
    <w:rsid w:val="00A933CB"/>
    <w:rsid w:val="00A94D0F"/>
    <w:rsid w:val="00A94F13"/>
    <w:rsid w:val="00A95435"/>
    <w:rsid w:val="00A9568C"/>
    <w:rsid w:val="00A95BED"/>
    <w:rsid w:val="00A95EA2"/>
    <w:rsid w:val="00A9756E"/>
    <w:rsid w:val="00A9787E"/>
    <w:rsid w:val="00A97AF9"/>
    <w:rsid w:val="00AA08E8"/>
    <w:rsid w:val="00AA0DB1"/>
    <w:rsid w:val="00AA0DB4"/>
    <w:rsid w:val="00AA11C5"/>
    <w:rsid w:val="00AA17E2"/>
    <w:rsid w:val="00AA21B7"/>
    <w:rsid w:val="00AA3827"/>
    <w:rsid w:val="00AA382D"/>
    <w:rsid w:val="00AA4414"/>
    <w:rsid w:val="00AA4A2C"/>
    <w:rsid w:val="00AA4CDA"/>
    <w:rsid w:val="00AA50AD"/>
    <w:rsid w:val="00AA577F"/>
    <w:rsid w:val="00AA59A6"/>
    <w:rsid w:val="00AA6299"/>
    <w:rsid w:val="00AA68EE"/>
    <w:rsid w:val="00AA6E05"/>
    <w:rsid w:val="00AA7104"/>
    <w:rsid w:val="00AB0262"/>
    <w:rsid w:val="00AB14A1"/>
    <w:rsid w:val="00AB1AAC"/>
    <w:rsid w:val="00AB202A"/>
    <w:rsid w:val="00AB2444"/>
    <w:rsid w:val="00AB358D"/>
    <w:rsid w:val="00AB5555"/>
    <w:rsid w:val="00AB55AD"/>
    <w:rsid w:val="00AB5D1B"/>
    <w:rsid w:val="00AB6918"/>
    <w:rsid w:val="00AB6B40"/>
    <w:rsid w:val="00AB740A"/>
    <w:rsid w:val="00AB7F46"/>
    <w:rsid w:val="00AC0C18"/>
    <w:rsid w:val="00AC0E99"/>
    <w:rsid w:val="00AC1294"/>
    <w:rsid w:val="00AC1475"/>
    <w:rsid w:val="00AC1DA5"/>
    <w:rsid w:val="00AC216B"/>
    <w:rsid w:val="00AC222F"/>
    <w:rsid w:val="00AC26B1"/>
    <w:rsid w:val="00AC42B8"/>
    <w:rsid w:val="00AC45C5"/>
    <w:rsid w:val="00AC4791"/>
    <w:rsid w:val="00AC4C0B"/>
    <w:rsid w:val="00AC4FB6"/>
    <w:rsid w:val="00AC4FD1"/>
    <w:rsid w:val="00AC54E9"/>
    <w:rsid w:val="00AC5B91"/>
    <w:rsid w:val="00AC5FEF"/>
    <w:rsid w:val="00AC6036"/>
    <w:rsid w:val="00AC7071"/>
    <w:rsid w:val="00AD0328"/>
    <w:rsid w:val="00AD11DC"/>
    <w:rsid w:val="00AD1966"/>
    <w:rsid w:val="00AD19E8"/>
    <w:rsid w:val="00AD2B03"/>
    <w:rsid w:val="00AD2E07"/>
    <w:rsid w:val="00AD36AD"/>
    <w:rsid w:val="00AD38A9"/>
    <w:rsid w:val="00AD4071"/>
    <w:rsid w:val="00AD44EA"/>
    <w:rsid w:val="00AD4782"/>
    <w:rsid w:val="00AD5236"/>
    <w:rsid w:val="00AD527D"/>
    <w:rsid w:val="00AD54E0"/>
    <w:rsid w:val="00AD5A31"/>
    <w:rsid w:val="00AD7444"/>
    <w:rsid w:val="00AD758E"/>
    <w:rsid w:val="00AD7AB5"/>
    <w:rsid w:val="00AD7EEE"/>
    <w:rsid w:val="00AD7FE6"/>
    <w:rsid w:val="00AE08B7"/>
    <w:rsid w:val="00AE0DBA"/>
    <w:rsid w:val="00AE160F"/>
    <w:rsid w:val="00AE1CD8"/>
    <w:rsid w:val="00AE21DC"/>
    <w:rsid w:val="00AE239B"/>
    <w:rsid w:val="00AE24C5"/>
    <w:rsid w:val="00AE25D2"/>
    <w:rsid w:val="00AE2B47"/>
    <w:rsid w:val="00AE2BE6"/>
    <w:rsid w:val="00AE2CAD"/>
    <w:rsid w:val="00AE3090"/>
    <w:rsid w:val="00AE380E"/>
    <w:rsid w:val="00AE3AAD"/>
    <w:rsid w:val="00AE3B08"/>
    <w:rsid w:val="00AE3C98"/>
    <w:rsid w:val="00AE4189"/>
    <w:rsid w:val="00AE503A"/>
    <w:rsid w:val="00AE537A"/>
    <w:rsid w:val="00AE68E2"/>
    <w:rsid w:val="00AE76BC"/>
    <w:rsid w:val="00AF0157"/>
    <w:rsid w:val="00AF0B7C"/>
    <w:rsid w:val="00AF0E3A"/>
    <w:rsid w:val="00AF2D47"/>
    <w:rsid w:val="00AF2EC7"/>
    <w:rsid w:val="00AF3AC0"/>
    <w:rsid w:val="00AF3E11"/>
    <w:rsid w:val="00AF4734"/>
    <w:rsid w:val="00AF4F4A"/>
    <w:rsid w:val="00AF7BAB"/>
    <w:rsid w:val="00B0062E"/>
    <w:rsid w:val="00B00C24"/>
    <w:rsid w:val="00B00F93"/>
    <w:rsid w:val="00B01BBE"/>
    <w:rsid w:val="00B03F92"/>
    <w:rsid w:val="00B055D8"/>
    <w:rsid w:val="00B06CD6"/>
    <w:rsid w:val="00B06EBC"/>
    <w:rsid w:val="00B10FC9"/>
    <w:rsid w:val="00B11D2D"/>
    <w:rsid w:val="00B1239E"/>
    <w:rsid w:val="00B123F0"/>
    <w:rsid w:val="00B12891"/>
    <w:rsid w:val="00B12F37"/>
    <w:rsid w:val="00B146C1"/>
    <w:rsid w:val="00B146E7"/>
    <w:rsid w:val="00B156DF"/>
    <w:rsid w:val="00B15822"/>
    <w:rsid w:val="00B15ABB"/>
    <w:rsid w:val="00B1624C"/>
    <w:rsid w:val="00B16973"/>
    <w:rsid w:val="00B2036A"/>
    <w:rsid w:val="00B20732"/>
    <w:rsid w:val="00B20A44"/>
    <w:rsid w:val="00B21057"/>
    <w:rsid w:val="00B21820"/>
    <w:rsid w:val="00B2202B"/>
    <w:rsid w:val="00B22A54"/>
    <w:rsid w:val="00B23422"/>
    <w:rsid w:val="00B24948"/>
    <w:rsid w:val="00B24CBD"/>
    <w:rsid w:val="00B25623"/>
    <w:rsid w:val="00B25CA3"/>
    <w:rsid w:val="00B278D4"/>
    <w:rsid w:val="00B30028"/>
    <w:rsid w:val="00B30582"/>
    <w:rsid w:val="00B31E8D"/>
    <w:rsid w:val="00B324A4"/>
    <w:rsid w:val="00B3266C"/>
    <w:rsid w:val="00B3313B"/>
    <w:rsid w:val="00B331E8"/>
    <w:rsid w:val="00B331EA"/>
    <w:rsid w:val="00B336E5"/>
    <w:rsid w:val="00B3450D"/>
    <w:rsid w:val="00B34732"/>
    <w:rsid w:val="00B353B8"/>
    <w:rsid w:val="00B35C56"/>
    <w:rsid w:val="00B36E82"/>
    <w:rsid w:val="00B36F17"/>
    <w:rsid w:val="00B37233"/>
    <w:rsid w:val="00B372ED"/>
    <w:rsid w:val="00B378E2"/>
    <w:rsid w:val="00B40107"/>
    <w:rsid w:val="00B40603"/>
    <w:rsid w:val="00B40AF6"/>
    <w:rsid w:val="00B40B1F"/>
    <w:rsid w:val="00B41071"/>
    <w:rsid w:val="00B41771"/>
    <w:rsid w:val="00B417B8"/>
    <w:rsid w:val="00B41930"/>
    <w:rsid w:val="00B41D6E"/>
    <w:rsid w:val="00B41F7C"/>
    <w:rsid w:val="00B425C0"/>
    <w:rsid w:val="00B45669"/>
    <w:rsid w:val="00B457A6"/>
    <w:rsid w:val="00B46957"/>
    <w:rsid w:val="00B47B54"/>
    <w:rsid w:val="00B50E99"/>
    <w:rsid w:val="00B51926"/>
    <w:rsid w:val="00B51F9A"/>
    <w:rsid w:val="00B549D7"/>
    <w:rsid w:val="00B54DA7"/>
    <w:rsid w:val="00B5520E"/>
    <w:rsid w:val="00B600C6"/>
    <w:rsid w:val="00B60167"/>
    <w:rsid w:val="00B60BB8"/>
    <w:rsid w:val="00B60E47"/>
    <w:rsid w:val="00B60FC0"/>
    <w:rsid w:val="00B61665"/>
    <w:rsid w:val="00B62C45"/>
    <w:rsid w:val="00B62EE1"/>
    <w:rsid w:val="00B63528"/>
    <w:rsid w:val="00B63ACE"/>
    <w:rsid w:val="00B63DAF"/>
    <w:rsid w:val="00B63E98"/>
    <w:rsid w:val="00B64B81"/>
    <w:rsid w:val="00B64ECE"/>
    <w:rsid w:val="00B652FD"/>
    <w:rsid w:val="00B65754"/>
    <w:rsid w:val="00B657C9"/>
    <w:rsid w:val="00B661AA"/>
    <w:rsid w:val="00B66242"/>
    <w:rsid w:val="00B66DA6"/>
    <w:rsid w:val="00B670D3"/>
    <w:rsid w:val="00B67958"/>
    <w:rsid w:val="00B701D1"/>
    <w:rsid w:val="00B70A96"/>
    <w:rsid w:val="00B716BB"/>
    <w:rsid w:val="00B716FD"/>
    <w:rsid w:val="00B719B5"/>
    <w:rsid w:val="00B72FCB"/>
    <w:rsid w:val="00B734C2"/>
    <w:rsid w:val="00B73BDA"/>
    <w:rsid w:val="00B74053"/>
    <w:rsid w:val="00B7418A"/>
    <w:rsid w:val="00B74B9A"/>
    <w:rsid w:val="00B75C92"/>
    <w:rsid w:val="00B765A0"/>
    <w:rsid w:val="00B76C02"/>
    <w:rsid w:val="00B77BD2"/>
    <w:rsid w:val="00B814CB"/>
    <w:rsid w:val="00B81B6A"/>
    <w:rsid w:val="00B820F4"/>
    <w:rsid w:val="00B83311"/>
    <w:rsid w:val="00B835E0"/>
    <w:rsid w:val="00B8396D"/>
    <w:rsid w:val="00B84E8C"/>
    <w:rsid w:val="00B8588D"/>
    <w:rsid w:val="00B858A0"/>
    <w:rsid w:val="00B87BF9"/>
    <w:rsid w:val="00B87D5C"/>
    <w:rsid w:val="00B90331"/>
    <w:rsid w:val="00B903ED"/>
    <w:rsid w:val="00B90B2D"/>
    <w:rsid w:val="00B9198B"/>
    <w:rsid w:val="00B9200C"/>
    <w:rsid w:val="00B935A1"/>
    <w:rsid w:val="00B95C45"/>
    <w:rsid w:val="00B95DAD"/>
    <w:rsid w:val="00B96C0C"/>
    <w:rsid w:val="00B9734D"/>
    <w:rsid w:val="00B97732"/>
    <w:rsid w:val="00BA27F4"/>
    <w:rsid w:val="00BA2E40"/>
    <w:rsid w:val="00BA3CB7"/>
    <w:rsid w:val="00BA41DE"/>
    <w:rsid w:val="00BA48BE"/>
    <w:rsid w:val="00BA556C"/>
    <w:rsid w:val="00BA62A0"/>
    <w:rsid w:val="00BA6933"/>
    <w:rsid w:val="00BA7665"/>
    <w:rsid w:val="00BB048C"/>
    <w:rsid w:val="00BB0F31"/>
    <w:rsid w:val="00BB15AB"/>
    <w:rsid w:val="00BB189B"/>
    <w:rsid w:val="00BB1D21"/>
    <w:rsid w:val="00BB1D70"/>
    <w:rsid w:val="00BB259E"/>
    <w:rsid w:val="00BB2E51"/>
    <w:rsid w:val="00BB39A1"/>
    <w:rsid w:val="00BB3F0F"/>
    <w:rsid w:val="00BB4BEA"/>
    <w:rsid w:val="00BB4C1A"/>
    <w:rsid w:val="00BB50AB"/>
    <w:rsid w:val="00BB5A2E"/>
    <w:rsid w:val="00BB6236"/>
    <w:rsid w:val="00BB62CB"/>
    <w:rsid w:val="00BB6664"/>
    <w:rsid w:val="00BB7CF0"/>
    <w:rsid w:val="00BB7D45"/>
    <w:rsid w:val="00BC01FC"/>
    <w:rsid w:val="00BC1F79"/>
    <w:rsid w:val="00BC2201"/>
    <w:rsid w:val="00BC2256"/>
    <w:rsid w:val="00BC240B"/>
    <w:rsid w:val="00BC2961"/>
    <w:rsid w:val="00BC3423"/>
    <w:rsid w:val="00BC3C7A"/>
    <w:rsid w:val="00BC7464"/>
    <w:rsid w:val="00BC7DC6"/>
    <w:rsid w:val="00BD1039"/>
    <w:rsid w:val="00BD12B7"/>
    <w:rsid w:val="00BD13B5"/>
    <w:rsid w:val="00BD2EFC"/>
    <w:rsid w:val="00BD33F5"/>
    <w:rsid w:val="00BD340E"/>
    <w:rsid w:val="00BD60AD"/>
    <w:rsid w:val="00BD6C02"/>
    <w:rsid w:val="00BE03A5"/>
    <w:rsid w:val="00BE0C35"/>
    <w:rsid w:val="00BE0D91"/>
    <w:rsid w:val="00BE1023"/>
    <w:rsid w:val="00BE10C1"/>
    <w:rsid w:val="00BE1244"/>
    <w:rsid w:val="00BE165D"/>
    <w:rsid w:val="00BE2394"/>
    <w:rsid w:val="00BE2702"/>
    <w:rsid w:val="00BE2FE1"/>
    <w:rsid w:val="00BE4326"/>
    <w:rsid w:val="00BE4809"/>
    <w:rsid w:val="00BE4E3E"/>
    <w:rsid w:val="00BE5F4F"/>
    <w:rsid w:val="00BE5FCA"/>
    <w:rsid w:val="00BE60DB"/>
    <w:rsid w:val="00BE6330"/>
    <w:rsid w:val="00BE67C1"/>
    <w:rsid w:val="00BF0149"/>
    <w:rsid w:val="00BF0191"/>
    <w:rsid w:val="00BF13EC"/>
    <w:rsid w:val="00BF1C07"/>
    <w:rsid w:val="00BF278B"/>
    <w:rsid w:val="00BF2F5B"/>
    <w:rsid w:val="00BF3DEE"/>
    <w:rsid w:val="00BF4B45"/>
    <w:rsid w:val="00BF54AC"/>
    <w:rsid w:val="00BF54BD"/>
    <w:rsid w:val="00BF5E2D"/>
    <w:rsid w:val="00BF6AF3"/>
    <w:rsid w:val="00BF6B8E"/>
    <w:rsid w:val="00BF7718"/>
    <w:rsid w:val="00C01E30"/>
    <w:rsid w:val="00C01F9A"/>
    <w:rsid w:val="00C025A5"/>
    <w:rsid w:val="00C036C6"/>
    <w:rsid w:val="00C03C78"/>
    <w:rsid w:val="00C04FD3"/>
    <w:rsid w:val="00C050D9"/>
    <w:rsid w:val="00C065A2"/>
    <w:rsid w:val="00C07919"/>
    <w:rsid w:val="00C103F9"/>
    <w:rsid w:val="00C104AC"/>
    <w:rsid w:val="00C110BE"/>
    <w:rsid w:val="00C110E1"/>
    <w:rsid w:val="00C1117C"/>
    <w:rsid w:val="00C11315"/>
    <w:rsid w:val="00C1154B"/>
    <w:rsid w:val="00C1198F"/>
    <w:rsid w:val="00C11FA1"/>
    <w:rsid w:val="00C12E21"/>
    <w:rsid w:val="00C12E65"/>
    <w:rsid w:val="00C13C20"/>
    <w:rsid w:val="00C13F74"/>
    <w:rsid w:val="00C146D3"/>
    <w:rsid w:val="00C16BE0"/>
    <w:rsid w:val="00C17FF9"/>
    <w:rsid w:val="00C20969"/>
    <w:rsid w:val="00C21181"/>
    <w:rsid w:val="00C21C39"/>
    <w:rsid w:val="00C2325C"/>
    <w:rsid w:val="00C234FA"/>
    <w:rsid w:val="00C239ED"/>
    <w:rsid w:val="00C23CAF"/>
    <w:rsid w:val="00C23EBB"/>
    <w:rsid w:val="00C24397"/>
    <w:rsid w:val="00C24D9D"/>
    <w:rsid w:val="00C25CF3"/>
    <w:rsid w:val="00C26010"/>
    <w:rsid w:val="00C263E9"/>
    <w:rsid w:val="00C26A9A"/>
    <w:rsid w:val="00C2775A"/>
    <w:rsid w:val="00C3063A"/>
    <w:rsid w:val="00C30BAD"/>
    <w:rsid w:val="00C310AC"/>
    <w:rsid w:val="00C3121D"/>
    <w:rsid w:val="00C316DA"/>
    <w:rsid w:val="00C31E8F"/>
    <w:rsid w:val="00C335DA"/>
    <w:rsid w:val="00C33D3E"/>
    <w:rsid w:val="00C340FB"/>
    <w:rsid w:val="00C34DF5"/>
    <w:rsid w:val="00C3577B"/>
    <w:rsid w:val="00C359E7"/>
    <w:rsid w:val="00C35DC7"/>
    <w:rsid w:val="00C35EEA"/>
    <w:rsid w:val="00C35F24"/>
    <w:rsid w:val="00C36149"/>
    <w:rsid w:val="00C362E0"/>
    <w:rsid w:val="00C36ED4"/>
    <w:rsid w:val="00C3709A"/>
    <w:rsid w:val="00C376CC"/>
    <w:rsid w:val="00C400F7"/>
    <w:rsid w:val="00C40EC6"/>
    <w:rsid w:val="00C41829"/>
    <w:rsid w:val="00C419AD"/>
    <w:rsid w:val="00C41B5F"/>
    <w:rsid w:val="00C42DAE"/>
    <w:rsid w:val="00C437BA"/>
    <w:rsid w:val="00C44395"/>
    <w:rsid w:val="00C443B3"/>
    <w:rsid w:val="00C44F45"/>
    <w:rsid w:val="00C45CE8"/>
    <w:rsid w:val="00C46DDF"/>
    <w:rsid w:val="00C46F06"/>
    <w:rsid w:val="00C47DA6"/>
    <w:rsid w:val="00C47DBD"/>
    <w:rsid w:val="00C50275"/>
    <w:rsid w:val="00C5088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FA0"/>
    <w:rsid w:val="00C5503B"/>
    <w:rsid w:val="00C5510C"/>
    <w:rsid w:val="00C55438"/>
    <w:rsid w:val="00C55582"/>
    <w:rsid w:val="00C55A32"/>
    <w:rsid w:val="00C55D74"/>
    <w:rsid w:val="00C564F2"/>
    <w:rsid w:val="00C56F11"/>
    <w:rsid w:val="00C56FE3"/>
    <w:rsid w:val="00C6131B"/>
    <w:rsid w:val="00C61E88"/>
    <w:rsid w:val="00C61F3A"/>
    <w:rsid w:val="00C629CB"/>
    <w:rsid w:val="00C62B75"/>
    <w:rsid w:val="00C63BEB"/>
    <w:rsid w:val="00C64CE3"/>
    <w:rsid w:val="00C657B5"/>
    <w:rsid w:val="00C661E1"/>
    <w:rsid w:val="00C66686"/>
    <w:rsid w:val="00C678C4"/>
    <w:rsid w:val="00C67CF7"/>
    <w:rsid w:val="00C70815"/>
    <w:rsid w:val="00C71215"/>
    <w:rsid w:val="00C71AE7"/>
    <w:rsid w:val="00C7216B"/>
    <w:rsid w:val="00C72668"/>
    <w:rsid w:val="00C727BE"/>
    <w:rsid w:val="00C72BDB"/>
    <w:rsid w:val="00C72E62"/>
    <w:rsid w:val="00C732A9"/>
    <w:rsid w:val="00C73448"/>
    <w:rsid w:val="00C7386E"/>
    <w:rsid w:val="00C73E2E"/>
    <w:rsid w:val="00C74152"/>
    <w:rsid w:val="00C74247"/>
    <w:rsid w:val="00C74546"/>
    <w:rsid w:val="00C748E2"/>
    <w:rsid w:val="00C766A6"/>
    <w:rsid w:val="00C77397"/>
    <w:rsid w:val="00C7776C"/>
    <w:rsid w:val="00C80990"/>
    <w:rsid w:val="00C820F8"/>
    <w:rsid w:val="00C8285A"/>
    <w:rsid w:val="00C8398D"/>
    <w:rsid w:val="00C84BC2"/>
    <w:rsid w:val="00C85139"/>
    <w:rsid w:val="00C85657"/>
    <w:rsid w:val="00C858CD"/>
    <w:rsid w:val="00C86A11"/>
    <w:rsid w:val="00C87A12"/>
    <w:rsid w:val="00C87F06"/>
    <w:rsid w:val="00C90E23"/>
    <w:rsid w:val="00C912AC"/>
    <w:rsid w:val="00C91342"/>
    <w:rsid w:val="00C91987"/>
    <w:rsid w:val="00C91C88"/>
    <w:rsid w:val="00C92E7A"/>
    <w:rsid w:val="00C93662"/>
    <w:rsid w:val="00C939C3"/>
    <w:rsid w:val="00C94228"/>
    <w:rsid w:val="00C960FC"/>
    <w:rsid w:val="00C96217"/>
    <w:rsid w:val="00C96BBB"/>
    <w:rsid w:val="00C96D56"/>
    <w:rsid w:val="00C977E6"/>
    <w:rsid w:val="00CA0020"/>
    <w:rsid w:val="00CA0117"/>
    <w:rsid w:val="00CA0277"/>
    <w:rsid w:val="00CA0B2E"/>
    <w:rsid w:val="00CA18CA"/>
    <w:rsid w:val="00CA2557"/>
    <w:rsid w:val="00CA5413"/>
    <w:rsid w:val="00CA5674"/>
    <w:rsid w:val="00CA5BDA"/>
    <w:rsid w:val="00CA5C1A"/>
    <w:rsid w:val="00CA633F"/>
    <w:rsid w:val="00CA641E"/>
    <w:rsid w:val="00CA670B"/>
    <w:rsid w:val="00CA6E1E"/>
    <w:rsid w:val="00CA6E5A"/>
    <w:rsid w:val="00CA7558"/>
    <w:rsid w:val="00CA785F"/>
    <w:rsid w:val="00CA792A"/>
    <w:rsid w:val="00CA7949"/>
    <w:rsid w:val="00CB0B00"/>
    <w:rsid w:val="00CB0C6E"/>
    <w:rsid w:val="00CB0C89"/>
    <w:rsid w:val="00CB0E90"/>
    <w:rsid w:val="00CB1296"/>
    <w:rsid w:val="00CB226B"/>
    <w:rsid w:val="00CB229B"/>
    <w:rsid w:val="00CB2514"/>
    <w:rsid w:val="00CB33B4"/>
    <w:rsid w:val="00CB3D93"/>
    <w:rsid w:val="00CB4402"/>
    <w:rsid w:val="00CB4441"/>
    <w:rsid w:val="00CB4B1A"/>
    <w:rsid w:val="00CB4C6A"/>
    <w:rsid w:val="00CB4E1F"/>
    <w:rsid w:val="00CB6404"/>
    <w:rsid w:val="00CB6480"/>
    <w:rsid w:val="00CB6489"/>
    <w:rsid w:val="00CB6F01"/>
    <w:rsid w:val="00CB6FBD"/>
    <w:rsid w:val="00CB7AFE"/>
    <w:rsid w:val="00CC1504"/>
    <w:rsid w:val="00CC152E"/>
    <w:rsid w:val="00CC2493"/>
    <w:rsid w:val="00CC2B94"/>
    <w:rsid w:val="00CC3222"/>
    <w:rsid w:val="00CC35F1"/>
    <w:rsid w:val="00CC35FF"/>
    <w:rsid w:val="00CC4C72"/>
    <w:rsid w:val="00CC5153"/>
    <w:rsid w:val="00CC6407"/>
    <w:rsid w:val="00CD0DF0"/>
    <w:rsid w:val="00CD0E6E"/>
    <w:rsid w:val="00CD162A"/>
    <w:rsid w:val="00CD23AE"/>
    <w:rsid w:val="00CD27DF"/>
    <w:rsid w:val="00CD2D8A"/>
    <w:rsid w:val="00CD3093"/>
    <w:rsid w:val="00CD3BAC"/>
    <w:rsid w:val="00CD3FF2"/>
    <w:rsid w:val="00CD48D9"/>
    <w:rsid w:val="00CD4A65"/>
    <w:rsid w:val="00CD4A8E"/>
    <w:rsid w:val="00CD50DE"/>
    <w:rsid w:val="00CD531F"/>
    <w:rsid w:val="00CD550A"/>
    <w:rsid w:val="00CD5891"/>
    <w:rsid w:val="00CD5AB5"/>
    <w:rsid w:val="00CD5CB9"/>
    <w:rsid w:val="00CD6FA3"/>
    <w:rsid w:val="00CE10C2"/>
    <w:rsid w:val="00CE2184"/>
    <w:rsid w:val="00CE3B7F"/>
    <w:rsid w:val="00CE3FA2"/>
    <w:rsid w:val="00CE41A0"/>
    <w:rsid w:val="00CE4958"/>
    <w:rsid w:val="00CE584D"/>
    <w:rsid w:val="00CE68E2"/>
    <w:rsid w:val="00CE6F58"/>
    <w:rsid w:val="00CE706E"/>
    <w:rsid w:val="00CE70B1"/>
    <w:rsid w:val="00CE7968"/>
    <w:rsid w:val="00CE7AE4"/>
    <w:rsid w:val="00CE7C16"/>
    <w:rsid w:val="00CF0793"/>
    <w:rsid w:val="00CF079A"/>
    <w:rsid w:val="00CF0A4C"/>
    <w:rsid w:val="00CF150A"/>
    <w:rsid w:val="00CF2225"/>
    <w:rsid w:val="00CF25E7"/>
    <w:rsid w:val="00CF3085"/>
    <w:rsid w:val="00CF3C77"/>
    <w:rsid w:val="00CF45A2"/>
    <w:rsid w:val="00CF52E7"/>
    <w:rsid w:val="00CF5BC4"/>
    <w:rsid w:val="00CF64B5"/>
    <w:rsid w:val="00CF7853"/>
    <w:rsid w:val="00D004ED"/>
    <w:rsid w:val="00D00526"/>
    <w:rsid w:val="00D00D5B"/>
    <w:rsid w:val="00D011DA"/>
    <w:rsid w:val="00D019FA"/>
    <w:rsid w:val="00D0260F"/>
    <w:rsid w:val="00D03708"/>
    <w:rsid w:val="00D05BF3"/>
    <w:rsid w:val="00D06776"/>
    <w:rsid w:val="00D06C70"/>
    <w:rsid w:val="00D06E46"/>
    <w:rsid w:val="00D06F95"/>
    <w:rsid w:val="00D07E4D"/>
    <w:rsid w:val="00D105DB"/>
    <w:rsid w:val="00D1158C"/>
    <w:rsid w:val="00D11600"/>
    <w:rsid w:val="00D117A4"/>
    <w:rsid w:val="00D119A2"/>
    <w:rsid w:val="00D12E31"/>
    <w:rsid w:val="00D137F9"/>
    <w:rsid w:val="00D1458C"/>
    <w:rsid w:val="00D1533C"/>
    <w:rsid w:val="00D1620E"/>
    <w:rsid w:val="00D16867"/>
    <w:rsid w:val="00D16EEC"/>
    <w:rsid w:val="00D20109"/>
    <w:rsid w:val="00D2047A"/>
    <w:rsid w:val="00D20631"/>
    <w:rsid w:val="00D207FC"/>
    <w:rsid w:val="00D2161A"/>
    <w:rsid w:val="00D22332"/>
    <w:rsid w:val="00D2260B"/>
    <w:rsid w:val="00D22D49"/>
    <w:rsid w:val="00D23771"/>
    <w:rsid w:val="00D23930"/>
    <w:rsid w:val="00D23A23"/>
    <w:rsid w:val="00D24D8A"/>
    <w:rsid w:val="00D24DA4"/>
    <w:rsid w:val="00D25235"/>
    <w:rsid w:val="00D25383"/>
    <w:rsid w:val="00D25670"/>
    <w:rsid w:val="00D257EA"/>
    <w:rsid w:val="00D2704E"/>
    <w:rsid w:val="00D2740E"/>
    <w:rsid w:val="00D301FF"/>
    <w:rsid w:val="00D305B3"/>
    <w:rsid w:val="00D3257F"/>
    <w:rsid w:val="00D33AB1"/>
    <w:rsid w:val="00D33C55"/>
    <w:rsid w:val="00D340DD"/>
    <w:rsid w:val="00D340E2"/>
    <w:rsid w:val="00D34C99"/>
    <w:rsid w:val="00D35CD0"/>
    <w:rsid w:val="00D36887"/>
    <w:rsid w:val="00D36A9A"/>
    <w:rsid w:val="00D37563"/>
    <w:rsid w:val="00D379EB"/>
    <w:rsid w:val="00D400B8"/>
    <w:rsid w:val="00D4022C"/>
    <w:rsid w:val="00D40271"/>
    <w:rsid w:val="00D40BD5"/>
    <w:rsid w:val="00D41023"/>
    <w:rsid w:val="00D41C6C"/>
    <w:rsid w:val="00D42465"/>
    <w:rsid w:val="00D42E5B"/>
    <w:rsid w:val="00D439D1"/>
    <w:rsid w:val="00D43C68"/>
    <w:rsid w:val="00D43FBB"/>
    <w:rsid w:val="00D444B2"/>
    <w:rsid w:val="00D45318"/>
    <w:rsid w:val="00D453E4"/>
    <w:rsid w:val="00D46259"/>
    <w:rsid w:val="00D464E0"/>
    <w:rsid w:val="00D46F5B"/>
    <w:rsid w:val="00D47226"/>
    <w:rsid w:val="00D47965"/>
    <w:rsid w:val="00D50B21"/>
    <w:rsid w:val="00D51349"/>
    <w:rsid w:val="00D51402"/>
    <w:rsid w:val="00D5184B"/>
    <w:rsid w:val="00D51FBF"/>
    <w:rsid w:val="00D527AF"/>
    <w:rsid w:val="00D529E1"/>
    <w:rsid w:val="00D534C2"/>
    <w:rsid w:val="00D5410F"/>
    <w:rsid w:val="00D54182"/>
    <w:rsid w:val="00D544F9"/>
    <w:rsid w:val="00D5567C"/>
    <w:rsid w:val="00D564DF"/>
    <w:rsid w:val="00D576DD"/>
    <w:rsid w:val="00D57CB4"/>
    <w:rsid w:val="00D57F2E"/>
    <w:rsid w:val="00D60D1B"/>
    <w:rsid w:val="00D61477"/>
    <w:rsid w:val="00D6179C"/>
    <w:rsid w:val="00D619E2"/>
    <w:rsid w:val="00D62036"/>
    <w:rsid w:val="00D620CC"/>
    <w:rsid w:val="00D62A0D"/>
    <w:rsid w:val="00D634B8"/>
    <w:rsid w:val="00D63B4D"/>
    <w:rsid w:val="00D63EF3"/>
    <w:rsid w:val="00D64441"/>
    <w:rsid w:val="00D65497"/>
    <w:rsid w:val="00D654DA"/>
    <w:rsid w:val="00D654F4"/>
    <w:rsid w:val="00D6609E"/>
    <w:rsid w:val="00D66406"/>
    <w:rsid w:val="00D668C4"/>
    <w:rsid w:val="00D67A9F"/>
    <w:rsid w:val="00D67C20"/>
    <w:rsid w:val="00D70026"/>
    <w:rsid w:val="00D70C1B"/>
    <w:rsid w:val="00D70E5C"/>
    <w:rsid w:val="00D70EC1"/>
    <w:rsid w:val="00D7146C"/>
    <w:rsid w:val="00D718CD"/>
    <w:rsid w:val="00D720FC"/>
    <w:rsid w:val="00D73BF3"/>
    <w:rsid w:val="00D7416F"/>
    <w:rsid w:val="00D7451B"/>
    <w:rsid w:val="00D755F2"/>
    <w:rsid w:val="00D762AC"/>
    <w:rsid w:val="00D76DCD"/>
    <w:rsid w:val="00D77235"/>
    <w:rsid w:val="00D775E7"/>
    <w:rsid w:val="00D776A2"/>
    <w:rsid w:val="00D77B9E"/>
    <w:rsid w:val="00D80BA9"/>
    <w:rsid w:val="00D8161C"/>
    <w:rsid w:val="00D81CA9"/>
    <w:rsid w:val="00D823A1"/>
    <w:rsid w:val="00D82A63"/>
    <w:rsid w:val="00D839D8"/>
    <w:rsid w:val="00D83BAA"/>
    <w:rsid w:val="00D83F9E"/>
    <w:rsid w:val="00D840C2"/>
    <w:rsid w:val="00D84474"/>
    <w:rsid w:val="00D84562"/>
    <w:rsid w:val="00D85C16"/>
    <w:rsid w:val="00D86169"/>
    <w:rsid w:val="00D8672C"/>
    <w:rsid w:val="00D86A34"/>
    <w:rsid w:val="00D8732E"/>
    <w:rsid w:val="00D90679"/>
    <w:rsid w:val="00D90E40"/>
    <w:rsid w:val="00D911F0"/>
    <w:rsid w:val="00D91294"/>
    <w:rsid w:val="00D9186A"/>
    <w:rsid w:val="00D9216F"/>
    <w:rsid w:val="00D92D47"/>
    <w:rsid w:val="00D937F1"/>
    <w:rsid w:val="00D94213"/>
    <w:rsid w:val="00D943B5"/>
    <w:rsid w:val="00D94933"/>
    <w:rsid w:val="00D94BEB"/>
    <w:rsid w:val="00D94EA5"/>
    <w:rsid w:val="00D95B81"/>
    <w:rsid w:val="00D95F32"/>
    <w:rsid w:val="00D97EB1"/>
    <w:rsid w:val="00DA024A"/>
    <w:rsid w:val="00DA07EE"/>
    <w:rsid w:val="00DA0A58"/>
    <w:rsid w:val="00DA1C85"/>
    <w:rsid w:val="00DA1CC9"/>
    <w:rsid w:val="00DA2664"/>
    <w:rsid w:val="00DA2E58"/>
    <w:rsid w:val="00DA31EE"/>
    <w:rsid w:val="00DA328E"/>
    <w:rsid w:val="00DA3AA6"/>
    <w:rsid w:val="00DA3B18"/>
    <w:rsid w:val="00DA46C1"/>
    <w:rsid w:val="00DA4F90"/>
    <w:rsid w:val="00DA59A3"/>
    <w:rsid w:val="00DA6344"/>
    <w:rsid w:val="00DA70DD"/>
    <w:rsid w:val="00DB088F"/>
    <w:rsid w:val="00DB09D4"/>
    <w:rsid w:val="00DB0B4A"/>
    <w:rsid w:val="00DB1487"/>
    <w:rsid w:val="00DB1649"/>
    <w:rsid w:val="00DB19B4"/>
    <w:rsid w:val="00DB19F1"/>
    <w:rsid w:val="00DB2560"/>
    <w:rsid w:val="00DB26AE"/>
    <w:rsid w:val="00DB26B8"/>
    <w:rsid w:val="00DB3D5B"/>
    <w:rsid w:val="00DB4411"/>
    <w:rsid w:val="00DB451B"/>
    <w:rsid w:val="00DB466D"/>
    <w:rsid w:val="00DB4760"/>
    <w:rsid w:val="00DB54A2"/>
    <w:rsid w:val="00DB5FD0"/>
    <w:rsid w:val="00DB7395"/>
    <w:rsid w:val="00DB75C2"/>
    <w:rsid w:val="00DB7883"/>
    <w:rsid w:val="00DB79CD"/>
    <w:rsid w:val="00DB7E2C"/>
    <w:rsid w:val="00DC027B"/>
    <w:rsid w:val="00DC05EB"/>
    <w:rsid w:val="00DC06BB"/>
    <w:rsid w:val="00DC078A"/>
    <w:rsid w:val="00DC0A64"/>
    <w:rsid w:val="00DC0FC4"/>
    <w:rsid w:val="00DC1B9A"/>
    <w:rsid w:val="00DC2344"/>
    <w:rsid w:val="00DC2B3B"/>
    <w:rsid w:val="00DC2E4F"/>
    <w:rsid w:val="00DC2F59"/>
    <w:rsid w:val="00DC384C"/>
    <w:rsid w:val="00DC40C4"/>
    <w:rsid w:val="00DC4AFD"/>
    <w:rsid w:val="00DC4D87"/>
    <w:rsid w:val="00DC4D8A"/>
    <w:rsid w:val="00DC4FAD"/>
    <w:rsid w:val="00DC509F"/>
    <w:rsid w:val="00DC5515"/>
    <w:rsid w:val="00DC5596"/>
    <w:rsid w:val="00DC5CB0"/>
    <w:rsid w:val="00DC6DF6"/>
    <w:rsid w:val="00DC7BFE"/>
    <w:rsid w:val="00DD0421"/>
    <w:rsid w:val="00DD08C7"/>
    <w:rsid w:val="00DD1A10"/>
    <w:rsid w:val="00DD200D"/>
    <w:rsid w:val="00DD2990"/>
    <w:rsid w:val="00DD2FE9"/>
    <w:rsid w:val="00DD3A7E"/>
    <w:rsid w:val="00DD3F4A"/>
    <w:rsid w:val="00DD4162"/>
    <w:rsid w:val="00DD434E"/>
    <w:rsid w:val="00DD4402"/>
    <w:rsid w:val="00DD5DDD"/>
    <w:rsid w:val="00DD60D0"/>
    <w:rsid w:val="00DD6200"/>
    <w:rsid w:val="00DD686C"/>
    <w:rsid w:val="00DD6E86"/>
    <w:rsid w:val="00DD75E5"/>
    <w:rsid w:val="00DD7CB1"/>
    <w:rsid w:val="00DD7D21"/>
    <w:rsid w:val="00DE05EC"/>
    <w:rsid w:val="00DE0E5D"/>
    <w:rsid w:val="00DE447F"/>
    <w:rsid w:val="00DE48F0"/>
    <w:rsid w:val="00DE4A77"/>
    <w:rsid w:val="00DE4AA0"/>
    <w:rsid w:val="00DE5285"/>
    <w:rsid w:val="00DE573F"/>
    <w:rsid w:val="00DE60E6"/>
    <w:rsid w:val="00DE68EE"/>
    <w:rsid w:val="00DE6D24"/>
    <w:rsid w:val="00DE6F10"/>
    <w:rsid w:val="00DE7285"/>
    <w:rsid w:val="00DE74CF"/>
    <w:rsid w:val="00DE7C40"/>
    <w:rsid w:val="00DE7FCE"/>
    <w:rsid w:val="00DF03C8"/>
    <w:rsid w:val="00DF05B3"/>
    <w:rsid w:val="00DF0EA5"/>
    <w:rsid w:val="00DF100E"/>
    <w:rsid w:val="00DF1F1D"/>
    <w:rsid w:val="00DF23A5"/>
    <w:rsid w:val="00DF4C6E"/>
    <w:rsid w:val="00DF573C"/>
    <w:rsid w:val="00DF5A78"/>
    <w:rsid w:val="00DF6059"/>
    <w:rsid w:val="00DF614F"/>
    <w:rsid w:val="00DF6666"/>
    <w:rsid w:val="00DF745E"/>
    <w:rsid w:val="00DF762E"/>
    <w:rsid w:val="00E0044E"/>
    <w:rsid w:val="00E004C1"/>
    <w:rsid w:val="00E00816"/>
    <w:rsid w:val="00E00ADD"/>
    <w:rsid w:val="00E010EE"/>
    <w:rsid w:val="00E0239F"/>
    <w:rsid w:val="00E0267B"/>
    <w:rsid w:val="00E02F60"/>
    <w:rsid w:val="00E034C8"/>
    <w:rsid w:val="00E04441"/>
    <w:rsid w:val="00E05F03"/>
    <w:rsid w:val="00E060C4"/>
    <w:rsid w:val="00E062A9"/>
    <w:rsid w:val="00E06370"/>
    <w:rsid w:val="00E06B7B"/>
    <w:rsid w:val="00E06E20"/>
    <w:rsid w:val="00E075A6"/>
    <w:rsid w:val="00E07DD9"/>
    <w:rsid w:val="00E102F8"/>
    <w:rsid w:val="00E12521"/>
    <w:rsid w:val="00E12C76"/>
    <w:rsid w:val="00E12CB7"/>
    <w:rsid w:val="00E12FCF"/>
    <w:rsid w:val="00E13273"/>
    <w:rsid w:val="00E13379"/>
    <w:rsid w:val="00E13652"/>
    <w:rsid w:val="00E139EE"/>
    <w:rsid w:val="00E13C01"/>
    <w:rsid w:val="00E14190"/>
    <w:rsid w:val="00E14C03"/>
    <w:rsid w:val="00E14D83"/>
    <w:rsid w:val="00E14FA6"/>
    <w:rsid w:val="00E15A0D"/>
    <w:rsid w:val="00E1623B"/>
    <w:rsid w:val="00E163A7"/>
    <w:rsid w:val="00E16640"/>
    <w:rsid w:val="00E16713"/>
    <w:rsid w:val="00E17158"/>
    <w:rsid w:val="00E1740F"/>
    <w:rsid w:val="00E17F4B"/>
    <w:rsid w:val="00E200CF"/>
    <w:rsid w:val="00E21014"/>
    <w:rsid w:val="00E24287"/>
    <w:rsid w:val="00E250FE"/>
    <w:rsid w:val="00E25D6D"/>
    <w:rsid w:val="00E2625C"/>
    <w:rsid w:val="00E30C5F"/>
    <w:rsid w:val="00E31367"/>
    <w:rsid w:val="00E3181C"/>
    <w:rsid w:val="00E31985"/>
    <w:rsid w:val="00E323DC"/>
    <w:rsid w:val="00E32918"/>
    <w:rsid w:val="00E32EF3"/>
    <w:rsid w:val="00E32EFB"/>
    <w:rsid w:val="00E33E21"/>
    <w:rsid w:val="00E34B0D"/>
    <w:rsid w:val="00E34BC4"/>
    <w:rsid w:val="00E34E35"/>
    <w:rsid w:val="00E34F73"/>
    <w:rsid w:val="00E3540C"/>
    <w:rsid w:val="00E36187"/>
    <w:rsid w:val="00E36332"/>
    <w:rsid w:val="00E365E9"/>
    <w:rsid w:val="00E36C9B"/>
    <w:rsid w:val="00E37638"/>
    <w:rsid w:val="00E37E74"/>
    <w:rsid w:val="00E37E9D"/>
    <w:rsid w:val="00E4030C"/>
    <w:rsid w:val="00E40352"/>
    <w:rsid w:val="00E41B71"/>
    <w:rsid w:val="00E42218"/>
    <w:rsid w:val="00E42569"/>
    <w:rsid w:val="00E434A0"/>
    <w:rsid w:val="00E44D30"/>
    <w:rsid w:val="00E44D4A"/>
    <w:rsid w:val="00E44D4D"/>
    <w:rsid w:val="00E45464"/>
    <w:rsid w:val="00E4597F"/>
    <w:rsid w:val="00E46BBC"/>
    <w:rsid w:val="00E46CB7"/>
    <w:rsid w:val="00E46FDA"/>
    <w:rsid w:val="00E4723D"/>
    <w:rsid w:val="00E47E2C"/>
    <w:rsid w:val="00E5077C"/>
    <w:rsid w:val="00E50EC8"/>
    <w:rsid w:val="00E50FE2"/>
    <w:rsid w:val="00E5159B"/>
    <w:rsid w:val="00E515C6"/>
    <w:rsid w:val="00E518AA"/>
    <w:rsid w:val="00E52C51"/>
    <w:rsid w:val="00E52E0D"/>
    <w:rsid w:val="00E52FE2"/>
    <w:rsid w:val="00E534E2"/>
    <w:rsid w:val="00E53797"/>
    <w:rsid w:val="00E54629"/>
    <w:rsid w:val="00E54715"/>
    <w:rsid w:val="00E54D6B"/>
    <w:rsid w:val="00E54E6F"/>
    <w:rsid w:val="00E55338"/>
    <w:rsid w:val="00E56297"/>
    <w:rsid w:val="00E56408"/>
    <w:rsid w:val="00E569AF"/>
    <w:rsid w:val="00E5774E"/>
    <w:rsid w:val="00E577A8"/>
    <w:rsid w:val="00E57EEB"/>
    <w:rsid w:val="00E602A3"/>
    <w:rsid w:val="00E60318"/>
    <w:rsid w:val="00E60BA8"/>
    <w:rsid w:val="00E61E25"/>
    <w:rsid w:val="00E61E28"/>
    <w:rsid w:val="00E628E4"/>
    <w:rsid w:val="00E63A19"/>
    <w:rsid w:val="00E647F7"/>
    <w:rsid w:val="00E654A9"/>
    <w:rsid w:val="00E65FF5"/>
    <w:rsid w:val="00E66857"/>
    <w:rsid w:val="00E67074"/>
    <w:rsid w:val="00E672D4"/>
    <w:rsid w:val="00E67556"/>
    <w:rsid w:val="00E70610"/>
    <w:rsid w:val="00E70792"/>
    <w:rsid w:val="00E7252F"/>
    <w:rsid w:val="00E73AFF"/>
    <w:rsid w:val="00E73E13"/>
    <w:rsid w:val="00E73FC2"/>
    <w:rsid w:val="00E74481"/>
    <w:rsid w:val="00E74517"/>
    <w:rsid w:val="00E74979"/>
    <w:rsid w:val="00E755D7"/>
    <w:rsid w:val="00E7566D"/>
    <w:rsid w:val="00E75B6A"/>
    <w:rsid w:val="00E76E91"/>
    <w:rsid w:val="00E774B4"/>
    <w:rsid w:val="00E778F5"/>
    <w:rsid w:val="00E80183"/>
    <w:rsid w:val="00E80E7C"/>
    <w:rsid w:val="00E80E82"/>
    <w:rsid w:val="00E81165"/>
    <w:rsid w:val="00E81779"/>
    <w:rsid w:val="00E81B41"/>
    <w:rsid w:val="00E81DEB"/>
    <w:rsid w:val="00E8205B"/>
    <w:rsid w:val="00E82444"/>
    <w:rsid w:val="00E8341C"/>
    <w:rsid w:val="00E848D6"/>
    <w:rsid w:val="00E86006"/>
    <w:rsid w:val="00E8602B"/>
    <w:rsid w:val="00E86B5F"/>
    <w:rsid w:val="00E86D74"/>
    <w:rsid w:val="00E86F74"/>
    <w:rsid w:val="00E87B5E"/>
    <w:rsid w:val="00E87D05"/>
    <w:rsid w:val="00E91D64"/>
    <w:rsid w:val="00E91F96"/>
    <w:rsid w:val="00E92673"/>
    <w:rsid w:val="00E92E99"/>
    <w:rsid w:val="00E95C48"/>
    <w:rsid w:val="00E968FD"/>
    <w:rsid w:val="00E96D55"/>
    <w:rsid w:val="00E96ECA"/>
    <w:rsid w:val="00E97993"/>
    <w:rsid w:val="00EA0A9E"/>
    <w:rsid w:val="00EA0D5D"/>
    <w:rsid w:val="00EA116E"/>
    <w:rsid w:val="00EA1192"/>
    <w:rsid w:val="00EA153F"/>
    <w:rsid w:val="00EA2788"/>
    <w:rsid w:val="00EA2846"/>
    <w:rsid w:val="00EA2C6E"/>
    <w:rsid w:val="00EA47D3"/>
    <w:rsid w:val="00EA4964"/>
    <w:rsid w:val="00EA4F1A"/>
    <w:rsid w:val="00EA50F9"/>
    <w:rsid w:val="00EA551E"/>
    <w:rsid w:val="00EA5B2D"/>
    <w:rsid w:val="00EA5C8D"/>
    <w:rsid w:val="00EA6182"/>
    <w:rsid w:val="00EA67A1"/>
    <w:rsid w:val="00EA77A5"/>
    <w:rsid w:val="00EB0148"/>
    <w:rsid w:val="00EB02DE"/>
    <w:rsid w:val="00EB0A07"/>
    <w:rsid w:val="00EB0CAB"/>
    <w:rsid w:val="00EB1B69"/>
    <w:rsid w:val="00EB1C78"/>
    <w:rsid w:val="00EB3251"/>
    <w:rsid w:val="00EB3B46"/>
    <w:rsid w:val="00EB3C8A"/>
    <w:rsid w:val="00EB3D59"/>
    <w:rsid w:val="00EB4040"/>
    <w:rsid w:val="00EB4DE4"/>
    <w:rsid w:val="00EB4F08"/>
    <w:rsid w:val="00EB5F2C"/>
    <w:rsid w:val="00EB620D"/>
    <w:rsid w:val="00EB6225"/>
    <w:rsid w:val="00EB65D9"/>
    <w:rsid w:val="00EB67A3"/>
    <w:rsid w:val="00EB7D0A"/>
    <w:rsid w:val="00EB7DCA"/>
    <w:rsid w:val="00EC16DC"/>
    <w:rsid w:val="00EC2E07"/>
    <w:rsid w:val="00EC3518"/>
    <w:rsid w:val="00EC43C7"/>
    <w:rsid w:val="00EC465D"/>
    <w:rsid w:val="00EC5C89"/>
    <w:rsid w:val="00EC66D2"/>
    <w:rsid w:val="00EC67E7"/>
    <w:rsid w:val="00EC772C"/>
    <w:rsid w:val="00EC7D13"/>
    <w:rsid w:val="00ED0A1B"/>
    <w:rsid w:val="00ED1481"/>
    <w:rsid w:val="00ED1ABD"/>
    <w:rsid w:val="00ED1B72"/>
    <w:rsid w:val="00ED1DF5"/>
    <w:rsid w:val="00ED1E94"/>
    <w:rsid w:val="00ED214B"/>
    <w:rsid w:val="00ED21BC"/>
    <w:rsid w:val="00ED2FEC"/>
    <w:rsid w:val="00ED3F67"/>
    <w:rsid w:val="00ED3F73"/>
    <w:rsid w:val="00ED440A"/>
    <w:rsid w:val="00ED474C"/>
    <w:rsid w:val="00ED67AD"/>
    <w:rsid w:val="00ED7971"/>
    <w:rsid w:val="00ED7D2B"/>
    <w:rsid w:val="00EE0748"/>
    <w:rsid w:val="00EE12B2"/>
    <w:rsid w:val="00EE29A0"/>
    <w:rsid w:val="00EE2CEA"/>
    <w:rsid w:val="00EE3365"/>
    <w:rsid w:val="00EE3BF0"/>
    <w:rsid w:val="00EE48DF"/>
    <w:rsid w:val="00EE4AB3"/>
    <w:rsid w:val="00EE5124"/>
    <w:rsid w:val="00EE56B8"/>
    <w:rsid w:val="00EE5884"/>
    <w:rsid w:val="00EE5B52"/>
    <w:rsid w:val="00EE73D9"/>
    <w:rsid w:val="00EE7405"/>
    <w:rsid w:val="00EE7DA5"/>
    <w:rsid w:val="00EF033E"/>
    <w:rsid w:val="00EF06EC"/>
    <w:rsid w:val="00EF1303"/>
    <w:rsid w:val="00EF14FF"/>
    <w:rsid w:val="00EF1954"/>
    <w:rsid w:val="00EF2BFE"/>
    <w:rsid w:val="00EF2D85"/>
    <w:rsid w:val="00EF2DF4"/>
    <w:rsid w:val="00EF402C"/>
    <w:rsid w:val="00EF45B8"/>
    <w:rsid w:val="00EF45E0"/>
    <w:rsid w:val="00EF4E6F"/>
    <w:rsid w:val="00EF5099"/>
    <w:rsid w:val="00EF5C82"/>
    <w:rsid w:val="00EF6DBB"/>
    <w:rsid w:val="00EF70F4"/>
    <w:rsid w:val="00EF7A15"/>
    <w:rsid w:val="00F00F2E"/>
    <w:rsid w:val="00F01F8C"/>
    <w:rsid w:val="00F01F9F"/>
    <w:rsid w:val="00F035A6"/>
    <w:rsid w:val="00F04AD0"/>
    <w:rsid w:val="00F05A63"/>
    <w:rsid w:val="00F06CAE"/>
    <w:rsid w:val="00F074B4"/>
    <w:rsid w:val="00F07A52"/>
    <w:rsid w:val="00F10033"/>
    <w:rsid w:val="00F10848"/>
    <w:rsid w:val="00F10B68"/>
    <w:rsid w:val="00F11DEC"/>
    <w:rsid w:val="00F11F55"/>
    <w:rsid w:val="00F12DEC"/>
    <w:rsid w:val="00F1310A"/>
    <w:rsid w:val="00F13151"/>
    <w:rsid w:val="00F1409B"/>
    <w:rsid w:val="00F147BA"/>
    <w:rsid w:val="00F14AD5"/>
    <w:rsid w:val="00F15523"/>
    <w:rsid w:val="00F16391"/>
    <w:rsid w:val="00F175AA"/>
    <w:rsid w:val="00F20582"/>
    <w:rsid w:val="00F2062B"/>
    <w:rsid w:val="00F2082D"/>
    <w:rsid w:val="00F21A18"/>
    <w:rsid w:val="00F21DE6"/>
    <w:rsid w:val="00F21E61"/>
    <w:rsid w:val="00F220EA"/>
    <w:rsid w:val="00F222CD"/>
    <w:rsid w:val="00F223A8"/>
    <w:rsid w:val="00F2379E"/>
    <w:rsid w:val="00F24772"/>
    <w:rsid w:val="00F24EA4"/>
    <w:rsid w:val="00F252F0"/>
    <w:rsid w:val="00F2625A"/>
    <w:rsid w:val="00F30106"/>
    <w:rsid w:val="00F31A03"/>
    <w:rsid w:val="00F320DC"/>
    <w:rsid w:val="00F3283C"/>
    <w:rsid w:val="00F32D0F"/>
    <w:rsid w:val="00F343F0"/>
    <w:rsid w:val="00F34620"/>
    <w:rsid w:val="00F34AAB"/>
    <w:rsid w:val="00F34C4D"/>
    <w:rsid w:val="00F350CF"/>
    <w:rsid w:val="00F35522"/>
    <w:rsid w:val="00F35582"/>
    <w:rsid w:val="00F35A8B"/>
    <w:rsid w:val="00F35C1D"/>
    <w:rsid w:val="00F36A7E"/>
    <w:rsid w:val="00F37004"/>
    <w:rsid w:val="00F376A1"/>
    <w:rsid w:val="00F37B8E"/>
    <w:rsid w:val="00F41746"/>
    <w:rsid w:val="00F41E79"/>
    <w:rsid w:val="00F4315F"/>
    <w:rsid w:val="00F43836"/>
    <w:rsid w:val="00F445F6"/>
    <w:rsid w:val="00F44EED"/>
    <w:rsid w:val="00F4512F"/>
    <w:rsid w:val="00F455D9"/>
    <w:rsid w:val="00F45763"/>
    <w:rsid w:val="00F45BCF"/>
    <w:rsid w:val="00F45BEA"/>
    <w:rsid w:val="00F45CE2"/>
    <w:rsid w:val="00F45CFE"/>
    <w:rsid w:val="00F46877"/>
    <w:rsid w:val="00F47F3E"/>
    <w:rsid w:val="00F47FC8"/>
    <w:rsid w:val="00F51786"/>
    <w:rsid w:val="00F52402"/>
    <w:rsid w:val="00F530E6"/>
    <w:rsid w:val="00F532C7"/>
    <w:rsid w:val="00F53634"/>
    <w:rsid w:val="00F54EE5"/>
    <w:rsid w:val="00F55358"/>
    <w:rsid w:val="00F55E27"/>
    <w:rsid w:val="00F5603C"/>
    <w:rsid w:val="00F5605C"/>
    <w:rsid w:val="00F564B9"/>
    <w:rsid w:val="00F573BD"/>
    <w:rsid w:val="00F57909"/>
    <w:rsid w:val="00F612D6"/>
    <w:rsid w:val="00F615A7"/>
    <w:rsid w:val="00F62257"/>
    <w:rsid w:val="00F63400"/>
    <w:rsid w:val="00F636C6"/>
    <w:rsid w:val="00F63715"/>
    <w:rsid w:val="00F6433D"/>
    <w:rsid w:val="00F64FD2"/>
    <w:rsid w:val="00F6573E"/>
    <w:rsid w:val="00F65B14"/>
    <w:rsid w:val="00F662EB"/>
    <w:rsid w:val="00F67606"/>
    <w:rsid w:val="00F70327"/>
    <w:rsid w:val="00F70FEF"/>
    <w:rsid w:val="00F7273E"/>
    <w:rsid w:val="00F72FA8"/>
    <w:rsid w:val="00F74D70"/>
    <w:rsid w:val="00F75415"/>
    <w:rsid w:val="00F7548D"/>
    <w:rsid w:val="00F76483"/>
    <w:rsid w:val="00F773F9"/>
    <w:rsid w:val="00F77BB7"/>
    <w:rsid w:val="00F77FBB"/>
    <w:rsid w:val="00F808EE"/>
    <w:rsid w:val="00F8101C"/>
    <w:rsid w:val="00F817B9"/>
    <w:rsid w:val="00F81CB7"/>
    <w:rsid w:val="00F82280"/>
    <w:rsid w:val="00F8235F"/>
    <w:rsid w:val="00F827FF"/>
    <w:rsid w:val="00F83A22"/>
    <w:rsid w:val="00F83A97"/>
    <w:rsid w:val="00F844F0"/>
    <w:rsid w:val="00F84895"/>
    <w:rsid w:val="00F84E9D"/>
    <w:rsid w:val="00F861CC"/>
    <w:rsid w:val="00F8659E"/>
    <w:rsid w:val="00F86CE4"/>
    <w:rsid w:val="00F86F42"/>
    <w:rsid w:val="00F8776F"/>
    <w:rsid w:val="00F879F4"/>
    <w:rsid w:val="00F9006E"/>
    <w:rsid w:val="00F91941"/>
    <w:rsid w:val="00F92E3F"/>
    <w:rsid w:val="00F938D2"/>
    <w:rsid w:val="00F94863"/>
    <w:rsid w:val="00F96389"/>
    <w:rsid w:val="00F9650E"/>
    <w:rsid w:val="00F966C3"/>
    <w:rsid w:val="00F96B73"/>
    <w:rsid w:val="00F977C7"/>
    <w:rsid w:val="00F97BF1"/>
    <w:rsid w:val="00F97E4A"/>
    <w:rsid w:val="00FA060D"/>
    <w:rsid w:val="00FA0890"/>
    <w:rsid w:val="00FA164A"/>
    <w:rsid w:val="00FA1E47"/>
    <w:rsid w:val="00FA3F3E"/>
    <w:rsid w:val="00FA4272"/>
    <w:rsid w:val="00FA4855"/>
    <w:rsid w:val="00FA4ACD"/>
    <w:rsid w:val="00FA4E76"/>
    <w:rsid w:val="00FA60FF"/>
    <w:rsid w:val="00FA6428"/>
    <w:rsid w:val="00FA68C3"/>
    <w:rsid w:val="00FA7144"/>
    <w:rsid w:val="00FA7184"/>
    <w:rsid w:val="00FA7EF0"/>
    <w:rsid w:val="00FB0634"/>
    <w:rsid w:val="00FB0CC1"/>
    <w:rsid w:val="00FB1B7E"/>
    <w:rsid w:val="00FB1D9D"/>
    <w:rsid w:val="00FB3304"/>
    <w:rsid w:val="00FB3C03"/>
    <w:rsid w:val="00FB3F57"/>
    <w:rsid w:val="00FB40D0"/>
    <w:rsid w:val="00FB46B8"/>
    <w:rsid w:val="00FB4B38"/>
    <w:rsid w:val="00FB5450"/>
    <w:rsid w:val="00FB54BB"/>
    <w:rsid w:val="00FB5AC0"/>
    <w:rsid w:val="00FB6821"/>
    <w:rsid w:val="00FB6BB1"/>
    <w:rsid w:val="00FB6C91"/>
    <w:rsid w:val="00FB716C"/>
    <w:rsid w:val="00FB74E8"/>
    <w:rsid w:val="00FC0263"/>
    <w:rsid w:val="00FC0348"/>
    <w:rsid w:val="00FC0FB5"/>
    <w:rsid w:val="00FC102A"/>
    <w:rsid w:val="00FC154C"/>
    <w:rsid w:val="00FC1DBC"/>
    <w:rsid w:val="00FC2637"/>
    <w:rsid w:val="00FC393B"/>
    <w:rsid w:val="00FC3E50"/>
    <w:rsid w:val="00FC4052"/>
    <w:rsid w:val="00FC4248"/>
    <w:rsid w:val="00FC4745"/>
    <w:rsid w:val="00FC5252"/>
    <w:rsid w:val="00FC6356"/>
    <w:rsid w:val="00FC63E3"/>
    <w:rsid w:val="00FC6E2C"/>
    <w:rsid w:val="00FC6E42"/>
    <w:rsid w:val="00FC7384"/>
    <w:rsid w:val="00FC7C1A"/>
    <w:rsid w:val="00FC7D01"/>
    <w:rsid w:val="00FD0130"/>
    <w:rsid w:val="00FD02DB"/>
    <w:rsid w:val="00FD0373"/>
    <w:rsid w:val="00FD0410"/>
    <w:rsid w:val="00FD0582"/>
    <w:rsid w:val="00FD0C4E"/>
    <w:rsid w:val="00FD0C93"/>
    <w:rsid w:val="00FD1062"/>
    <w:rsid w:val="00FD2589"/>
    <w:rsid w:val="00FD3D13"/>
    <w:rsid w:val="00FD4876"/>
    <w:rsid w:val="00FD4A1C"/>
    <w:rsid w:val="00FD52A3"/>
    <w:rsid w:val="00FD5BEE"/>
    <w:rsid w:val="00FD5E74"/>
    <w:rsid w:val="00FD6251"/>
    <w:rsid w:val="00FD68BA"/>
    <w:rsid w:val="00FD68D4"/>
    <w:rsid w:val="00FD6BD3"/>
    <w:rsid w:val="00FD7176"/>
    <w:rsid w:val="00FE00D9"/>
    <w:rsid w:val="00FE0191"/>
    <w:rsid w:val="00FE0208"/>
    <w:rsid w:val="00FE0923"/>
    <w:rsid w:val="00FE1186"/>
    <w:rsid w:val="00FE160B"/>
    <w:rsid w:val="00FE177A"/>
    <w:rsid w:val="00FE1A64"/>
    <w:rsid w:val="00FE240A"/>
    <w:rsid w:val="00FE28BF"/>
    <w:rsid w:val="00FE3E3C"/>
    <w:rsid w:val="00FE43E7"/>
    <w:rsid w:val="00FE4B66"/>
    <w:rsid w:val="00FE4CAF"/>
    <w:rsid w:val="00FE4F6E"/>
    <w:rsid w:val="00FE574F"/>
    <w:rsid w:val="00FE583F"/>
    <w:rsid w:val="00FE5CC4"/>
    <w:rsid w:val="00FE61C9"/>
    <w:rsid w:val="00FE62EB"/>
    <w:rsid w:val="00FE6B13"/>
    <w:rsid w:val="00FE70E7"/>
    <w:rsid w:val="00FE7575"/>
    <w:rsid w:val="00FF04EF"/>
    <w:rsid w:val="00FF0D34"/>
    <w:rsid w:val="00FF1070"/>
    <w:rsid w:val="00FF13E2"/>
    <w:rsid w:val="00FF2237"/>
    <w:rsid w:val="00FF2284"/>
    <w:rsid w:val="00FF23F7"/>
    <w:rsid w:val="00FF488D"/>
    <w:rsid w:val="00FF4953"/>
    <w:rsid w:val="00FF5FA3"/>
    <w:rsid w:val="00FF5FCE"/>
    <w:rsid w:val="00FF6144"/>
    <w:rsid w:val="00FF6177"/>
    <w:rsid w:val="00FF6201"/>
    <w:rsid w:val="00FF6AD9"/>
    <w:rsid w:val="00FF6D7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65D6F"/>
  <w15:docId w15:val="{4B05F3C5-B922-4528-AE6D-F8325CD1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lo-L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CB"/>
    <w:rPr>
      <w:sz w:val="24"/>
      <w:szCs w:val="24"/>
      <w:lang w:bidi="ar-SA"/>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BodyText2">
    <w:name w:val="Body Text 2"/>
    <w:basedOn w:val="Normal"/>
    <w:rsid w:val="00083840"/>
    <w:pPr>
      <w:spacing w:after="120" w:line="480" w:lineRule="auto"/>
    </w:pPr>
  </w:style>
  <w:style w:type="paragraph" w:styleId="PlainText">
    <w:name w:val="Plain Text"/>
    <w:basedOn w:val="Normal"/>
    <w:link w:val="PlainTextChar"/>
    <w:rsid w:val="002E2EFC"/>
    <w:rPr>
      <w:rFonts w:ascii="Courier New" w:hAnsi="Courier New" w:cs="Courier New"/>
      <w:sz w:val="20"/>
      <w:szCs w:val="20"/>
      <w:lang w:val="en-GB" w:eastAsia="en-US"/>
    </w:rPr>
  </w:style>
  <w:style w:type="paragraph" w:styleId="BodyTextIndent">
    <w:name w:val="Body Text Indent"/>
    <w:basedOn w:val="Normal"/>
    <w:link w:val="BodyTextIndentChar"/>
    <w:uiPriority w:val="99"/>
    <w:unhideWhenUsed/>
    <w:rsid w:val="003B7787"/>
    <w:pPr>
      <w:spacing w:after="120"/>
      <w:ind w:left="283"/>
    </w:pPr>
  </w:style>
  <w:style w:type="character" w:customStyle="1" w:styleId="BodyTextIndentChar">
    <w:name w:val="Body Text Indent Char"/>
    <w:basedOn w:val="DefaultParagraphFont"/>
    <w:link w:val="BodyTextIndent"/>
    <w:uiPriority w:val="99"/>
    <w:rsid w:val="003B7787"/>
    <w:rPr>
      <w:sz w:val="24"/>
      <w:szCs w:val="24"/>
    </w:rPr>
  </w:style>
  <w:style w:type="character" w:customStyle="1" w:styleId="PlainTextChar">
    <w:name w:val="Plain Text Char"/>
    <w:basedOn w:val="DefaultParagraphFont"/>
    <w:link w:val="PlainText"/>
    <w:rsid w:val="00E34B0D"/>
    <w:rPr>
      <w:rFonts w:ascii="Courier New" w:hAnsi="Courier New" w:cs="Courier New"/>
      <w:lang w:val="en-GB" w:eastAsia="en-US" w:bidi="ar-SA"/>
    </w:rPr>
  </w:style>
  <w:style w:type="paragraph" w:styleId="BodyText">
    <w:name w:val="Body Text"/>
    <w:basedOn w:val="Normal"/>
    <w:link w:val="BodyTextChar"/>
    <w:uiPriority w:val="99"/>
    <w:unhideWhenUsed/>
    <w:rsid w:val="005B5EB5"/>
    <w:pPr>
      <w:spacing w:after="120"/>
    </w:pPr>
  </w:style>
  <w:style w:type="character" w:customStyle="1" w:styleId="BodyTextChar">
    <w:name w:val="Body Text Char"/>
    <w:basedOn w:val="DefaultParagraphFont"/>
    <w:link w:val="BodyText"/>
    <w:uiPriority w:val="99"/>
    <w:rsid w:val="005B5EB5"/>
    <w:rPr>
      <w:sz w:val="24"/>
      <w:szCs w:val="24"/>
      <w:lang w:bidi="ar-SA"/>
    </w:rPr>
  </w:style>
  <w:style w:type="paragraph" w:styleId="NoSpacing">
    <w:name w:val="No Spacing"/>
    <w:uiPriority w:val="1"/>
    <w:qFormat/>
    <w:rsid w:val="00B336E5"/>
    <w:rPr>
      <w:rFonts w:ascii="Calibri" w:eastAsia="Calibri" w:hAnsi="Calibri"/>
      <w:sz w:val="22"/>
      <w:szCs w:val="22"/>
      <w:lang w:eastAsia="en-US" w:bidi="ar-SA"/>
    </w:rPr>
  </w:style>
  <w:style w:type="paragraph" w:customStyle="1" w:styleId="Style2">
    <w:name w:val="Style 2"/>
    <w:basedOn w:val="Normal"/>
    <w:uiPriority w:val="99"/>
    <w:rsid w:val="00382B56"/>
    <w:pPr>
      <w:widowControl w:val="0"/>
      <w:autoSpaceDE w:val="0"/>
      <w:autoSpaceDN w:val="0"/>
      <w:jc w:val="both"/>
    </w:pPr>
  </w:style>
  <w:style w:type="paragraph" w:customStyle="1" w:styleId="c7">
    <w:name w:val="c7"/>
    <w:basedOn w:val="Normal"/>
    <w:uiPriority w:val="99"/>
    <w:semiHidden/>
    <w:rsid w:val="00CB1296"/>
    <w:pPr>
      <w:spacing w:after="100" w:afterAutospacing="1"/>
      <w:jc w:val="both"/>
    </w:pPr>
    <w:rPr>
      <w:rFonts w:eastAsia="Calibri"/>
      <w:b/>
      <w:bCs/>
    </w:rPr>
  </w:style>
  <w:style w:type="character" w:customStyle="1" w:styleId="apple-converted-space">
    <w:name w:val="apple-converted-space"/>
    <w:basedOn w:val="DefaultParagraphFont"/>
    <w:rsid w:val="0051761C"/>
  </w:style>
  <w:style w:type="paragraph" w:styleId="Title">
    <w:name w:val="Title"/>
    <w:basedOn w:val="Normal"/>
    <w:link w:val="TitleChar"/>
    <w:qFormat/>
    <w:locked/>
    <w:rsid w:val="00A6520E"/>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A6520E"/>
    <w:rPr>
      <w:rFonts w:ascii="Arial" w:hAnsi="Arial"/>
      <w:b/>
      <w:kern w:val="28"/>
      <w:sz w:val="32"/>
      <w:lang w:val="en-US" w:eastAsia="en-US" w:bidi="ar-SA"/>
    </w:rPr>
  </w:style>
  <w:style w:type="character" w:customStyle="1" w:styleId="ListParagraphChar">
    <w:name w:val="List Paragraph Char"/>
    <w:link w:val="ListParagraph"/>
    <w:locked/>
    <w:rsid w:val="00052C4D"/>
    <w:rPr>
      <w:rFonts w:ascii="Calibri" w:hAnsi="Calibri"/>
      <w:sz w:val="22"/>
      <w:szCs w:val="22"/>
      <w:lang w:eastAsia="en-US" w:bidi="ar-SA"/>
    </w:rPr>
  </w:style>
  <w:style w:type="paragraph" w:customStyle="1" w:styleId="tv2131">
    <w:name w:val="tv2131"/>
    <w:basedOn w:val="Normal"/>
    <w:rsid w:val="00411AB7"/>
    <w:pPr>
      <w:suppressAutoHyphens/>
      <w:spacing w:line="360" w:lineRule="auto"/>
      <w:ind w:firstLine="300"/>
    </w:pPr>
    <w:rPr>
      <w:color w:val="414142"/>
      <w:kern w:val="1"/>
      <w:sz w:val="20"/>
      <w:szCs w:val="20"/>
      <w:lang w:eastAsia="ar-SA"/>
    </w:rPr>
  </w:style>
  <w:style w:type="paragraph" w:styleId="FootnoteText">
    <w:name w:val="footnote text"/>
    <w:basedOn w:val="Normal"/>
    <w:link w:val="FootnoteTextChar"/>
    <w:semiHidden/>
    <w:rsid w:val="003D37B5"/>
    <w:rPr>
      <w:sz w:val="20"/>
      <w:szCs w:val="20"/>
    </w:rPr>
  </w:style>
  <w:style w:type="character" w:customStyle="1" w:styleId="FootnoteTextChar">
    <w:name w:val="Footnote Text Char"/>
    <w:basedOn w:val="DefaultParagraphFont"/>
    <w:link w:val="FootnoteText"/>
    <w:semiHidden/>
    <w:rsid w:val="003D37B5"/>
    <w:rPr>
      <w:lang w:bidi="ar-SA"/>
    </w:rPr>
  </w:style>
  <w:style w:type="character" w:styleId="FootnoteReference">
    <w:name w:val="footnote reference"/>
    <w:basedOn w:val="DefaultParagraphFont"/>
    <w:uiPriority w:val="99"/>
    <w:semiHidden/>
    <w:unhideWhenUsed/>
    <w:rsid w:val="00334C5C"/>
    <w:rPr>
      <w:vertAlign w:val="superscript"/>
    </w:rPr>
  </w:style>
  <w:style w:type="character" w:customStyle="1" w:styleId="spelle">
    <w:name w:val="spelle"/>
    <w:basedOn w:val="DefaultParagraphFont"/>
    <w:rsid w:val="004B1252"/>
  </w:style>
  <w:style w:type="paragraph" w:customStyle="1" w:styleId="tv213">
    <w:name w:val="tv213"/>
    <w:basedOn w:val="Normal"/>
    <w:rsid w:val="00013DC4"/>
    <w:pPr>
      <w:spacing w:before="100" w:beforeAutospacing="1" w:after="100" w:afterAutospacing="1"/>
    </w:pPr>
  </w:style>
  <w:style w:type="character" w:styleId="UnresolvedMention">
    <w:name w:val="Unresolved Mention"/>
    <w:basedOn w:val="DefaultParagraphFont"/>
    <w:uiPriority w:val="99"/>
    <w:semiHidden/>
    <w:unhideWhenUsed/>
    <w:rsid w:val="00DB1649"/>
    <w:rPr>
      <w:color w:val="808080"/>
      <w:shd w:val="clear" w:color="auto" w:fill="E6E6E6"/>
    </w:rPr>
  </w:style>
  <w:style w:type="paragraph" w:styleId="Revision">
    <w:name w:val="Revision"/>
    <w:hidden/>
    <w:uiPriority w:val="99"/>
    <w:semiHidden/>
    <w:rsid w:val="0004709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150">
      <w:bodyDiv w:val="1"/>
      <w:marLeft w:val="0"/>
      <w:marRight w:val="0"/>
      <w:marTop w:val="0"/>
      <w:marBottom w:val="0"/>
      <w:divBdr>
        <w:top w:val="none" w:sz="0" w:space="0" w:color="auto"/>
        <w:left w:val="none" w:sz="0" w:space="0" w:color="auto"/>
        <w:bottom w:val="none" w:sz="0" w:space="0" w:color="auto"/>
        <w:right w:val="none" w:sz="0" w:space="0" w:color="auto"/>
      </w:divBdr>
    </w:div>
    <w:div w:id="123280107">
      <w:bodyDiv w:val="1"/>
      <w:marLeft w:val="0"/>
      <w:marRight w:val="0"/>
      <w:marTop w:val="0"/>
      <w:marBottom w:val="0"/>
      <w:divBdr>
        <w:top w:val="none" w:sz="0" w:space="0" w:color="auto"/>
        <w:left w:val="none" w:sz="0" w:space="0" w:color="auto"/>
        <w:bottom w:val="none" w:sz="0" w:space="0" w:color="auto"/>
        <w:right w:val="none" w:sz="0" w:space="0" w:color="auto"/>
      </w:divBdr>
    </w:div>
    <w:div w:id="133984741">
      <w:bodyDiv w:val="1"/>
      <w:marLeft w:val="0"/>
      <w:marRight w:val="0"/>
      <w:marTop w:val="0"/>
      <w:marBottom w:val="0"/>
      <w:divBdr>
        <w:top w:val="none" w:sz="0" w:space="0" w:color="auto"/>
        <w:left w:val="none" w:sz="0" w:space="0" w:color="auto"/>
        <w:bottom w:val="none" w:sz="0" w:space="0" w:color="auto"/>
        <w:right w:val="none" w:sz="0" w:space="0" w:color="auto"/>
      </w:divBdr>
      <w:divsChild>
        <w:div w:id="1789424261">
          <w:marLeft w:val="0"/>
          <w:marRight w:val="0"/>
          <w:marTop w:val="0"/>
          <w:marBottom w:val="0"/>
          <w:divBdr>
            <w:top w:val="none" w:sz="0" w:space="0" w:color="auto"/>
            <w:left w:val="none" w:sz="0" w:space="0" w:color="auto"/>
            <w:bottom w:val="none" w:sz="0" w:space="0" w:color="auto"/>
            <w:right w:val="none" w:sz="0" w:space="0" w:color="auto"/>
          </w:divBdr>
        </w:div>
        <w:div w:id="2059426355">
          <w:marLeft w:val="0"/>
          <w:marRight w:val="0"/>
          <w:marTop w:val="0"/>
          <w:marBottom w:val="0"/>
          <w:divBdr>
            <w:top w:val="none" w:sz="0" w:space="0" w:color="auto"/>
            <w:left w:val="none" w:sz="0" w:space="0" w:color="auto"/>
            <w:bottom w:val="none" w:sz="0" w:space="0" w:color="auto"/>
            <w:right w:val="none" w:sz="0" w:space="0" w:color="auto"/>
          </w:divBdr>
        </w:div>
      </w:divsChild>
    </w:div>
    <w:div w:id="333649161">
      <w:bodyDiv w:val="1"/>
      <w:marLeft w:val="0"/>
      <w:marRight w:val="0"/>
      <w:marTop w:val="0"/>
      <w:marBottom w:val="0"/>
      <w:divBdr>
        <w:top w:val="none" w:sz="0" w:space="0" w:color="auto"/>
        <w:left w:val="none" w:sz="0" w:space="0" w:color="auto"/>
        <w:bottom w:val="none" w:sz="0" w:space="0" w:color="auto"/>
        <w:right w:val="none" w:sz="0" w:space="0" w:color="auto"/>
      </w:divBdr>
    </w:div>
    <w:div w:id="33708164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8768794">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945890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1475709">
      <w:bodyDiv w:val="1"/>
      <w:marLeft w:val="0"/>
      <w:marRight w:val="0"/>
      <w:marTop w:val="0"/>
      <w:marBottom w:val="0"/>
      <w:divBdr>
        <w:top w:val="none" w:sz="0" w:space="0" w:color="auto"/>
        <w:left w:val="none" w:sz="0" w:space="0" w:color="auto"/>
        <w:bottom w:val="none" w:sz="0" w:space="0" w:color="auto"/>
        <w:right w:val="none" w:sz="0" w:space="0" w:color="auto"/>
      </w:divBdr>
    </w:div>
    <w:div w:id="698899808">
      <w:bodyDiv w:val="1"/>
      <w:marLeft w:val="0"/>
      <w:marRight w:val="0"/>
      <w:marTop w:val="0"/>
      <w:marBottom w:val="0"/>
      <w:divBdr>
        <w:top w:val="none" w:sz="0" w:space="0" w:color="auto"/>
        <w:left w:val="none" w:sz="0" w:space="0" w:color="auto"/>
        <w:bottom w:val="none" w:sz="0" w:space="0" w:color="auto"/>
        <w:right w:val="none" w:sz="0" w:space="0" w:color="auto"/>
      </w:divBdr>
    </w:div>
    <w:div w:id="724331163">
      <w:bodyDiv w:val="1"/>
      <w:marLeft w:val="0"/>
      <w:marRight w:val="0"/>
      <w:marTop w:val="0"/>
      <w:marBottom w:val="0"/>
      <w:divBdr>
        <w:top w:val="none" w:sz="0" w:space="0" w:color="auto"/>
        <w:left w:val="none" w:sz="0" w:space="0" w:color="auto"/>
        <w:bottom w:val="none" w:sz="0" w:space="0" w:color="auto"/>
        <w:right w:val="none" w:sz="0" w:space="0" w:color="auto"/>
      </w:divBdr>
    </w:div>
    <w:div w:id="754590919">
      <w:bodyDiv w:val="1"/>
      <w:marLeft w:val="0"/>
      <w:marRight w:val="0"/>
      <w:marTop w:val="0"/>
      <w:marBottom w:val="0"/>
      <w:divBdr>
        <w:top w:val="none" w:sz="0" w:space="0" w:color="auto"/>
        <w:left w:val="none" w:sz="0" w:space="0" w:color="auto"/>
        <w:bottom w:val="none" w:sz="0" w:space="0" w:color="auto"/>
        <w:right w:val="none" w:sz="0" w:space="0" w:color="auto"/>
      </w:divBdr>
    </w:div>
    <w:div w:id="774908997">
      <w:bodyDiv w:val="1"/>
      <w:marLeft w:val="0"/>
      <w:marRight w:val="0"/>
      <w:marTop w:val="0"/>
      <w:marBottom w:val="0"/>
      <w:divBdr>
        <w:top w:val="none" w:sz="0" w:space="0" w:color="auto"/>
        <w:left w:val="none" w:sz="0" w:space="0" w:color="auto"/>
        <w:bottom w:val="none" w:sz="0" w:space="0" w:color="auto"/>
        <w:right w:val="none" w:sz="0" w:space="0" w:color="auto"/>
      </w:divBdr>
    </w:div>
    <w:div w:id="800225846">
      <w:bodyDiv w:val="1"/>
      <w:marLeft w:val="0"/>
      <w:marRight w:val="0"/>
      <w:marTop w:val="0"/>
      <w:marBottom w:val="0"/>
      <w:divBdr>
        <w:top w:val="none" w:sz="0" w:space="0" w:color="auto"/>
        <w:left w:val="none" w:sz="0" w:space="0" w:color="auto"/>
        <w:bottom w:val="none" w:sz="0" w:space="0" w:color="auto"/>
        <w:right w:val="none" w:sz="0" w:space="0" w:color="auto"/>
      </w:divBdr>
    </w:div>
    <w:div w:id="802773973">
      <w:bodyDiv w:val="1"/>
      <w:marLeft w:val="0"/>
      <w:marRight w:val="0"/>
      <w:marTop w:val="0"/>
      <w:marBottom w:val="0"/>
      <w:divBdr>
        <w:top w:val="none" w:sz="0" w:space="0" w:color="auto"/>
        <w:left w:val="none" w:sz="0" w:space="0" w:color="auto"/>
        <w:bottom w:val="none" w:sz="0" w:space="0" w:color="auto"/>
        <w:right w:val="none" w:sz="0" w:space="0" w:color="auto"/>
      </w:divBdr>
    </w:div>
    <w:div w:id="101758452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128874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4294207">
      <w:bodyDiv w:val="1"/>
      <w:marLeft w:val="0"/>
      <w:marRight w:val="0"/>
      <w:marTop w:val="0"/>
      <w:marBottom w:val="0"/>
      <w:divBdr>
        <w:top w:val="none" w:sz="0" w:space="0" w:color="auto"/>
        <w:left w:val="none" w:sz="0" w:space="0" w:color="auto"/>
        <w:bottom w:val="none" w:sz="0" w:space="0" w:color="auto"/>
        <w:right w:val="none" w:sz="0" w:space="0" w:color="auto"/>
      </w:divBdr>
    </w:div>
    <w:div w:id="1304653210">
      <w:bodyDiv w:val="1"/>
      <w:marLeft w:val="0"/>
      <w:marRight w:val="0"/>
      <w:marTop w:val="0"/>
      <w:marBottom w:val="0"/>
      <w:divBdr>
        <w:top w:val="none" w:sz="0" w:space="0" w:color="auto"/>
        <w:left w:val="none" w:sz="0" w:space="0" w:color="auto"/>
        <w:bottom w:val="none" w:sz="0" w:space="0" w:color="auto"/>
        <w:right w:val="none" w:sz="0" w:space="0" w:color="auto"/>
      </w:divBdr>
    </w:div>
    <w:div w:id="1327856435">
      <w:bodyDiv w:val="1"/>
      <w:marLeft w:val="0"/>
      <w:marRight w:val="0"/>
      <w:marTop w:val="0"/>
      <w:marBottom w:val="0"/>
      <w:divBdr>
        <w:top w:val="none" w:sz="0" w:space="0" w:color="auto"/>
        <w:left w:val="none" w:sz="0" w:space="0" w:color="auto"/>
        <w:bottom w:val="none" w:sz="0" w:space="0" w:color="auto"/>
        <w:right w:val="none" w:sz="0" w:space="0" w:color="auto"/>
      </w:divBdr>
    </w:div>
    <w:div w:id="1392735199">
      <w:bodyDiv w:val="1"/>
      <w:marLeft w:val="0"/>
      <w:marRight w:val="0"/>
      <w:marTop w:val="0"/>
      <w:marBottom w:val="0"/>
      <w:divBdr>
        <w:top w:val="none" w:sz="0" w:space="0" w:color="auto"/>
        <w:left w:val="none" w:sz="0" w:space="0" w:color="auto"/>
        <w:bottom w:val="none" w:sz="0" w:space="0" w:color="auto"/>
        <w:right w:val="none" w:sz="0" w:space="0" w:color="auto"/>
      </w:divBdr>
    </w:div>
    <w:div w:id="141323602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050364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6862139">
      <w:bodyDiv w:val="1"/>
      <w:marLeft w:val="0"/>
      <w:marRight w:val="0"/>
      <w:marTop w:val="0"/>
      <w:marBottom w:val="0"/>
      <w:divBdr>
        <w:top w:val="none" w:sz="0" w:space="0" w:color="auto"/>
        <w:left w:val="none" w:sz="0" w:space="0" w:color="auto"/>
        <w:bottom w:val="none" w:sz="0" w:space="0" w:color="auto"/>
        <w:right w:val="none" w:sz="0" w:space="0" w:color="auto"/>
      </w:divBdr>
    </w:div>
    <w:div w:id="20955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0958-bpar-finansu-lidzeklu-pieskirsanu-no-valsts-budzeta-programmasbblidzekli-neparedzetiem-gadijumiemb?&amp;search=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nta.Sture@vm.gov.lv" TargetMode="External"/><Relationship Id="rId4" Type="http://schemas.openxmlformats.org/officeDocument/2006/relationships/settings" Target="settings.xml"/><Relationship Id="rId9" Type="http://schemas.openxmlformats.org/officeDocument/2006/relationships/hyperlink" Target="mailto:Svetlana.Batare@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5508-57A1-45AD-98DD-AF10077A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2517</Words>
  <Characters>18392</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„Veselības pārbaudes kārtība personām, kuras pretendē uz speciālo atļauju pieejai valsts noslēpumam”</vt:lpstr>
    </vt:vector>
  </TitlesOfParts>
  <Company>Veselības ministrija</Company>
  <LinksUpToDate>false</LinksUpToDate>
  <CharactersWithSpaces>20868</CharactersWithSpaces>
  <SharedDoc>false</SharedDoc>
  <HLinks>
    <vt:vector size="30" baseType="variant">
      <vt:variant>
        <vt:i4>1507409</vt:i4>
      </vt:variant>
      <vt:variant>
        <vt:i4>12</vt:i4>
      </vt:variant>
      <vt:variant>
        <vt:i4>0</vt:i4>
      </vt:variant>
      <vt:variant>
        <vt:i4>5</vt:i4>
      </vt:variant>
      <vt:variant>
        <vt:lpwstr>http://pro.nais.lv/naiser/text.cfm?Ref=0103012001102532779&amp;Req=0103012001102532779&amp;Key=0121011922021532769&amp;Hash=</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„Veselības pārbaudes kārtība personām, kuras pretendē uz speciālo atļauju pieejai valsts noslēpumam”</dc:title>
  <dc:subject>Izziņa par atzinumos izteiktajiem iebildumiem</dc:subject>
  <dc:creator>Irita Kuzma</dc:creator>
  <dc:description>Irita.Kuzma@vm.gov.lv, tālr.: 6 7876079</dc:description>
  <cp:lastModifiedBy>Svetlana Batare</cp:lastModifiedBy>
  <cp:revision>10</cp:revision>
  <cp:lastPrinted>2014-01-30T14:03:00Z</cp:lastPrinted>
  <dcterms:created xsi:type="dcterms:W3CDTF">2021-04-21T11:10:00Z</dcterms:created>
  <dcterms:modified xsi:type="dcterms:W3CDTF">2021-04-21T16:40:00Z</dcterms:modified>
</cp:coreProperties>
</file>