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D6684" w14:textId="41F33808" w:rsidR="00FE3D8C" w:rsidRPr="00B16CE3" w:rsidRDefault="00032471" w:rsidP="00B16CE3">
      <w:pPr>
        <w:pStyle w:val="Heading2"/>
        <w:jc w:val="center"/>
        <w:rPr>
          <w:rFonts w:ascii="Times New Roman" w:hAnsi="Times New Roman" w:cs="Times New Roman"/>
          <w:b/>
          <w:bCs/>
          <w:color w:val="000000" w:themeColor="text1"/>
          <w:lang w:val="lv-LV"/>
        </w:rPr>
      </w:pPr>
      <w:bookmarkStart w:id="0" w:name="_Hlk58398606"/>
      <w:bookmarkStart w:id="1" w:name="_Hlk58435028"/>
      <w:bookmarkStart w:id="2" w:name="OLE_LINK3"/>
      <w:bookmarkStart w:id="3" w:name="OLE_LINK1"/>
      <w:bookmarkStart w:id="4" w:name="OLE_LINK2"/>
      <w:r w:rsidRPr="00B16CE3">
        <w:rPr>
          <w:rFonts w:ascii="Times New Roman" w:hAnsi="Times New Roman" w:cs="Times New Roman"/>
          <w:b/>
          <w:bCs/>
          <w:color w:val="000000" w:themeColor="text1"/>
          <w:lang w:val="lv-LV"/>
        </w:rPr>
        <w:t>Ministru kabineta noteikumu projekt</w:t>
      </w:r>
      <w:r w:rsidR="004D3527" w:rsidRPr="00B16CE3">
        <w:rPr>
          <w:rFonts w:ascii="Times New Roman" w:hAnsi="Times New Roman" w:cs="Times New Roman"/>
          <w:b/>
          <w:bCs/>
          <w:color w:val="000000" w:themeColor="text1"/>
          <w:lang w:val="lv-LV"/>
        </w:rPr>
        <w:t>a</w:t>
      </w:r>
      <w:r w:rsidRPr="00B16CE3">
        <w:rPr>
          <w:rFonts w:ascii="Times New Roman" w:hAnsi="Times New Roman" w:cs="Times New Roman"/>
          <w:b/>
          <w:bCs/>
          <w:color w:val="000000" w:themeColor="text1"/>
          <w:lang w:val="lv-LV"/>
        </w:rPr>
        <w:t xml:space="preserve"> </w:t>
      </w:r>
      <w:r w:rsidR="003D3CA2" w:rsidRPr="00B16CE3">
        <w:rPr>
          <w:rFonts w:ascii="Times New Roman" w:hAnsi="Times New Roman" w:cs="Times New Roman"/>
          <w:b/>
          <w:bCs/>
          <w:color w:val="000000" w:themeColor="text1"/>
          <w:lang w:val="lv-LV"/>
        </w:rPr>
        <w:t>“</w:t>
      </w:r>
      <w:r w:rsidR="00A658C7" w:rsidRPr="00B16CE3">
        <w:rPr>
          <w:rFonts w:ascii="Times New Roman" w:hAnsi="Times New Roman" w:cs="Times New Roman"/>
          <w:b/>
          <w:bCs/>
          <w:color w:val="000000" w:themeColor="text1"/>
          <w:lang w:val="lv-LV"/>
        </w:rPr>
        <w:t>Grozījumi Ministru kabineta 2020.gada 14.jūlija noteikumos Nr.</w:t>
      </w:r>
      <w:r w:rsidR="0051173D" w:rsidRPr="00B16CE3">
        <w:rPr>
          <w:rFonts w:ascii="Times New Roman" w:hAnsi="Times New Roman" w:cs="Times New Roman"/>
          <w:b/>
          <w:bCs/>
          <w:color w:val="000000" w:themeColor="text1"/>
          <w:lang w:val="lv-LV"/>
        </w:rPr>
        <w:t>454</w:t>
      </w:r>
      <w:r w:rsidR="00A658C7" w:rsidRPr="00B16CE3">
        <w:rPr>
          <w:rFonts w:ascii="Times New Roman" w:hAnsi="Times New Roman" w:cs="Times New Roman"/>
          <w:b/>
          <w:bCs/>
          <w:color w:val="000000" w:themeColor="text1"/>
          <w:lang w:val="lv-LV"/>
        </w:rPr>
        <w:t xml:space="preserve"> “</w:t>
      </w:r>
      <w:r w:rsidR="003F2AC0" w:rsidRPr="00B16CE3">
        <w:rPr>
          <w:rFonts w:ascii="Times New Roman" w:hAnsi="Times New Roman" w:cs="Times New Roman"/>
          <w:b/>
          <w:bCs/>
          <w:color w:val="000000" w:themeColor="text1"/>
          <w:lang w:val="lv-LV"/>
        </w:rPr>
        <w:t xml:space="preserve">Noteikumi par garantijām </w:t>
      </w:r>
      <w:r w:rsidR="003D72E9" w:rsidRPr="00B16CE3">
        <w:rPr>
          <w:rFonts w:ascii="Times New Roman" w:hAnsi="Times New Roman" w:cs="Times New Roman"/>
          <w:b/>
          <w:bCs/>
          <w:color w:val="000000" w:themeColor="text1"/>
          <w:lang w:val="lv-LV"/>
        </w:rPr>
        <w:t xml:space="preserve">lielajiem </w:t>
      </w:r>
      <w:r w:rsidR="003F2AC0" w:rsidRPr="00B16CE3">
        <w:rPr>
          <w:rFonts w:ascii="Times New Roman" w:hAnsi="Times New Roman" w:cs="Times New Roman"/>
          <w:b/>
          <w:bCs/>
          <w:color w:val="000000" w:themeColor="text1"/>
          <w:lang w:val="lv-LV"/>
        </w:rPr>
        <w:t>komersantiem, kuru darbību ietekmējusi Covid-19 izplatība</w:t>
      </w:r>
      <w:r w:rsidR="000A3654" w:rsidRPr="00B16CE3">
        <w:rPr>
          <w:rFonts w:ascii="Times New Roman" w:hAnsi="Times New Roman" w:cs="Times New Roman"/>
          <w:b/>
          <w:bCs/>
          <w:color w:val="000000" w:themeColor="text1"/>
          <w:lang w:val="lv-LV"/>
        </w:rPr>
        <w:t>”</w:t>
      </w:r>
      <w:r w:rsidR="00A658C7" w:rsidRPr="00B16CE3">
        <w:rPr>
          <w:rFonts w:ascii="Times New Roman" w:hAnsi="Times New Roman" w:cs="Times New Roman"/>
          <w:b/>
          <w:bCs/>
          <w:color w:val="000000" w:themeColor="text1"/>
          <w:lang w:val="lv-LV"/>
        </w:rPr>
        <w:t>”</w:t>
      </w:r>
      <w:bookmarkEnd w:id="0"/>
      <w:r w:rsidR="003C585E" w:rsidRPr="00B16CE3">
        <w:rPr>
          <w:rFonts w:ascii="Times New Roman" w:hAnsi="Times New Roman" w:cs="Times New Roman"/>
          <w:b/>
          <w:bCs/>
          <w:color w:val="000000" w:themeColor="text1"/>
          <w:lang w:val="lv-LV"/>
        </w:rPr>
        <w:t xml:space="preserve"> </w:t>
      </w:r>
      <w:bookmarkEnd w:id="1"/>
      <w:r w:rsidRPr="00B16CE3">
        <w:rPr>
          <w:rFonts w:ascii="Times New Roman" w:hAnsi="Times New Roman" w:cs="Times New Roman"/>
          <w:b/>
          <w:bCs/>
          <w:color w:val="000000" w:themeColor="text1"/>
          <w:lang w:val="lv-LV"/>
        </w:rPr>
        <w:t>sākotnējās ietekmes novērtējuma ziņojums (anotācija)</w:t>
      </w:r>
    </w:p>
    <w:p w14:paraId="3C1007C9" w14:textId="4E078B33" w:rsidR="00FA4414" w:rsidRPr="006640AA" w:rsidRDefault="00FA4414" w:rsidP="00B043DE">
      <w:pPr>
        <w:shd w:val="clear" w:color="auto" w:fill="FFFFFF"/>
        <w:contextualSpacing/>
        <w:jc w:val="center"/>
        <w:rPr>
          <w:b/>
          <w:sz w:val="26"/>
          <w:szCs w:val="26"/>
          <w:lang w:val="lv-LV"/>
        </w:rPr>
      </w:pPr>
    </w:p>
    <w:tbl>
      <w:tblPr>
        <w:tblStyle w:val="TableGrid"/>
        <w:tblW w:w="9351" w:type="dxa"/>
        <w:tblLook w:val="04A0" w:firstRow="1" w:lastRow="0" w:firstColumn="1" w:lastColumn="0" w:noHBand="0" w:noVBand="1"/>
      </w:tblPr>
      <w:tblGrid>
        <w:gridCol w:w="2122"/>
        <w:gridCol w:w="7229"/>
      </w:tblGrid>
      <w:tr w:rsidR="00FE3D8C" w:rsidRPr="006640AA" w14:paraId="47A77C9D" w14:textId="77777777" w:rsidTr="00240921">
        <w:trPr>
          <w:trHeight w:val="280"/>
        </w:trPr>
        <w:tc>
          <w:tcPr>
            <w:tcW w:w="9351" w:type="dxa"/>
            <w:gridSpan w:val="2"/>
            <w:vAlign w:val="center"/>
          </w:tcPr>
          <w:p w14:paraId="67F1F095" w14:textId="1A0B8496" w:rsidR="00FE3D8C" w:rsidRPr="006640AA" w:rsidRDefault="00FE3D8C" w:rsidP="00FA4414">
            <w:pPr>
              <w:contextualSpacing/>
              <w:rPr>
                <w:b/>
                <w:sz w:val="26"/>
                <w:szCs w:val="26"/>
                <w:lang w:val="lv-LV"/>
              </w:rPr>
            </w:pPr>
            <w:r w:rsidRPr="006640AA">
              <w:rPr>
                <w:rFonts w:eastAsia="Times New Roman"/>
                <w:b/>
                <w:bCs/>
                <w:iCs/>
                <w:sz w:val="26"/>
                <w:szCs w:val="26"/>
                <w:lang w:val="lv-LV" w:eastAsia="lv-LV"/>
              </w:rPr>
              <w:t>Tiesību akta projekta anotācijas kopsavilkums</w:t>
            </w:r>
          </w:p>
        </w:tc>
      </w:tr>
      <w:tr w:rsidR="00FE3D8C" w:rsidRPr="00EE05A5" w14:paraId="562FF486" w14:textId="77777777" w:rsidTr="00240921">
        <w:trPr>
          <w:trHeight w:val="1851"/>
        </w:trPr>
        <w:tc>
          <w:tcPr>
            <w:tcW w:w="2122" w:type="dxa"/>
          </w:tcPr>
          <w:p w14:paraId="7F646FDE" w14:textId="741D956A" w:rsidR="00FE3D8C" w:rsidRPr="006640AA" w:rsidRDefault="00FE3D8C" w:rsidP="00FE3D8C">
            <w:pPr>
              <w:contextualSpacing/>
              <w:jc w:val="center"/>
              <w:rPr>
                <w:b/>
                <w:sz w:val="26"/>
                <w:szCs w:val="26"/>
                <w:lang w:val="lv-LV"/>
              </w:rPr>
            </w:pPr>
            <w:r w:rsidRPr="006640AA">
              <w:rPr>
                <w:rFonts w:eastAsia="Times New Roman"/>
                <w:iCs/>
                <w:sz w:val="26"/>
                <w:szCs w:val="26"/>
                <w:lang w:val="lv-LV" w:eastAsia="lv-LV"/>
              </w:rPr>
              <w:t xml:space="preserve">Mērķis, risinājums un projekta spēkā stāšanās laiks </w:t>
            </w:r>
          </w:p>
        </w:tc>
        <w:tc>
          <w:tcPr>
            <w:tcW w:w="7229" w:type="dxa"/>
          </w:tcPr>
          <w:p w14:paraId="5A316A25" w14:textId="77777777" w:rsidR="00FE3D8C" w:rsidRDefault="00FE3D8C" w:rsidP="00FA4414">
            <w:pPr>
              <w:contextualSpacing/>
              <w:jc w:val="both"/>
              <w:rPr>
                <w:rFonts w:eastAsia="Times New Roman"/>
                <w:iCs/>
                <w:sz w:val="26"/>
                <w:szCs w:val="26"/>
                <w:lang w:val="lv-LV"/>
              </w:rPr>
            </w:pPr>
            <w:r w:rsidRPr="006640AA">
              <w:rPr>
                <w:bCs/>
                <w:sz w:val="26"/>
                <w:szCs w:val="26"/>
                <w:lang w:val="lv-LV"/>
              </w:rPr>
              <w:t>Ministru kabineta noteikumu projekt</w:t>
            </w:r>
            <w:r w:rsidR="004259BC" w:rsidRPr="006640AA">
              <w:rPr>
                <w:bCs/>
                <w:sz w:val="26"/>
                <w:szCs w:val="26"/>
                <w:lang w:val="lv-LV"/>
              </w:rPr>
              <w:t>s</w:t>
            </w:r>
            <w:r w:rsidRPr="006640AA">
              <w:rPr>
                <w:bCs/>
                <w:sz w:val="26"/>
                <w:szCs w:val="26"/>
                <w:lang w:val="lv-LV"/>
              </w:rPr>
              <w:t xml:space="preserve"> </w:t>
            </w:r>
            <w:r w:rsidR="004259BC" w:rsidRPr="006640AA">
              <w:rPr>
                <w:b/>
                <w:bCs/>
                <w:sz w:val="26"/>
                <w:szCs w:val="26"/>
                <w:lang w:val="lv-LV"/>
              </w:rPr>
              <w:t>“</w:t>
            </w:r>
            <w:r w:rsidR="004259BC" w:rsidRPr="006640AA">
              <w:rPr>
                <w:sz w:val="26"/>
                <w:szCs w:val="26"/>
                <w:lang w:val="lv-LV"/>
              </w:rPr>
              <w:t>Grozījumi Ministru kabineta 2020.gada 14.jūlija noteikumos Nr.454 “Noteikumi par garantijām lielajiem komersantiem, kuru darbību ietekmējusi Covid-19 izplatība””</w:t>
            </w:r>
            <w:r w:rsidRPr="006640AA">
              <w:rPr>
                <w:sz w:val="26"/>
                <w:szCs w:val="26"/>
                <w:lang w:val="lv-LV"/>
              </w:rPr>
              <w:t xml:space="preserve">” </w:t>
            </w:r>
            <w:r w:rsidRPr="006640AA">
              <w:rPr>
                <w:rFonts w:eastAsia="Times New Roman"/>
                <w:iCs/>
                <w:sz w:val="26"/>
                <w:szCs w:val="26"/>
                <w:lang w:val="lv-LV"/>
              </w:rPr>
              <w:t xml:space="preserve">(turpmāk – MK Noteikumu projekts) paredz </w:t>
            </w:r>
            <w:r w:rsidR="004259BC" w:rsidRPr="006640AA">
              <w:rPr>
                <w:rFonts w:eastAsia="Times New Roman"/>
                <w:iCs/>
                <w:sz w:val="26"/>
                <w:szCs w:val="26"/>
                <w:lang w:val="lv-LV"/>
              </w:rPr>
              <w:t>pagarināt</w:t>
            </w:r>
            <w:r w:rsidRPr="006640AA">
              <w:rPr>
                <w:rFonts w:eastAsia="Times New Roman"/>
                <w:iCs/>
                <w:sz w:val="26"/>
                <w:szCs w:val="26"/>
                <w:lang w:val="lv-LV"/>
              </w:rPr>
              <w:t xml:space="preserve"> garantiju pieejamību komersantiem, kuru darbību ietekmējusi Covid-19 izplatība. </w:t>
            </w:r>
          </w:p>
          <w:p w14:paraId="4B2499E0" w14:textId="3D303ADC" w:rsidR="00E54104" w:rsidRPr="007E4FE6" w:rsidRDefault="00E54104" w:rsidP="00FA4414">
            <w:pPr>
              <w:contextualSpacing/>
              <w:jc w:val="both"/>
              <w:rPr>
                <w:rFonts w:eastAsia="Times New Roman"/>
                <w:iCs/>
                <w:sz w:val="26"/>
                <w:szCs w:val="26"/>
                <w:lang w:val="lv-LV"/>
              </w:rPr>
            </w:pPr>
            <w:r>
              <w:rPr>
                <w:rFonts w:eastAsia="Times New Roman"/>
                <w:iCs/>
                <w:sz w:val="26"/>
                <w:szCs w:val="26"/>
                <w:lang w:val="lv-LV"/>
              </w:rPr>
              <w:t>MK Noteikumu projekts stāsies spēkā ar dienu, kad stāsies spēkā Eiropas Komisijas lēmums par komercdarbības atbalsta saderību ar Eiropas Savienības iekšējo tirgu.</w:t>
            </w:r>
          </w:p>
        </w:tc>
      </w:tr>
    </w:tbl>
    <w:p w14:paraId="4F03DE00" w14:textId="29ECC9FB" w:rsidR="00310924" w:rsidRPr="006640AA" w:rsidRDefault="00310924" w:rsidP="00B043DE">
      <w:pPr>
        <w:shd w:val="clear" w:color="auto" w:fill="FFFFFF"/>
        <w:contextualSpacing/>
        <w:jc w:val="center"/>
        <w:rPr>
          <w:b/>
          <w:sz w:val="26"/>
          <w:szCs w:val="26"/>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6"/>
        <w:gridCol w:w="1992"/>
        <w:gridCol w:w="6940"/>
      </w:tblGrid>
      <w:tr w:rsidR="00844176" w:rsidRPr="006640AA" w14:paraId="02364BB3" w14:textId="77777777" w:rsidTr="00240921">
        <w:trPr>
          <w:trHeight w:val="307"/>
        </w:trPr>
        <w:tc>
          <w:tcPr>
            <w:tcW w:w="9348" w:type="dxa"/>
            <w:gridSpan w:val="3"/>
            <w:tcBorders>
              <w:top w:val="outset" w:sz="6" w:space="0" w:color="414142"/>
              <w:left w:val="outset" w:sz="6" w:space="0" w:color="414142"/>
              <w:bottom w:val="outset" w:sz="6" w:space="0" w:color="414142"/>
              <w:right w:val="outset" w:sz="6" w:space="0" w:color="414142"/>
            </w:tcBorders>
            <w:hideMark/>
          </w:tcPr>
          <w:bookmarkEnd w:id="2"/>
          <w:bookmarkEnd w:id="3"/>
          <w:bookmarkEnd w:id="4"/>
          <w:p w14:paraId="12E54FE2" w14:textId="77777777" w:rsidR="00844176" w:rsidRPr="006640AA" w:rsidRDefault="00844176" w:rsidP="00B043DE">
            <w:pPr>
              <w:tabs>
                <w:tab w:val="left" w:pos="5888"/>
              </w:tabs>
              <w:contextualSpacing/>
              <w:jc w:val="center"/>
              <w:rPr>
                <w:rFonts w:eastAsia="Times New Roman"/>
                <w:sz w:val="26"/>
                <w:szCs w:val="26"/>
                <w:lang w:val="lv-LV" w:eastAsia="lv-LV"/>
              </w:rPr>
            </w:pPr>
            <w:r w:rsidRPr="006640AA">
              <w:rPr>
                <w:b/>
                <w:sz w:val="26"/>
                <w:szCs w:val="26"/>
                <w:lang w:val="lv-LV"/>
              </w:rPr>
              <w:t>I. Tiesību akta projekta izstrādes nepieciešamība</w:t>
            </w:r>
          </w:p>
        </w:tc>
      </w:tr>
      <w:tr w:rsidR="00844176" w:rsidRPr="00EE05A5" w14:paraId="7F385C9A" w14:textId="77777777" w:rsidTr="00B84453">
        <w:trPr>
          <w:trHeight w:val="405"/>
        </w:trPr>
        <w:tc>
          <w:tcPr>
            <w:tcW w:w="418"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1.</w:t>
            </w:r>
          </w:p>
        </w:tc>
        <w:tc>
          <w:tcPr>
            <w:tcW w:w="1883"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Pamatojums</w:t>
            </w:r>
          </w:p>
        </w:tc>
        <w:tc>
          <w:tcPr>
            <w:tcW w:w="7047" w:type="dxa"/>
            <w:tcBorders>
              <w:top w:val="outset" w:sz="6" w:space="0" w:color="414142"/>
              <w:left w:val="outset" w:sz="6" w:space="0" w:color="414142"/>
              <w:bottom w:val="outset" w:sz="6" w:space="0" w:color="414142"/>
              <w:right w:val="outset" w:sz="6" w:space="0" w:color="414142"/>
            </w:tcBorders>
            <w:hideMark/>
          </w:tcPr>
          <w:p w14:paraId="79DF1BBF" w14:textId="16BDB03E" w:rsidR="003F2AC0" w:rsidRPr="006640AA" w:rsidRDefault="003D0F93" w:rsidP="00836F80">
            <w:pPr>
              <w:spacing w:after="160" w:line="256" w:lineRule="auto"/>
              <w:contextualSpacing/>
              <w:jc w:val="both"/>
              <w:rPr>
                <w:sz w:val="26"/>
                <w:szCs w:val="26"/>
                <w:lang w:val="lv-LV"/>
              </w:rPr>
            </w:pPr>
            <w:r w:rsidRPr="006640AA">
              <w:rPr>
                <w:rFonts w:eastAsia="Times New Roman"/>
                <w:iCs/>
                <w:sz w:val="26"/>
                <w:szCs w:val="26"/>
                <w:lang w:val="lv-LV"/>
              </w:rPr>
              <w:t>MK Noteikumu projekts</w:t>
            </w:r>
            <w:r w:rsidRPr="006640AA" w:rsidDel="003D0F93">
              <w:rPr>
                <w:rFonts w:eastAsia="Times New Roman"/>
                <w:iCs/>
                <w:sz w:val="26"/>
                <w:szCs w:val="26"/>
                <w:lang w:val="lv-LV"/>
              </w:rPr>
              <w:t xml:space="preserve"> </w:t>
            </w:r>
            <w:r w:rsidR="00A658C7" w:rsidRPr="006640AA">
              <w:rPr>
                <w:rFonts w:eastAsiaTheme="minorHAnsi"/>
                <w:sz w:val="26"/>
                <w:szCs w:val="26"/>
                <w:lang w:val="lv-LV"/>
              </w:rPr>
              <w:t xml:space="preserve">sagatavots pēc Ekonomikas ministrijas iniciatīvas, lai precizētu normatīvā akta normas saskaņā ar Eiropas Komisijas 2020. gada 19. marta paziņojumu "Pagaidu regulējums valsts atbalsta pasākumiem, ar ko atbalsta ekonomiku pašreizējā Covid-19 uzliesmojuma situācijā" </w:t>
            </w:r>
            <w:r w:rsidR="000F5401" w:rsidRPr="006640AA">
              <w:rPr>
                <w:rFonts w:eastAsiaTheme="minorHAnsi"/>
                <w:sz w:val="26"/>
                <w:szCs w:val="26"/>
                <w:lang w:val="lv-LV"/>
              </w:rPr>
              <w:t xml:space="preserve">(turpmāk – Pagaidu regulējums) </w:t>
            </w:r>
            <w:r w:rsidR="00A658C7" w:rsidRPr="006640AA">
              <w:rPr>
                <w:rFonts w:eastAsiaTheme="minorHAnsi"/>
                <w:sz w:val="26"/>
                <w:szCs w:val="26"/>
                <w:lang w:val="lv-LV"/>
              </w:rPr>
              <w:t xml:space="preserve">(C(2020)1863), t.sk. </w:t>
            </w:r>
            <w:r w:rsidR="00836F80">
              <w:rPr>
                <w:rFonts w:eastAsiaTheme="minorHAnsi"/>
                <w:sz w:val="26"/>
                <w:szCs w:val="26"/>
                <w:lang w:val="lv-LV"/>
              </w:rPr>
              <w:t>piektajiem</w:t>
            </w:r>
            <w:r w:rsidR="00A658C7" w:rsidRPr="006640AA">
              <w:rPr>
                <w:rFonts w:eastAsiaTheme="minorHAnsi"/>
                <w:sz w:val="26"/>
                <w:szCs w:val="26"/>
                <w:lang w:val="lv-LV"/>
              </w:rPr>
              <w:t xml:space="preserve"> grozījumiem, kurus </w:t>
            </w:r>
            <w:r w:rsidR="0051173D" w:rsidRPr="006640AA">
              <w:rPr>
                <w:rFonts w:eastAsiaTheme="minorHAnsi"/>
                <w:sz w:val="26"/>
                <w:szCs w:val="26"/>
                <w:lang w:val="lv-LV"/>
              </w:rPr>
              <w:t xml:space="preserve">Eiropas </w:t>
            </w:r>
            <w:r w:rsidR="00A658C7" w:rsidRPr="006640AA">
              <w:rPr>
                <w:rFonts w:eastAsiaTheme="minorHAnsi"/>
                <w:sz w:val="26"/>
                <w:szCs w:val="26"/>
                <w:lang w:val="lv-LV"/>
              </w:rPr>
              <w:t>K</w:t>
            </w:r>
            <w:r w:rsidR="0051173D" w:rsidRPr="006640AA">
              <w:rPr>
                <w:rFonts w:eastAsiaTheme="minorHAnsi"/>
                <w:sz w:val="26"/>
                <w:szCs w:val="26"/>
                <w:lang w:val="lv-LV"/>
              </w:rPr>
              <w:t>omisija</w:t>
            </w:r>
            <w:r w:rsidR="00A658C7" w:rsidRPr="006640AA">
              <w:rPr>
                <w:rFonts w:eastAsiaTheme="minorHAnsi"/>
                <w:sz w:val="26"/>
                <w:szCs w:val="26"/>
                <w:lang w:val="lv-LV"/>
              </w:rPr>
              <w:t xml:space="preserve"> apstiprināja 202</w:t>
            </w:r>
            <w:r w:rsidR="00836F80">
              <w:rPr>
                <w:rFonts w:eastAsiaTheme="minorHAnsi"/>
                <w:sz w:val="26"/>
                <w:szCs w:val="26"/>
                <w:lang w:val="lv-LV"/>
              </w:rPr>
              <w:t>1</w:t>
            </w:r>
            <w:r w:rsidR="00A658C7" w:rsidRPr="006640AA">
              <w:rPr>
                <w:rFonts w:eastAsiaTheme="minorHAnsi"/>
                <w:sz w:val="26"/>
                <w:szCs w:val="26"/>
                <w:lang w:val="lv-LV"/>
              </w:rPr>
              <w:t xml:space="preserve">.gada </w:t>
            </w:r>
            <w:r w:rsidR="00836F80">
              <w:rPr>
                <w:rFonts w:eastAsiaTheme="minorHAnsi"/>
                <w:sz w:val="26"/>
                <w:szCs w:val="26"/>
                <w:lang w:val="lv-LV"/>
              </w:rPr>
              <w:t>28.janvā</w:t>
            </w:r>
            <w:r w:rsidR="00A658C7" w:rsidRPr="006640AA">
              <w:rPr>
                <w:rFonts w:eastAsiaTheme="minorHAnsi"/>
                <w:sz w:val="26"/>
                <w:szCs w:val="26"/>
                <w:lang w:val="lv-LV"/>
              </w:rPr>
              <w:t>rī</w:t>
            </w:r>
            <w:r w:rsidR="00A658C7" w:rsidRPr="006640AA">
              <w:rPr>
                <w:rStyle w:val="FootnoteReference"/>
                <w:rFonts w:eastAsiaTheme="minorHAnsi"/>
                <w:sz w:val="26"/>
                <w:szCs w:val="26"/>
                <w:lang w:val="lv-LV"/>
              </w:rPr>
              <w:footnoteReference w:id="2"/>
            </w:r>
            <w:r w:rsidR="00836F80">
              <w:rPr>
                <w:rFonts w:eastAsiaTheme="minorHAnsi"/>
                <w:sz w:val="26"/>
                <w:szCs w:val="26"/>
                <w:lang w:val="lv-LV"/>
              </w:rPr>
              <w:t xml:space="preserve"> (</w:t>
            </w:r>
            <w:r w:rsidR="00836F80" w:rsidRPr="00836F80">
              <w:rPr>
                <w:rFonts w:eastAsiaTheme="minorHAnsi"/>
                <w:sz w:val="26"/>
                <w:szCs w:val="26"/>
                <w:lang w:val="lv-LV"/>
              </w:rPr>
              <w:t>(2021/C 34/06)</w:t>
            </w:r>
          </w:p>
        </w:tc>
      </w:tr>
      <w:tr w:rsidR="00844176" w:rsidRPr="00EE05A5" w14:paraId="62EDED08" w14:textId="77777777" w:rsidTr="00B84453">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2.</w:t>
            </w:r>
          </w:p>
        </w:tc>
        <w:tc>
          <w:tcPr>
            <w:tcW w:w="1883"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6640AA" w:rsidRDefault="00844176" w:rsidP="00B043DE">
            <w:pPr>
              <w:contextualSpacing/>
              <w:rPr>
                <w:rFonts w:eastAsia="Times New Roman"/>
                <w:sz w:val="26"/>
                <w:szCs w:val="26"/>
                <w:lang w:val="lv-LV" w:eastAsia="lv-LV"/>
              </w:rPr>
            </w:pPr>
            <w:r w:rsidRPr="006640AA">
              <w:rPr>
                <w:sz w:val="26"/>
                <w:szCs w:val="26"/>
                <w:lang w:val="lv-LV"/>
              </w:rPr>
              <w:t>Pašreizējā situācija un problēmas, kuru risināšanai tiesību akta projekts izstrādāts, tiesiskā regulējuma mērķis un būtība</w:t>
            </w:r>
          </w:p>
        </w:tc>
        <w:tc>
          <w:tcPr>
            <w:tcW w:w="7047" w:type="dxa"/>
            <w:tcBorders>
              <w:top w:val="outset" w:sz="6" w:space="0" w:color="414142"/>
              <w:left w:val="outset" w:sz="6" w:space="0" w:color="414142"/>
              <w:bottom w:val="outset" w:sz="6" w:space="0" w:color="414142"/>
              <w:right w:val="outset" w:sz="6" w:space="0" w:color="414142"/>
            </w:tcBorders>
          </w:tcPr>
          <w:p w14:paraId="7EBA2E2B" w14:textId="6D7B1FB7" w:rsidR="0051173D" w:rsidRPr="006640AA" w:rsidRDefault="0051173D" w:rsidP="004259BC">
            <w:pPr>
              <w:spacing w:before="120"/>
              <w:jc w:val="both"/>
              <w:rPr>
                <w:rFonts w:eastAsia="Times New Roman"/>
                <w:iCs/>
                <w:sz w:val="26"/>
                <w:szCs w:val="26"/>
                <w:lang w:val="lv-LV"/>
              </w:rPr>
            </w:pPr>
            <w:r w:rsidRPr="006640AA">
              <w:rPr>
                <w:rFonts w:eastAsia="Times New Roman"/>
                <w:iCs/>
                <w:sz w:val="26"/>
                <w:szCs w:val="26"/>
                <w:lang w:val="lv-LV"/>
              </w:rPr>
              <w:t xml:space="preserve">Ar </w:t>
            </w:r>
            <w:r w:rsidRPr="006640AA">
              <w:rPr>
                <w:sz w:val="26"/>
                <w:szCs w:val="26"/>
                <w:lang w:val="lv-LV"/>
              </w:rPr>
              <w:t>Ministru kabineta 2020.gada 14.jūlija noteikumiem Nr.454 “Noteikumi par garantijām lielajiem komersantiem, kuru darbību ietekmējusi Covid-19 izplatība”</w:t>
            </w:r>
            <w:r w:rsidR="004259BC" w:rsidRPr="006640AA">
              <w:rPr>
                <w:sz w:val="26"/>
                <w:szCs w:val="26"/>
                <w:lang w:val="lv-LV"/>
              </w:rPr>
              <w:t xml:space="preserve"> (turpmāk – MK Noteikumi Nr.454)</w:t>
            </w:r>
            <w:r w:rsidRPr="006640AA">
              <w:rPr>
                <w:sz w:val="26"/>
                <w:szCs w:val="26"/>
                <w:lang w:val="lv-LV"/>
              </w:rPr>
              <w:t xml:space="preserve"> tika apstiprināta krīzes garantiju programma, kas paredz sniegt atbalstu lielajiem komersantiem, </w:t>
            </w:r>
            <w:r w:rsidRPr="006640AA">
              <w:rPr>
                <w:rFonts w:eastAsia="Times New Roman"/>
                <w:iCs/>
                <w:sz w:val="26"/>
                <w:szCs w:val="26"/>
                <w:lang w:val="lv-LV"/>
              </w:rPr>
              <w:t>kuriem ir pagaidu grūtības, jo to darbību uz pārejošu laika posmu ir negatīvi ietekmējusi vīrusa Covid-19 izplatība, kā arī atbalstīt komersantus ar mērķi komersantu konkurētspējas atjaunošanai, saglabāšanai un veicināšanai, kā arī apgrozījuma, t.sk.</w:t>
            </w:r>
            <w:r w:rsidR="004259BC" w:rsidRPr="006640AA">
              <w:rPr>
                <w:rFonts w:eastAsia="Times New Roman"/>
                <w:iCs/>
                <w:sz w:val="26"/>
                <w:szCs w:val="26"/>
                <w:lang w:val="lv-LV"/>
              </w:rPr>
              <w:t>,</w:t>
            </w:r>
            <w:r w:rsidRPr="006640AA">
              <w:rPr>
                <w:rFonts w:eastAsia="Times New Roman"/>
                <w:iCs/>
                <w:sz w:val="26"/>
                <w:szCs w:val="26"/>
                <w:lang w:val="lv-LV"/>
              </w:rPr>
              <w:t xml:space="preserve"> eksporta palielināšanai.</w:t>
            </w:r>
          </w:p>
          <w:p w14:paraId="21B20C55" w14:textId="22BE3DAD" w:rsidR="004259BC" w:rsidRPr="006640AA" w:rsidRDefault="004259BC" w:rsidP="004259BC">
            <w:pPr>
              <w:spacing w:before="120"/>
              <w:jc w:val="both"/>
              <w:rPr>
                <w:sz w:val="26"/>
                <w:szCs w:val="26"/>
                <w:lang w:val="lv-LV"/>
              </w:rPr>
            </w:pPr>
            <w:r w:rsidRPr="006640AA">
              <w:rPr>
                <w:sz w:val="26"/>
                <w:szCs w:val="26"/>
                <w:lang w:val="lv-LV"/>
              </w:rPr>
              <w:t>MK Noteikum</w:t>
            </w:r>
            <w:r w:rsidR="000F5401" w:rsidRPr="006640AA">
              <w:rPr>
                <w:sz w:val="26"/>
                <w:szCs w:val="26"/>
                <w:lang w:val="lv-LV"/>
              </w:rPr>
              <w:t>u</w:t>
            </w:r>
            <w:r w:rsidRPr="006640AA">
              <w:rPr>
                <w:sz w:val="26"/>
                <w:szCs w:val="26"/>
                <w:lang w:val="lv-LV"/>
              </w:rPr>
              <w:t xml:space="preserve"> Nr.454 ietvaros noteiktā atbalsta programma tiek ieviesta saskaņā ar </w:t>
            </w:r>
            <w:r w:rsidR="00B7641E" w:rsidRPr="00B7641E">
              <w:rPr>
                <w:sz w:val="26"/>
                <w:szCs w:val="26"/>
                <w:lang w:val="lv-LV"/>
              </w:rPr>
              <w:t xml:space="preserve">Eiropas </w:t>
            </w:r>
            <w:r w:rsidR="00B7641E" w:rsidRPr="00B7641E">
              <w:rPr>
                <w:rFonts w:eastAsia="Times New Roman"/>
                <w:color w:val="000000" w:themeColor="text1"/>
                <w:sz w:val="26"/>
                <w:szCs w:val="26"/>
                <w:lang w:val="lv-LV"/>
              </w:rPr>
              <w:t>Komisijas paziņojuma “Pagaidu regulējums valsts atbalsta pasākumiem, ar ko atbalsta ekonomiku pašreizējā Covid-19 uzliesmojuma situācijā” (turpmāk</w:t>
            </w:r>
            <w:r w:rsidR="00B7641E">
              <w:rPr>
                <w:rFonts w:eastAsia="Times New Roman"/>
                <w:i/>
                <w:iCs/>
                <w:color w:val="000000" w:themeColor="text1"/>
                <w:sz w:val="26"/>
                <w:szCs w:val="26"/>
                <w:lang w:val="lv-LV"/>
              </w:rPr>
              <w:t xml:space="preserve"> – </w:t>
            </w:r>
            <w:r w:rsidRPr="006640AA">
              <w:rPr>
                <w:rFonts w:eastAsiaTheme="minorHAnsi"/>
                <w:sz w:val="26"/>
                <w:szCs w:val="26"/>
                <w:lang w:val="lv-LV"/>
              </w:rPr>
              <w:t>Pagaidu regulējum</w:t>
            </w:r>
            <w:r w:rsidR="00B7641E">
              <w:rPr>
                <w:rFonts w:eastAsiaTheme="minorHAnsi"/>
                <w:sz w:val="26"/>
                <w:szCs w:val="26"/>
                <w:lang w:val="lv-LV"/>
              </w:rPr>
              <w:t>s)</w:t>
            </w:r>
            <w:r w:rsidRPr="006640AA">
              <w:rPr>
                <w:sz w:val="26"/>
                <w:szCs w:val="26"/>
                <w:lang w:val="lv-LV"/>
              </w:rPr>
              <w:t>. Atbalsta pasākums ir saskaņots ar Eiropas Komisiju, lēmums Nr.</w:t>
            </w:r>
            <w:r w:rsidRPr="006640AA">
              <w:rPr>
                <w:sz w:val="26"/>
                <w:szCs w:val="26"/>
              </w:rPr>
              <w:t xml:space="preserve"> </w:t>
            </w:r>
            <w:r w:rsidRPr="006640AA">
              <w:rPr>
                <w:sz w:val="26"/>
                <w:szCs w:val="26"/>
                <w:lang w:val="lv-LV"/>
              </w:rPr>
              <w:t>SA.58203</w:t>
            </w:r>
            <w:r w:rsidR="000F5401" w:rsidRPr="006640AA">
              <w:rPr>
                <w:sz w:val="26"/>
                <w:szCs w:val="26"/>
                <w:lang w:val="lv-LV"/>
              </w:rPr>
              <w:t>.</w:t>
            </w:r>
          </w:p>
          <w:p w14:paraId="083A6C4D" w14:textId="77777777" w:rsidR="00DE4ED9" w:rsidRDefault="00A658C7" w:rsidP="004259BC">
            <w:pPr>
              <w:spacing w:before="120"/>
              <w:jc w:val="both"/>
              <w:rPr>
                <w:rFonts w:eastAsia="Times New Roman"/>
                <w:iCs/>
                <w:sz w:val="26"/>
                <w:szCs w:val="26"/>
                <w:lang w:val="lv-LV"/>
              </w:rPr>
            </w:pPr>
            <w:r w:rsidRPr="006640AA">
              <w:rPr>
                <w:rFonts w:eastAsia="Times New Roman"/>
                <w:iCs/>
                <w:sz w:val="26"/>
                <w:szCs w:val="26"/>
                <w:lang w:val="lv-LV"/>
              </w:rPr>
              <w:t>MK Noteikumu projekta mērķis ir turpināt sniegt atbalstu komersant</w:t>
            </w:r>
            <w:r w:rsidR="0051173D" w:rsidRPr="006640AA">
              <w:rPr>
                <w:rFonts w:eastAsia="Times New Roman"/>
                <w:iCs/>
                <w:sz w:val="26"/>
                <w:szCs w:val="26"/>
                <w:lang w:val="lv-LV"/>
              </w:rPr>
              <w:t>iem</w:t>
            </w:r>
            <w:r w:rsidRPr="006640AA">
              <w:rPr>
                <w:rFonts w:eastAsia="Times New Roman"/>
                <w:iCs/>
                <w:sz w:val="26"/>
                <w:szCs w:val="26"/>
                <w:lang w:val="lv-LV"/>
              </w:rPr>
              <w:t xml:space="preserve">, kuriem ir pagaidu grūtības, jo to darbību uz pārejošu laika posmu ir negatīvi ietekmējusi Covid-19 </w:t>
            </w:r>
            <w:r w:rsidR="009F5156" w:rsidRPr="006640AA">
              <w:rPr>
                <w:rFonts w:eastAsia="Times New Roman"/>
                <w:iCs/>
                <w:sz w:val="26"/>
                <w:szCs w:val="26"/>
                <w:lang w:val="lv-LV"/>
              </w:rPr>
              <w:t xml:space="preserve">vīrusa </w:t>
            </w:r>
            <w:r w:rsidRPr="006640AA">
              <w:rPr>
                <w:rFonts w:eastAsia="Times New Roman"/>
                <w:iCs/>
                <w:sz w:val="26"/>
                <w:szCs w:val="26"/>
                <w:lang w:val="lv-LV"/>
              </w:rPr>
              <w:t>izplatība</w:t>
            </w:r>
            <w:bookmarkStart w:id="5" w:name="_Hlk40442633"/>
            <w:r w:rsidR="0051173D" w:rsidRPr="006640AA">
              <w:rPr>
                <w:rFonts w:eastAsia="Times New Roman"/>
                <w:iCs/>
                <w:sz w:val="26"/>
                <w:szCs w:val="26"/>
                <w:lang w:val="lv-LV"/>
              </w:rPr>
              <w:t xml:space="preserve">, ņemot vērā </w:t>
            </w:r>
            <w:r w:rsidR="0051173D" w:rsidRPr="006640AA">
              <w:rPr>
                <w:rFonts w:eastAsiaTheme="minorHAnsi"/>
                <w:sz w:val="26"/>
                <w:szCs w:val="26"/>
                <w:lang w:val="lv-LV"/>
              </w:rPr>
              <w:t>Eiropas Komisijas 202</w:t>
            </w:r>
            <w:r w:rsidR="00836F80">
              <w:rPr>
                <w:rFonts w:eastAsiaTheme="minorHAnsi"/>
                <w:sz w:val="26"/>
                <w:szCs w:val="26"/>
                <w:lang w:val="lv-LV"/>
              </w:rPr>
              <w:t>1</w:t>
            </w:r>
            <w:r w:rsidR="0051173D" w:rsidRPr="006640AA">
              <w:rPr>
                <w:rFonts w:eastAsiaTheme="minorHAnsi"/>
                <w:sz w:val="26"/>
                <w:szCs w:val="26"/>
                <w:lang w:val="lv-LV"/>
              </w:rPr>
              <w:t xml:space="preserve">.gada </w:t>
            </w:r>
            <w:r w:rsidR="00836F80">
              <w:rPr>
                <w:rFonts w:eastAsiaTheme="minorHAnsi"/>
                <w:sz w:val="26"/>
                <w:szCs w:val="26"/>
                <w:lang w:val="lv-LV"/>
              </w:rPr>
              <w:t>28.janvārī</w:t>
            </w:r>
            <w:r w:rsidR="0051173D" w:rsidRPr="006640AA">
              <w:rPr>
                <w:rFonts w:eastAsiaTheme="minorHAnsi"/>
                <w:sz w:val="26"/>
                <w:szCs w:val="26"/>
                <w:lang w:val="lv-LV"/>
              </w:rPr>
              <w:t xml:space="preserve"> </w:t>
            </w:r>
            <w:r w:rsidR="0051173D" w:rsidRPr="006640AA">
              <w:rPr>
                <w:rFonts w:eastAsiaTheme="minorHAnsi"/>
                <w:sz w:val="26"/>
                <w:szCs w:val="26"/>
                <w:lang w:val="lv-LV"/>
              </w:rPr>
              <w:lastRenderedPageBreak/>
              <w:t xml:space="preserve">pieņemto lēmumu </w:t>
            </w:r>
            <w:r w:rsidR="00B7641E">
              <w:rPr>
                <w:rFonts w:eastAsiaTheme="minorHAnsi"/>
                <w:sz w:val="26"/>
                <w:szCs w:val="26"/>
                <w:lang w:val="lv-LV"/>
              </w:rPr>
              <w:t xml:space="preserve">Pagaidu regulējumā </w:t>
            </w:r>
            <w:r w:rsidR="0051173D" w:rsidRPr="006640AA">
              <w:rPr>
                <w:rFonts w:eastAsiaTheme="minorHAnsi"/>
                <w:sz w:val="26"/>
                <w:szCs w:val="26"/>
                <w:lang w:val="lv-LV"/>
              </w:rPr>
              <w:t xml:space="preserve">pagarināt izstrādā atbalsta programmu </w:t>
            </w:r>
            <w:r w:rsidR="004259BC" w:rsidRPr="006640AA">
              <w:rPr>
                <w:rFonts w:eastAsiaTheme="minorHAnsi"/>
                <w:sz w:val="26"/>
                <w:szCs w:val="26"/>
                <w:lang w:val="lv-LV"/>
              </w:rPr>
              <w:t>pieejamību, ņemot vērā Covid-19 izplatības otro vilni un ieilgušo dīkstāves situāciju komercdarbībā</w:t>
            </w:r>
            <w:r w:rsidRPr="006640AA">
              <w:rPr>
                <w:rFonts w:eastAsia="Times New Roman"/>
                <w:iCs/>
                <w:sz w:val="26"/>
                <w:szCs w:val="26"/>
                <w:lang w:val="lv-LV"/>
              </w:rPr>
              <w:t>.</w:t>
            </w:r>
            <w:bookmarkEnd w:id="5"/>
            <w:r w:rsidR="00836F80">
              <w:rPr>
                <w:rFonts w:eastAsia="Times New Roman"/>
                <w:iCs/>
                <w:sz w:val="26"/>
                <w:szCs w:val="26"/>
                <w:lang w:val="lv-LV"/>
              </w:rPr>
              <w:t xml:space="preserve"> </w:t>
            </w:r>
          </w:p>
          <w:p w14:paraId="4A20AA53" w14:textId="317EB321" w:rsidR="00DE4ED9" w:rsidRDefault="00477006" w:rsidP="004259BC">
            <w:pPr>
              <w:spacing w:before="120"/>
              <w:jc w:val="both"/>
              <w:rPr>
                <w:rFonts w:eastAsia="Times New Roman"/>
                <w:iCs/>
                <w:sz w:val="26"/>
                <w:szCs w:val="26"/>
                <w:lang w:val="lv-LV"/>
              </w:rPr>
            </w:pPr>
            <w:r w:rsidRPr="00477006">
              <w:rPr>
                <w:rFonts w:eastAsia="Times New Roman"/>
                <w:iCs/>
                <w:sz w:val="26"/>
                <w:szCs w:val="26"/>
                <w:lang w:val="lv-LV"/>
              </w:rPr>
              <w:t xml:space="preserve">Ar MK Noteikumu projektu tiek veikti tālāk minētie grozījumi </w:t>
            </w:r>
            <w:r w:rsidR="00B16CE3">
              <w:rPr>
                <w:rFonts w:eastAsia="Times New Roman"/>
                <w:iCs/>
                <w:sz w:val="26"/>
                <w:szCs w:val="26"/>
                <w:lang w:val="lv-LV"/>
              </w:rPr>
              <w:t xml:space="preserve">MK </w:t>
            </w:r>
            <w:r w:rsidRPr="00477006">
              <w:rPr>
                <w:rFonts w:eastAsia="Times New Roman"/>
                <w:iCs/>
                <w:sz w:val="26"/>
                <w:szCs w:val="26"/>
                <w:lang w:val="lv-LV"/>
              </w:rPr>
              <w:t>Noteikumos</w:t>
            </w:r>
            <w:r w:rsidR="00B16CE3">
              <w:rPr>
                <w:rFonts w:eastAsia="Times New Roman"/>
                <w:iCs/>
                <w:sz w:val="26"/>
                <w:szCs w:val="26"/>
                <w:lang w:val="lv-LV"/>
              </w:rPr>
              <w:t xml:space="preserve"> Nr.454</w:t>
            </w:r>
            <w:r w:rsidR="00DE4ED9">
              <w:rPr>
                <w:rFonts w:eastAsia="Times New Roman"/>
                <w:iCs/>
                <w:sz w:val="26"/>
                <w:szCs w:val="26"/>
                <w:lang w:val="lv-LV"/>
              </w:rPr>
              <w:t>:</w:t>
            </w:r>
          </w:p>
          <w:p w14:paraId="373F22B8" w14:textId="69324C36" w:rsidR="00E54104" w:rsidRPr="007D1292" w:rsidRDefault="00B16CE3" w:rsidP="00E54104">
            <w:pPr>
              <w:pStyle w:val="ListParagraph"/>
              <w:numPr>
                <w:ilvl w:val="0"/>
                <w:numId w:val="17"/>
              </w:numPr>
              <w:spacing w:before="120"/>
              <w:jc w:val="both"/>
              <w:rPr>
                <w:rFonts w:eastAsia="Times New Roman"/>
                <w:iCs/>
                <w:sz w:val="26"/>
                <w:szCs w:val="26"/>
                <w:lang w:val="lv-LV"/>
              </w:rPr>
            </w:pPr>
            <w:r>
              <w:rPr>
                <w:rFonts w:eastAsia="Times New Roman"/>
                <w:iCs/>
                <w:sz w:val="26"/>
                <w:szCs w:val="26"/>
                <w:lang w:val="lv-LV"/>
              </w:rPr>
              <w:t xml:space="preserve">krīzes garantiju programma </w:t>
            </w:r>
            <w:r w:rsidR="00E54104" w:rsidRPr="007D1292">
              <w:rPr>
                <w:rFonts w:eastAsia="Times New Roman"/>
                <w:iCs/>
                <w:sz w:val="26"/>
                <w:szCs w:val="26"/>
                <w:lang w:val="lv-LV"/>
              </w:rPr>
              <w:t xml:space="preserve">tiek pagarināta līdz 2021.gada 31.decembrim. </w:t>
            </w:r>
          </w:p>
          <w:p w14:paraId="154E74BD" w14:textId="00FBFAEC" w:rsidR="00A658C7" w:rsidRDefault="00955828" w:rsidP="00E54104">
            <w:pPr>
              <w:spacing w:before="120"/>
              <w:jc w:val="both"/>
              <w:rPr>
                <w:rFonts w:eastAsia="Times New Roman"/>
                <w:iCs/>
                <w:sz w:val="26"/>
                <w:szCs w:val="26"/>
                <w:lang w:val="lv-LV"/>
              </w:rPr>
            </w:pPr>
            <w:r w:rsidRPr="007D1292">
              <w:rPr>
                <w:rFonts w:eastAsia="Times New Roman"/>
                <w:iCs/>
                <w:sz w:val="26"/>
                <w:szCs w:val="26"/>
                <w:lang w:val="lv-LV"/>
              </w:rPr>
              <w:t xml:space="preserve">Programmas īstenošana tiek pagarināta līdz 2021.gada 31.decembrim saskaņā </w:t>
            </w:r>
            <w:r w:rsidRPr="007D1292">
              <w:rPr>
                <w:sz w:val="26"/>
                <w:szCs w:val="26"/>
                <w:lang w:val="lv-LV"/>
              </w:rPr>
              <w:t>Pagaidu regulējuma 25.c punktu</w:t>
            </w:r>
            <w:r w:rsidRPr="007D1292">
              <w:rPr>
                <w:rFonts w:eastAsia="Times New Roman"/>
                <w:iCs/>
                <w:sz w:val="26"/>
                <w:szCs w:val="26"/>
                <w:lang w:val="lv-LV"/>
              </w:rPr>
              <w:t>.</w:t>
            </w:r>
            <w:r w:rsidR="00B16CE3">
              <w:rPr>
                <w:rFonts w:eastAsia="Times New Roman"/>
                <w:iCs/>
                <w:sz w:val="26"/>
                <w:szCs w:val="26"/>
                <w:lang w:val="lv-LV"/>
              </w:rPr>
              <w:t xml:space="preserve"> </w:t>
            </w:r>
            <w:r w:rsidR="00D96DD6" w:rsidRPr="007D1292">
              <w:rPr>
                <w:rFonts w:eastAsia="Times New Roman"/>
                <w:iCs/>
                <w:sz w:val="26"/>
                <w:szCs w:val="26"/>
                <w:lang w:val="lv-LV"/>
              </w:rPr>
              <w:t>T</w:t>
            </w:r>
            <w:r w:rsidR="00B7641E" w:rsidRPr="007D1292">
              <w:rPr>
                <w:rFonts w:eastAsia="Times New Roman"/>
                <w:iCs/>
                <w:sz w:val="26"/>
                <w:szCs w:val="26"/>
                <w:lang w:val="lv-LV"/>
              </w:rPr>
              <w:t>ur</w:t>
            </w:r>
            <w:r w:rsidR="00137E32" w:rsidRPr="007D1292">
              <w:rPr>
                <w:rFonts w:eastAsia="Times New Roman"/>
                <w:iCs/>
                <w:sz w:val="26"/>
                <w:szCs w:val="26"/>
                <w:lang w:val="lv-LV"/>
              </w:rPr>
              <w:t>p</w:t>
            </w:r>
            <w:r w:rsidR="00B7641E" w:rsidRPr="007D1292">
              <w:rPr>
                <w:rFonts w:eastAsia="Times New Roman"/>
                <w:iCs/>
                <w:sz w:val="26"/>
                <w:szCs w:val="26"/>
                <w:lang w:val="lv-LV"/>
              </w:rPr>
              <w:t xml:space="preserve">mākā spēkā esamība būs publicēta </w:t>
            </w:r>
            <w:r w:rsidR="00137E32" w:rsidRPr="007D1292">
              <w:rPr>
                <w:rFonts w:eastAsia="Times New Roman"/>
                <w:iCs/>
                <w:sz w:val="26"/>
                <w:szCs w:val="26"/>
                <w:lang w:val="lv-LV"/>
              </w:rPr>
              <w:t xml:space="preserve">akciju sabiedrības “Attīstības finanšu institūcijas </w:t>
            </w:r>
            <w:r w:rsidR="00B7641E" w:rsidRPr="007D1292">
              <w:rPr>
                <w:rFonts w:eastAsia="Times New Roman"/>
                <w:iCs/>
                <w:sz w:val="26"/>
                <w:szCs w:val="26"/>
                <w:lang w:val="lv-LV"/>
              </w:rPr>
              <w:t>Altum</w:t>
            </w:r>
            <w:r w:rsidR="00137E32" w:rsidRPr="007D1292">
              <w:rPr>
                <w:rFonts w:eastAsia="Times New Roman"/>
                <w:iCs/>
                <w:sz w:val="26"/>
                <w:szCs w:val="26"/>
                <w:lang w:val="lv-LV"/>
              </w:rPr>
              <w:t>”</w:t>
            </w:r>
            <w:r w:rsidR="00B7641E" w:rsidRPr="007D1292">
              <w:rPr>
                <w:rFonts w:eastAsia="Times New Roman"/>
                <w:iCs/>
                <w:sz w:val="26"/>
                <w:szCs w:val="26"/>
                <w:lang w:val="lv-LV"/>
              </w:rPr>
              <w:t xml:space="preserve"> </w:t>
            </w:r>
            <w:r w:rsidR="00D4381D" w:rsidRPr="007D1292">
              <w:rPr>
                <w:rFonts w:eastAsia="Times New Roman"/>
                <w:iCs/>
                <w:sz w:val="26"/>
                <w:szCs w:val="26"/>
                <w:lang w:val="lv-LV"/>
              </w:rPr>
              <w:t xml:space="preserve">(turpmāk – Altum) </w:t>
            </w:r>
            <w:r w:rsidR="00B7641E" w:rsidRPr="007D1292">
              <w:rPr>
                <w:rFonts w:eastAsia="Times New Roman"/>
                <w:iCs/>
                <w:sz w:val="26"/>
                <w:szCs w:val="26"/>
                <w:lang w:val="lv-LV"/>
              </w:rPr>
              <w:t>tīmekļvietnē.</w:t>
            </w:r>
            <w:r>
              <w:rPr>
                <w:rFonts w:eastAsia="Times New Roman"/>
                <w:iCs/>
                <w:sz w:val="26"/>
                <w:szCs w:val="26"/>
                <w:lang w:val="lv-LV"/>
              </w:rPr>
              <w:t xml:space="preserve"> </w:t>
            </w:r>
          </w:p>
          <w:p w14:paraId="604A0A51" w14:textId="1A3398A7" w:rsidR="00836F80" w:rsidRDefault="00836F80" w:rsidP="00836F80">
            <w:pPr>
              <w:spacing w:before="120"/>
              <w:jc w:val="both"/>
              <w:rPr>
                <w:rFonts w:eastAsia="Times New Roman"/>
                <w:iCs/>
                <w:sz w:val="26"/>
                <w:szCs w:val="26"/>
                <w:lang w:val="lv-LV"/>
              </w:rPr>
            </w:pPr>
            <w:r>
              <w:rPr>
                <w:rFonts w:eastAsia="Times New Roman"/>
                <w:iCs/>
                <w:sz w:val="26"/>
                <w:szCs w:val="26"/>
                <w:lang w:val="lv-LV"/>
              </w:rPr>
              <w:t xml:space="preserve">2021.gada 12.janvārī Eiropas Komisija saskaņoja </w:t>
            </w:r>
            <w:r w:rsidR="002C749F" w:rsidRPr="002C749F">
              <w:rPr>
                <w:rFonts w:eastAsia="Times New Roman"/>
                <w:iCs/>
                <w:sz w:val="26"/>
                <w:szCs w:val="26"/>
                <w:lang w:val="lv-LV"/>
              </w:rPr>
              <w:t>Ministru kabineta 2020.</w:t>
            </w:r>
            <w:r w:rsidR="002C749F">
              <w:rPr>
                <w:rFonts w:eastAsia="Times New Roman"/>
                <w:iCs/>
                <w:sz w:val="26"/>
                <w:szCs w:val="26"/>
                <w:lang w:val="lv-LV"/>
              </w:rPr>
              <w:t>gada 17.decembra</w:t>
            </w:r>
            <w:r w:rsidR="002C749F" w:rsidRPr="002C749F">
              <w:rPr>
                <w:rFonts w:eastAsia="Times New Roman"/>
                <w:iCs/>
                <w:sz w:val="26"/>
                <w:szCs w:val="26"/>
                <w:lang w:val="lv-LV"/>
              </w:rPr>
              <w:t xml:space="preserve"> noteikum</w:t>
            </w:r>
            <w:r w:rsidR="002C749F">
              <w:rPr>
                <w:rFonts w:eastAsia="Times New Roman"/>
                <w:iCs/>
                <w:sz w:val="26"/>
                <w:szCs w:val="26"/>
                <w:lang w:val="lv-LV"/>
              </w:rPr>
              <w:t>us</w:t>
            </w:r>
            <w:r w:rsidR="002C749F" w:rsidRPr="002C749F">
              <w:rPr>
                <w:rFonts w:eastAsia="Times New Roman"/>
                <w:iCs/>
                <w:sz w:val="26"/>
                <w:szCs w:val="26"/>
                <w:lang w:val="lv-LV"/>
              </w:rPr>
              <w:t xml:space="preserve"> Nr. 822</w:t>
            </w:r>
            <w:r w:rsidR="002C749F">
              <w:rPr>
                <w:rFonts w:eastAsia="Times New Roman"/>
                <w:iCs/>
                <w:sz w:val="26"/>
                <w:szCs w:val="26"/>
                <w:lang w:val="lv-LV"/>
              </w:rPr>
              <w:t xml:space="preserve"> “</w:t>
            </w:r>
            <w:r w:rsidR="002C749F" w:rsidRPr="002C749F">
              <w:rPr>
                <w:rFonts w:eastAsia="Times New Roman"/>
                <w:iCs/>
                <w:sz w:val="26"/>
                <w:szCs w:val="26"/>
                <w:lang w:val="lv-LV"/>
              </w:rPr>
              <w:t>Grozījumi Ministru kabineta 2020. gada 14. jūlija noteikumos Nr. 454 "Noteikumi par garantijām lielajiem komersantiem, kuru darbību ietekmējusi Covid-19 izplatība</w:t>
            </w:r>
            <w:r w:rsidR="002C749F">
              <w:rPr>
                <w:rFonts w:eastAsia="Times New Roman"/>
                <w:iCs/>
                <w:sz w:val="26"/>
                <w:szCs w:val="26"/>
                <w:lang w:val="lv-LV"/>
              </w:rPr>
              <w:t xml:space="preserve">”” </w:t>
            </w:r>
            <w:r>
              <w:rPr>
                <w:rFonts w:eastAsia="Times New Roman"/>
                <w:iCs/>
                <w:sz w:val="26"/>
                <w:szCs w:val="26"/>
                <w:lang w:val="lv-LV"/>
              </w:rPr>
              <w:t>(</w:t>
            </w:r>
            <w:r w:rsidRPr="00B84453">
              <w:rPr>
                <w:rFonts w:eastAsia="Times New Roman"/>
                <w:i/>
                <w:sz w:val="26"/>
                <w:szCs w:val="26"/>
                <w:lang w:val="lv-LV"/>
              </w:rPr>
              <w:t>State Aid SA.60411 (2020/N) Latvia COVID-19 – Amendment to SA.57655 (2020/N)</w:t>
            </w:r>
            <w:r>
              <w:rPr>
                <w:rFonts w:eastAsia="Times New Roman"/>
                <w:iCs/>
                <w:sz w:val="26"/>
                <w:szCs w:val="26"/>
                <w:lang w:val="lv-LV"/>
              </w:rPr>
              <w:t>), kuri paredzēja svītrot nosacījumus par obligātu prasību eksportam virs 30%. Lai gan interese no kredītiestāžu puses par darījumiem ir pieaugusi, šobrīd neviena garantija saskaņā ar šiem valsts atbalsta noteikumiem vēl nav izsniegta. Jāņem vērā, ka šī garantiju programma ir lielāka apjoma darījumiem, attiecīgi arī tādu darījumu strukturēšana nereti aizņem lielāka laiku periodu.</w:t>
            </w:r>
            <w:r w:rsidR="002C749F">
              <w:rPr>
                <w:rFonts w:eastAsia="Times New Roman"/>
                <w:iCs/>
                <w:sz w:val="26"/>
                <w:szCs w:val="26"/>
                <w:lang w:val="lv-LV"/>
              </w:rPr>
              <w:t xml:space="preserve"> Turklāt jāņem vērā, ka ieilgušais Covid-19 krīzes periods kopš 2020.gada 9.nov</w:t>
            </w:r>
            <w:r w:rsidR="00B7641E">
              <w:rPr>
                <w:rFonts w:eastAsia="Times New Roman"/>
                <w:iCs/>
                <w:sz w:val="26"/>
                <w:szCs w:val="26"/>
                <w:lang w:val="lv-LV"/>
              </w:rPr>
              <w:t>em</w:t>
            </w:r>
            <w:r w:rsidR="002C749F">
              <w:rPr>
                <w:rFonts w:eastAsia="Times New Roman"/>
                <w:iCs/>
                <w:sz w:val="26"/>
                <w:szCs w:val="26"/>
                <w:lang w:val="lv-LV"/>
              </w:rPr>
              <w:t xml:space="preserve">bra un tajos noteiktie ierobežojošie pasākumi šobrīd joprojām </w:t>
            </w:r>
            <w:r w:rsidR="008B7841">
              <w:rPr>
                <w:rFonts w:eastAsia="Times New Roman"/>
                <w:iCs/>
                <w:sz w:val="26"/>
                <w:szCs w:val="26"/>
                <w:lang w:val="lv-LV"/>
              </w:rPr>
              <w:t>kavē</w:t>
            </w:r>
            <w:r w:rsidR="002C749F">
              <w:rPr>
                <w:rFonts w:eastAsia="Times New Roman"/>
                <w:iCs/>
                <w:sz w:val="26"/>
                <w:szCs w:val="26"/>
                <w:lang w:val="lv-LV"/>
              </w:rPr>
              <w:t xml:space="preserve"> uzņēmumus veikt</w:t>
            </w:r>
            <w:r w:rsidR="008B7841">
              <w:rPr>
                <w:rFonts w:eastAsia="Times New Roman"/>
                <w:iCs/>
                <w:sz w:val="26"/>
                <w:szCs w:val="26"/>
                <w:lang w:val="lv-LV"/>
              </w:rPr>
              <w:t xml:space="preserve"> turpmākas</w:t>
            </w:r>
            <w:r w:rsidR="002C749F">
              <w:rPr>
                <w:rFonts w:eastAsia="Times New Roman"/>
                <w:iCs/>
                <w:sz w:val="26"/>
                <w:szCs w:val="26"/>
                <w:lang w:val="lv-LV"/>
              </w:rPr>
              <w:t xml:space="preserve"> investīcijas.</w:t>
            </w:r>
          </w:p>
          <w:p w14:paraId="32FBC987" w14:textId="7A565E1E" w:rsidR="00D4381D" w:rsidRPr="00D4381D" w:rsidRDefault="00D4381D" w:rsidP="00DE4ED9">
            <w:pPr>
              <w:pStyle w:val="ListParagraph"/>
              <w:numPr>
                <w:ilvl w:val="0"/>
                <w:numId w:val="16"/>
              </w:numPr>
              <w:spacing w:before="120"/>
              <w:jc w:val="both"/>
              <w:rPr>
                <w:rFonts w:eastAsia="Times New Roman"/>
                <w:iCs/>
                <w:sz w:val="26"/>
                <w:szCs w:val="26"/>
                <w:lang w:val="lv-LV"/>
              </w:rPr>
            </w:pPr>
            <w:r>
              <w:rPr>
                <w:rFonts w:eastAsia="Times New Roman"/>
                <w:iCs/>
                <w:sz w:val="26"/>
                <w:szCs w:val="26"/>
                <w:lang w:val="lv-LV"/>
              </w:rPr>
              <w:t>t</w:t>
            </w:r>
            <w:r w:rsidRPr="00D4381D">
              <w:rPr>
                <w:rFonts w:eastAsia="Times New Roman"/>
                <w:iCs/>
                <w:sz w:val="26"/>
                <w:szCs w:val="26"/>
                <w:lang w:val="lv-LV"/>
              </w:rPr>
              <w:t xml:space="preserve">iek precizēta norma par nodokļu parāda neesamību uz </w:t>
            </w:r>
            <w:r w:rsidRPr="00D4381D">
              <w:rPr>
                <w:color w:val="000000" w:themeColor="text1"/>
                <w:sz w:val="26"/>
                <w:szCs w:val="26"/>
                <w:shd w:val="clear" w:color="auto" w:fill="FFFFFF"/>
                <w:lang w:val="lv-LV"/>
              </w:rPr>
              <w:t>atbalsta piešķiršanas brīdi;</w:t>
            </w:r>
          </w:p>
          <w:p w14:paraId="3B28DD77" w14:textId="56A2762C" w:rsidR="00D4381D" w:rsidRPr="00D4381D" w:rsidRDefault="00D4381D" w:rsidP="00D4381D">
            <w:pPr>
              <w:spacing w:before="120"/>
              <w:jc w:val="both"/>
              <w:rPr>
                <w:rFonts w:eastAsia="Times New Roman"/>
                <w:iCs/>
                <w:color w:val="000000" w:themeColor="text1"/>
                <w:sz w:val="26"/>
                <w:szCs w:val="26"/>
                <w:lang w:val="lv-LV"/>
              </w:rPr>
            </w:pPr>
            <w:r w:rsidRPr="00D4381D">
              <w:rPr>
                <w:rFonts w:eastAsia="Times New Roman"/>
                <w:iCs/>
                <w:color w:val="000000" w:themeColor="text1"/>
                <w:sz w:val="26"/>
                <w:szCs w:val="26"/>
                <w:lang w:val="lv-LV"/>
              </w:rPr>
              <w:t>Šobrīd MK Noteikumu Nr.454 181.apakšpunkts nosaka, ka garantiju nepiešķir komersanta</w:t>
            </w:r>
            <w:r w:rsidR="00E54104">
              <w:rPr>
                <w:rFonts w:eastAsia="Times New Roman"/>
                <w:iCs/>
                <w:color w:val="000000" w:themeColor="text1"/>
                <w:sz w:val="26"/>
                <w:szCs w:val="26"/>
                <w:lang w:val="lv-LV"/>
              </w:rPr>
              <w:t>m</w:t>
            </w:r>
            <w:r w:rsidRPr="00D4381D">
              <w:rPr>
                <w:rFonts w:eastAsia="Times New Roman"/>
                <w:iCs/>
                <w:color w:val="000000" w:themeColor="text1"/>
                <w:sz w:val="26"/>
                <w:szCs w:val="26"/>
                <w:lang w:val="lv-LV"/>
              </w:rPr>
              <w:t xml:space="preserve">, ja </w:t>
            </w:r>
            <w:r w:rsidRPr="00D4381D">
              <w:rPr>
                <w:color w:val="000000" w:themeColor="text1"/>
                <w:sz w:val="26"/>
                <w:szCs w:val="26"/>
                <w:shd w:val="clear" w:color="auto" w:fill="FFFFFF"/>
                <w:lang w:val="lv-LV"/>
              </w:rPr>
              <w:t>tam saskaņā ar Valsts ieņēmumu dienesta administrēto nodokļu (nodevu) parādnieku datubāzē pieejamo informāciju ir nodokļu vai nodevu parādi, kas kopsummā pārsniedz 1000 </w:t>
            </w:r>
            <w:r w:rsidRPr="00D4381D">
              <w:rPr>
                <w:i/>
                <w:iCs/>
                <w:color w:val="000000" w:themeColor="text1"/>
                <w:sz w:val="26"/>
                <w:szCs w:val="26"/>
                <w:shd w:val="clear" w:color="auto" w:fill="FFFFFF"/>
                <w:lang w:val="lv-LV"/>
              </w:rPr>
              <w:t>euro</w:t>
            </w:r>
            <w:r w:rsidRPr="00D4381D">
              <w:rPr>
                <w:color w:val="000000" w:themeColor="text1"/>
                <w:sz w:val="26"/>
                <w:szCs w:val="26"/>
                <w:shd w:val="clear" w:color="auto" w:fill="FFFFFF"/>
                <w:lang w:val="lv-LV"/>
              </w:rPr>
              <w:t xml:space="preserve">, un tam nav piešķirts samaksas termiņa pagarinājums vai Valsts ieņēmumu dienests nav pieņēmis lēmumu par nokavēto nodokļu maksājumu labprātīgu izpildi. </w:t>
            </w:r>
            <w:r w:rsidRPr="00D4381D">
              <w:rPr>
                <w:noProof/>
                <w:color w:val="000000" w:themeColor="text1"/>
                <w:sz w:val="26"/>
                <w:szCs w:val="26"/>
                <w:lang w:val="lv-LV"/>
              </w:rPr>
              <w:t xml:space="preserve">Lai ievērotu vienlīdzību pret visiem garantiju pieteicējiem, </w:t>
            </w:r>
            <w:r>
              <w:rPr>
                <w:noProof/>
                <w:color w:val="000000" w:themeColor="text1"/>
                <w:sz w:val="26"/>
                <w:szCs w:val="26"/>
                <w:lang w:val="lv-LV"/>
              </w:rPr>
              <w:t xml:space="preserve">ar MK Noteikumiem tiek precizēta prasība </w:t>
            </w:r>
            <w:r w:rsidR="00DE4ED9" w:rsidRPr="006640AA">
              <w:rPr>
                <w:sz w:val="26"/>
                <w:szCs w:val="26"/>
                <w:lang w:val="lv-LV"/>
              </w:rPr>
              <w:t>sabiedrība</w:t>
            </w:r>
            <w:r w:rsidR="00DE4ED9">
              <w:rPr>
                <w:sz w:val="26"/>
                <w:szCs w:val="26"/>
                <w:lang w:val="lv-LV"/>
              </w:rPr>
              <w:t>i</w:t>
            </w:r>
            <w:r w:rsidR="00DE4ED9" w:rsidRPr="006640AA">
              <w:rPr>
                <w:sz w:val="26"/>
                <w:szCs w:val="26"/>
                <w:lang w:val="lv-LV"/>
              </w:rPr>
              <w:t xml:space="preserve"> “Altum”</w:t>
            </w:r>
            <w:r w:rsidR="00DE4ED9">
              <w:rPr>
                <w:sz w:val="26"/>
                <w:szCs w:val="26"/>
                <w:lang w:val="lv-LV"/>
              </w:rPr>
              <w:t xml:space="preserve"> </w:t>
            </w:r>
            <w:r w:rsidRPr="00D4381D">
              <w:rPr>
                <w:noProof/>
                <w:color w:val="000000" w:themeColor="text1"/>
                <w:sz w:val="26"/>
                <w:szCs w:val="26"/>
                <w:lang w:val="lv-LV"/>
              </w:rPr>
              <w:t xml:space="preserve">vērtēt nodokļu parāda neesamību </w:t>
            </w:r>
            <w:r w:rsidRPr="00D4381D">
              <w:rPr>
                <w:color w:val="000000" w:themeColor="text1"/>
                <w:sz w:val="26"/>
                <w:szCs w:val="26"/>
                <w:lang w:val="lv-LV"/>
              </w:rPr>
              <w:t>virs noteiktā sliekšņa</w:t>
            </w:r>
            <w:r w:rsidRPr="00D4381D">
              <w:rPr>
                <w:color w:val="000000" w:themeColor="text1"/>
                <w:sz w:val="26"/>
                <w:szCs w:val="26"/>
                <w:shd w:val="clear" w:color="auto" w:fill="FFFFFF"/>
                <w:lang w:val="lv-LV"/>
              </w:rPr>
              <w:t xml:space="preserve"> atbalsta piešķiršanas brīdī.</w:t>
            </w:r>
            <w:r w:rsidRPr="00D4381D">
              <w:rPr>
                <w:color w:val="000000" w:themeColor="text1"/>
                <w:sz w:val="26"/>
                <w:szCs w:val="26"/>
                <w:lang w:val="lv-LV"/>
              </w:rPr>
              <w:t xml:space="preserve"> </w:t>
            </w:r>
          </w:p>
          <w:p w14:paraId="3E0C16A0" w14:textId="159E14FB" w:rsidR="00D4381D" w:rsidRPr="00DE4ED9" w:rsidRDefault="00DE4ED9" w:rsidP="00DE4ED9">
            <w:pPr>
              <w:pStyle w:val="ListParagraph"/>
              <w:numPr>
                <w:ilvl w:val="0"/>
                <w:numId w:val="16"/>
              </w:numPr>
              <w:spacing w:before="120"/>
              <w:jc w:val="both"/>
              <w:rPr>
                <w:rFonts w:eastAsia="Times New Roman"/>
                <w:iCs/>
                <w:sz w:val="26"/>
                <w:szCs w:val="26"/>
                <w:lang w:val="lv-LV"/>
              </w:rPr>
            </w:pPr>
            <w:r w:rsidRPr="00DE4ED9">
              <w:rPr>
                <w:rFonts w:eastAsia="Times New Roman"/>
                <w:color w:val="000000" w:themeColor="text1"/>
                <w:sz w:val="26"/>
                <w:szCs w:val="26"/>
                <w:lang w:val="lv-LV" w:eastAsia="lv-LV"/>
              </w:rPr>
              <w:t>t</w:t>
            </w:r>
            <w:r w:rsidR="00D4381D" w:rsidRPr="00DE4ED9">
              <w:rPr>
                <w:rFonts w:eastAsia="Times New Roman"/>
                <w:color w:val="000000" w:themeColor="text1"/>
                <w:sz w:val="26"/>
                <w:szCs w:val="26"/>
                <w:lang w:val="lv-LV" w:eastAsia="lv-LV"/>
              </w:rPr>
              <w:t xml:space="preserve">iek noteikta </w:t>
            </w:r>
            <w:r w:rsidRPr="00DE4ED9">
              <w:rPr>
                <w:rFonts w:eastAsia="Times New Roman"/>
                <w:color w:val="000000" w:themeColor="text1"/>
                <w:sz w:val="26"/>
                <w:szCs w:val="26"/>
                <w:lang w:val="lv-LV" w:eastAsia="lv-LV"/>
              </w:rPr>
              <w:t xml:space="preserve">prasība par visu </w:t>
            </w:r>
            <w:r w:rsidR="00D4381D" w:rsidRPr="00DE4ED9">
              <w:rPr>
                <w:rFonts w:eastAsia="Times New Roman"/>
                <w:color w:val="000000" w:themeColor="text1"/>
                <w:sz w:val="26"/>
                <w:szCs w:val="26"/>
                <w:lang w:val="lv-LV" w:eastAsia="lv-LV"/>
              </w:rPr>
              <w:t>komersantu</w:t>
            </w:r>
            <w:r w:rsidR="00D4381D" w:rsidRPr="00DE4ED9">
              <w:rPr>
                <w:color w:val="000000" w:themeColor="text1"/>
                <w:sz w:val="26"/>
                <w:szCs w:val="26"/>
                <w:shd w:val="clear" w:color="auto" w:fill="FFFFFF"/>
                <w:lang w:val="lv-LV"/>
              </w:rPr>
              <w:t xml:space="preserve"> </w:t>
            </w:r>
            <w:r w:rsidR="00D4381D" w:rsidRPr="00DE4ED9">
              <w:rPr>
                <w:rFonts w:eastAsia="Times New Roman"/>
                <w:color w:val="000000" w:themeColor="text1"/>
                <w:sz w:val="26"/>
                <w:szCs w:val="26"/>
                <w:lang w:val="lv-LV" w:eastAsia="lv-LV"/>
              </w:rPr>
              <w:t xml:space="preserve">saraksta publicēšanu par </w:t>
            </w:r>
            <w:r w:rsidR="00D4381D" w:rsidRPr="00DE4ED9">
              <w:rPr>
                <w:color w:val="000000" w:themeColor="text1"/>
                <w:sz w:val="26"/>
                <w:szCs w:val="26"/>
                <w:shd w:val="clear" w:color="auto" w:fill="FFFFFF"/>
                <w:lang w:val="lv-LV"/>
              </w:rPr>
              <w:t xml:space="preserve"> šo noteikumu ietvaros piešķirto atbalstu</w:t>
            </w:r>
            <w:r w:rsidRPr="00DE4ED9">
              <w:rPr>
                <w:rFonts w:eastAsia="Times New Roman"/>
                <w:color w:val="000000" w:themeColor="text1"/>
                <w:sz w:val="26"/>
                <w:szCs w:val="26"/>
                <w:lang w:val="lv-LV" w:eastAsia="lv-LV"/>
              </w:rPr>
              <w:t xml:space="preserve"> </w:t>
            </w:r>
            <w:r w:rsidRPr="00DE4ED9">
              <w:rPr>
                <w:sz w:val="26"/>
                <w:szCs w:val="26"/>
                <w:lang w:val="lv-LV"/>
              </w:rPr>
              <w:t xml:space="preserve">sabiedrības “Altum” </w:t>
            </w:r>
            <w:r w:rsidRPr="00DE4ED9">
              <w:rPr>
                <w:rFonts w:eastAsia="Times New Roman"/>
                <w:color w:val="000000" w:themeColor="text1"/>
                <w:sz w:val="26"/>
                <w:szCs w:val="26"/>
                <w:lang w:val="lv-LV" w:eastAsia="lv-LV"/>
              </w:rPr>
              <w:t>tīmekļvietnē</w:t>
            </w:r>
            <w:r w:rsidR="00746933">
              <w:rPr>
                <w:rFonts w:eastAsia="Times New Roman"/>
                <w:color w:val="000000" w:themeColor="text1"/>
                <w:sz w:val="26"/>
                <w:szCs w:val="26"/>
                <w:lang w:val="lv-LV" w:eastAsia="lv-LV"/>
              </w:rPr>
              <w:t>.</w:t>
            </w:r>
          </w:p>
          <w:p w14:paraId="5A6B3EE3" w14:textId="77777777" w:rsidR="002C33EF" w:rsidRDefault="00DE4ED9" w:rsidP="00477006">
            <w:pPr>
              <w:jc w:val="both"/>
              <w:rPr>
                <w:rFonts w:eastAsia="Times New Roman"/>
                <w:iCs/>
                <w:sz w:val="26"/>
                <w:szCs w:val="26"/>
                <w:lang w:val="lv-LV"/>
              </w:rPr>
            </w:pPr>
            <w:r w:rsidRPr="00DE4ED9">
              <w:rPr>
                <w:rFonts w:eastAsia="Times New Roman"/>
                <w:iCs/>
                <w:sz w:val="26"/>
                <w:szCs w:val="26"/>
                <w:lang w:val="lv-LV"/>
              </w:rPr>
              <w:t xml:space="preserve">Līdz šim </w:t>
            </w:r>
            <w:r w:rsidRPr="00DE4ED9">
              <w:rPr>
                <w:sz w:val="26"/>
                <w:szCs w:val="26"/>
                <w:lang w:val="lv-LV"/>
              </w:rPr>
              <w:t>sabiedrībai “Altum”</w:t>
            </w:r>
            <w:r w:rsidRPr="00DE4ED9">
              <w:rPr>
                <w:rFonts w:eastAsia="Times New Roman"/>
                <w:color w:val="000000" w:themeColor="text1"/>
                <w:sz w:val="26"/>
                <w:szCs w:val="26"/>
                <w:lang w:val="lv-LV" w:eastAsia="lv-LV"/>
              </w:rPr>
              <w:t xml:space="preserve"> </w:t>
            </w:r>
            <w:r w:rsidRPr="00DE4ED9">
              <w:rPr>
                <w:rFonts w:eastAsia="Times New Roman"/>
                <w:iCs/>
                <w:sz w:val="26"/>
                <w:szCs w:val="26"/>
                <w:lang w:val="lv-LV"/>
              </w:rPr>
              <w:t xml:space="preserve">noteikts pienākums nodrošināt informācijas publicēšanu par katru šo noteikumu ietvaros piešķirto atbalstu saskaņā ar Komisijas regulas Nr. 651/2014 9. panta 1. </w:t>
            </w:r>
            <w:r w:rsidRPr="00DE4ED9">
              <w:rPr>
                <w:rFonts w:eastAsia="Times New Roman"/>
                <w:iCs/>
                <w:sz w:val="26"/>
                <w:szCs w:val="26"/>
                <w:lang w:val="lv-LV"/>
              </w:rPr>
              <w:lastRenderedPageBreak/>
              <w:t xml:space="preserve">punkta "c" apakšpunktā un 4. punktā, Komisijas regulas Nr. 702/2014 9. panta 2. punkta "c" apakšpunktā un 4. punktā vai Komisijas regulas Nr. 1388/2014 9. panta 1. punkta "c" apakšpunktā un 3. punktā noteiktajām publicitātes pasākumu prasībām atbilstoši normatīvajam aktam par kārtību, kādā publicē informāciju par sniegto komercdarbības atbalstu un piešķir un anulē elektroniskās sistēmas lietošanas tiesības. </w:t>
            </w:r>
          </w:p>
          <w:p w14:paraId="6F8EC29E" w14:textId="46C55E72" w:rsidR="00477006" w:rsidRPr="002F3030" w:rsidRDefault="002C33EF" w:rsidP="00477006">
            <w:pPr>
              <w:jc w:val="both"/>
              <w:rPr>
                <w:rFonts w:ascii="Calibri" w:eastAsia="Times New Roman" w:hAnsi="Calibri" w:cs="Calibri"/>
                <w:sz w:val="26"/>
                <w:szCs w:val="26"/>
                <w:lang w:val="lv-LV" w:eastAsia="lv-LV"/>
              </w:rPr>
            </w:pPr>
            <w:r>
              <w:rPr>
                <w:rFonts w:eastAsia="Times New Roman"/>
                <w:iCs/>
                <w:sz w:val="26"/>
                <w:szCs w:val="26"/>
                <w:lang w:val="lv-LV"/>
              </w:rPr>
              <w:t>Balstoties uz Valsts kontroles ieteikumu</w:t>
            </w:r>
            <w:r w:rsidR="00D96DD6">
              <w:rPr>
                <w:rFonts w:eastAsia="Times New Roman"/>
                <w:iCs/>
                <w:sz w:val="26"/>
                <w:szCs w:val="26"/>
                <w:lang w:val="lv-LV"/>
              </w:rPr>
              <w:t xml:space="preserve"> par informācijas publicēšanu</w:t>
            </w:r>
            <w:r w:rsidR="00DE4ED9" w:rsidRPr="00DE4ED9">
              <w:rPr>
                <w:rFonts w:eastAsia="Times New Roman"/>
                <w:iCs/>
                <w:sz w:val="26"/>
                <w:szCs w:val="26"/>
                <w:lang w:val="lv-LV"/>
              </w:rPr>
              <w:t xml:space="preserve">, lai nodrošinātu </w:t>
            </w:r>
            <w:r w:rsidR="00DE4ED9" w:rsidRPr="00DE4ED9">
              <w:rPr>
                <w:rFonts w:eastAsia="Cambria"/>
                <w:sz w:val="26"/>
                <w:szCs w:val="26"/>
                <w:lang w:val="lv-LV"/>
              </w:rPr>
              <w:t xml:space="preserve">caurskatāmu, aktuālu un pilnīgu sabiedrībai pieejamu informāciju par valsts budžeta līdzekļu izlietojumu atbalsta pasākumiem Covid-19 seku mazināšanai un faktiski pieejamo līdzekļu atlikumu, tiek precizēta prasība </w:t>
            </w:r>
            <w:r w:rsidR="00DE4ED9" w:rsidRPr="00DE4ED9">
              <w:rPr>
                <w:sz w:val="26"/>
                <w:szCs w:val="26"/>
                <w:lang w:val="lv-LV"/>
              </w:rPr>
              <w:t>sabiedrībai “Altum”</w:t>
            </w:r>
            <w:r w:rsidR="00DE4ED9" w:rsidRPr="00DE4ED9">
              <w:rPr>
                <w:rFonts w:eastAsia="Times New Roman"/>
                <w:color w:val="000000" w:themeColor="text1"/>
                <w:sz w:val="26"/>
                <w:szCs w:val="26"/>
                <w:lang w:val="lv-LV" w:eastAsia="lv-LV"/>
              </w:rPr>
              <w:t xml:space="preserve"> publicēt </w:t>
            </w:r>
            <w:r w:rsidR="00967C5D">
              <w:rPr>
                <w:rFonts w:eastAsia="Times New Roman"/>
                <w:color w:val="000000" w:themeColor="text1"/>
                <w:sz w:val="26"/>
                <w:szCs w:val="26"/>
                <w:lang w:val="lv-LV" w:eastAsia="lv-LV"/>
              </w:rPr>
              <w:t>informāciju par garantijām, par kuru pieš</w:t>
            </w:r>
            <w:r>
              <w:rPr>
                <w:rFonts w:eastAsia="Times New Roman"/>
                <w:color w:val="000000" w:themeColor="text1"/>
                <w:sz w:val="26"/>
                <w:szCs w:val="26"/>
                <w:lang w:val="lv-LV" w:eastAsia="lv-LV"/>
              </w:rPr>
              <w:t>ķ</w:t>
            </w:r>
            <w:r w:rsidR="00967C5D">
              <w:rPr>
                <w:rFonts w:eastAsia="Times New Roman"/>
                <w:color w:val="000000" w:themeColor="text1"/>
                <w:sz w:val="26"/>
                <w:szCs w:val="26"/>
                <w:lang w:val="lv-LV" w:eastAsia="lv-LV"/>
              </w:rPr>
              <w:t>iršanu noslēgti līgumi MK noteikumu Nr. 454 ietvaros,</w:t>
            </w:r>
            <w:r w:rsidR="00793F37">
              <w:rPr>
                <w:rFonts w:eastAsia="Times New Roman"/>
                <w:color w:val="000000" w:themeColor="text1"/>
                <w:sz w:val="26"/>
                <w:szCs w:val="26"/>
                <w:lang w:val="lv-LV" w:eastAsia="lv-LV"/>
              </w:rPr>
              <w:t xml:space="preserve"> kā arī papildināt, </w:t>
            </w:r>
            <w:r w:rsidR="00793F37" w:rsidRPr="002F3030">
              <w:rPr>
                <w:rFonts w:eastAsia="Times New Roman"/>
                <w:color w:val="000000" w:themeColor="text1"/>
                <w:sz w:val="26"/>
                <w:szCs w:val="26"/>
                <w:lang w:val="lv-LV" w:eastAsia="lv-LV"/>
              </w:rPr>
              <w:t>ka</w:t>
            </w:r>
            <w:r w:rsidR="00967C5D" w:rsidRPr="002F3030">
              <w:rPr>
                <w:rFonts w:eastAsia="Times New Roman"/>
                <w:color w:val="000000" w:themeColor="text1"/>
                <w:sz w:val="26"/>
                <w:szCs w:val="26"/>
                <w:lang w:val="lv-LV" w:eastAsia="lv-LV"/>
              </w:rPr>
              <w:t xml:space="preserve"> atbilstoši </w:t>
            </w:r>
            <w:r w:rsidR="00477006" w:rsidRPr="002F3030">
              <w:rPr>
                <w:rFonts w:eastAsia="Times New Roman"/>
                <w:sz w:val="26"/>
                <w:szCs w:val="26"/>
                <w:lang w:val="lv-LV" w:eastAsia="lv-LV"/>
              </w:rPr>
              <w:t>Pagaidu regulējuma 88.punktam</w:t>
            </w:r>
            <w:r w:rsidR="00793F37" w:rsidRPr="002F3030">
              <w:rPr>
                <w:rFonts w:eastAsia="Times New Roman"/>
                <w:sz w:val="26"/>
                <w:szCs w:val="26"/>
                <w:lang w:val="lv-LV" w:eastAsia="lv-LV"/>
              </w:rPr>
              <w:t xml:space="preserve"> ir jānodrošina pārredzamības prasības</w:t>
            </w:r>
            <w:r w:rsidR="001F0C7D">
              <w:rPr>
                <w:rFonts w:eastAsia="Times New Roman"/>
                <w:sz w:val="26"/>
                <w:szCs w:val="26"/>
                <w:lang w:val="lv-LV" w:eastAsia="lv-LV"/>
              </w:rPr>
              <w:t>,</w:t>
            </w:r>
            <w:r w:rsidR="00477006" w:rsidRPr="002F3030">
              <w:rPr>
                <w:rFonts w:eastAsia="Times New Roman"/>
                <w:sz w:val="26"/>
                <w:szCs w:val="26"/>
                <w:lang w:val="lv-LV" w:eastAsia="lv-LV"/>
              </w:rPr>
              <w:t xml:space="preserve"> tādējādi regulāri nodrošinot savlaicīgu un publiski pieejamu informāciju par atbalsta programmu līdzekļu izlietojumu un faktisko atlikumu.</w:t>
            </w:r>
          </w:p>
          <w:p w14:paraId="4A627321" w14:textId="1B049ED5" w:rsidR="00DE4ED9" w:rsidRPr="00D4381D" w:rsidRDefault="00DE4ED9" w:rsidP="00DE4ED9">
            <w:pPr>
              <w:spacing w:before="120"/>
              <w:jc w:val="both"/>
              <w:rPr>
                <w:color w:val="000000" w:themeColor="text1"/>
                <w:sz w:val="26"/>
                <w:szCs w:val="26"/>
                <w:lang w:val="lv-LV"/>
              </w:rPr>
            </w:pPr>
            <w:r>
              <w:rPr>
                <w:rFonts w:eastAsia="Times New Roman"/>
                <w:iCs/>
                <w:sz w:val="26"/>
                <w:szCs w:val="26"/>
                <w:lang w:val="lv-LV"/>
              </w:rPr>
              <w:t>Pēdēj</w:t>
            </w:r>
            <w:r w:rsidR="005251E8">
              <w:rPr>
                <w:rFonts w:eastAsia="Times New Roman"/>
                <w:iCs/>
                <w:sz w:val="26"/>
                <w:szCs w:val="26"/>
                <w:lang w:val="lv-LV"/>
              </w:rPr>
              <w:t>o</w:t>
            </w:r>
            <w:r>
              <w:rPr>
                <w:rFonts w:eastAsia="Times New Roman"/>
                <w:iCs/>
                <w:sz w:val="26"/>
                <w:szCs w:val="26"/>
                <w:lang w:val="lv-LV"/>
              </w:rPr>
              <w:t xml:space="preserve"> div</w:t>
            </w:r>
            <w:r w:rsidR="005251E8">
              <w:rPr>
                <w:rFonts w:eastAsia="Times New Roman"/>
                <w:iCs/>
                <w:sz w:val="26"/>
                <w:szCs w:val="26"/>
                <w:lang w:val="lv-LV"/>
              </w:rPr>
              <w:t>u</w:t>
            </w:r>
            <w:r>
              <w:rPr>
                <w:rFonts w:eastAsia="Times New Roman"/>
                <w:iCs/>
                <w:sz w:val="26"/>
                <w:szCs w:val="26"/>
                <w:lang w:val="lv-LV"/>
              </w:rPr>
              <w:t xml:space="preserve"> </w:t>
            </w:r>
            <w:r w:rsidRPr="00D4381D">
              <w:rPr>
                <w:rFonts w:eastAsia="Times New Roman"/>
                <w:iCs/>
                <w:sz w:val="26"/>
                <w:szCs w:val="26"/>
                <w:lang w:val="lv-LV"/>
              </w:rPr>
              <w:t>prasīb</w:t>
            </w:r>
            <w:r>
              <w:rPr>
                <w:rFonts w:eastAsia="Times New Roman"/>
                <w:iCs/>
                <w:sz w:val="26"/>
                <w:szCs w:val="26"/>
                <w:lang w:val="lv-LV"/>
              </w:rPr>
              <w:t>u precizēšana</w:t>
            </w:r>
            <w:r w:rsidR="005251E8">
              <w:rPr>
                <w:rFonts w:eastAsia="Times New Roman"/>
                <w:iCs/>
                <w:sz w:val="26"/>
                <w:szCs w:val="26"/>
                <w:lang w:val="lv-LV"/>
              </w:rPr>
              <w:t xml:space="preserve"> ir nepieciešama, ņemot vērā </w:t>
            </w:r>
            <w:r w:rsidRPr="00D4381D">
              <w:rPr>
                <w:rFonts w:eastAsia="Times New Roman"/>
                <w:iCs/>
                <w:sz w:val="26"/>
                <w:szCs w:val="26"/>
                <w:lang w:val="lv-LV"/>
              </w:rPr>
              <w:t xml:space="preserve">Valsts kontroles 2020.gada </w:t>
            </w:r>
            <w:r w:rsidRPr="00D4381D">
              <w:rPr>
                <w:color w:val="000000" w:themeColor="text1"/>
                <w:sz w:val="26"/>
                <w:szCs w:val="26"/>
                <w:lang w:val="lv-LV"/>
              </w:rPr>
              <w:t>revīzijas Nr.2.4.1-36/2020 “Par Latvijas Republikas 2020.gada pārskatu par valsts budžeta izpildi un par pašvaldību budžetiem” ietvaros sagatavot</w:t>
            </w:r>
            <w:r w:rsidR="005251E8">
              <w:rPr>
                <w:color w:val="000000" w:themeColor="text1"/>
                <w:sz w:val="26"/>
                <w:szCs w:val="26"/>
                <w:lang w:val="lv-LV"/>
              </w:rPr>
              <w:t>ā</w:t>
            </w:r>
            <w:r w:rsidRPr="00D4381D">
              <w:rPr>
                <w:color w:val="000000" w:themeColor="text1"/>
                <w:sz w:val="26"/>
                <w:szCs w:val="26"/>
                <w:lang w:val="lv-LV"/>
              </w:rPr>
              <w:t xml:space="preserve"> starpziņojuma “Ekonomikas ministrijai piešķirtie līdzekļi ieskaitīšanai akciju sabiedrības “Attīstības finanšu institūcija Altum” rezerves kapitālā saimnieciskās darbības veicēju atbalstam Covid-19 krīzes seku mazināšanai”</w:t>
            </w:r>
            <w:r w:rsidR="005251E8">
              <w:rPr>
                <w:color w:val="000000" w:themeColor="text1"/>
                <w:sz w:val="26"/>
                <w:szCs w:val="26"/>
                <w:lang w:val="lv-LV"/>
              </w:rPr>
              <w:t xml:space="preserve"> secinājumus</w:t>
            </w:r>
            <w:r>
              <w:rPr>
                <w:color w:val="000000" w:themeColor="text1"/>
                <w:sz w:val="26"/>
                <w:szCs w:val="26"/>
                <w:lang w:val="lv-LV"/>
              </w:rPr>
              <w:t>.</w:t>
            </w:r>
          </w:p>
          <w:p w14:paraId="2D0077D7" w14:textId="77777777" w:rsidR="004D3527" w:rsidRDefault="00860354" w:rsidP="00860354">
            <w:pPr>
              <w:spacing w:before="120"/>
              <w:jc w:val="both"/>
              <w:rPr>
                <w:rFonts w:eastAsia="Times New Roman"/>
                <w:iCs/>
                <w:sz w:val="26"/>
                <w:szCs w:val="26"/>
                <w:lang w:val="lv-LV"/>
              </w:rPr>
            </w:pPr>
            <w:r w:rsidRPr="00DE4ED9">
              <w:rPr>
                <w:rFonts w:eastAsia="Times New Roman"/>
                <w:iCs/>
                <w:sz w:val="26"/>
                <w:szCs w:val="26"/>
                <w:lang w:val="lv-LV"/>
              </w:rPr>
              <w:t>Ņemot vērā, ka netiek mainīti plānotie</w:t>
            </w:r>
            <w:r>
              <w:rPr>
                <w:rFonts w:eastAsia="Times New Roman"/>
                <w:iCs/>
                <w:sz w:val="26"/>
                <w:szCs w:val="26"/>
                <w:lang w:val="lv-LV"/>
              </w:rPr>
              <w:t xml:space="preserve"> izsniegtie garantiju apjomi, kā arī paredzētais garantiju portfelis, riska novērtējums, kas tiek veikts saskaņā ar Attīstības finanšu institūcijas likuma 12.panta trešo daļu, netiek pārskatīts. </w:t>
            </w:r>
          </w:p>
          <w:p w14:paraId="09F04E06" w14:textId="2A1C3124" w:rsidR="00B7641E" w:rsidRPr="00860354" w:rsidRDefault="00B7641E" w:rsidP="00860354">
            <w:pPr>
              <w:spacing w:before="120"/>
              <w:jc w:val="both"/>
              <w:rPr>
                <w:rFonts w:eastAsia="Times New Roman"/>
                <w:iCs/>
                <w:sz w:val="26"/>
                <w:szCs w:val="26"/>
                <w:lang w:val="lv-LV"/>
              </w:rPr>
            </w:pPr>
            <w:r w:rsidRPr="006640AA">
              <w:rPr>
                <w:sz w:val="26"/>
                <w:szCs w:val="26"/>
                <w:lang w:val="lv-LV"/>
              </w:rPr>
              <w:t xml:space="preserve">Ekonomikas ministrija 10 darba dienu laikā </w:t>
            </w:r>
            <w:r w:rsidRPr="006640AA">
              <w:rPr>
                <w:color w:val="000000" w:themeColor="text1"/>
                <w:sz w:val="26"/>
                <w:szCs w:val="26"/>
                <w:lang w:val="lv-LV"/>
              </w:rPr>
              <w:t>no MK Noteikumu projekta apstiprināšanas Ministru kabinetā</w:t>
            </w:r>
            <w:r w:rsidRPr="006640AA">
              <w:rPr>
                <w:iCs/>
                <w:color w:val="000000" w:themeColor="text1"/>
                <w:sz w:val="26"/>
                <w:szCs w:val="26"/>
                <w:lang w:val="lv-LV"/>
              </w:rPr>
              <w:t xml:space="preserve"> </w:t>
            </w:r>
            <w:r w:rsidRPr="006640AA">
              <w:rPr>
                <w:sz w:val="26"/>
                <w:szCs w:val="26"/>
                <w:lang w:val="lv-LV"/>
              </w:rPr>
              <w:t>sagatavo</w:t>
            </w:r>
            <w:r w:rsidR="00CB1ADF">
              <w:rPr>
                <w:sz w:val="26"/>
                <w:szCs w:val="26"/>
                <w:lang w:val="lv-LV"/>
              </w:rPr>
              <w:t>s</w:t>
            </w:r>
            <w:r w:rsidRPr="006640AA">
              <w:rPr>
                <w:sz w:val="26"/>
                <w:szCs w:val="26"/>
                <w:lang w:val="lv-LV"/>
              </w:rPr>
              <w:t xml:space="preserve"> un iesnie</w:t>
            </w:r>
            <w:r w:rsidR="00CB1ADF">
              <w:rPr>
                <w:sz w:val="26"/>
                <w:szCs w:val="26"/>
                <w:lang w:val="lv-LV"/>
              </w:rPr>
              <w:t>gs</w:t>
            </w:r>
            <w:bookmarkStart w:id="6" w:name="_GoBack"/>
            <w:bookmarkEnd w:id="6"/>
            <w:r w:rsidRPr="006640AA">
              <w:rPr>
                <w:sz w:val="26"/>
                <w:szCs w:val="26"/>
                <w:lang w:val="lv-LV"/>
              </w:rPr>
              <w:t xml:space="preserve"> Eiropas Komisijai ar Finanšu ministriju saskaņotu paziņojumu par krīzes garantiju programmas izmaiņām, </w:t>
            </w:r>
            <w:r w:rsidRPr="006640AA">
              <w:rPr>
                <w:color w:val="000000" w:themeColor="text1"/>
                <w:sz w:val="26"/>
                <w:szCs w:val="26"/>
                <w:lang w:val="lv-LV"/>
              </w:rPr>
              <w:t>izmantojot Eiropas Komisijas pārziņā esošo elektroniskās paziņošanas sistēmu – SANI 2.</w:t>
            </w:r>
          </w:p>
        </w:tc>
      </w:tr>
      <w:tr w:rsidR="00844176" w:rsidRPr="006640AA" w14:paraId="41041CF1" w14:textId="77777777" w:rsidTr="00B84453">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lastRenderedPageBreak/>
              <w:t>3.</w:t>
            </w:r>
          </w:p>
        </w:tc>
        <w:tc>
          <w:tcPr>
            <w:tcW w:w="1883"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6640AA" w:rsidRDefault="00557B17" w:rsidP="00B043DE">
            <w:pPr>
              <w:contextualSpacing/>
              <w:rPr>
                <w:rFonts w:eastAsia="Times New Roman"/>
                <w:sz w:val="26"/>
                <w:szCs w:val="26"/>
                <w:lang w:val="lv-LV" w:eastAsia="lv-LV"/>
              </w:rPr>
            </w:pPr>
            <w:r w:rsidRPr="006640AA">
              <w:rPr>
                <w:sz w:val="26"/>
                <w:szCs w:val="26"/>
                <w:lang w:val="lv-LV"/>
              </w:rPr>
              <w:t>Projekta izstrādē iesaistītās institūcijas un publiskas personas kapitālsabiedrības</w:t>
            </w:r>
          </w:p>
        </w:tc>
        <w:tc>
          <w:tcPr>
            <w:tcW w:w="7047" w:type="dxa"/>
            <w:tcBorders>
              <w:top w:val="outset" w:sz="6" w:space="0" w:color="414142"/>
              <w:left w:val="outset" w:sz="6" w:space="0" w:color="414142"/>
              <w:bottom w:val="outset" w:sz="6" w:space="0" w:color="414142"/>
              <w:right w:val="outset" w:sz="6" w:space="0" w:color="414142"/>
            </w:tcBorders>
            <w:hideMark/>
          </w:tcPr>
          <w:p w14:paraId="1C1732C9" w14:textId="0B5F386F" w:rsidR="00844176" w:rsidRPr="006640AA" w:rsidRDefault="00CE0AC5" w:rsidP="00B043DE">
            <w:pPr>
              <w:ind w:left="-31"/>
              <w:contextualSpacing/>
              <w:rPr>
                <w:rFonts w:eastAsia="Times New Roman"/>
                <w:sz w:val="26"/>
                <w:szCs w:val="26"/>
                <w:lang w:val="lv-LV" w:eastAsia="lv-LV"/>
              </w:rPr>
            </w:pPr>
            <w:r w:rsidRPr="006640AA">
              <w:rPr>
                <w:sz w:val="26"/>
                <w:szCs w:val="26"/>
                <w:lang w:val="lv-LV"/>
              </w:rPr>
              <w:t>E</w:t>
            </w:r>
            <w:r w:rsidR="00547ACF" w:rsidRPr="006640AA">
              <w:rPr>
                <w:sz w:val="26"/>
                <w:szCs w:val="26"/>
                <w:lang w:val="lv-LV"/>
              </w:rPr>
              <w:t>konomikas ministrija</w:t>
            </w:r>
            <w:r w:rsidRPr="006640AA">
              <w:rPr>
                <w:sz w:val="26"/>
                <w:szCs w:val="26"/>
                <w:lang w:val="lv-LV"/>
              </w:rPr>
              <w:t xml:space="preserve">, </w:t>
            </w:r>
            <w:r w:rsidR="00547ACF" w:rsidRPr="006640AA">
              <w:rPr>
                <w:sz w:val="26"/>
                <w:szCs w:val="26"/>
                <w:lang w:val="lv-LV"/>
              </w:rPr>
              <w:t>sabiedrība “Altum”</w:t>
            </w:r>
            <w:r w:rsidR="00180DBF" w:rsidRPr="006640AA">
              <w:rPr>
                <w:sz w:val="26"/>
                <w:szCs w:val="26"/>
                <w:lang w:val="lv-LV"/>
              </w:rPr>
              <w:t>.</w:t>
            </w:r>
          </w:p>
        </w:tc>
      </w:tr>
      <w:tr w:rsidR="00844176" w:rsidRPr="006640AA" w14:paraId="3C98D228" w14:textId="77777777" w:rsidTr="00B84453">
        <w:tc>
          <w:tcPr>
            <w:tcW w:w="418"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4.</w:t>
            </w:r>
          </w:p>
        </w:tc>
        <w:tc>
          <w:tcPr>
            <w:tcW w:w="1883"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Cita informācija</w:t>
            </w:r>
          </w:p>
        </w:tc>
        <w:tc>
          <w:tcPr>
            <w:tcW w:w="7047" w:type="dxa"/>
            <w:tcBorders>
              <w:top w:val="outset" w:sz="6" w:space="0" w:color="414142"/>
              <w:left w:val="outset" w:sz="6" w:space="0" w:color="414142"/>
              <w:bottom w:val="outset" w:sz="6" w:space="0" w:color="414142"/>
              <w:right w:val="outset" w:sz="6" w:space="0" w:color="414142"/>
            </w:tcBorders>
            <w:hideMark/>
          </w:tcPr>
          <w:p w14:paraId="5D4509E1" w14:textId="5346491F" w:rsidR="00A22AB0" w:rsidRPr="0004320C" w:rsidRDefault="0004320C" w:rsidP="00D96DD6">
            <w:pPr>
              <w:contextualSpacing/>
              <w:rPr>
                <w:rFonts w:eastAsia="Times New Roman"/>
                <w:sz w:val="26"/>
                <w:szCs w:val="26"/>
                <w:lang w:val="lv-LV" w:eastAsia="lv-LV"/>
              </w:rPr>
            </w:pPr>
            <w:r w:rsidRPr="0004320C">
              <w:rPr>
                <w:sz w:val="26"/>
                <w:szCs w:val="26"/>
                <w:lang w:val="lv-LV"/>
              </w:rPr>
              <w:t>Programmas pagarinājums tiks nodrošināts programmai piešķirtā finansējuma 20 milj. euro apmērā ietvaros</w:t>
            </w:r>
          </w:p>
        </w:tc>
      </w:tr>
    </w:tbl>
    <w:p w14:paraId="00447F19" w14:textId="3BFE4D51" w:rsidR="009A00EB" w:rsidRPr="006640AA" w:rsidRDefault="009A00EB" w:rsidP="00B043DE">
      <w:pPr>
        <w:contextualSpacing/>
        <w:rPr>
          <w:rFonts w:eastAsia="Times New Roman"/>
          <w:sz w:val="26"/>
          <w:szCs w:val="26"/>
          <w:lang w:val="lv-LV" w:eastAsia="lv-LV"/>
        </w:rPr>
      </w:pPr>
    </w:p>
    <w:tbl>
      <w:tblPr>
        <w:tblW w:w="935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379"/>
      </w:tblGrid>
      <w:tr w:rsidR="00844176" w:rsidRPr="00EE05A5" w14:paraId="5271E387" w14:textId="77777777" w:rsidTr="00FA4414">
        <w:trPr>
          <w:trHeight w:val="555"/>
        </w:trPr>
        <w:tc>
          <w:tcPr>
            <w:tcW w:w="9351"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6640AA" w:rsidRDefault="009A00EB" w:rsidP="00B043DE">
            <w:pPr>
              <w:contextualSpacing/>
              <w:jc w:val="center"/>
              <w:rPr>
                <w:rFonts w:eastAsia="Times New Roman"/>
                <w:sz w:val="26"/>
                <w:szCs w:val="26"/>
                <w:lang w:val="lv-LV" w:eastAsia="lv-LV"/>
              </w:rPr>
            </w:pPr>
            <w:r w:rsidRPr="006640AA">
              <w:rPr>
                <w:rFonts w:eastAsia="Times New Roman"/>
                <w:b/>
                <w:bCs/>
                <w:sz w:val="26"/>
                <w:szCs w:val="26"/>
                <w:lang w:val="lv-LV" w:eastAsia="lv-LV"/>
              </w:rPr>
              <w:t>II. Tiesību akta projekta ietekme uz sabiedrību, tautsaimniecības attīstību un administratīvo slogu</w:t>
            </w:r>
          </w:p>
        </w:tc>
      </w:tr>
      <w:tr w:rsidR="00A76C0A" w:rsidRPr="00EE05A5" w14:paraId="7F8630C6" w14:textId="77777777" w:rsidTr="00FA4414">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lastRenderedPageBreak/>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640FE822"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Sabiedrības mēr</w:t>
            </w:r>
            <w:r w:rsidR="00FD7C45">
              <w:rPr>
                <w:rFonts w:eastAsia="Times New Roman"/>
                <w:sz w:val="26"/>
                <w:szCs w:val="26"/>
                <w:lang w:val="lv-LV" w:eastAsia="lv-LV"/>
              </w:rPr>
              <w:t>ķ</w:t>
            </w:r>
            <w:r w:rsidRPr="006640AA">
              <w:rPr>
                <w:rFonts w:eastAsia="Times New Roman"/>
                <w:sz w:val="26"/>
                <w:szCs w:val="26"/>
                <w:lang w:val="lv-LV" w:eastAsia="lv-LV"/>
              </w:rPr>
              <w:t>grupas, kuras tiesiskais regulējums ietekmē vai varētu ietekmēt</w:t>
            </w:r>
          </w:p>
        </w:tc>
        <w:tc>
          <w:tcPr>
            <w:tcW w:w="6379" w:type="dxa"/>
            <w:tcBorders>
              <w:top w:val="single" w:sz="4" w:space="0" w:color="auto"/>
              <w:left w:val="outset" w:sz="6" w:space="0" w:color="414142"/>
              <w:bottom w:val="outset" w:sz="6" w:space="0" w:color="414142"/>
              <w:right w:val="outset" w:sz="6" w:space="0" w:color="414142"/>
            </w:tcBorders>
            <w:hideMark/>
          </w:tcPr>
          <w:p w14:paraId="3D58F5B8" w14:textId="4F72C3E7" w:rsidR="009A00EB" w:rsidRPr="006640AA" w:rsidRDefault="00151F22" w:rsidP="008E71BC">
            <w:pPr>
              <w:jc w:val="both"/>
              <w:rPr>
                <w:sz w:val="26"/>
                <w:szCs w:val="26"/>
                <w:lang w:val="lv-LV"/>
              </w:rPr>
            </w:pPr>
            <w:r w:rsidRPr="006640AA">
              <w:rPr>
                <w:sz w:val="26"/>
                <w:szCs w:val="26"/>
                <w:lang w:val="lv-LV"/>
              </w:rPr>
              <w:t xml:space="preserve">Latvijā reģistrēti ap 250 lielie komersanti, indikatīvi tie būs </w:t>
            </w:r>
            <w:r w:rsidR="00526473" w:rsidRPr="006640AA">
              <w:rPr>
                <w:sz w:val="26"/>
                <w:szCs w:val="26"/>
                <w:lang w:val="lv-LV"/>
              </w:rPr>
              <w:t>8</w:t>
            </w:r>
            <w:r w:rsidRPr="006640AA">
              <w:rPr>
                <w:sz w:val="26"/>
                <w:szCs w:val="26"/>
                <w:lang w:val="lv-LV"/>
              </w:rPr>
              <w:t xml:space="preserve"> lielie uzņēmumi, kas saņems atbalstu. Sabiedrība “Altum”.</w:t>
            </w:r>
            <w:r w:rsidR="008E71BC" w:rsidRPr="00C77C41">
              <w:rPr>
                <w:rFonts w:ascii="Century Gothic" w:hAnsi="Century Gothic"/>
                <w:lang w:val="lv-LV"/>
              </w:rPr>
              <w:t xml:space="preserve"> </w:t>
            </w:r>
          </w:p>
          <w:p w14:paraId="3D68FB87" w14:textId="18DE2A6F" w:rsidR="005E6955" w:rsidRPr="006640AA" w:rsidRDefault="008E71BC" w:rsidP="00B043DE">
            <w:pPr>
              <w:ind w:right="201"/>
              <w:contextualSpacing/>
              <w:jc w:val="both"/>
              <w:rPr>
                <w:sz w:val="26"/>
                <w:szCs w:val="26"/>
                <w:lang w:val="lv-LV"/>
              </w:rPr>
            </w:pPr>
            <w:r w:rsidRPr="006640AA">
              <w:rPr>
                <w:sz w:val="26"/>
                <w:szCs w:val="26"/>
                <w:lang w:val="lv-LV"/>
              </w:rPr>
              <w:t>Krīzes garantiju programmas īstenošanas laikā ar programmai paredzēto finansējumu plānots nodrošināt garantijas komercbanku pakalpojumiem summā līdz 240 milj. euro apmērā.</w:t>
            </w:r>
            <w:r w:rsidR="00137E32">
              <w:rPr>
                <w:sz w:val="26"/>
                <w:szCs w:val="26"/>
                <w:lang w:val="lv-LV"/>
              </w:rPr>
              <w:t xml:space="preserve"> </w:t>
            </w:r>
          </w:p>
        </w:tc>
      </w:tr>
      <w:tr w:rsidR="00A76C0A" w:rsidRPr="00EE05A5" w14:paraId="718E705D" w14:textId="77777777" w:rsidTr="00FA44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Tiesiskā regulējuma ietekme uz tautsaimniecību un administratīvo slogu</w:t>
            </w:r>
          </w:p>
        </w:tc>
        <w:tc>
          <w:tcPr>
            <w:tcW w:w="6379" w:type="dxa"/>
            <w:tcBorders>
              <w:top w:val="outset" w:sz="6" w:space="0" w:color="414142"/>
              <w:left w:val="outset" w:sz="6" w:space="0" w:color="414142"/>
              <w:bottom w:val="outset" w:sz="6" w:space="0" w:color="414142"/>
              <w:right w:val="outset" w:sz="6" w:space="0" w:color="414142"/>
            </w:tcBorders>
            <w:hideMark/>
          </w:tcPr>
          <w:p w14:paraId="33918B01" w14:textId="4FB80800" w:rsidR="009A00EB" w:rsidRPr="006640AA" w:rsidRDefault="008B7841" w:rsidP="00B043DE">
            <w:pPr>
              <w:pStyle w:val="BodyText"/>
              <w:ind w:right="201"/>
              <w:contextualSpacing/>
              <w:rPr>
                <w:rFonts w:eastAsia="Calibri"/>
                <w:sz w:val="26"/>
                <w:szCs w:val="26"/>
                <w:lang w:eastAsia="en-US"/>
              </w:rPr>
            </w:pPr>
            <w:r w:rsidRPr="006640AA">
              <w:rPr>
                <w:sz w:val="26"/>
                <w:szCs w:val="26"/>
              </w:rPr>
              <w:t xml:space="preserve">Ar MK Noteikumu projektu tiek </w:t>
            </w:r>
            <w:r>
              <w:rPr>
                <w:sz w:val="26"/>
                <w:szCs w:val="26"/>
              </w:rPr>
              <w:t>turpināta</w:t>
            </w:r>
            <w:r w:rsidRPr="006640AA">
              <w:rPr>
                <w:sz w:val="26"/>
                <w:szCs w:val="26"/>
              </w:rPr>
              <w:t xml:space="preserve"> atbalsta </w:t>
            </w:r>
            <w:r>
              <w:rPr>
                <w:sz w:val="26"/>
                <w:szCs w:val="26"/>
              </w:rPr>
              <w:t>programma</w:t>
            </w:r>
            <w:r w:rsidR="00137E32">
              <w:rPr>
                <w:sz w:val="26"/>
                <w:szCs w:val="26"/>
              </w:rPr>
              <w:t>s</w:t>
            </w:r>
            <w:r>
              <w:rPr>
                <w:sz w:val="26"/>
                <w:szCs w:val="26"/>
              </w:rPr>
              <w:t xml:space="preserve"> </w:t>
            </w:r>
            <w:r w:rsidR="00137E32">
              <w:rPr>
                <w:sz w:val="26"/>
                <w:szCs w:val="26"/>
              </w:rPr>
              <w:t xml:space="preserve">pieejamība </w:t>
            </w:r>
            <w:r>
              <w:rPr>
                <w:sz w:val="26"/>
                <w:szCs w:val="26"/>
              </w:rPr>
              <w:t>pēc 202</w:t>
            </w:r>
            <w:r w:rsidRPr="0085126A">
              <w:rPr>
                <w:sz w:val="26"/>
                <w:szCs w:val="26"/>
              </w:rPr>
              <w:t>0</w:t>
            </w:r>
            <w:r>
              <w:rPr>
                <w:sz w:val="26"/>
                <w:szCs w:val="26"/>
              </w:rPr>
              <w:t>.gada 30.jūnija</w:t>
            </w:r>
            <w:r w:rsidRPr="006640AA">
              <w:rPr>
                <w:sz w:val="26"/>
                <w:szCs w:val="26"/>
              </w:rPr>
              <w:t xml:space="preserve">, tādējādi paredzams, ka komersantiem tiek radīta labvēlīgāka normatīvā vide lielo komersantu komercdarbības projektu īstenošanai un dīkstāves mazināšanai Covid-19 apstākļos. </w:t>
            </w:r>
            <w:r w:rsidR="00137E32">
              <w:rPr>
                <w:sz w:val="26"/>
                <w:szCs w:val="26"/>
              </w:rPr>
              <w:t>MK Noteikumu projekts nemaina līdz šim noteiktās atbalsta saņemšanas procedūras</w:t>
            </w:r>
            <w:r w:rsidR="00DE4ED9">
              <w:rPr>
                <w:sz w:val="26"/>
                <w:szCs w:val="26"/>
              </w:rPr>
              <w:t xml:space="preserve">. </w:t>
            </w:r>
            <w:r w:rsidRPr="006640AA">
              <w:rPr>
                <w:sz w:val="26"/>
                <w:szCs w:val="26"/>
              </w:rPr>
              <w:t>Šobrīd skaitliskie aprēķini nav iespējami, bet paredzams, ka ietekmēs jau līdz šim komersantu izrādīto interesi no transporta pakalpojumu, mazumtirdzniecību, vairumtirdzniecības jomām, kā arī palielināsies citu nozaru pārstāvēto komersantu interese atbalsta saņemšanai</w:t>
            </w:r>
            <w:r w:rsidR="00137E32">
              <w:rPr>
                <w:sz w:val="26"/>
                <w:szCs w:val="26"/>
              </w:rPr>
              <w:t>.</w:t>
            </w:r>
          </w:p>
        </w:tc>
      </w:tr>
      <w:tr w:rsidR="00A76C0A" w:rsidRPr="006640AA" w14:paraId="6AF18C8D" w14:textId="77777777" w:rsidTr="00FA44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Administratīvo izmaksu monetārs novērtējums</w:t>
            </w:r>
          </w:p>
        </w:tc>
        <w:tc>
          <w:tcPr>
            <w:tcW w:w="6379" w:type="dxa"/>
            <w:tcBorders>
              <w:top w:val="outset" w:sz="6" w:space="0" w:color="414142"/>
              <w:left w:val="outset" w:sz="6" w:space="0" w:color="414142"/>
              <w:bottom w:val="outset" w:sz="6" w:space="0" w:color="414142"/>
              <w:right w:val="outset" w:sz="6" w:space="0" w:color="414142"/>
            </w:tcBorders>
            <w:hideMark/>
          </w:tcPr>
          <w:p w14:paraId="1C2C4F79" w14:textId="17AC31E6" w:rsidR="009A00EB" w:rsidRPr="006640AA" w:rsidRDefault="003D0F93" w:rsidP="00B043DE">
            <w:pPr>
              <w:pStyle w:val="BodyText"/>
              <w:ind w:right="201"/>
              <w:contextualSpacing/>
              <w:rPr>
                <w:rFonts w:eastAsia="Calibri"/>
                <w:sz w:val="26"/>
                <w:szCs w:val="26"/>
                <w:lang w:eastAsia="en-US"/>
              </w:rPr>
            </w:pPr>
            <w:r w:rsidRPr="006640AA">
              <w:rPr>
                <w:iCs/>
                <w:sz w:val="26"/>
                <w:szCs w:val="26"/>
              </w:rPr>
              <w:t>MK Noteikumu projekts</w:t>
            </w:r>
            <w:r w:rsidRPr="006640AA" w:rsidDel="003D0F93">
              <w:rPr>
                <w:rFonts w:eastAsia="Calibri"/>
                <w:sz w:val="26"/>
                <w:szCs w:val="26"/>
                <w:lang w:eastAsia="en-US"/>
              </w:rPr>
              <w:t xml:space="preserve"> </w:t>
            </w:r>
            <w:r w:rsidR="009A00EB" w:rsidRPr="006640AA">
              <w:rPr>
                <w:rFonts w:eastAsia="Calibri"/>
                <w:sz w:val="26"/>
                <w:szCs w:val="26"/>
                <w:lang w:eastAsia="en-US"/>
              </w:rPr>
              <w:t>šo jomu neskar</w:t>
            </w:r>
            <w:r w:rsidR="006900EA" w:rsidRPr="006640AA">
              <w:rPr>
                <w:rFonts w:eastAsia="Calibri"/>
                <w:sz w:val="26"/>
                <w:szCs w:val="26"/>
                <w:lang w:eastAsia="en-US"/>
              </w:rPr>
              <w:t>.</w:t>
            </w:r>
          </w:p>
        </w:tc>
      </w:tr>
      <w:tr w:rsidR="00A76C0A" w:rsidRPr="006640AA" w14:paraId="259E0982" w14:textId="77777777" w:rsidTr="00FA4414">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Atbilstības izmaksu monetārs novērtējums</w:t>
            </w:r>
          </w:p>
        </w:tc>
        <w:tc>
          <w:tcPr>
            <w:tcW w:w="6379" w:type="dxa"/>
            <w:tcBorders>
              <w:top w:val="outset" w:sz="6" w:space="0" w:color="auto"/>
              <w:left w:val="outset" w:sz="6" w:space="0" w:color="auto"/>
              <w:bottom w:val="outset" w:sz="6" w:space="0" w:color="auto"/>
              <w:right w:val="outset" w:sz="6" w:space="0" w:color="auto"/>
            </w:tcBorders>
          </w:tcPr>
          <w:p w14:paraId="7C60B8CA" w14:textId="4403037F" w:rsidR="009A00EB" w:rsidRPr="006640AA" w:rsidRDefault="003D0F93" w:rsidP="00B043DE">
            <w:pPr>
              <w:pStyle w:val="BodyText"/>
              <w:ind w:right="201"/>
              <w:contextualSpacing/>
              <w:rPr>
                <w:rFonts w:eastAsia="Calibri"/>
                <w:sz w:val="26"/>
                <w:szCs w:val="26"/>
                <w:lang w:eastAsia="en-US"/>
              </w:rPr>
            </w:pPr>
            <w:r w:rsidRPr="006640AA">
              <w:rPr>
                <w:iCs/>
                <w:sz w:val="26"/>
                <w:szCs w:val="26"/>
              </w:rPr>
              <w:t>MK Noteikumu projekts</w:t>
            </w:r>
            <w:r w:rsidRPr="006640AA" w:rsidDel="003D0F93">
              <w:rPr>
                <w:rFonts w:eastAsia="Calibri"/>
                <w:sz w:val="26"/>
                <w:szCs w:val="26"/>
                <w:lang w:eastAsia="en-US"/>
              </w:rPr>
              <w:t xml:space="preserve"> </w:t>
            </w:r>
            <w:r w:rsidR="009A00EB" w:rsidRPr="006640AA">
              <w:rPr>
                <w:rFonts w:eastAsia="Calibri"/>
                <w:sz w:val="26"/>
                <w:szCs w:val="26"/>
                <w:lang w:eastAsia="en-US"/>
              </w:rPr>
              <w:t>šo jomu neskar</w:t>
            </w:r>
            <w:r w:rsidR="006900EA" w:rsidRPr="006640AA">
              <w:rPr>
                <w:rFonts w:eastAsia="Calibri"/>
                <w:sz w:val="26"/>
                <w:szCs w:val="26"/>
                <w:lang w:eastAsia="en-US"/>
              </w:rPr>
              <w:t>.</w:t>
            </w:r>
          </w:p>
        </w:tc>
      </w:tr>
      <w:tr w:rsidR="00A76C0A" w:rsidRPr="006640AA" w14:paraId="14FCA979" w14:textId="77777777" w:rsidTr="00FA441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6640AA" w:rsidRDefault="009A00EB" w:rsidP="00B043DE">
            <w:pPr>
              <w:ind w:right="201"/>
              <w:contextualSpacing/>
              <w:jc w:val="both"/>
              <w:rPr>
                <w:sz w:val="26"/>
                <w:szCs w:val="26"/>
                <w:lang w:val="lv-LV"/>
              </w:rPr>
            </w:pPr>
            <w:r w:rsidRPr="006640AA">
              <w:rPr>
                <w:sz w:val="26"/>
                <w:szCs w:val="26"/>
                <w:lang w:val="lv-LV"/>
              </w:rPr>
              <w:t>Nav</w:t>
            </w:r>
          </w:p>
        </w:tc>
      </w:tr>
    </w:tbl>
    <w:p w14:paraId="57F14BC5" w14:textId="001CFD96" w:rsidR="00844176" w:rsidRPr="006640AA" w:rsidRDefault="00844176" w:rsidP="00B043DE">
      <w:pPr>
        <w:contextualSpacing/>
        <w:rPr>
          <w:rFonts w:eastAsia="Times New Roman"/>
          <w:sz w:val="26"/>
          <w:szCs w:val="26"/>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CD433A" w:rsidRPr="00EE05A5" w14:paraId="1F2AB1AA" w14:textId="77777777" w:rsidTr="008F2FCB">
        <w:tc>
          <w:tcPr>
            <w:tcW w:w="9348"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E6A4D78" w14:textId="4D0B9837" w:rsidR="00CD433A" w:rsidRPr="006640AA" w:rsidRDefault="00CD433A" w:rsidP="00CD433A">
            <w:pPr>
              <w:contextualSpacing/>
              <w:jc w:val="center"/>
              <w:rPr>
                <w:b/>
                <w:sz w:val="26"/>
                <w:szCs w:val="26"/>
                <w:lang w:val="lv-LV"/>
              </w:rPr>
            </w:pPr>
            <w:r w:rsidRPr="006640AA">
              <w:rPr>
                <w:rFonts w:eastAsia="Times New Roman"/>
                <w:b/>
                <w:bCs/>
                <w:iCs/>
                <w:sz w:val="26"/>
                <w:szCs w:val="26"/>
                <w:lang w:val="lv-LV" w:eastAsia="lv-LV"/>
              </w:rPr>
              <w:t>III. Tiesību akta projekta ietekme uz valsts budžetu un pašvaldību budžetiem</w:t>
            </w:r>
          </w:p>
        </w:tc>
      </w:tr>
      <w:tr w:rsidR="00CD433A" w:rsidRPr="006640AA" w14:paraId="2F0ABF03" w14:textId="77777777" w:rsidTr="008F2FCB">
        <w:tc>
          <w:tcPr>
            <w:tcW w:w="9348" w:type="dxa"/>
            <w:tcBorders>
              <w:top w:val="outset" w:sz="6" w:space="0" w:color="414142"/>
              <w:left w:val="outset" w:sz="6" w:space="0" w:color="414142"/>
              <w:bottom w:val="outset" w:sz="6" w:space="0" w:color="414142"/>
              <w:right w:val="outset" w:sz="6" w:space="0" w:color="414142"/>
            </w:tcBorders>
            <w:shd w:val="clear" w:color="auto" w:fill="auto"/>
            <w:vAlign w:val="center"/>
          </w:tcPr>
          <w:p w14:paraId="43EE7BA8" w14:textId="50DB5297" w:rsidR="00CD433A" w:rsidRPr="006640AA" w:rsidRDefault="00CD433A" w:rsidP="00CD433A">
            <w:pPr>
              <w:contextualSpacing/>
              <w:jc w:val="center"/>
              <w:rPr>
                <w:b/>
                <w:color w:val="000000" w:themeColor="text1"/>
                <w:sz w:val="26"/>
                <w:szCs w:val="26"/>
                <w:lang w:val="lv-LV"/>
              </w:rPr>
            </w:pPr>
            <w:r w:rsidRPr="006640AA">
              <w:rPr>
                <w:rFonts w:eastAsia="Times New Roman"/>
                <w:iCs/>
                <w:color w:val="000000" w:themeColor="text1"/>
                <w:sz w:val="26"/>
                <w:szCs w:val="26"/>
                <w:lang w:val="lv-LV" w:eastAsia="lv-LV"/>
              </w:rPr>
              <w:t>MK Noteikumu projekts šo jomu neskar.</w:t>
            </w:r>
          </w:p>
        </w:tc>
      </w:tr>
      <w:tr w:rsidR="00794E33" w:rsidRPr="006640AA" w14:paraId="07C3ABEE" w14:textId="77777777" w:rsidTr="008F2FCB">
        <w:tc>
          <w:tcPr>
            <w:tcW w:w="934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901DE8D" w14:textId="4F954A53" w:rsidR="00794E33" w:rsidRPr="006640AA" w:rsidRDefault="00794E33" w:rsidP="00794E33">
            <w:pPr>
              <w:contextualSpacing/>
              <w:jc w:val="center"/>
              <w:rPr>
                <w:rFonts w:eastAsia="Times New Roman"/>
                <w:sz w:val="26"/>
                <w:szCs w:val="26"/>
                <w:lang w:val="lv-LV" w:eastAsia="lv-LV"/>
              </w:rPr>
            </w:pPr>
            <w:r w:rsidRPr="006640AA">
              <w:rPr>
                <w:rFonts w:eastAsia="Times New Roman"/>
                <w:b/>
                <w:bCs/>
                <w:color w:val="000000" w:themeColor="text1"/>
                <w:sz w:val="26"/>
                <w:szCs w:val="26"/>
                <w:lang w:val="lv-LV" w:eastAsia="lv-LV"/>
              </w:rPr>
              <w:t>IV. Tiesību akta projekta ietekme uz spēkā esošo tiesību normu sistēmu</w:t>
            </w:r>
          </w:p>
        </w:tc>
      </w:tr>
      <w:tr w:rsidR="008B7841" w:rsidRPr="006640AA" w14:paraId="17F7F902" w14:textId="77777777" w:rsidTr="00563112">
        <w:tc>
          <w:tcPr>
            <w:tcW w:w="9348"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13D4E77" w14:textId="3D2B269F" w:rsidR="008B7841" w:rsidRPr="008B7841" w:rsidRDefault="008B7841" w:rsidP="008B7841">
            <w:pPr>
              <w:spacing w:before="120"/>
              <w:ind w:right="250"/>
              <w:jc w:val="center"/>
              <w:rPr>
                <w:rFonts w:eastAsia="Times New Roman"/>
                <w:sz w:val="26"/>
                <w:szCs w:val="26"/>
                <w:lang w:val="lv-LV"/>
              </w:rPr>
            </w:pPr>
            <w:r w:rsidRPr="006640AA">
              <w:rPr>
                <w:rFonts w:eastAsia="Times New Roman"/>
                <w:iCs/>
                <w:color w:val="000000" w:themeColor="text1"/>
                <w:sz w:val="26"/>
                <w:szCs w:val="26"/>
                <w:lang w:val="lv-LV" w:eastAsia="lv-LV"/>
              </w:rPr>
              <w:t>MK Noteikumu projekts šo jomu neskar.</w:t>
            </w:r>
          </w:p>
        </w:tc>
      </w:tr>
    </w:tbl>
    <w:p w14:paraId="1F45E5ED" w14:textId="2B4DD16B" w:rsidR="00844176" w:rsidRPr="006640AA" w:rsidRDefault="00844176" w:rsidP="00B043DE">
      <w:pPr>
        <w:contextualSpacing/>
        <w:rPr>
          <w:sz w:val="26"/>
          <w:szCs w:val="26"/>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2126"/>
        <w:gridCol w:w="6521"/>
      </w:tblGrid>
      <w:tr w:rsidR="00794E33" w:rsidRPr="006640AA" w14:paraId="71F263D6" w14:textId="77777777" w:rsidTr="008F2FCB">
        <w:tc>
          <w:tcPr>
            <w:tcW w:w="701" w:type="dxa"/>
            <w:tcBorders>
              <w:top w:val="outset" w:sz="6" w:space="0" w:color="414142"/>
              <w:left w:val="outset" w:sz="6" w:space="0" w:color="414142"/>
              <w:bottom w:val="outset" w:sz="6" w:space="0" w:color="414142"/>
              <w:right w:val="outset" w:sz="6" w:space="0" w:color="414142"/>
            </w:tcBorders>
          </w:tcPr>
          <w:p w14:paraId="64320A8C" w14:textId="77777777" w:rsidR="00794E33" w:rsidRPr="006640AA" w:rsidRDefault="00794E33" w:rsidP="00CD059C">
            <w:pPr>
              <w:contextualSpacing/>
              <w:jc w:val="center"/>
              <w:rPr>
                <w:b/>
                <w:sz w:val="26"/>
                <w:szCs w:val="26"/>
                <w:lang w:val="lv-LV"/>
              </w:rPr>
            </w:pPr>
          </w:p>
        </w:tc>
        <w:tc>
          <w:tcPr>
            <w:tcW w:w="86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14:paraId="64C19808" w14:textId="10DC082B" w:rsidR="00794E33" w:rsidRPr="006640AA" w:rsidRDefault="00794E33" w:rsidP="00CD059C">
            <w:pPr>
              <w:contextualSpacing/>
              <w:jc w:val="center"/>
              <w:rPr>
                <w:rFonts w:eastAsia="Times New Roman"/>
                <w:sz w:val="26"/>
                <w:szCs w:val="26"/>
                <w:lang w:val="lv-LV" w:eastAsia="lv-LV"/>
              </w:rPr>
            </w:pPr>
            <w:r w:rsidRPr="006640AA">
              <w:rPr>
                <w:b/>
                <w:sz w:val="26"/>
                <w:szCs w:val="26"/>
                <w:lang w:val="lv-LV"/>
              </w:rPr>
              <w:t>V. Tiesību akta projekta atbilstība Latvijas Republikas starptautiskajām saistībām</w:t>
            </w:r>
          </w:p>
        </w:tc>
      </w:tr>
      <w:tr w:rsidR="00794E33" w:rsidRPr="006640AA" w14:paraId="4D4FEDF7" w14:textId="77777777" w:rsidTr="008F2FCB">
        <w:tc>
          <w:tcPr>
            <w:tcW w:w="701" w:type="dxa"/>
            <w:tcBorders>
              <w:top w:val="outset" w:sz="6" w:space="0" w:color="414142"/>
              <w:left w:val="outset" w:sz="6" w:space="0" w:color="414142"/>
              <w:bottom w:val="outset" w:sz="6" w:space="0" w:color="414142"/>
              <w:right w:val="outset" w:sz="6" w:space="0" w:color="414142"/>
            </w:tcBorders>
          </w:tcPr>
          <w:p w14:paraId="12193A39" w14:textId="20B9BD2D"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1.</w:t>
            </w:r>
          </w:p>
        </w:tc>
        <w:tc>
          <w:tcPr>
            <w:tcW w:w="2126" w:type="dxa"/>
            <w:tcBorders>
              <w:top w:val="outset" w:sz="6" w:space="0" w:color="414142"/>
              <w:left w:val="outset" w:sz="6" w:space="0" w:color="414142"/>
              <w:bottom w:val="outset" w:sz="6" w:space="0" w:color="414142"/>
              <w:right w:val="outset" w:sz="6" w:space="0" w:color="414142"/>
            </w:tcBorders>
            <w:shd w:val="clear" w:color="auto" w:fill="auto"/>
            <w:hideMark/>
          </w:tcPr>
          <w:p w14:paraId="7AED0F63" w14:textId="6ECB8E26"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Saistības pret Eiropas Savienību</w:t>
            </w:r>
          </w:p>
        </w:tc>
        <w:tc>
          <w:tcPr>
            <w:tcW w:w="6521" w:type="dxa"/>
            <w:tcBorders>
              <w:top w:val="outset" w:sz="6" w:space="0" w:color="414142"/>
              <w:left w:val="outset" w:sz="6" w:space="0" w:color="414142"/>
              <w:bottom w:val="outset" w:sz="6" w:space="0" w:color="414142"/>
              <w:right w:val="outset" w:sz="6" w:space="0" w:color="414142"/>
            </w:tcBorders>
            <w:shd w:val="clear" w:color="auto" w:fill="auto"/>
            <w:hideMark/>
          </w:tcPr>
          <w:p w14:paraId="2D2DB39A" w14:textId="22ED0629" w:rsidR="00794E33" w:rsidRPr="00137E32" w:rsidRDefault="00B7641E" w:rsidP="00CD059C">
            <w:pPr>
              <w:pStyle w:val="ListParagraph"/>
              <w:ind w:left="105"/>
              <w:jc w:val="both"/>
              <w:rPr>
                <w:sz w:val="26"/>
                <w:szCs w:val="26"/>
                <w:lang w:val="lv-LV"/>
              </w:rPr>
            </w:pPr>
            <w:r w:rsidRPr="00137E32">
              <w:rPr>
                <w:rFonts w:eastAsia="Times New Roman"/>
                <w:color w:val="000000" w:themeColor="text1"/>
                <w:sz w:val="26"/>
                <w:szCs w:val="26"/>
                <w:lang w:val="lv-LV"/>
              </w:rPr>
              <w:t xml:space="preserve">Pagaidu regulējums </w:t>
            </w:r>
            <w:r w:rsidR="00794E33" w:rsidRPr="00137E32">
              <w:rPr>
                <w:color w:val="000000" w:themeColor="text1"/>
                <w:sz w:val="26"/>
                <w:szCs w:val="26"/>
                <w:lang w:val="lv-LV"/>
              </w:rPr>
              <w:t>(t.sk., ar 202</w:t>
            </w:r>
            <w:r w:rsidR="00836F80" w:rsidRPr="00137E32">
              <w:rPr>
                <w:color w:val="000000" w:themeColor="text1"/>
                <w:sz w:val="26"/>
                <w:szCs w:val="26"/>
                <w:lang w:val="lv-LV"/>
              </w:rPr>
              <w:t>1</w:t>
            </w:r>
            <w:r w:rsidR="00794E33" w:rsidRPr="00137E32">
              <w:rPr>
                <w:color w:val="000000" w:themeColor="text1"/>
                <w:sz w:val="26"/>
                <w:szCs w:val="26"/>
                <w:lang w:val="lv-LV"/>
              </w:rPr>
              <w:t xml:space="preserve">.gada </w:t>
            </w:r>
            <w:r w:rsidR="00836F80" w:rsidRPr="00137E32">
              <w:rPr>
                <w:color w:val="000000"/>
                <w:sz w:val="26"/>
                <w:szCs w:val="26"/>
                <w:lang w:val="lv-LV"/>
              </w:rPr>
              <w:t>28.janvāra</w:t>
            </w:r>
            <w:r w:rsidR="00794E33" w:rsidRPr="00137E32">
              <w:rPr>
                <w:color w:val="000000"/>
                <w:sz w:val="26"/>
                <w:szCs w:val="26"/>
                <w:lang w:val="lv-LV"/>
              </w:rPr>
              <w:t xml:space="preserve"> grozījumiem)</w:t>
            </w:r>
            <w:r w:rsidR="00794E33" w:rsidRPr="00137E32">
              <w:rPr>
                <w:sz w:val="26"/>
                <w:szCs w:val="26"/>
                <w:lang w:val="lv-LV"/>
              </w:rPr>
              <w:t>.</w:t>
            </w:r>
          </w:p>
        </w:tc>
      </w:tr>
      <w:tr w:rsidR="00794E33" w:rsidRPr="006640AA" w14:paraId="51848913" w14:textId="77777777" w:rsidTr="008F2FCB">
        <w:tc>
          <w:tcPr>
            <w:tcW w:w="701" w:type="dxa"/>
            <w:tcBorders>
              <w:top w:val="outset" w:sz="6" w:space="0" w:color="414142"/>
              <w:left w:val="outset" w:sz="6" w:space="0" w:color="414142"/>
              <w:bottom w:val="outset" w:sz="6" w:space="0" w:color="414142"/>
              <w:right w:val="outset" w:sz="6" w:space="0" w:color="414142"/>
            </w:tcBorders>
          </w:tcPr>
          <w:p w14:paraId="36BC546F" w14:textId="290AA635"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2.</w:t>
            </w:r>
          </w:p>
        </w:tc>
        <w:tc>
          <w:tcPr>
            <w:tcW w:w="2126" w:type="dxa"/>
            <w:tcBorders>
              <w:top w:val="outset" w:sz="6" w:space="0" w:color="414142"/>
              <w:left w:val="outset" w:sz="6" w:space="0" w:color="414142"/>
              <w:bottom w:val="outset" w:sz="6" w:space="0" w:color="414142"/>
              <w:right w:val="outset" w:sz="6" w:space="0" w:color="414142"/>
            </w:tcBorders>
            <w:shd w:val="clear" w:color="auto" w:fill="auto"/>
            <w:hideMark/>
          </w:tcPr>
          <w:p w14:paraId="0E690077" w14:textId="6CDB5E44"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Citas starptautiskās saistības</w:t>
            </w:r>
          </w:p>
        </w:tc>
        <w:tc>
          <w:tcPr>
            <w:tcW w:w="6521" w:type="dxa"/>
            <w:tcBorders>
              <w:top w:val="outset" w:sz="6" w:space="0" w:color="414142"/>
              <w:left w:val="outset" w:sz="6" w:space="0" w:color="414142"/>
              <w:bottom w:val="outset" w:sz="6" w:space="0" w:color="414142"/>
              <w:right w:val="outset" w:sz="6" w:space="0" w:color="414142"/>
            </w:tcBorders>
            <w:shd w:val="clear" w:color="auto" w:fill="auto"/>
            <w:hideMark/>
          </w:tcPr>
          <w:p w14:paraId="6D437FA3" w14:textId="77777777"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Projekts šo jomu neskar.</w:t>
            </w:r>
          </w:p>
        </w:tc>
      </w:tr>
      <w:tr w:rsidR="00794E33" w:rsidRPr="006640AA" w14:paraId="35D85BB6" w14:textId="77777777" w:rsidTr="008F2FCB">
        <w:tc>
          <w:tcPr>
            <w:tcW w:w="701" w:type="dxa"/>
            <w:tcBorders>
              <w:top w:val="outset" w:sz="6" w:space="0" w:color="414142"/>
              <w:left w:val="outset" w:sz="6" w:space="0" w:color="414142"/>
              <w:bottom w:val="outset" w:sz="6" w:space="0" w:color="414142"/>
              <w:right w:val="outset" w:sz="6" w:space="0" w:color="414142"/>
            </w:tcBorders>
          </w:tcPr>
          <w:p w14:paraId="03E82A62" w14:textId="732133A3"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3.</w:t>
            </w:r>
          </w:p>
        </w:tc>
        <w:tc>
          <w:tcPr>
            <w:tcW w:w="2126" w:type="dxa"/>
            <w:tcBorders>
              <w:top w:val="outset" w:sz="6" w:space="0" w:color="414142"/>
              <w:left w:val="outset" w:sz="6" w:space="0" w:color="414142"/>
              <w:bottom w:val="outset" w:sz="6" w:space="0" w:color="414142"/>
              <w:right w:val="outset" w:sz="6" w:space="0" w:color="414142"/>
            </w:tcBorders>
            <w:shd w:val="clear" w:color="auto" w:fill="auto"/>
            <w:hideMark/>
          </w:tcPr>
          <w:p w14:paraId="648B774A" w14:textId="71FFF85E" w:rsidR="00794E33" w:rsidRPr="006640AA" w:rsidRDefault="00794E33" w:rsidP="00CD059C">
            <w:pPr>
              <w:contextualSpacing/>
              <w:jc w:val="both"/>
              <w:rPr>
                <w:rFonts w:eastAsia="Times New Roman"/>
                <w:sz w:val="26"/>
                <w:szCs w:val="26"/>
                <w:lang w:val="lv-LV" w:eastAsia="lv-LV"/>
              </w:rPr>
            </w:pPr>
            <w:r w:rsidRPr="006640AA">
              <w:rPr>
                <w:rFonts w:eastAsia="Times New Roman"/>
                <w:sz w:val="26"/>
                <w:szCs w:val="26"/>
                <w:lang w:val="lv-LV" w:eastAsia="lv-LV"/>
              </w:rPr>
              <w:t>Cita informācija</w:t>
            </w:r>
          </w:p>
        </w:tc>
        <w:tc>
          <w:tcPr>
            <w:tcW w:w="6521" w:type="dxa"/>
            <w:tcBorders>
              <w:top w:val="outset" w:sz="6" w:space="0" w:color="414142"/>
              <w:left w:val="outset" w:sz="6" w:space="0" w:color="414142"/>
              <w:bottom w:val="outset" w:sz="6" w:space="0" w:color="414142"/>
              <w:right w:val="outset" w:sz="6" w:space="0" w:color="414142"/>
            </w:tcBorders>
            <w:shd w:val="clear" w:color="auto" w:fill="auto"/>
            <w:hideMark/>
          </w:tcPr>
          <w:p w14:paraId="556C4678" w14:textId="26A19714" w:rsidR="00794E33" w:rsidRPr="006640AA" w:rsidRDefault="008B7841" w:rsidP="00CD059C">
            <w:pPr>
              <w:contextualSpacing/>
              <w:jc w:val="both"/>
              <w:rPr>
                <w:rFonts w:eastAsia="Times New Roman"/>
                <w:sz w:val="26"/>
                <w:szCs w:val="26"/>
                <w:lang w:val="lv-LV" w:eastAsia="lv-LV"/>
              </w:rPr>
            </w:pPr>
            <w:r>
              <w:rPr>
                <w:rFonts w:eastAsia="Times New Roman"/>
                <w:sz w:val="26"/>
                <w:szCs w:val="26"/>
                <w:lang w:val="lv-LV" w:eastAsia="lv-LV"/>
              </w:rPr>
              <w:t>Nav.</w:t>
            </w:r>
          </w:p>
        </w:tc>
      </w:tr>
    </w:tbl>
    <w:p w14:paraId="18147B0E" w14:textId="77777777" w:rsidR="00794E33" w:rsidRPr="006640AA" w:rsidRDefault="00794E33" w:rsidP="00B043DE">
      <w:pPr>
        <w:contextualSpacing/>
        <w:rPr>
          <w:sz w:val="26"/>
          <w:szCs w:val="26"/>
          <w:lang w:val="lv-LV"/>
        </w:rPr>
      </w:pPr>
    </w:p>
    <w:tbl>
      <w:tblPr>
        <w:tblW w:w="516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826"/>
        <w:gridCol w:w="1778"/>
        <w:gridCol w:w="2229"/>
        <w:gridCol w:w="2515"/>
      </w:tblGrid>
      <w:tr w:rsidR="00A5551D" w:rsidRPr="00EE05A5" w14:paraId="212A0171" w14:textId="77777777" w:rsidTr="00432155">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6640AA" w:rsidRDefault="00A5551D" w:rsidP="00B043DE">
            <w:pPr>
              <w:jc w:val="center"/>
              <w:rPr>
                <w:rFonts w:eastAsia="Times New Roman"/>
                <w:b/>
                <w:bCs/>
                <w:color w:val="000000" w:themeColor="text1"/>
                <w:sz w:val="26"/>
                <w:szCs w:val="26"/>
                <w:lang w:val="lv-LV" w:eastAsia="lv-LV"/>
              </w:rPr>
            </w:pPr>
            <w:r w:rsidRPr="006640AA">
              <w:rPr>
                <w:rFonts w:eastAsia="Times New Roman"/>
                <w:b/>
                <w:bCs/>
                <w:color w:val="000000" w:themeColor="text1"/>
                <w:sz w:val="26"/>
                <w:szCs w:val="26"/>
                <w:lang w:val="lv-LV" w:eastAsia="lv-LV"/>
              </w:rPr>
              <w:t>1. tabula</w:t>
            </w:r>
            <w:r w:rsidRPr="006640AA">
              <w:rPr>
                <w:rFonts w:eastAsia="Times New Roman"/>
                <w:b/>
                <w:bCs/>
                <w:color w:val="000000" w:themeColor="text1"/>
                <w:sz w:val="26"/>
                <w:szCs w:val="26"/>
                <w:lang w:val="lv-LV" w:eastAsia="lv-LV"/>
              </w:rPr>
              <w:br/>
              <w:t>Tiesību akta projekta atbilstība ES tiesību aktiem</w:t>
            </w:r>
          </w:p>
        </w:tc>
      </w:tr>
      <w:tr w:rsidR="00A5551D" w:rsidRPr="006640AA" w14:paraId="63717CEB" w14:textId="77777777" w:rsidTr="00432155">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6640AA" w:rsidRDefault="00A5551D" w:rsidP="00B043DE">
            <w:pPr>
              <w:rPr>
                <w:rFonts w:eastAsia="Times New Roman"/>
                <w:color w:val="000000" w:themeColor="text1"/>
                <w:sz w:val="26"/>
                <w:szCs w:val="26"/>
                <w:lang w:val="lv-LV" w:eastAsia="lv-LV"/>
              </w:rPr>
            </w:pPr>
            <w:r w:rsidRPr="006640AA">
              <w:rPr>
                <w:rFonts w:eastAsia="Times New Roman"/>
                <w:color w:val="000000" w:themeColor="text1"/>
                <w:sz w:val="26"/>
                <w:szCs w:val="26"/>
                <w:lang w:val="lv-LV" w:eastAsia="lv-LV"/>
              </w:rPr>
              <w:t>Attiecīgā ES tiesību akta datums, numurs un nosaukums</w:t>
            </w:r>
          </w:p>
        </w:tc>
        <w:tc>
          <w:tcPr>
            <w:tcW w:w="348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9A40115" w14:textId="276A05C5" w:rsidR="00AC105D" w:rsidRPr="006640AA" w:rsidRDefault="00777098" w:rsidP="00836F80">
            <w:pPr>
              <w:pStyle w:val="naiskr"/>
              <w:spacing w:before="0" w:after="0"/>
              <w:jc w:val="both"/>
              <w:rPr>
                <w:color w:val="000000" w:themeColor="text1"/>
                <w:sz w:val="26"/>
                <w:szCs w:val="26"/>
              </w:rPr>
            </w:pPr>
            <w:r w:rsidRPr="006640AA">
              <w:rPr>
                <w:color w:val="000000" w:themeColor="text1"/>
                <w:sz w:val="26"/>
                <w:szCs w:val="26"/>
              </w:rPr>
              <w:t>Pagaidu regulējums (202</w:t>
            </w:r>
            <w:r w:rsidR="00836F80">
              <w:rPr>
                <w:color w:val="000000" w:themeColor="text1"/>
                <w:sz w:val="26"/>
                <w:szCs w:val="26"/>
              </w:rPr>
              <w:t>2</w:t>
            </w:r>
            <w:r w:rsidRPr="006640AA">
              <w:rPr>
                <w:color w:val="000000" w:themeColor="text1"/>
                <w:sz w:val="26"/>
                <w:szCs w:val="26"/>
              </w:rPr>
              <w:t xml:space="preserve">.gada </w:t>
            </w:r>
            <w:r w:rsidR="00836F80">
              <w:rPr>
                <w:color w:val="000000" w:themeColor="text1"/>
                <w:sz w:val="26"/>
                <w:szCs w:val="26"/>
              </w:rPr>
              <w:t>28.janvāra</w:t>
            </w:r>
            <w:r w:rsidRPr="006640AA">
              <w:rPr>
                <w:color w:val="000000" w:themeColor="text1"/>
                <w:sz w:val="26"/>
                <w:szCs w:val="26"/>
              </w:rPr>
              <w:t xml:space="preserve"> grozījumi)</w:t>
            </w:r>
            <w:r w:rsidR="00AC105D" w:rsidRPr="006640AA">
              <w:rPr>
                <w:color w:val="000000" w:themeColor="text1"/>
                <w:sz w:val="26"/>
                <w:szCs w:val="26"/>
              </w:rPr>
              <w:t>.</w:t>
            </w:r>
          </w:p>
          <w:p w14:paraId="27AE43F3" w14:textId="0F6E4A9F" w:rsidR="008B0720" w:rsidRPr="006640AA" w:rsidRDefault="008B0720" w:rsidP="00836F80">
            <w:pPr>
              <w:pStyle w:val="naiskr"/>
              <w:spacing w:before="0" w:after="0"/>
              <w:jc w:val="both"/>
              <w:rPr>
                <w:color w:val="000000" w:themeColor="text1"/>
                <w:sz w:val="26"/>
                <w:szCs w:val="26"/>
                <w:lang w:eastAsia="en-US"/>
              </w:rPr>
            </w:pPr>
          </w:p>
        </w:tc>
      </w:tr>
      <w:tr w:rsidR="00A5551D" w:rsidRPr="006640AA" w14:paraId="6EDB5B7C" w14:textId="77777777" w:rsidTr="00432155">
        <w:tc>
          <w:tcPr>
            <w:tcW w:w="151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6640AA" w:rsidRDefault="00A5551D" w:rsidP="00B043DE">
            <w:pPr>
              <w:jc w:val="center"/>
              <w:rPr>
                <w:rFonts w:eastAsia="Times New Roman"/>
                <w:color w:val="000000" w:themeColor="text1"/>
                <w:sz w:val="26"/>
                <w:szCs w:val="26"/>
                <w:lang w:val="lv-LV" w:eastAsia="lv-LV"/>
              </w:rPr>
            </w:pPr>
            <w:r w:rsidRPr="006640AA">
              <w:rPr>
                <w:rFonts w:eastAsia="Times New Roman"/>
                <w:color w:val="000000" w:themeColor="text1"/>
                <w:sz w:val="26"/>
                <w:szCs w:val="26"/>
                <w:lang w:val="lv-LV" w:eastAsia="lv-LV"/>
              </w:rPr>
              <w:t>A</w:t>
            </w:r>
          </w:p>
        </w:tc>
        <w:tc>
          <w:tcPr>
            <w:tcW w:w="95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6640AA" w:rsidRDefault="00A5551D" w:rsidP="00B043DE">
            <w:pPr>
              <w:jc w:val="center"/>
              <w:rPr>
                <w:rFonts w:eastAsia="Times New Roman"/>
                <w:color w:val="414142"/>
                <w:sz w:val="26"/>
                <w:szCs w:val="26"/>
                <w:lang w:val="lv-LV" w:eastAsia="lv-LV"/>
              </w:rPr>
            </w:pPr>
            <w:r w:rsidRPr="006640AA">
              <w:rPr>
                <w:rFonts w:eastAsia="Times New Roman"/>
                <w:color w:val="414142"/>
                <w:sz w:val="26"/>
                <w:szCs w:val="26"/>
                <w:lang w:val="lv-LV" w:eastAsia="lv-LV"/>
              </w:rPr>
              <w:t>B</w:t>
            </w:r>
          </w:p>
        </w:tc>
        <w:tc>
          <w:tcPr>
            <w:tcW w:w="119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6640AA" w:rsidRDefault="00A5551D" w:rsidP="00B043DE">
            <w:pPr>
              <w:jc w:val="center"/>
              <w:rPr>
                <w:rFonts w:eastAsia="Times New Roman"/>
                <w:color w:val="414142"/>
                <w:sz w:val="26"/>
                <w:szCs w:val="26"/>
                <w:lang w:val="lv-LV" w:eastAsia="lv-LV"/>
              </w:rPr>
            </w:pPr>
            <w:r w:rsidRPr="006640AA">
              <w:rPr>
                <w:rFonts w:eastAsia="Times New Roman"/>
                <w:color w:val="414142"/>
                <w:sz w:val="26"/>
                <w:szCs w:val="26"/>
                <w:lang w:val="lv-LV" w:eastAsia="lv-LV"/>
              </w:rPr>
              <w:t>C</w:t>
            </w:r>
          </w:p>
        </w:tc>
        <w:tc>
          <w:tcPr>
            <w:tcW w:w="1346"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6640AA" w:rsidRDefault="00A5551D" w:rsidP="00B043DE">
            <w:pPr>
              <w:jc w:val="center"/>
              <w:rPr>
                <w:rFonts w:eastAsia="Times New Roman"/>
                <w:color w:val="414142"/>
                <w:sz w:val="26"/>
                <w:szCs w:val="26"/>
                <w:lang w:val="lv-LV" w:eastAsia="lv-LV"/>
              </w:rPr>
            </w:pPr>
            <w:r w:rsidRPr="006640AA">
              <w:rPr>
                <w:rFonts w:eastAsia="Times New Roman"/>
                <w:color w:val="414142"/>
                <w:sz w:val="26"/>
                <w:szCs w:val="26"/>
                <w:lang w:val="lv-LV" w:eastAsia="lv-LV"/>
              </w:rPr>
              <w:t>D</w:t>
            </w:r>
          </w:p>
        </w:tc>
      </w:tr>
      <w:tr w:rsidR="001A623D" w:rsidRPr="006640AA" w14:paraId="020231A8" w14:textId="77777777" w:rsidTr="00432155">
        <w:tc>
          <w:tcPr>
            <w:tcW w:w="1512" w:type="pct"/>
            <w:tcBorders>
              <w:top w:val="outset" w:sz="6" w:space="0" w:color="414142"/>
              <w:left w:val="outset" w:sz="6" w:space="0" w:color="414142"/>
              <w:bottom w:val="single" w:sz="4" w:space="0" w:color="auto"/>
              <w:right w:val="outset" w:sz="6" w:space="0" w:color="414142"/>
            </w:tcBorders>
            <w:shd w:val="clear" w:color="auto" w:fill="FFFFFF"/>
            <w:vAlign w:val="center"/>
          </w:tcPr>
          <w:p w14:paraId="555E0101" w14:textId="2D31B501" w:rsidR="001A623D" w:rsidRPr="00B16CE3" w:rsidRDefault="001A623D" w:rsidP="0085126A">
            <w:pPr>
              <w:rPr>
                <w:rFonts w:eastAsia="Times New Roman"/>
                <w:i/>
                <w:iCs/>
                <w:color w:val="000000" w:themeColor="text1"/>
                <w:sz w:val="26"/>
                <w:szCs w:val="26"/>
                <w:lang w:val="lv-LV" w:eastAsia="lv-LV"/>
              </w:rPr>
            </w:pPr>
            <w:r w:rsidRPr="00B16CE3">
              <w:rPr>
                <w:rFonts w:eastAsia="Times New Roman"/>
                <w:i/>
                <w:iCs/>
                <w:color w:val="000000" w:themeColor="text1"/>
                <w:sz w:val="26"/>
                <w:szCs w:val="26"/>
                <w:lang w:val="lv-LV" w:eastAsia="lv-LV"/>
              </w:rPr>
              <w:lastRenderedPageBreak/>
              <w:t>Pagaidu regulējuma 88.punktā noteiktajām prasībām</w:t>
            </w:r>
          </w:p>
        </w:tc>
        <w:tc>
          <w:tcPr>
            <w:tcW w:w="951" w:type="pct"/>
            <w:tcBorders>
              <w:top w:val="outset" w:sz="6" w:space="0" w:color="414142"/>
              <w:left w:val="outset" w:sz="6" w:space="0" w:color="414142"/>
              <w:bottom w:val="single" w:sz="4" w:space="0" w:color="auto"/>
              <w:right w:val="outset" w:sz="6" w:space="0" w:color="414142"/>
            </w:tcBorders>
            <w:shd w:val="clear" w:color="auto" w:fill="FFFFFF"/>
            <w:vAlign w:val="center"/>
          </w:tcPr>
          <w:p w14:paraId="125958C9" w14:textId="40381FD3" w:rsidR="001A623D" w:rsidRPr="00B16CE3" w:rsidRDefault="001A623D" w:rsidP="0085126A">
            <w:pPr>
              <w:rPr>
                <w:rFonts w:eastAsia="Times New Roman"/>
                <w:i/>
                <w:iCs/>
                <w:color w:val="000000" w:themeColor="text1"/>
                <w:sz w:val="26"/>
                <w:szCs w:val="26"/>
                <w:lang w:val="lv-LV" w:eastAsia="lv-LV"/>
              </w:rPr>
            </w:pPr>
            <w:r w:rsidRPr="00B16CE3">
              <w:rPr>
                <w:rFonts w:eastAsia="Times New Roman"/>
                <w:i/>
                <w:iCs/>
                <w:color w:val="000000" w:themeColor="text1"/>
                <w:sz w:val="26"/>
                <w:szCs w:val="26"/>
                <w:lang w:val="lv-LV" w:eastAsia="lv-LV"/>
              </w:rPr>
              <w:t>Noteikumu proj</w:t>
            </w:r>
            <w:r w:rsidR="002376A8" w:rsidRPr="00B16CE3">
              <w:rPr>
                <w:rFonts w:eastAsia="Times New Roman"/>
                <w:i/>
                <w:iCs/>
                <w:color w:val="000000" w:themeColor="text1"/>
                <w:sz w:val="26"/>
                <w:szCs w:val="26"/>
                <w:lang w:val="lv-LV" w:eastAsia="lv-LV"/>
              </w:rPr>
              <w:t>e</w:t>
            </w:r>
            <w:r w:rsidRPr="00B16CE3">
              <w:rPr>
                <w:rFonts w:eastAsia="Times New Roman"/>
                <w:i/>
                <w:iCs/>
                <w:color w:val="000000" w:themeColor="text1"/>
                <w:sz w:val="26"/>
                <w:szCs w:val="26"/>
                <w:lang w:val="lv-LV" w:eastAsia="lv-LV"/>
              </w:rPr>
              <w:t>kta 1.2.punkts</w:t>
            </w:r>
          </w:p>
        </w:tc>
        <w:tc>
          <w:tcPr>
            <w:tcW w:w="1192" w:type="pct"/>
            <w:tcBorders>
              <w:top w:val="outset" w:sz="6" w:space="0" w:color="414142"/>
              <w:left w:val="outset" w:sz="6" w:space="0" w:color="414142"/>
              <w:bottom w:val="single" w:sz="4" w:space="0" w:color="auto"/>
              <w:right w:val="outset" w:sz="6" w:space="0" w:color="414142"/>
            </w:tcBorders>
            <w:shd w:val="clear" w:color="auto" w:fill="FFFFFF"/>
            <w:vAlign w:val="center"/>
          </w:tcPr>
          <w:p w14:paraId="08AFCD32" w14:textId="0980E07A" w:rsidR="001A623D" w:rsidRPr="00B16CE3" w:rsidRDefault="001A623D" w:rsidP="0085126A">
            <w:pPr>
              <w:rPr>
                <w:rFonts w:eastAsia="Times New Roman"/>
                <w:i/>
                <w:iCs/>
                <w:color w:val="000000" w:themeColor="text1"/>
                <w:sz w:val="26"/>
                <w:szCs w:val="26"/>
                <w:lang w:val="lv-LV" w:eastAsia="lv-LV"/>
              </w:rPr>
            </w:pPr>
            <w:r w:rsidRPr="00B16CE3">
              <w:rPr>
                <w:rFonts w:eastAsia="Times New Roman"/>
                <w:i/>
                <w:iCs/>
                <w:color w:val="000000" w:themeColor="text1"/>
                <w:sz w:val="26"/>
                <w:szCs w:val="26"/>
                <w:lang w:val="lv-LV" w:eastAsia="lv-LV"/>
              </w:rPr>
              <w:t>Ieviests pilnībā</w:t>
            </w:r>
          </w:p>
        </w:tc>
        <w:tc>
          <w:tcPr>
            <w:tcW w:w="1346" w:type="pct"/>
            <w:tcBorders>
              <w:top w:val="outset" w:sz="6" w:space="0" w:color="414142"/>
              <w:left w:val="outset" w:sz="6" w:space="0" w:color="414142"/>
              <w:bottom w:val="single" w:sz="4" w:space="0" w:color="auto"/>
              <w:right w:val="outset" w:sz="6" w:space="0" w:color="414142"/>
            </w:tcBorders>
            <w:shd w:val="clear" w:color="auto" w:fill="FFFFFF"/>
            <w:vAlign w:val="center"/>
          </w:tcPr>
          <w:p w14:paraId="5B5FB727" w14:textId="589BF7E6" w:rsidR="001A623D" w:rsidRPr="00B16CE3" w:rsidRDefault="001A623D" w:rsidP="0085126A">
            <w:pPr>
              <w:rPr>
                <w:rFonts w:eastAsia="Times New Roman"/>
                <w:i/>
                <w:iCs/>
                <w:color w:val="000000" w:themeColor="text1"/>
                <w:sz w:val="26"/>
                <w:szCs w:val="26"/>
                <w:lang w:val="lv-LV" w:eastAsia="lv-LV"/>
              </w:rPr>
            </w:pPr>
            <w:r w:rsidRPr="00B16CE3">
              <w:rPr>
                <w:rFonts w:eastAsia="Times New Roman"/>
                <w:i/>
                <w:iCs/>
                <w:color w:val="000000" w:themeColor="text1"/>
                <w:sz w:val="26"/>
                <w:szCs w:val="26"/>
                <w:lang w:val="lv-LV" w:eastAsia="lv-LV"/>
              </w:rPr>
              <w:t>Neparedz stingrākas prasības</w:t>
            </w:r>
          </w:p>
        </w:tc>
      </w:tr>
      <w:tr w:rsidR="007C415F" w:rsidRPr="006640AA" w14:paraId="33343D9F" w14:textId="77777777" w:rsidTr="00432155">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4F3D980F" w14:textId="70CCA6C4" w:rsidR="00F378E2" w:rsidRPr="006640AA" w:rsidRDefault="00836F80" w:rsidP="007C415F">
            <w:pPr>
              <w:rPr>
                <w:i/>
                <w:iCs/>
                <w:color w:val="000000" w:themeColor="text1"/>
                <w:sz w:val="26"/>
                <w:szCs w:val="26"/>
                <w:lang w:val="lv-LV"/>
              </w:rPr>
            </w:pPr>
            <w:r w:rsidRPr="00836F80">
              <w:rPr>
                <w:rFonts w:eastAsia="Times New Roman"/>
                <w:i/>
                <w:iCs/>
                <w:color w:val="000000" w:themeColor="text1"/>
                <w:sz w:val="26"/>
                <w:szCs w:val="26"/>
                <w:lang w:val="lv-LV" w:eastAsia="lv-LV"/>
              </w:rPr>
              <w:t>Pagaidu regulējum</w:t>
            </w:r>
            <w:r w:rsidR="000157FD">
              <w:rPr>
                <w:rFonts w:eastAsia="Times New Roman"/>
                <w:i/>
                <w:iCs/>
                <w:color w:val="000000" w:themeColor="text1"/>
                <w:sz w:val="26"/>
                <w:szCs w:val="26"/>
                <w:lang w:val="lv-LV" w:eastAsia="lv-LV"/>
              </w:rPr>
              <w:t xml:space="preserve">a </w:t>
            </w:r>
            <w:r w:rsidRPr="00836F80">
              <w:rPr>
                <w:rFonts w:eastAsia="Times New Roman"/>
                <w:i/>
                <w:iCs/>
                <w:color w:val="000000" w:themeColor="text1"/>
                <w:sz w:val="26"/>
                <w:szCs w:val="26"/>
                <w:lang w:val="lv-LV" w:eastAsia="lv-LV"/>
              </w:rPr>
              <w:t>2022.gada 28.janvāra grozījum</w:t>
            </w:r>
            <w:r w:rsidR="000157FD">
              <w:rPr>
                <w:rFonts w:eastAsia="Times New Roman"/>
                <w:i/>
                <w:iCs/>
                <w:color w:val="000000" w:themeColor="text1"/>
                <w:sz w:val="26"/>
                <w:szCs w:val="26"/>
                <w:lang w:val="lv-LV" w:eastAsia="lv-LV"/>
              </w:rPr>
              <w:t>u</w:t>
            </w:r>
            <w:r>
              <w:rPr>
                <w:rFonts w:eastAsia="Times New Roman"/>
                <w:i/>
                <w:iCs/>
                <w:color w:val="000000" w:themeColor="text1"/>
                <w:sz w:val="26"/>
                <w:szCs w:val="26"/>
                <w:lang w:val="lv-LV" w:eastAsia="lv-LV"/>
              </w:rPr>
              <w:t xml:space="preserve"> 27.punkts, ar kuru groza Pagaidu regulējuma 25.c punktu</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08FF5B7B" w14:textId="4481AE68" w:rsidR="007C415F" w:rsidRPr="006640AA" w:rsidRDefault="007C415F" w:rsidP="007C415F">
            <w:pPr>
              <w:rPr>
                <w:i/>
                <w:iCs/>
                <w:color w:val="000000"/>
                <w:sz w:val="26"/>
                <w:szCs w:val="26"/>
                <w:lang w:val="lv-LV"/>
              </w:rPr>
            </w:pPr>
            <w:r w:rsidRPr="006640AA">
              <w:rPr>
                <w:i/>
                <w:iCs/>
                <w:color w:val="000000"/>
                <w:sz w:val="26"/>
                <w:szCs w:val="26"/>
                <w:lang w:val="lv-LV"/>
              </w:rPr>
              <w:t xml:space="preserve">Noteikumu projekta </w:t>
            </w:r>
            <w:r w:rsidR="00253C94">
              <w:rPr>
                <w:i/>
                <w:iCs/>
                <w:color w:val="000000"/>
                <w:sz w:val="26"/>
                <w:szCs w:val="26"/>
                <w:lang w:val="lv-LV"/>
              </w:rPr>
              <w:t>1</w:t>
            </w:r>
            <w:r w:rsidRPr="006640AA">
              <w:rPr>
                <w:i/>
                <w:iCs/>
                <w:color w:val="000000"/>
                <w:sz w:val="26"/>
                <w:szCs w:val="26"/>
                <w:lang w:val="lv-LV"/>
              </w:rPr>
              <w:t>.punkts</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476543F7" w14:textId="0FDFB1A5" w:rsidR="007C415F" w:rsidRPr="006640AA" w:rsidRDefault="007C415F" w:rsidP="007C415F">
            <w:pPr>
              <w:rPr>
                <w:i/>
                <w:iCs/>
                <w:color w:val="000000"/>
                <w:sz w:val="26"/>
                <w:szCs w:val="26"/>
                <w:lang w:val="lv-LV"/>
              </w:rPr>
            </w:pPr>
            <w:r w:rsidRPr="006640AA">
              <w:rPr>
                <w:i/>
                <w:iCs/>
                <w:color w:val="000000"/>
                <w:sz w:val="26"/>
                <w:szCs w:val="26"/>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12ED431C" w14:textId="13AEB9F8" w:rsidR="007C415F" w:rsidRPr="006640AA" w:rsidRDefault="007C415F" w:rsidP="007C415F">
            <w:pPr>
              <w:rPr>
                <w:i/>
                <w:iCs/>
                <w:color w:val="000000"/>
                <w:sz w:val="26"/>
                <w:szCs w:val="26"/>
                <w:lang w:val="lv-LV"/>
              </w:rPr>
            </w:pPr>
            <w:r w:rsidRPr="006640AA">
              <w:rPr>
                <w:i/>
                <w:iCs/>
                <w:color w:val="000000"/>
                <w:sz w:val="26"/>
                <w:szCs w:val="26"/>
                <w:lang w:val="lv-LV"/>
              </w:rPr>
              <w:t>Neparedz stingrākas prasības.</w:t>
            </w:r>
          </w:p>
        </w:tc>
      </w:tr>
      <w:tr w:rsidR="00684B94" w:rsidRPr="006640AA" w14:paraId="2FF190C6" w14:textId="77777777" w:rsidTr="00432155">
        <w:tc>
          <w:tcPr>
            <w:tcW w:w="1512"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684B94" w:rsidRPr="006640AA" w:rsidRDefault="00684B94" w:rsidP="00684B94">
            <w:pPr>
              <w:rPr>
                <w:rFonts w:eastAsia="Times New Roman"/>
                <w:color w:val="000000" w:themeColor="text1"/>
                <w:sz w:val="26"/>
                <w:szCs w:val="26"/>
                <w:lang w:val="lv-LV" w:eastAsia="lv-LV"/>
              </w:rPr>
            </w:pPr>
            <w:r w:rsidRPr="006640AA">
              <w:rPr>
                <w:rFonts w:eastAsia="Times New Roman"/>
                <w:color w:val="000000" w:themeColor="text1"/>
                <w:sz w:val="26"/>
                <w:szCs w:val="26"/>
                <w:lang w:val="lv-LV" w:eastAsia="lv-LV"/>
              </w:rPr>
              <w:t>Kā ir izmantota ES tiesību aktā paredzētā rīcības brīvība dalībvalstij pārņemt vai ieviest noteiktas ES tiesību akta normas? Kādēļ?</w:t>
            </w:r>
          </w:p>
        </w:tc>
        <w:tc>
          <w:tcPr>
            <w:tcW w:w="3488" w:type="pct"/>
            <w:gridSpan w:val="3"/>
            <w:tcBorders>
              <w:top w:val="single" w:sz="4" w:space="0" w:color="auto"/>
              <w:left w:val="single" w:sz="4" w:space="0" w:color="auto"/>
              <w:bottom w:val="single" w:sz="4" w:space="0" w:color="auto"/>
              <w:right w:val="single" w:sz="4" w:space="0" w:color="auto"/>
            </w:tcBorders>
            <w:hideMark/>
          </w:tcPr>
          <w:p w14:paraId="7770BDF3" w14:textId="59906C76" w:rsidR="00777098" w:rsidRPr="006640AA" w:rsidRDefault="00684B94" w:rsidP="00777098">
            <w:pPr>
              <w:rPr>
                <w:rFonts w:eastAsia="Times New Roman"/>
                <w:color w:val="414142"/>
                <w:sz w:val="26"/>
                <w:szCs w:val="26"/>
                <w:lang w:val="lv-LV" w:eastAsia="lv-LV"/>
              </w:rPr>
            </w:pPr>
            <w:r w:rsidRPr="006640AA">
              <w:rPr>
                <w:rFonts w:eastAsia="Times New Roman"/>
                <w:sz w:val="26"/>
                <w:szCs w:val="26"/>
                <w:lang w:val="lv-LV"/>
              </w:rPr>
              <w:t>Projekts šo jomu neskar.</w:t>
            </w:r>
            <w:r w:rsidR="00777098" w:rsidRPr="006640AA">
              <w:rPr>
                <w:i/>
                <w:iCs/>
                <w:color w:val="000000"/>
                <w:sz w:val="26"/>
                <w:szCs w:val="26"/>
                <w:lang w:val="lv-LV"/>
              </w:rPr>
              <w:t xml:space="preserve"> </w:t>
            </w:r>
          </w:p>
          <w:p w14:paraId="2C32B25E" w14:textId="49501160" w:rsidR="00684B94" w:rsidRPr="006640AA" w:rsidRDefault="00684B94" w:rsidP="00777098">
            <w:pPr>
              <w:rPr>
                <w:rFonts w:eastAsia="Times New Roman"/>
                <w:color w:val="414142"/>
                <w:sz w:val="26"/>
                <w:szCs w:val="26"/>
                <w:lang w:val="lv-LV" w:eastAsia="lv-LV"/>
              </w:rPr>
            </w:pPr>
          </w:p>
        </w:tc>
      </w:tr>
      <w:tr w:rsidR="00684B94" w:rsidRPr="006640AA" w14:paraId="380F5C9A" w14:textId="77777777" w:rsidTr="00432155">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684B94" w:rsidRPr="006640AA" w:rsidRDefault="00684B94" w:rsidP="00684B94">
            <w:pPr>
              <w:rPr>
                <w:rFonts w:eastAsia="Times New Roman"/>
                <w:color w:val="000000" w:themeColor="text1"/>
                <w:sz w:val="26"/>
                <w:szCs w:val="26"/>
                <w:lang w:val="lv-LV" w:eastAsia="lv-LV"/>
              </w:rPr>
            </w:pPr>
            <w:r w:rsidRPr="006640AA">
              <w:rPr>
                <w:rFonts w:eastAsia="Times New Roman"/>
                <w:color w:val="000000" w:themeColor="text1"/>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8" w:type="pct"/>
            <w:gridSpan w:val="3"/>
            <w:tcBorders>
              <w:top w:val="single" w:sz="4" w:space="0" w:color="auto"/>
              <w:left w:val="single" w:sz="4" w:space="0" w:color="auto"/>
              <w:bottom w:val="single" w:sz="4" w:space="0" w:color="auto"/>
              <w:right w:val="single" w:sz="4" w:space="0" w:color="auto"/>
            </w:tcBorders>
            <w:hideMark/>
          </w:tcPr>
          <w:p w14:paraId="32245CF8" w14:textId="21FF1618" w:rsidR="00684B94" w:rsidRPr="006640AA" w:rsidRDefault="00777098" w:rsidP="00684B94">
            <w:pPr>
              <w:rPr>
                <w:rFonts w:eastAsia="Times New Roman"/>
                <w:color w:val="414142"/>
                <w:sz w:val="26"/>
                <w:szCs w:val="26"/>
                <w:lang w:val="lv-LV" w:eastAsia="lv-LV"/>
              </w:rPr>
            </w:pPr>
            <w:r w:rsidRPr="006640AA">
              <w:rPr>
                <w:rFonts w:eastAsia="Times New Roman"/>
                <w:sz w:val="26"/>
                <w:szCs w:val="26"/>
                <w:lang w:val="lv-LV"/>
              </w:rPr>
              <w:t>Projekts šo jomu neskar.</w:t>
            </w:r>
            <w:r w:rsidRPr="006640AA">
              <w:rPr>
                <w:i/>
                <w:iCs/>
                <w:color w:val="000000"/>
                <w:sz w:val="26"/>
                <w:szCs w:val="26"/>
                <w:lang w:val="lv-LV"/>
              </w:rPr>
              <w:t xml:space="preserve"> </w:t>
            </w:r>
          </w:p>
        </w:tc>
      </w:tr>
      <w:tr w:rsidR="00684B94" w:rsidRPr="00EE05A5" w14:paraId="21014EF5" w14:textId="77777777" w:rsidTr="00432155">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684B94" w:rsidRPr="006640AA" w:rsidRDefault="00684B94" w:rsidP="00684B94">
            <w:pPr>
              <w:rPr>
                <w:rFonts w:eastAsia="Times New Roman"/>
                <w:color w:val="000000" w:themeColor="text1"/>
                <w:sz w:val="26"/>
                <w:szCs w:val="26"/>
                <w:lang w:val="lv-LV" w:eastAsia="lv-LV"/>
              </w:rPr>
            </w:pPr>
            <w:r w:rsidRPr="006640AA">
              <w:rPr>
                <w:rFonts w:eastAsia="Times New Roman"/>
                <w:color w:val="000000" w:themeColor="text1"/>
                <w:sz w:val="26"/>
                <w:szCs w:val="26"/>
                <w:lang w:val="lv-LV" w:eastAsia="lv-LV"/>
              </w:rPr>
              <w:t>Cita informācija</w:t>
            </w:r>
          </w:p>
        </w:tc>
        <w:tc>
          <w:tcPr>
            <w:tcW w:w="3488" w:type="pct"/>
            <w:gridSpan w:val="3"/>
            <w:tcBorders>
              <w:top w:val="single" w:sz="4" w:space="0" w:color="auto"/>
              <w:left w:val="single" w:sz="4" w:space="0" w:color="auto"/>
              <w:bottom w:val="single" w:sz="4" w:space="0" w:color="auto"/>
              <w:right w:val="single" w:sz="4" w:space="0" w:color="auto"/>
            </w:tcBorders>
            <w:hideMark/>
          </w:tcPr>
          <w:p w14:paraId="2D1C9C98" w14:textId="2174F301" w:rsidR="004F7784" w:rsidRPr="006640AA" w:rsidRDefault="00777098" w:rsidP="002B133E">
            <w:pPr>
              <w:jc w:val="both"/>
              <w:rPr>
                <w:color w:val="000000" w:themeColor="text1"/>
                <w:sz w:val="26"/>
                <w:szCs w:val="26"/>
                <w:lang w:val="lv-LV"/>
              </w:rPr>
            </w:pPr>
            <w:r w:rsidRPr="006640AA">
              <w:rPr>
                <w:color w:val="000000"/>
                <w:sz w:val="26"/>
                <w:szCs w:val="26"/>
                <w:lang w:val="lv-LV"/>
              </w:rPr>
              <w:t>Ar MK Noteikumu projekt</w:t>
            </w:r>
            <w:r w:rsidR="00137E32">
              <w:rPr>
                <w:color w:val="000000"/>
                <w:sz w:val="26"/>
                <w:szCs w:val="26"/>
                <w:lang w:val="lv-LV"/>
              </w:rPr>
              <w:t>a 1.punktu</w:t>
            </w:r>
            <w:r w:rsidRPr="006640AA">
              <w:rPr>
                <w:color w:val="000000"/>
                <w:sz w:val="26"/>
                <w:szCs w:val="26"/>
                <w:lang w:val="lv-LV"/>
              </w:rPr>
              <w:t xml:space="preserve">  tiek pārņemts</w:t>
            </w:r>
            <w:r w:rsidR="002B133E" w:rsidRPr="006640AA">
              <w:rPr>
                <w:color w:val="000000"/>
                <w:sz w:val="26"/>
                <w:szCs w:val="26"/>
                <w:lang w:val="lv-LV"/>
              </w:rPr>
              <w:t xml:space="preserve"> </w:t>
            </w:r>
            <w:r w:rsidR="004F7784" w:rsidRPr="006640AA">
              <w:rPr>
                <w:color w:val="000000" w:themeColor="text1"/>
                <w:sz w:val="26"/>
                <w:szCs w:val="26"/>
                <w:lang w:val="lv-LV"/>
              </w:rPr>
              <w:t xml:space="preserve">Pagaidu regulējuma </w:t>
            </w:r>
            <w:r w:rsidR="00137E32">
              <w:rPr>
                <w:color w:val="000000" w:themeColor="text1"/>
                <w:sz w:val="26"/>
                <w:szCs w:val="26"/>
                <w:lang w:val="lv-LV"/>
              </w:rPr>
              <w:t xml:space="preserve">grozījumu </w:t>
            </w:r>
            <w:r w:rsidR="00836F80">
              <w:rPr>
                <w:color w:val="000000" w:themeColor="text1"/>
                <w:sz w:val="26"/>
                <w:szCs w:val="26"/>
                <w:lang w:val="lv-LV"/>
              </w:rPr>
              <w:t>27</w:t>
            </w:r>
            <w:r w:rsidR="00214C3C">
              <w:rPr>
                <w:color w:val="000000" w:themeColor="text1"/>
                <w:sz w:val="26"/>
                <w:szCs w:val="26"/>
                <w:lang w:val="lv-LV"/>
              </w:rPr>
              <w:t>.</w:t>
            </w:r>
            <w:r w:rsidR="00836F80">
              <w:rPr>
                <w:color w:val="000000" w:themeColor="text1"/>
                <w:sz w:val="26"/>
                <w:szCs w:val="26"/>
                <w:lang w:val="lv-LV"/>
              </w:rPr>
              <w:t>punkts, ar ko tiek grozīts</w:t>
            </w:r>
            <w:r w:rsidR="004F7784" w:rsidRPr="006640AA">
              <w:rPr>
                <w:color w:val="000000" w:themeColor="text1"/>
                <w:sz w:val="26"/>
                <w:szCs w:val="26"/>
                <w:lang w:val="lv-LV"/>
              </w:rPr>
              <w:t xml:space="preserve"> 25 c apakšpunkt</w:t>
            </w:r>
            <w:r w:rsidR="00253C94">
              <w:rPr>
                <w:color w:val="000000" w:themeColor="text1"/>
                <w:sz w:val="26"/>
                <w:szCs w:val="26"/>
                <w:lang w:val="lv-LV"/>
              </w:rPr>
              <w:t>s</w:t>
            </w:r>
            <w:r w:rsidR="00214C3C">
              <w:rPr>
                <w:color w:val="000000" w:themeColor="text1"/>
                <w:sz w:val="26"/>
                <w:szCs w:val="26"/>
                <w:lang w:val="lv-LV"/>
              </w:rPr>
              <w:t>, kā arī precizēta atsauce uz 88.punktu</w:t>
            </w:r>
            <w:r w:rsidR="004F7784" w:rsidRPr="006640AA">
              <w:rPr>
                <w:color w:val="000000" w:themeColor="text1"/>
                <w:sz w:val="26"/>
                <w:szCs w:val="26"/>
                <w:lang w:val="lv-LV"/>
              </w:rPr>
              <w:t>.</w:t>
            </w:r>
          </w:p>
          <w:p w14:paraId="4AF12ABC" w14:textId="5235B1F1" w:rsidR="00684B94" w:rsidRPr="006640AA" w:rsidRDefault="00684B94" w:rsidP="002B133E">
            <w:pPr>
              <w:jc w:val="both"/>
              <w:rPr>
                <w:rFonts w:eastAsia="Times New Roman"/>
                <w:color w:val="414142"/>
                <w:sz w:val="26"/>
                <w:szCs w:val="26"/>
                <w:lang w:val="lv-LV" w:eastAsia="lv-LV"/>
              </w:rPr>
            </w:pPr>
          </w:p>
        </w:tc>
      </w:tr>
    </w:tbl>
    <w:p w14:paraId="75F8D6BE" w14:textId="77777777" w:rsidR="00A5551D" w:rsidRPr="006640AA" w:rsidRDefault="00A5551D" w:rsidP="00B043DE">
      <w:pPr>
        <w:contextualSpacing/>
        <w:rPr>
          <w:sz w:val="26"/>
          <w:szCs w:val="26"/>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379"/>
      </w:tblGrid>
      <w:tr w:rsidR="006F4B13" w:rsidRPr="00EE05A5" w14:paraId="7EEC0F00" w14:textId="77777777" w:rsidTr="00240921">
        <w:trPr>
          <w:trHeight w:val="421"/>
        </w:trPr>
        <w:tc>
          <w:tcPr>
            <w:tcW w:w="9356" w:type="dxa"/>
            <w:gridSpan w:val="3"/>
            <w:tcBorders>
              <w:top w:val="single" w:sz="2" w:space="0" w:color="auto"/>
            </w:tcBorders>
            <w:vAlign w:val="center"/>
          </w:tcPr>
          <w:p w14:paraId="7BCCE7F8" w14:textId="77777777" w:rsidR="006F4B13" w:rsidRPr="006640AA" w:rsidRDefault="006F4B13" w:rsidP="00B043DE">
            <w:pPr>
              <w:ind w:left="57" w:right="57"/>
              <w:contextualSpacing/>
              <w:jc w:val="center"/>
              <w:rPr>
                <w:rFonts w:eastAsia="Times New Roman"/>
                <w:sz w:val="26"/>
                <w:szCs w:val="26"/>
                <w:lang w:val="lv-LV"/>
              </w:rPr>
            </w:pPr>
            <w:r w:rsidRPr="006640AA">
              <w:rPr>
                <w:rFonts w:eastAsia="Times New Roman"/>
                <w:b/>
                <w:sz w:val="26"/>
                <w:szCs w:val="26"/>
                <w:lang w:val="lv-LV"/>
              </w:rPr>
              <w:t>VI. Sabiedrības līdzdalība un komunikācijas aktivitātes</w:t>
            </w:r>
          </w:p>
        </w:tc>
      </w:tr>
      <w:tr w:rsidR="006F4B13" w:rsidRPr="00EE05A5" w14:paraId="6FEF54FD" w14:textId="77777777" w:rsidTr="00240921">
        <w:trPr>
          <w:trHeight w:val="553"/>
        </w:trPr>
        <w:tc>
          <w:tcPr>
            <w:tcW w:w="312" w:type="dxa"/>
          </w:tcPr>
          <w:p w14:paraId="41086138" w14:textId="77777777" w:rsidR="006F4B13" w:rsidRPr="006640AA" w:rsidRDefault="006F4B13" w:rsidP="00B043DE">
            <w:pPr>
              <w:ind w:left="57" w:right="57"/>
              <w:contextualSpacing/>
              <w:jc w:val="both"/>
              <w:rPr>
                <w:sz w:val="26"/>
                <w:szCs w:val="26"/>
                <w:lang w:val="lv-LV"/>
              </w:rPr>
            </w:pPr>
            <w:r w:rsidRPr="006640AA">
              <w:rPr>
                <w:sz w:val="26"/>
                <w:szCs w:val="26"/>
                <w:lang w:val="lv-LV"/>
              </w:rPr>
              <w:t>1.</w:t>
            </w:r>
          </w:p>
        </w:tc>
        <w:tc>
          <w:tcPr>
            <w:tcW w:w="2665" w:type="dxa"/>
          </w:tcPr>
          <w:p w14:paraId="798682AC" w14:textId="77777777" w:rsidR="006F4B13" w:rsidRPr="006640AA" w:rsidRDefault="006F4B13" w:rsidP="00B043DE">
            <w:pPr>
              <w:tabs>
                <w:tab w:val="left" w:pos="170"/>
              </w:tabs>
              <w:ind w:left="57" w:right="57"/>
              <w:contextualSpacing/>
              <w:rPr>
                <w:rFonts w:eastAsia="PMingLiU"/>
                <w:sz w:val="26"/>
                <w:szCs w:val="26"/>
                <w:lang w:val="lv-LV" w:eastAsia="ja-JP"/>
              </w:rPr>
            </w:pPr>
            <w:r w:rsidRPr="006640AA">
              <w:rPr>
                <w:rFonts w:eastAsia="PMingLiU"/>
                <w:sz w:val="26"/>
                <w:szCs w:val="26"/>
                <w:lang w:val="lv-LV" w:eastAsia="ja-JP"/>
              </w:rPr>
              <w:t>Plānotās sabiedrības līdzdalības un komunikācijas aktivitātes saistībā ar projektu</w:t>
            </w:r>
          </w:p>
        </w:tc>
        <w:tc>
          <w:tcPr>
            <w:tcW w:w="6379" w:type="dxa"/>
          </w:tcPr>
          <w:p w14:paraId="49F61F5E" w14:textId="1B32D275" w:rsidR="00151F22" w:rsidRPr="006640AA" w:rsidRDefault="00151F22" w:rsidP="00151F22">
            <w:pPr>
              <w:jc w:val="both"/>
              <w:rPr>
                <w:bCs/>
                <w:sz w:val="26"/>
                <w:szCs w:val="26"/>
                <w:lang w:val="lv-LV"/>
              </w:rPr>
            </w:pPr>
            <w:r w:rsidRPr="006640AA">
              <w:rPr>
                <w:bCs/>
                <w:sz w:val="26"/>
                <w:szCs w:val="26"/>
                <w:lang w:val="lv-LV"/>
              </w:rPr>
              <w:t xml:space="preserve">Sabiedrības līdzdalība </w:t>
            </w:r>
            <w:r w:rsidR="00777098" w:rsidRPr="006640AA">
              <w:rPr>
                <w:bCs/>
                <w:sz w:val="26"/>
                <w:szCs w:val="26"/>
                <w:lang w:val="lv-LV"/>
              </w:rPr>
              <w:t xml:space="preserve">MK </w:t>
            </w:r>
            <w:r w:rsidRPr="006640AA">
              <w:rPr>
                <w:bCs/>
                <w:sz w:val="26"/>
                <w:szCs w:val="26"/>
                <w:lang w:val="lv-LV"/>
              </w:rPr>
              <w:t>Noteikumu projekta izstrādē tiek īstenota atbilstoši Ministru kabineta 2009. gada 25. augusta noteikumiem Nr. 970 “Sabiedrības līdzdalības kārtība attīstības plānošanas procesā” 7.4.</w:t>
            </w:r>
            <w:r w:rsidRPr="006640AA">
              <w:rPr>
                <w:sz w:val="26"/>
                <w:szCs w:val="26"/>
                <w:vertAlign w:val="superscript"/>
                <w:lang w:val="lv-LV"/>
              </w:rPr>
              <w:t xml:space="preserve"> 1</w:t>
            </w:r>
            <w:r w:rsidRPr="006640AA">
              <w:rPr>
                <w:bCs/>
                <w:sz w:val="26"/>
                <w:szCs w:val="26"/>
                <w:lang w:val="lv-LV"/>
              </w:rPr>
              <w:t xml:space="preserve"> apakšpunktā, proti, sabiedrības pārstāvjiem tiek dota iespēja rakstiski sniegt viedokli par Noteikumu projektu tā izstrādes stadijā.</w:t>
            </w:r>
          </w:p>
          <w:p w14:paraId="384FFED0" w14:textId="07EA3E31" w:rsidR="00D27E4D" w:rsidRPr="006640AA" w:rsidRDefault="00214C3C" w:rsidP="00B043DE">
            <w:pPr>
              <w:shd w:val="clear" w:color="auto" w:fill="FFFFFF"/>
              <w:ind w:right="113"/>
              <w:contextualSpacing/>
              <w:jc w:val="both"/>
              <w:rPr>
                <w:rFonts w:eastAsia="PMingLiU"/>
                <w:sz w:val="26"/>
                <w:szCs w:val="26"/>
                <w:lang w:val="lv-LV" w:eastAsia="ja-JP"/>
              </w:rPr>
            </w:pPr>
            <w:r>
              <w:rPr>
                <w:rFonts w:eastAsia="PMingLiU"/>
                <w:sz w:val="26"/>
                <w:szCs w:val="26"/>
                <w:shd w:val="clear" w:color="auto" w:fill="FFFFFF"/>
                <w:lang w:val="lv-LV" w:eastAsia="ja-JP"/>
              </w:rPr>
              <w:t>Sabiedrības līdzdalība nodrošināta no 2021.gada 26.marta līdz 9.aprīlim.</w:t>
            </w:r>
          </w:p>
        </w:tc>
      </w:tr>
      <w:tr w:rsidR="006F4B13" w:rsidRPr="00EE05A5" w14:paraId="3F5FD1CD" w14:textId="77777777" w:rsidTr="00137E32">
        <w:trPr>
          <w:trHeight w:val="339"/>
        </w:trPr>
        <w:tc>
          <w:tcPr>
            <w:tcW w:w="312" w:type="dxa"/>
          </w:tcPr>
          <w:p w14:paraId="4B9C6F89" w14:textId="77777777" w:rsidR="006F4B13" w:rsidRPr="006640AA" w:rsidRDefault="006F4B13" w:rsidP="00B043DE">
            <w:pPr>
              <w:ind w:left="57" w:right="57"/>
              <w:contextualSpacing/>
              <w:jc w:val="both"/>
              <w:rPr>
                <w:sz w:val="26"/>
                <w:szCs w:val="26"/>
                <w:lang w:val="lv-LV"/>
              </w:rPr>
            </w:pPr>
            <w:r w:rsidRPr="006640AA">
              <w:rPr>
                <w:sz w:val="26"/>
                <w:szCs w:val="26"/>
                <w:lang w:val="lv-LV"/>
              </w:rPr>
              <w:t>2.</w:t>
            </w:r>
          </w:p>
        </w:tc>
        <w:tc>
          <w:tcPr>
            <w:tcW w:w="2665" w:type="dxa"/>
            <w:shd w:val="clear" w:color="auto" w:fill="auto"/>
          </w:tcPr>
          <w:p w14:paraId="4B6FBDE6" w14:textId="77777777" w:rsidR="006F4B13" w:rsidRPr="006640AA" w:rsidRDefault="006F4B13" w:rsidP="00B043DE">
            <w:pPr>
              <w:ind w:left="57" w:right="57"/>
              <w:contextualSpacing/>
              <w:rPr>
                <w:rFonts w:eastAsia="PMingLiU"/>
                <w:sz w:val="26"/>
                <w:szCs w:val="26"/>
                <w:lang w:val="lv-LV" w:eastAsia="ja-JP"/>
              </w:rPr>
            </w:pPr>
            <w:r w:rsidRPr="006640AA">
              <w:rPr>
                <w:rFonts w:eastAsia="PMingLiU"/>
                <w:sz w:val="26"/>
                <w:szCs w:val="26"/>
                <w:lang w:val="lv-LV" w:eastAsia="ja-JP"/>
              </w:rPr>
              <w:t>Sabiedrības līdzdalība projekta izstrādē</w:t>
            </w:r>
          </w:p>
        </w:tc>
        <w:tc>
          <w:tcPr>
            <w:tcW w:w="6379" w:type="dxa"/>
            <w:shd w:val="clear" w:color="auto" w:fill="auto"/>
          </w:tcPr>
          <w:p w14:paraId="09F90EB0" w14:textId="3AA491B1" w:rsidR="00777098" w:rsidRPr="00137E32" w:rsidRDefault="00151F22" w:rsidP="00137E32">
            <w:pPr>
              <w:ind w:left="57" w:right="113"/>
              <w:contextualSpacing/>
              <w:jc w:val="both"/>
              <w:rPr>
                <w:rFonts w:eastAsia="PMingLiU"/>
                <w:sz w:val="26"/>
                <w:szCs w:val="26"/>
                <w:shd w:val="clear" w:color="auto" w:fill="FFFFFF"/>
                <w:lang w:val="lv-LV" w:eastAsia="ja-JP"/>
              </w:rPr>
            </w:pPr>
            <w:r w:rsidRPr="00137E32">
              <w:rPr>
                <w:rFonts w:eastAsia="PMingLiU"/>
                <w:sz w:val="26"/>
                <w:szCs w:val="26"/>
                <w:shd w:val="clear" w:color="auto" w:fill="FFFFFF"/>
                <w:lang w:val="lv-LV" w:eastAsia="ja-JP"/>
              </w:rPr>
              <w:t xml:space="preserve">Ekonomikas ministrijas mājas lapā: </w:t>
            </w:r>
            <w:hyperlink r:id="rId8" w:history="1">
              <w:r w:rsidRPr="00137E32">
                <w:rPr>
                  <w:rStyle w:val="Hyperlink"/>
                  <w:rFonts w:eastAsia="PMingLiU"/>
                  <w:sz w:val="26"/>
                  <w:szCs w:val="26"/>
                  <w:shd w:val="clear" w:color="auto" w:fill="FFFFFF"/>
                  <w:lang w:val="lv-LV" w:eastAsia="ja-JP"/>
                </w:rPr>
                <w:t>https://em.gov.lv/lv/Ministrija/sabiedribas_lidzdaliba/diskusiju_dokumenti/</w:t>
              </w:r>
            </w:hyperlink>
            <w:r w:rsidR="005E6955" w:rsidRPr="00137E32">
              <w:rPr>
                <w:rStyle w:val="Hyperlink"/>
                <w:rFonts w:eastAsia="PMingLiU"/>
                <w:sz w:val="26"/>
                <w:szCs w:val="26"/>
                <w:shd w:val="clear" w:color="auto" w:fill="FFFFFF"/>
                <w:lang w:val="lv-LV" w:eastAsia="ja-JP"/>
              </w:rPr>
              <w:t xml:space="preserve"> </w:t>
            </w:r>
            <w:r w:rsidR="005E6955" w:rsidRPr="00137E32">
              <w:rPr>
                <w:rStyle w:val="Hyperlink"/>
                <w:rFonts w:eastAsia="PMingLiU"/>
                <w:color w:val="000000" w:themeColor="text1"/>
                <w:sz w:val="26"/>
                <w:szCs w:val="26"/>
                <w:u w:val="none"/>
                <w:shd w:val="clear" w:color="auto" w:fill="FFFFFF"/>
                <w:lang w:val="lv-LV" w:eastAsia="ja-JP"/>
              </w:rPr>
              <w:t xml:space="preserve">un </w:t>
            </w:r>
            <w:r w:rsidR="00777098" w:rsidRPr="00137E32">
              <w:rPr>
                <w:rFonts w:eastAsia="PMingLiU"/>
                <w:sz w:val="26"/>
                <w:szCs w:val="26"/>
                <w:shd w:val="clear" w:color="auto" w:fill="FFFFFF"/>
                <w:lang w:val="lv-LV" w:eastAsia="ja-JP"/>
              </w:rPr>
              <w:t>Valts kancelejas mājas lapā:</w:t>
            </w:r>
          </w:p>
          <w:p w14:paraId="18D5064F" w14:textId="644F7103" w:rsidR="00777098" w:rsidRPr="006640AA" w:rsidRDefault="00CB1ADF" w:rsidP="00137E32">
            <w:pPr>
              <w:ind w:left="57" w:right="113"/>
              <w:contextualSpacing/>
              <w:jc w:val="both"/>
              <w:rPr>
                <w:rFonts w:eastAsia="PMingLiU"/>
                <w:sz w:val="26"/>
                <w:szCs w:val="26"/>
                <w:shd w:val="clear" w:color="auto" w:fill="FFFFFF"/>
                <w:lang w:val="lv-LV" w:eastAsia="ja-JP"/>
              </w:rPr>
            </w:pPr>
            <w:hyperlink r:id="rId9" w:history="1">
              <w:r w:rsidR="00777098" w:rsidRPr="00137E32">
                <w:rPr>
                  <w:rStyle w:val="Hyperlink"/>
                  <w:rFonts w:eastAsia="PMingLiU"/>
                  <w:sz w:val="26"/>
                  <w:szCs w:val="26"/>
                  <w:shd w:val="clear" w:color="auto" w:fill="FFFFFF"/>
                  <w:lang w:val="lv-LV" w:eastAsia="ja-JP"/>
                </w:rPr>
                <w:t>https://www.mk.gov.lv/lv/content/sabiedribas-lidzdaliba</w:t>
              </w:r>
            </w:hyperlink>
            <w:r w:rsidR="00777098" w:rsidRPr="006640AA">
              <w:rPr>
                <w:rFonts w:eastAsia="PMingLiU"/>
                <w:sz w:val="26"/>
                <w:szCs w:val="26"/>
                <w:shd w:val="clear" w:color="auto" w:fill="FFFFFF"/>
                <w:lang w:val="lv-LV" w:eastAsia="ja-JP"/>
              </w:rPr>
              <w:t xml:space="preserve"> </w:t>
            </w:r>
          </w:p>
        </w:tc>
      </w:tr>
      <w:tr w:rsidR="006F4B13" w:rsidRPr="00EE05A5" w14:paraId="0F937EA3" w14:textId="77777777" w:rsidTr="00137E32">
        <w:trPr>
          <w:trHeight w:val="476"/>
        </w:trPr>
        <w:tc>
          <w:tcPr>
            <w:tcW w:w="312" w:type="dxa"/>
          </w:tcPr>
          <w:p w14:paraId="5A007BCA" w14:textId="77777777" w:rsidR="006F4B13" w:rsidRPr="006640AA" w:rsidRDefault="006F4B13" w:rsidP="00B043DE">
            <w:pPr>
              <w:ind w:left="57" w:right="57"/>
              <w:contextualSpacing/>
              <w:jc w:val="both"/>
              <w:rPr>
                <w:sz w:val="26"/>
                <w:szCs w:val="26"/>
                <w:lang w:val="lv-LV"/>
              </w:rPr>
            </w:pPr>
            <w:r w:rsidRPr="006640AA">
              <w:rPr>
                <w:sz w:val="26"/>
                <w:szCs w:val="26"/>
                <w:lang w:val="lv-LV"/>
              </w:rPr>
              <w:t>3.</w:t>
            </w:r>
          </w:p>
        </w:tc>
        <w:tc>
          <w:tcPr>
            <w:tcW w:w="2665" w:type="dxa"/>
          </w:tcPr>
          <w:p w14:paraId="5F99D7D0" w14:textId="77777777" w:rsidR="006F4B13" w:rsidRPr="006640AA" w:rsidRDefault="006F4B13" w:rsidP="00B043DE">
            <w:pPr>
              <w:ind w:left="57" w:right="57"/>
              <w:contextualSpacing/>
              <w:rPr>
                <w:rFonts w:eastAsia="PMingLiU"/>
                <w:sz w:val="26"/>
                <w:szCs w:val="26"/>
                <w:lang w:val="lv-LV" w:eastAsia="ja-JP"/>
              </w:rPr>
            </w:pPr>
            <w:r w:rsidRPr="006640AA">
              <w:rPr>
                <w:rFonts w:eastAsia="PMingLiU"/>
                <w:sz w:val="26"/>
                <w:szCs w:val="26"/>
                <w:lang w:val="lv-LV" w:eastAsia="ja-JP"/>
              </w:rPr>
              <w:t>Sabiedrības līdzdalības rezultāti</w:t>
            </w:r>
          </w:p>
        </w:tc>
        <w:tc>
          <w:tcPr>
            <w:tcW w:w="6379" w:type="dxa"/>
            <w:shd w:val="clear" w:color="auto" w:fill="auto"/>
          </w:tcPr>
          <w:p w14:paraId="2BF921D4" w14:textId="2743429D" w:rsidR="00FB228A" w:rsidRPr="006640AA" w:rsidRDefault="00214C3C" w:rsidP="00214C3C">
            <w:pPr>
              <w:shd w:val="clear" w:color="auto" w:fill="FFFFFF"/>
              <w:ind w:right="113"/>
              <w:contextualSpacing/>
              <w:jc w:val="both"/>
              <w:rPr>
                <w:rFonts w:eastAsia="PMingLiU"/>
                <w:sz w:val="26"/>
                <w:szCs w:val="26"/>
                <w:shd w:val="clear" w:color="auto" w:fill="FFFFFF"/>
                <w:lang w:val="lv-LV" w:eastAsia="ja-JP"/>
              </w:rPr>
            </w:pPr>
            <w:r>
              <w:rPr>
                <w:rFonts w:eastAsia="PMingLiU"/>
                <w:sz w:val="26"/>
                <w:szCs w:val="26"/>
                <w:shd w:val="clear" w:color="auto" w:fill="FFFFFF"/>
                <w:lang w:val="lv-LV" w:eastAsia="ja-JP"/>
              </w:rPr>
              <w:t>V</w:t>
            </w:r>
            <w:r w:rsidR="00EE05A5">
              <w:rPr>
                <w:rFonts w:eastAsia="PMingLiU"/>
                <w:sz w:val="26"/>
                <w:szCs w:val="26"/>
                <w:shd w:val="clear" w:color="auto" w:fill="FFFFFF"/>
                <w:lang w:val="lv-LV" w:eastAsia="ja-JP"/>
              </w:rPr>
              <w:t>iedokļi nav saņe</w:t>
            </w:r>
            <w:r>
              <w:rPr>
                <w:rFonts w:eastAsia="PMingLiU"/>
                <w:sz w:val="26"/>
                <w:szCs w:val="26"/>
                <w:shd w:val="clear" w:color="auto" w:fill="FFFFFF"/>
                <w:lang w:val="lv-LV" w:eastAsia="ja-JP"/>
              </w:rPr>
              <w:t>m</w:t>
            </w:r>
            <w:r w:rsidR="00EE05A5">
              <w:rPr>
                <w:rFonts w:eastAsia="PMingLiU"/>
                <w:sz w:val="26"/>
                <w:szCs w:val="26"/>
                <w:shd w:val="clear" w:color="auto" w:fill="FFFFFF"/>
                <w:lang w:val="lv-LV" w:eastAsia="ja-JP"/>
              </w:rPr>
              <w:t>ti.</w:t>
            </w:r>
          </w:p>
        </w:tc>
      </w:tr>
      <w:tr w:rsidR="006F4B13" w:rsidRPr="006640AA" w14:paraId="13638F96" w14:textId="77777777" w:rsidTr="00240921">
        <w:trPr>
          <w:trHeight w:val="205"/>
        </w:trPr>
        <w:tc>
          <w:tcPr>
            <w:tcW w:w="312" w:type="dxa"/>
          </w:tcPr>
          <w:p w14:paraId="286DE4AB" w14:textId="77777777" w:rsidR="006F4B13" w:rsidRPr="006640AA" w:rsidRDefault="006F4B13" w:rsidP="00B043DE">
            <w:pPr>
              <w:ind w:left="57" w:right="57"/>
              <w:contextualSpacing/>
              <w:jc w:val="both"/>
              <w:rPr>
                <w:sz w:val="26"/>
                <w:szCs w:val="26"/>
                <w:lang w:val="lv-LV"/>
              </w:rPr>
            </w:pPr>
            <w:r w:rsidRPr="006640AA">
              <w:rPr>
                <w:sz w:val="26"/>
                <w:szCs w:val="26"/>
                <w:lang w:val="lv-LV"/>
              </w:rPr>
              <w:t>4.</w:t>
            </w:r>
          </w:p>
        </w:tc>
        <w:tc>
          <w:tcPr>
            <w:tcW w:w="2665" w:type="dxa"/>
          </w:tcPr>
          <w:p w14:paraId="1AEA4978" w14:textId="77777777" w:rsidR="006F4B13" w:rsidRPr="006640AA" w:rsidRDefault="006F4B13" w:rsidP="00B043DE">
            <w:pPr>
              <w:ind w:left="57" w:right="57"/>
              <w:contextualSpacing/>
              <w:rPr>
                <w:rFonts w:eastAsia="PMingLiU"/>
                <w:sz w:val="26"/>
                <w:szCs w:val="26"/>
                <w:lang w:val="lv-LV" w:eastAsia="ja-JP"/>
              </w:rPr>
            </w:pPr>
            <w:r w:rsidRPr="006640AA">
              <w:rPr>
                <w:rFonts w:eastAsia="PMingLiU"/>
                <w:sz w:val="26"/>
                <w:szCs w:val="26"/>
                <w:lang w:val="lv-LV" w:eastAsia="ja-JP"/>
              </w:rPr>
              <w:t>Cita informācija</w:t>
            </w:r>
          </w:p>
        </w:tc>
        <w:tc>
          <w:tcPr>
            <w:tcW w:w="6379" w:type="dxa"/>
          </w:tcPr>
          <w:p w14:paraId="29112FCD" w14:textId="5927F71D" w:rsidR="006F4B13" w:rsidRPr="006640AA" w:rsidRDefault="006F4B13" w:rsidP="00B043DE">
            <w:pPr>
              <w:ind w:left="57" w:right="113"/>
              <w:contextualSpacing/>
              <w:jc w:val="both"/>
              <w:rPr>
                <w:rFonts w:eastAsia="PMingLiU"/>
                <w:sz w:val="26"/>
                <w:szCs w:val="26"/>
                <w:lang w:val="lv-LV" w:eastAsia="ja-JP"/>
              </w:rPr>
            </w:pPr>
            <w:r w:rsidRPr="006640AA">
              <w:rPr>
                <w:rFonts w:eastAsia="PMingLiU"/>
                <w:sz w:val="26"/>
                <w:szCs w:val="26"/>
                <w:lang w:val="lv-LV" w:eastAsia="ja-JP"/>
              </w:rPr>
              <w:t>Nav</w:t>
            </w:r>
          </w:p>
        </w:tc>
      </w:tr>
    </w:tbl>
    <w:p w14:paraId="07B85D36" w14:textId="1E6EF1D8" w:rsidR="00844176" w:rsidRPr="006640AA" w:rsidRDefault="00844176" w:rsidP="00B043DE">
      <w:pPr>
        <w:contextualSpacing/>
        <w:rPr>
          <w:rFonts w:eastAsia="Times New Roman"/>
          <w:sz w:val="26"/>
          <w:szCs w:val="26"/>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379"/>
      </w:tblGrid>
      <w:tr w:rsidR="00844176" w:rsidRPr="00EE05A5" w14:paraId="72278BCA" w14:textId="77777777" w:rsidTr="00240921">
        <w:trPr>
          <w:trHeight w:val="375"/>
        </w:trPr>
        <w:tc>
          <w:tcPr>
            <w:tcW w:w="9348"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6640AA" w:rsidRDefault="00844176" w:rsidP="00B043DE">
            <w:pPr>
              <w:ind w:firstLine="300"/>
              <w:jc w:val="center"/>
              <w:rPr>
                <w:rFonts w:eastAsia="Times New Roman"/>
                <w:sz w:val="26"/>
                <w:szCs w:val="26"/>
                <w:lang w:val="lv-LV" w:eastAsia="lv-LV"/>
              </w:rPr>
            </w:pPr>
            <w:r w:rsidRPr="006640AA">
              <w:rPr>
                <w:b/>
                <w:sz w:val="26"/>
                <w:szCs w:val="26"/>
                <w:lang w:val="lv-LV"/>
              </w:rPr>
              <w:t>VII. Tiesību akta projekta izpildes nodrošināšana un tās ietekme uz institūcijām</w:t>
            </w:r>
          </w:p>
        </w:tc>
      </w:tr>
      <w:tr w:rsidR="00844176" w:rsidRPr="006640AA" w14:paraId="3BE578E7" w14:textId="77777777" w:rsidTr="00240921">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6640AA" w:rsidRDefault="00844176" w:rsidP="00B043DE">
            <w:pPr>
              <w:ind w:right="112"/>
              <w:contextualSpacing/>
              <w:jc w:val="both"/>
              <w:rPr>
                <w:sz w:val="26"/>
                <w:szCs w:val="26"/>
                <w:lang w:val="lv-LV"/>
              </w:rPr>
            </w:pPr>
            <w:r w:rsidRPr="006640AA">
              <w:rPr>
                <w:sz w:val="26"/>
                <w:szCs w:val="26"/>
                <w:lang w:val="lv-LV"/>
              </w:rPr>
              <w:t>Projekta izpildē iesaistītās institūcijas</w:t>
            </w:r>
          </w:p>
        </w:tc>
        <w:tc>
          <w:tcPr>
            <w:tcW w:w="6379" w:type="dxa"/>
            <w:tcBorders>
              <w:top w:val="outset" w:sz="6" w:space="0" w:color="414142"/>
              <w:left w:val="outset" w:sz="6" w:space="0" w:color="414142"/>
              <w:bottom w:val="outset" w:sz="6" w:space="0" w:color="414142"/>
              <w:right w:val="outset" w:sz="6" w:space="0" w:color="414142"/>
            </w:tcBorders>
            <w:hideMark/>
          </w:tcPr>
          <w:p w14:paraId="4C10CF17" w14:textId="691F5046" w:rsidR="00844176" w:rsidRPr="006640AA" w:rsidRDefault="00844176" w:rsidP="00B043DE">
            <w:pPr>
              <w:ind w:left="82" w:right="161"/>
              <w:contextualSpacing/>
              <w:jc w:val="both"/>
              <w:rPr>
                <w:sz w:val="26"/>
                <w:szCs w:val="26"/>
                <w:lang w:val="lv-LV"/>
              </w:rPr>
            </w:pPr>
            <w:r w:rsidRPr="006640AA">
              <w:rPr>
                <w:sz w:val="26"/>
                <w:szCs w:val="26"/>
                <w:lang w:val="lv-LV"/>
              </w:rPr>
              <w:t>E</w:t>
            </w:r>
            <w:r w:rsidR="00733C32" w:rsidRPr="006640AA">
              <w:rPr>
                <w:sz w:val="26"/>
                <w:szCs w:val="26"/>
                <w:lang w:val="lv-LV"/>
              </w:rPr>
              <w:t>konomikas ministrija</w:t>
            </w:r>
            <w:r w:rsidR="0074545C" w:rsidRPr="006640AA">
              <w:rPr>
                <w:sz w:val="26"/>
                <w:szCs w:val="26"/>
                <w:lang w:val="lv-LV"/>
              </w:rPr>
              <w:t>, sabiedrība</w:t>
            </w:r>
            <w:r w:rsidR="00733C32" w:rsidRPr="006640AA">
              <w:rPr>
                <w:sz w:val="26"/>
                <w:szCs w:val="26"/>
                <w:lang w:val="lv-LV"/>
              </w:rPr>
              <w:t xml:space="preserve"> “Altum”</w:t>
            </w:r>
            <w:r w:rsidR="00137E32">
              <w:rPr>
                <w:sz w:val="26"/>
                <w:szCs w:val="26"/>
                <w:lang w:val="lv-LV"/>
              </w:rPr>
              <w:t>.</w:t>
            </w:r>
          </w:p>
        </w:tc>
      </w:tr>
      <w:tr w:rsidR="00844176" w:rsidRPr="00EE05A5" w14:paraId="2CF2C3EA" w14:textId="77777777" w:rsidTr="00240921">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6640AA" w:rsidRDefault="00844176" w:rsidP="00B043DE">
            <w:pPr>
              <w:ind w:right="112"/>
              <w:contextualSpacing/>
              <w:jc w:val="both"/>
              <w:rPr>
                <w:sz w:val="26"/>
                <w:szCs w:val="26"/>
                <w:lang w:val="lv-LV"/>
              </w:rPr>
            </w:pPr>
            <w:r w:rsidRPr="006640AA">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379" w:type="dxa"/>
            <w:tcBorders>
              <w:top w:val="outset" w:sz="6" w:space="0" w:color="414142"/>
              <w:left w:val="outset" w:sz="6" w:space="0" w:color="414142"/>
              <w:bottom w:val="outset" w:sz="6" w:space="0" w:color="414142"/>
              <w:right w:val="outset" w:sz="6" w:space="0" w:color="414142"/>
            </w:tcBorders>
            <w:hideMark/>
          </w:tcPr>
          <w:p w14:paraId="5F5A7977" w14:textId="1BAAF187" w:rsidR="00844176" w:rsidRPr="006640AA" w:rsidRDefault="003D0F93" w:rsidP="00B043DE">
            <w:pPr>
              <w:ind w:left="82" w:right="161"/>
              <w:contextualSpacing/>
              <w:jc w:val="both"/>
              <w:rPr>
                <w:sz w:val="26"/>
                <w:szCs w:val="26"/>
                <w:lang w:val="lv-LV"/>
              </w:rPr>
            </w:pPr>
            <w:r w:rsidRPr="006640AA">
              <w:rPr>
                <w:rFonts w:eastAsia="Times New Roman"/>
                <w:iCs/>
                <w:sz w:val="26"/>
                <w:szCs w:val="26"/>
                <w:lang w:val="lv-LV"/>
              </w:rPr>
              <w:t>MK Noteikumu projekt</w:t>
            </w:r>
            <w:r w:rsidR="00D06C14" w:rsidRPr="006640AA">
              <w:rPr>
                <w:rFonts w:eastAsia="Times New Roman"/>
                <w:iCs/>
                <w:sz w:val="26"/>
                <w:szCs w:val="26"/>
                <w:lang w:val="lv-LV"/>
              </w:rPr>
              <w:t>a</w:t>
            </w:r>
            <w:r w:rsidRPr="006640AA" w:rsidDel="003D0F93">
              <w:rPr>
                <w:sz w:val="26"/>
                <w:szCs w:val="26"/>
                <w:lang w:val="lv-LV"/>
              </w:rPr>
              <w:t xml:space="preserve"> </w:t>
            </w:r>
            <w:r w:rsidR="00733C32" w:rsidRPr="006640AA">
              <w:rPr>
                <w:sz w:val="26"/>
                <w:szCs w:val="26"/>
                <w:lang w:val="lv-LV"/>
              </w:rPr>
              <w:t>izpilde tiks nodrošināta Ekonomikas ministrijas</w:t>
            </w:r>
            <w:r w:rsidR="00844176" w:rsidRPr="006640AA">
              <w:rPr>
                <w:sz w:val="26"/>
                <w:szCs w:val="26"/>
                <w:lang w:val="lv-LV"/>
              </w:rPr>
              <w:t xml:space="preserve"> un </w:t>
            </w:r>
            <w:r w:rsidR="0074545C" w:rsidRPr="006640AA">
              <w:rPr>
                <w:sz w:val="26"/>
                <w:szCs w:val="26"/>
                <w:lang w:val="lv-LV"/>
              </w:rPr>
              <w:t>sabiedrības</w:t>
            </w:r>
            <w:r w:rsidR="00733C32" w:rsidRPr="006640AA">
              <w:rPr>
                <w:sz w:val="26"/>
                <w:szCs w:val="26"/>
                <w:lang w:val="lv-LV"/>
              </w:rPr>
              <w:t xml:space="preserve"> “Altum” </w:t>
            </w:r>
            <w:r w:rsidR="00844176" w:rsidRPr="006640AA">
              <w:rPr>
                <w:sz w:val="26"/>
                <w:szCs w:val="26"/>
                <w:lang w:val="lv-LV"/>
              </w:rPr>
              <w:t xml:space="preserve">esošo funkciju </w:t>
            </w:r>
            <w:r w:rsidR="002B7681" w:rsidRPr="006640AA">
              <w:rPr>
                <w:sz w:val="26"/>
                <w:szCs w:val="26"/>
                <w:lang w:val="lv-LV"/>
              </w:rPr>
              <w:t xml:space="preserve">un cilvēkresursu </w:t>
            </w:r>
            <w:r w:rsidR="00844176" w:rsidRPr="006640AA">
              <w:rPr>
                <w:sz w:val="26"/>
                <w:szCs w:val="26"/>
                <w:lang w:val="lv-LV"/>
              </w:rPr>
              <w:t>ietvaros</w:t>
            </w:r>
            <w:r w:rsidR="002B7681" w:rsidRPr="006640AA">
              <w:rPr>
                <w:sz w:val="26"/>
                <w:szCs w:val="26"/>
                <w:lang w:val="lv-LV"/>
              </w:rPr>
              <w:t>, kā arī nav paredzēta jaunu institūciju izveide, esošu institūciju likvidācija vai reorganizācija</w:t>
            </w:r>
            <w:r w:rsidR="00844176" w:rsidRPr="006640AA">
              <w:rPr>
                <w:sz w:val="26"/>
                <w:szCs w:val="26"/>
                <w:lang w:val="lv-LV"/>
              </w:rPr>
              <w:t>.</w:t>
            </w:r>
          </w:p>
        </w:tc>
      </w:tr>
      <w:tr w:rsidR="00844176" w:rsidRPr="006640AA" w14:paraId="2EBACAF6" w14:textId="77777777" w:rsidTr="00240921">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6640AA" w:rsidRDefault="00844176" w:rsidP="00B043DE">
            <w:pPr>
              <w:contextualSpacing/>
              <w:jc w:val="both"/>
              <w:rPr>
                <w:rFonts w:eastAsia="Times New Roman"/>
                <w:sz w:val="26"/>
                <w:szCs w:val="26"/>
                <w:lang w:val="lv-LV" w:eastAsia="lv-LV"/>
              </w:rPr>
            </w:pPr>
            <w:r w:rsidRPr="006640AA">
              <w:rPr>
                <w:rFonts w:eastAsia="Times New Roman"/>
                <w:sz w:val="26"/>
                <w:szCs w:val="26"/>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6640AA" w:rsidRDefault="00844176" w:rsidP="00B043DE">
            <w:pPr>
              <w:contextualSpacing/>
              <w:jc w:val="both"/>
              <w:rPr>
                <w:rFonts w:eastAsia="Times New Roman"/>
                <w:sz w:val="26"/>
                <w:szCs w:val="26"/>
                <w:lang w:val="lv-LV" w:eastAsia="lv-LV"/>
              </w:rPr>
            </w:pPr>
            <w:r w:rsidRPr="006640AA">
              <w:rPr>
                <w:rFonts w:eastAsia="Times New Roman"/>
                <w:sz w:val="26"/>
                <w:szCs w:val="26"/>
                <w:lang w:val="lv-LV" w:eastAsia="lv-LV"/>
              </w:rPr>
              <w:t>Nav</w:t>
            </w:r>
          </w:p>
        </w:tc>
      </w:tr>
    </w:tbl>
    <w:p w14:paraId="3C97E095" w14:textId="77777777" w:rsidR="00FA4414" w:rsidRPr="006640AA" w:rsidRDefault="00FA4414" w:rsidP="003D0F93">
      <w:pPr>
        <w:ind w:firstLine="709"/>
        <w:jc w:val="both"/>
        <w:rPr>
          <w:sz w:val="26"/>
          <w:szCs w:val="26"/>
          <w:lang w:val="lv-LV"/>
        </w:rPr>
      </w:pPr>
    </w:p>
    <w:p w14:paraId="67755341" w14:textId="4A157B9E" w:rsidR="003D0F93" w:rsidRPr="006640AA" w:rsidRDefault="003D0F93" w:rsidP="003D0F93">
      <w:pPr>
        <w:ind w:firstLine="709"/>
        <w:jc w:val="both"/>
        <w:rPr>
          <w:b/>
          <w:bCs/>
          <w:sz w:val="26"/>
          <w:szCs w:val="26"/>
          <w:lang w:val="lv-LV"/>
        </w:rPr>
      </w:pPr>
      <w:r w:rsidRPr="006640AA">
        <w:rPr>
          <w:b/>
          <w:bCs/>
          <w:sz w:val="26"/>
          <w:szCs w:val="26"/>
          <w:lang w:val="lv-LV"/>
        </w:rPr>
        <w:t>Ekonomikas ministrs</w:t>
      </w:r>
      <w:r w:rsidRPr="006640AA">
        <w:rPr>
          <w:b/>
          <w:bCs/>
          <w:sz w:val="26"/>
          <w:szCs w:val="26"/>
          <w:lang w:val="lv-LV"/>
        </w:rPr>
        <w:tab/>
      </w:r>
      <w:r w:rsidRPr="006640AA">
        <w:rPr>
          <w:b/>
          <w:bCs/>
          <w:sz w:val="26"/>
          <w:szCs w:val="26"/>
          <w:lang w:val="lv-LV"/>
        </w:rPr>
        <w:tab/>
      </w:r>
      <w:r w:rsidRPr="006640AA">
        <w:rPr>
          <w:b/>
          <w:bCs/>
          <w:sz w:val="26"/>
          <w:szCs w:val="26"/>
          <w:lang w:val="lv-LV"/>
        </w:rPr>
        <w:tab/>
      </w:r>
      <w:r w:rsidRPr="006640AA">
        <w:rPr>
          <w:b/>
          <w:bCs/>
          <w:sz w:val="26"/>
          <w:szCs w:val="26"/>
          <w:lang w:val="lv-LV"/>
        </w:rPr>
        <w:tab/>
      </w:r>
      <w:r w:rsidRPr="006640AA">
        <w:rPr>
          <w:b/>
          <w:bCs/>
          <w:sz w:val="26"/>
          <w:szCs w:val="26"/>
          <w:lang w:val="lv-LV"/>
        </w:rPr>
        <w:tab/>
        <w:t>Jānis Vitenbergs</w:t>
      </w:r>
    </w:p>
    <w:p w14:paraId="48387A36" w14:textId="77777777" w:rsidR="00E766FF" w:rsidRDefault="003D0F93" w:rsidP="00777098">
      <w:pPr>
        <w:rPr>
          <w:sz w:val="26"/>
          <w:szCs w:val="26"/>
          <w:lang w:val="lv-LV"/>
        </w:rPr>
      </w:pPr>
      <w:r w:rsidRPr="006640AA">
        <w:rPr>
          <w:sz w:val="26"/>
          <w:szCs w:val="26"/>
          <w:lang w:val="lv-LV"/>
        </w:rPr>
        <w:tab/>
      </w:r>
    </w:p>
    <w:p w14:paraId="7EA4A4E0" w14:textId="639AE462" w:rsidR="003D0F93" w:rsidRPr="006640AA" w:rsidRDefault="003D0F93" w:rsidP="00E766FF">
      <w:pPr>
        <w:ind w:firstLine="709"/>
        <w:rPr>
          <w:sz w:val="26"/>
          <w:szCs w:val="26"/>
          <w:lang w:val="lv-LV"/>
        </w:rPr>
      </w:pPr>
      <w:r w:rsidRPr="006640AA">
        <w:rPr>
          <w:sz w:val="26"/>
          <w:szCs w:val="26"/>
          <w:lang w:val="lv-LV"/>
        </w:rPr>
        <w:t>Vīza:</w:t>
      </w:r>
      <w:r w:rsidR="000E46A4" w:rsidRPr="006640AA">
        <w:rPr>
          <w:sz w:val="26"/>
          <w:szCs w:val="26"/>
          <w:lang w:val="lv-LV"/>
        </w:rPr>
        <w:tab/>
      </w:r>
    </w:p>
    <w:p w14:paraId="6A9A4541" w14:textId="35342A1A" w:rsidR="00E766FF" w:rsidRDefault="00E766FF" w:rsidP="00E766FF">
      <w:pPr>
        <w:ind w:firstLine="709"/>
        <w:rPr>
          <w:rFonts w:eastAsiaTheme="minorHAnsi"/>
          <w:b/>
          <w:bCs/>
          <w:sz w:val="26"/>
          <w:szCs w:val="26"/>
          <w:lang w:val="lv-LV"/>
        </w:rPr>
      </w:pPr>
      <w:r>
        <w:rPr>
          <w:b/>
          <w:bCs/>
          <w:sz w:val="26"/>
          <w:szCs w:val="26"/>
        </w:rPr>
        <w:t>Valsts sekretārs</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Edmunds Valantis</w:t>
      </w:r>
    </w:p>
    <w:p w14:paraId="0B7FC0B1" w14:textId="6888FE8D" w:rsidR="003D0F93" w:rsidRPr="006900EA" w:rsidRDefault="003D0F93" w:rsidP="006900EA">
      <w:pPr>
        <w:tabs>
          <w:tab w:val="left" w:pos="6237"/>
        </w:tabs>
        <w:ind w:left="709"/>
        <w:rPr>
          <w:sz w:val="26"/>
          <w:szCs w:val="26"/>
          <w:lang w:val="lv-LV"/>
        </w:rPr>
      </w:pPr>
      <w:r w:rsidRPr="006900EA">
        <w:rPr>
          <w:sz w:val="26"/>
          <w:szCs w:val="26"/>
          <w:lang w:val="lv-LV"/>
        </w:rPr>
        <w:tab/>
      </w:r>
    </w:p>
    <w:sectPr w:rsidR="003D0F93" w:rsidRPr="006900EA" w:rsidSect="00B84453">
      <w:headerReference w:type="default" r:id="rId10"/>
      <w:footerReference w:type="default" r:id="rId11"/>
      <w:footerReference w:type="first" r:id="rId12"/>
      <w:endnotePr>
        <w:numFmt w:val="decimal"/>
      </w:endnotePr>
      <w:type w:val="continuous"/>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7FA9A" w14:textId="77777777" w:rsidR="00F940F1" w:rsidRDefault="00F940F1" w:rsidP="006B2FEF">
      <w:r>
        <w:separator/>
      </w:r>
    </w:p>
  </w:endnote>
  <w:endnote w:type="continuationSeparator" w:id="0">
    <w:p w14:paraId="5D48B609" w14:textId="77777777" w:rsidR="00F940F1" w:rsidRDefault="00F940F1" w:rsidP="006B2FEF">
      <w:r>
        <w:continuationSeparator/>
      </w:r>
    </w:p>
  </w:endnote>
  <w:endnote w:type="continuationNotice" w:id="1">
    <w:p w14:paraId="41CD6183" w14:textId="77777777" w:rsidR="00F940F1" w:rsidRDefault="00F94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4F74" w14:textId="46EF7915" w:rsidR="004259BC" w:rsidRPr="00B84453" w:rsidRDefault="00B84453" w:rsidP="00B84453">
    <w:pPr>
      <w:pStyle w:val="Footer"/>
      <w:jc w:val="both"/>
      <w:rPr>
        <w:lang w:val="lv-LV"/>
      </w:rPr>
    </w:pPr>
    <w:r w:rsidRPr="0014051E">
      <w:rPr>
        <w:lang w:val="lv-LV"/>
      </w:rPr>
      <w:t>EM</w:t>
    </w:r>
    <w:r>
      <w:rPr>
        <w:lang w:val="lv-LV"/>
      </w:rPr>
      <w:t>An</w:t>
    </w:r>
    <w:r w:rsidRPr="0014051E">
      <w:rPr>
        <w:lang w:val="lv-LV"/>
      </w:rPr>
      <w:t>ot_</w:t>
    </w:r>
    <w:r w:rsidR="00E7710A">
      <w:rPr>
        <w:lang w:val="lv-LV"/>
      </w:rPr>
      <w:t>060521</w:t>
    </w:r>
    <w:r w:rsidRPr="0014051E">
      <w:rPr>
        <w:lang w:val="lv-LV"/>
      </w:rPr>
      <w:t>_LielGarant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B8FB" w14:textId="21017F03" w:rsidR="004259BC" w:rsidRPr="0014051E" w:rsidRDefault="004259BC" w:rsidP="0014051E">
    <w:pPr>
      <w:pStyle w:val="Footer"/>
      <w:jc w:val="both"/>
      <w:rPr>
        <w:lang w:val="lv-LV"/>
      </w:rPr>
    </w:pPr>
    <w:r w:rsidRPr="0014051E">
      <w:rPr>
        <w:lang w:val="lv-LV"/>
      </w:rPr>
      <w:t>EM</w:t>
    </w:r>
    <w:r>
      <w:rPr>
        <w:lang w:val="lv-LV"/>
      </w:rPr>
      <w:t>An</w:t>
    </w:r>
    <w:r w:rsidRPr="0014051E">
      <w:rPr>
        <w:lang w:val="lv-LV"/>
      </w:rPr>
      <w:t>ot_</w:t>
    </w:r>
    <w:r w:rsidR="003C7E35">
      <w:rPr>
        <w:lang w:val="lv-LV"/>
      </w:rPr>
      <w:t>060521</w:t>
    </w:r>
    <w:r w:rsidRPr="0014051E">
      <w:rPr>
        <w:lang w:val="lv-LV"/>
      </w:rPr>
      <w:t>_LielGarant</w:t>
    </w:r>
  </w:p>
  <w:p w14:paraId="2658AF59" w14:textId="77777777" w:rsidR="004259BC" w:rsidRDefault="0042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6C794" w14:textId="77777777" w:rsidR="00F940F1" w:rsidRDefault="00F940F1" w:rsidP="006B2FEF">
      <w:r>
        <w:separator/>
      </w:r>
    </w:p>
  </w:footnote>
  <w:footnote w:type="continuationSeparator" w:id="0">
    <w:p w14:paraId="0826DE34" w14:textId="77777777" w:rsidR="00F940F1" w:rsidRDefault="00F940F1" w:rsidP="006B2FEF">
      <w:r>
        <w:continuationSeparator/>
      </w:r>
    </w:p>
  </w:footnote>
  <w:footnote w:type="continuationNotice" w:id="1">
    <w:p w14:paraId="38F28191" w14:textId="77777777" w:rsidR="00F940F1" w:rsidRDefault="00F940F1"/>
  </w:footnote>
  <w:footnote w:id="2">
    <w:p w14:paraId="496AE43B" w14:textId="333663FD" w:rsidR="004259BC" w:rsidRDefault="004259BC" w:rsidP="00A658C7">
      <w:pPr>
        <w:pStyle w:val="FootnoteText"/>
      </w:pPr>
      <w:r>
        <w:rPr>
          <w:rStyle w:val="FootnoteReference"/>
        </w:rPr>
        <w:footnoteRef/>
      </w:r>
      <w:r>
        <w:t xml:space="preserve"> </w:t>
      </w:r>
      <w:hyperlink r:id="rId1" w:history="1">
        <w:r w:rsidR="00836F80" w:rsidRPr="00E51A6D">
          <w:rPr>
            <w:rStyle w:val="Hyperlink"/>
          </w:rPr>
          <w:t>https://eur-lex.europa.eu/legal-content/EN/TXT/?uri=CELEX:52021XC0201(01)</w:t>
        </w:r>
      </w:hyperlink>
      <w:r w:rsidR="00836F8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CA29690" w:rsidR="004259BC" w:rsidRPr="005A1518" w:rsidRDefault="004259BC"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C8"/>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0766FE"/>
    <w:multiLevelType w:val="hybridMultilevel"/>
    <w:tmpl w:val="7C34376E"/>
    <w:lvl w:ilvl="0" w:tplc="DCAC6048">
      <w:start w:val="1"/>
      <w:numFmt w:val="decimal"/>
      <w:lvlText w:val="%1."/>
      <w:lvlJc w:val="left"/>
      <w:pPr>
        <w:ind w:left="720" w:hanging="360"/>
      </w:pPr>
      <w:rPr>
        <w:rFonts w:eastAsia="Calibri" w:hint="default"/>
        <w:b w:val="0"/>
        <w:bCs/>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CC0D3F"/>
    <w:multiLevelType w:val="hybridMultilevel"/>
    <w:tmpl w:val="0D06DB20"/>
    <w:lvl w:ilvl="0" w:tplc="33E8D8DC">
      <w:start w:val="202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9559B7"/>
    <w:multiLevelType w:val="hybridMultilevel"/>
    <w:tmpl w:val="E6CA93B8"/>
    <w:lvl w:ilvl="0" w:tplc="AEE2AE30">
      <w:start w:val="1"/>
      <w:numFmt w:val="decimal"/>
      <w:lvlText w:val="%1."/>
      <w:lvlJc w:val="left"/>
      <w:pPr>
        <w:ind w:left="450" w:hanging="39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0" w15:restartNumberingAfterBreak="0">
    <w:nsid w:val="64CB1BA5"/>
    <w:multiLevelType w:val="hybridMultilevel"/>
    <w:tmpl w:val="A1B8AD32"/>
    <w:lvl w:ilvl="0" w:tplc="DCAC6048">
      <w:start w:val="1"/>
      <w:numFmt w:val="decimal"/>
      <w:lvlText w:val="%1."/>
      <w:lvlJc w:val="left"/>
      <w:pPr>
        <w:ind w:left="780" w:hanging="360"/>
      </w:pPr>
      <w:rPr>
        <w:rFonts w:eastAsia="Calibri" w:hint="default"/>
        <w:b w:val="0"/>
        <w:bCs/>
        <w:color w:val="000000" w:themeColor="text1"/>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69CE54EA"/>
    <w:multiLevelType w:val="hybridMultilevel"/>
    <w:tmpl w:val="DBECA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D9A0D5B"/>
    <w:multiLevelType w:val="hybridMultilevel"/>
    <w:tmpl w:val="268E5ABE"/>
    <w:lvl w:ilvl="0" w:tplc="A9AEE2D8">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718C6488"/>
    <w:multiLevelType w:val="hybridMultilevel"/>
    <w:tmpl w:val="E79021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
  </w:num>
  <w:num w:numId="5">
    <w:abstractNumId w:val="7"/>
  </w:num>
  <w:num w:numId="6">
    <w:abstractNumId w:val="15"/>
  </w:num>
  <w:num w:numId="7">
    <w:abstractNumId w:val="12"/>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9"/>
  </w:num>
  <w:num w:numId="14">
    <w:abstractNumId w:val="2"/>
  </w:num>
  <w:num w:numId="15">
    <w:abstractNumId w:val="10"/>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B9C"/>
    <w:rsid w:val="000058AA"/>
    <w:rsid w:val="0000653D"/>
    <w:rsid w:val="00007491"/>
    <w:rsid w:val="0001048C"/>
    <w:rsid w:val="00013B61"/>
    <w:rsid w:val="00014B9F"/>
    <w:rsid w:val="000157FD"/>
    <w:rsid w:val="00016159"/>
    <w:rsid w:val="0002003C"/>
    <w:rsid w:val="000231D2"/>
    <w:rsid w:val="000240CA"/>
    <w:rsid w:val="00024ACB"/>
    <w:rsid w:val="00024D9D"/>
    <w:rsid w:val="00024EF9"/>
    <w:rsid w:val="0002511E"/>
    <w:rsid w:val="0002596F"/>
    <w:rsid w:val="00026F18"/>
    <w:rsid w:val="0003012D"/>
    <w:rsid w:val="00030B7E"/>
    <w:rsid w:val="0003245D"/>
    <w:rsid w:val="00032471"/>
    <w:rsid w:val="0003265E"/>
    <w:rsid w:val="00033F5A"/>
    <w:rsid w:val="00035C7B"/>
    <w:rsid w:val="000430AC"/>
    <w:rsid w:val="0004320C"/>
    <w:rsid w:val="0004380E"/>
    <w:rsid w:val="00044683"/>
    <w:rsid w:val="00044743"/>
    <w:rsid w:val="00045B58"/>
    <w:rsid w:val="00045E27"/>
    <w:rsid w:val="00045F86"/>
    <w:rsid w:val="00047095"/>
    <w:rsid w:val="00047962"/>
    <w:rsid w:val="000527A4"/>
    <w:rsid w:val="00053E3A"/>
    <w:rsid w:val="000648D9"/>
    <w:rsid w:val="00064B6E"/>
    <w:rsid w:val="000665BC"/>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324B"/>
    <w:rsid w:val="00094B1E"/>
    <w:rsid w:val="00095280"/>
    <w:rsid w:val="00096060"/>
    <w:rsid w:val="000964C6"/>
    <w:rsid w:val="0009743E"/>
    <w:rsid w:val="000A0059"/>
    <w:rsid w:val="000A14E3"/>
    <w:rsid w:val="000A3654"/>
    <w:rsid w:val="000A37C3"/>
    <w:rsid w:val="000A38DA"/>
    <w:rsid w:val="000A44CE"/>
    <w:rsid w:val="000A4B5A"/>
    <w:rsid w:val="000A4CDB"/>
    <w:rsid w:val="000A5D04"/>
    <w:rsid w:val="000A6486"/>
    <w:rsid w:val="000A7E05"/>
    <w:rsid w:val="000B0748"/>
    <w:rsid w:val="000B1926"/>
    <w:rsid w:val="000B1B64"/>
    <w:rsid w:val="000B20D2"/>
    <w:rsid w:val="000B2C54"/>
    <w:rsid w:val="000B3449"/>
    <w:rsid w:val="000B3FAB"/>
    <w:rsid w:val="000B492B"/>
    <w:rsid w:val="000B71B4"/>
    <w:rsid w:val="000C090A"/>
    <w:rsid w:val="000C33C1"/>
    <w:rsid w:val="000C4418"/>
    <w:rsid w:val="000C7F31"/>
    <w:rsid w:val="000D1EA5"/>
    <w:rsid w:val="000D2474"/>
    <w:rsid w:val="000D3D56"/>
    <w:rsid w:val="000D43D9"/>
    <w:rsid w:val="000D74B9"/>
    <w:rsid w:val="000E257B"/>
    <w:rsid w:val="000E46A4"/>
    <w:rsid w:val="000E53C3"/>
    <w:rsid w:val="000E56F8"/>
    <w:rsid w:val="000E5DD2"/>
    <w:rsid w:val="000E63F3"/>
    <w:rsid w:val="000F0A62"/>
    <w:rsid w:val="000F0E0E"/>
    <w:rsid w:val="000F1D22"/>
    <w:rsid w:val="000F25D2"/>
    <w:rsid w:val="000F2EA7"/>
    <w:rsid w:val="000F4230"/>
    <w:rsid w:val="000F5401"/>
    <w:rsid w:val="001001F5"/>
    <w:rsid w:val="00102922"/>
    <w:rsid w:val="00102B0D"/>
    <w:rsid w:val="00102B1D"/>
    <w:rsid w:val="00104BDD"/>
    <w:rsid w:val="00105A7C"/>
    <w:rsid w:val="00105D17"/>
    <w:rsid w:val="00110128"/>
    <w:rsid w:val="001133E7"/>
    <w:rsid w:val="0011606F"/>
    <w:rsid w:val="0012177A"/>
    <w:rsid w:val="0012624C"/>
    <w:rsid w:val="0013024B"/>
    <w:rsid w:val="00130C79"/>
    <w:rsid w:val="00131C9F"/>
    <w:rsid w:val="00137388"/>
    <w:rsid w:val="00137E32"/>
    <w:rsid w:val="00137F96"/>
    <w:rsid w:val="0014051E"/>
    <w:rsid w:val="0014092F"/>
    <w:rsid w:val="00142C3C"/>
    <w:rsid w:val="00143BB6"/>
    <w:rsid w:val="00145366"/>
    <w:rsid w:val="00146697"/>
    <w:rsid w:val="00146D17"/>
    <w:rsid w:val="00151BBD"/>
    <w:rsid w:val="00151F22"/>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DBF"/>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623D"/>
    <w:rsid w:val="001A7C3A"/>
    <w:rsid w:val="001A7E1D"/>
    <w:rsid w:val="001B6AC0"/>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6EFA"/>
    <w:rsid w:val="001D7397"/>
    <w:rsid w:val="001D7DC1"/>
    <w:rsid w:val="001E023A"/>
    <w:rsid w:val="001E1B0F"/>
    <w:rsid w:val="001E2389"/>
    <w:rsid w:val="001E3588"/>
    <w:rsid w:val="001E4C2F"/>
    <w:rsid w:val="001E5FBC"/>
    <w:rsid w:val="001E76BE"/>
    <w:rsid w:val="001F0C7D"/>
    <w:rsid w:val="001F2BA2"/>
    <w:rsid w:val="001F6DBE"/>
    <w:rsid w:val="001F7086"/>
    <w:rsid w:val="001F7AAD"/>
    <w:rsid w:val="00200E7D"/>
    <w:rsid w:val="00201D17"/>
    <w:rsid w:val="0020468C"/>
    <w:rsid w:val="002107BF"/>
    <w:rsid w:val="00210E64"/>
    <w:rsid w:val="00211315"/>
    <w:rsid w:val="00214C3C"/>
    <w:rsid w:val="00215A5A"/>
    <w:rsid w:val="00215C6A"/>
    <w:rsid w:val="0021738A"/>
    <w:rsid w:val="002177B0"/>
    <w:rsid w:val="00217F5B"/>
    <w:rsid w:val="00223778"/>
    <w:rsid w:val="00224E84"/>
    <w:rsid w:val="002267E7"/>
    <w:rsid w:val="00227BC3"/>
    <w:rsid w:val="00227F25"/>
    <w:rsid w:val="00232596"/>
    <w:rsid w:val="0023582E"/>
    <w:rsid w:val="002376A8"/>
    <w:rsid w:val="00237878"/>
    <w:rsid w:val="00240921"/>
    <w:rsid w:val="002438ED"/>
    <w:rsid w:val="00244A9E"/>
    <w:rsid w:val="002453A1"/>
    <w:rsid w:val="00246849"/>
    <w:rsid w:val="00247A0B"/>
    <w:rsid w:val="00250127"/>
    <w:rsid w:val="0025023B"/>
    <w:rsid w:val="00252B8E"/>
    <w:rsid w:val="00252EEF"/>
    <w:rsid w:val="00253B6C"/>
    <w:rsid w:val="00253C94"/>
    <w:rsid w:val="00254651"/>
    <w:rsid w:val="00254901"/>
    <w:rsid w:val="0025543B"/>
    <w:rsid w:val="00255BAC"/>
    <w:rsid w:val="0025654B"/>
    <w:rsid w:val="00256ACE"/>
    <w:rsid w:val="00257981"/>
    <w:rsid w:val="002601C7"/>
    <w:rsid w:val="00261B97"/>
    <w:rsid w:val="002651EA"/>
    <w:rsid w:val="0027369F"/>
    <w:rsid w:val="00273700"/>
    <w:rsid w:val="00273B21"/>
    <w:rsid w:val="00274E8B"/>
    <w:rsid w:val="00277D9D"/>
    <w:rsid w:val="00281C0B"/>
    <w:rsid w:val="00282251"/>
    <w:rsid w:val="0028288E"/>
    <w:rsid w:val="00290EE2"/>
    <w:rsid w:val="00292062"/>
    <w:rsid w:val="002932D2"/>
    <w:rsid w:val="002938AB"/>
    <w:rsid w:val="00294593"/>
    <w:rsid w:val="00294DDB"/>
    <w:rsid w:val="00294DF3"/>
    <w:rsid w:val="00295741"/>
    <w:rsid w:val="002957B7"/>
    <w:rsid w:val="002965D2"/>
    <w:rsid w:val="002A0435"/>
    <w:rsid w:val="002A0BC1"/>
    <w:rsid w:val="002A166A"/>
    <w:rsid w:val="002A1AA4"/>
    <w:rsid w:val="002A2C52"/>
    <w:rsid w:val="002A3287"/>
    <w:rsid w:val="002A3EC2"/>
    <w:rsid w:val="002A6400"/>
    <w:rsid w:val="002A6E8B"/>
    <w:rsid w:val="002B071C"/>
    <w:rsid w:val="002B133E"/>
    <w:rsid w:val="002B24D2"/>
    <w:rsid w:val="002B3EAE"/>
    <w:rsid w:val="002B4900"/>
    <w:rsid w:val="002B6364"/>
    <w:rsid w:val="002B7681"/>
    <w:rsid w:val="002B7F82"/>
    <w:rsid w:val="002C0D41"/>
    <w:rsid w:val="002C15A0"/>
    <w:rsid w:val="002C22CF"/>
    <w:rsid w:val="002C33EF"/>
    <w:rsid w:val="002C3E23"/>
    <w:rsid w:val="002C3E51"/>
    <w:rsid w:val="002C504B"/>
    <w:rsid w:val="002C743D"/>
    <w:rsid w:val="002C749F"/>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21A8"/>
    <w:rsid w:val="002F3030"/>
    <w:rsid w:val="002F5587"/>
    <w:rsid w:val="002F5FB0"/>
    <w:rsid w:val="002F741D"/>
    <w:rsid w:val="00300B84"/>
    <w:rsid w:val="00301A6D"/>
    <w:rsid w:val="0030247A"/>
    <w:rsid w:val="00303955"/>
    <w:rsid w:val="00303F18"/>
    <w:rsid w:val="00304810"/>
    <w:rsid w:val="003048C5"/>
    <w:rsid w:val="003055C3"/>
    <w:rsid w:val="003061FB"/>
    <w:rsid w:val="00306270"/>
    <w:rsid w:val="0031008A"/>
    <w:rsid w:val="00310924"/>
    <w:rsid w:val="0031259B"/>
    <w:rsid w:val="00314298"/>
    <w:rsid w:val="0031471E"/>
    <w:rsid w:val="003176D3"/>
    <w:rsid w:val="00317EBF"/>
    <w:rsid w:val="00320409"/>
    <w:rsid w:val="003204E2"/>
    <w:rsid w:val="00320B22"/>
    <w:rsid w:val="003228DE"/>
    <w:rsid w:val="00323C8A"/>
    <w:rsid w:val="00326096"/>
    <w:rsid w:val="00326AE5"/>
    <w:rsid w:val="00330421"/>
    <w:rsid w:val="0033237E"/>
    <w:rsid w:val="00332C56"/>
    <w:rsid w:val="003334FB"/>
    <w:rsid w:val="003344E7"/>
    <w:rsid w:val="0033779C"/>
    <w:rsid w:val="00337AC6"/>
    <w:rsid w:val="00343A18"/>
    <w:rsid w:val="0034476B"/>
    <w:rsid w:val="00346913"/>
    <w:rsid w:val="003469B5"/>
    <w:rsid w:val="00346CE0"/>
    <w:rsid w:val="00354ABE"/>
    <w:rsid w:val="00356159"/>
    <w:rsid w:val="00356492"/>
    <w:rsid w:val="00357C6C"/>
    <w:rsid w:val="00360657"/>
    <w:rsid w:val="00366AFE"/>
    <w:rsid w:val="00367B98"/>
    <w:rsid w:val="00370711"/>
    <w:rsid w:val="003711F9"/>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6B4"/>
    <w:rsid w:val="00392998"/>
    <w:rsid w:val="00393026"/>
    <w:rsid w:val="0039319E"/>
    <w:rsid w:val="00393DBB"/>
    <w:rsid w:val="00393E8A"/>
    <w:rsid w:val="003949F0"/>
    <w:rsid w:val="00395460"/>
    <w:rsid w:val="00396152"/>
    <w:rsid w:val="003962D9"/>
    <w:rsid w:val="00397D0E"/>
    <w:rsid w:val="003A1D77"/>
    <w:rsid w:val="003A21B3"/>
    <w:rsid w:val="003A24AD"/>
    <w:rsid w:val="003A2C91"/>
    <w:rsid w:val="003A3887"/>
    <w:rsid w:val="003A3B51"/>
    <w:rsid w:val="003A40AD"/>
    <w:rsid w:val="003A66B2"/>
    <w:rsid w:val="003A6A32"/>
    <w:rsid w:val="003A6B7C"/>
    <w:rsid w:val="003A7D7E"/>
    <w:rsid w:val="003B1693"/>
    <w:rsid w:val="003B32EC"/>
    <w:rsid w:val="003B3488"/>
    <w:rsid w:val="003B42F1"/>
    <w:rsid w:val="003B5E55"/>
    <w:rsid w:val="003B5F6A"/>
    <w:rsid w:val="003B623A"/>
    <w:rsid w:val="003B63BE"/>
    <w:rsid w:val="003B7B62"/>
    <w:rsid w:val="003C072B"/>
    <w:rsid w:val="003C3D3D"/>
    <w:rsid w:val="003C5836"/>
    <w:rsid w:val="003C585E"/>
    <w:rsid w:val="003C7796"/>
    <w:rsid w:val="003C7E35"/>
    <w:rsid w:val="003D0189"/>
    <w:rsid w:val="003D0448"/>
    <w:rsid w:val="003D0D82"/>
    <w:rsid w:val="003D0F93"/>
    <w:rsid w:val="003D0FB7"/>
    <w:rsid w:val="003D1A86"/>
    <w:rsid w:val="003D3252"/>
    <w:rsid w:val="003D3CA2"/>
    <w:rsid w:val="003D3E7E"/>
    <w:rsid w:val="003D72E9"/>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0484"/>
    <w:rsid w:val="003F288B"/>
    <w:rsid w:val="003F2AC0"/>
    <w:rsid w:val="003F2B20"/>
    <w:rsid w:val="003F2C34"/>
    <w:rsid w:val="003F2DF0"/>
    <w:rsid w:val="003F30FC"/>
    <w:rsid w:val="003F45CD"/>
    <w:rsid w:val="003F4CC7"/>
    <w:rsid w:val="003F7C94"/>
    <w:rsid w:val="00401397"/>
    <w:rsid w:val="004022E2"/>
    <w:rsid w:val="004038BC"/>
    <w:rsid w:val="00406AE2"/>
    <w:rsid w:val="0041036A"/>
    <w:rsid w:val="0041316A"/>
    <w:rsid w:val="004139E4"/>
    <w:rsid w:val="004158F6"/>
    <w:rsid w:val="00415A66"/>
    <w:rsid w:val="00416547"/>
    <w:rsid w:val="00416A31"/>
    <w:rsid w:val="00417136"/>
    <w:rsid w:val="00417240"/>
    <w:rsid w:val="0041770B"/>
    <w:rsid w:val="004205F6"/>
    <w:rsid w:val="00420760"/>
    <w:rsid w:val="00420CFF"/>
    <w:rsid w:val="004224C2"/>
    <w:rsid w:val="00423B46"/>
    <w:rsid w:val="00424376"/>
    <w:rsid w:val="004259BC"/>
    <w:rsid w:val="00425AA9"/>
    <w:rsid w:val="00426250"/>
    <w:rsid w:val="00426A69"/>
    <w:rsid w:val="00426B77"/>
    <w:rsid w:val="004270A4"/>
    <w:rsid w:val="00427AEC"/>
    <w:rsid w:val="00430F61"/>
    <w:rsid w:val="00431019"/>
    <w:rsid w:val="00432155"/>
    <w:rsid w:val="00433EC2"/>
    <w:rsid w:val="00434856"/>
    <w:rsid w:val="00434CD9"/>
    <w:rsid w:val="004352F7"/>
    <w:rsid w:val="0043554A"/>
    <w:rsid w:val="0043619D"/>
    <w:rsid w:val="004362D3"/>
    <w:rsid w:val="0043788C"/>
    <w:rsid w:val="00442A8B"/>
    <w:rsid w:val="00442D1E"/>
    <w:rsid w:val="00443016"/>
    <w:rsid w:val="00444344"/>
    <w:rsid w:val="00445945"/>
    <w:rsid w:val="00450691"/>
    <w:rsid w:val="00450D9C"/>
    <w:rsid w:val="00452140"/>
    <w:rsid w:val="00453BB3"/>
    <w:rsid w:val="004545A3"/>
    <w:rsid w:val="00454695"/>
    <w:rsid w:val="00454D95"/>
    <w:rsid w:val="004569B2"/>
    <w:rsid w:val="00457427"/>
    <w:rsid w:val="00457C1C"/>
    <w:rsid w:val="004619FE"/>
    <w:rsid w:val="00462679"/>
    <w:rsid w:val="0046308C"/>
    <w:rsid w:val="00463574"/>
    <w:rsid w:val="00464762"/>
    <w:rsid w:val="00465B5F"/>
    <w:rsid w:val="004666F3"/>
    <w:rsid w:val="00467343"/>
    <w:rsid w:val="0046742A"/>
    <w:rsid w:val="0047031A"/>
    <w:rsid w:val="00471A6D"/>
    <w:rsid w:val="0047322E"/>
    <w:rsid w:val="004741BD"/>
    <w:rsid w:val="004757CE"/>
    <w:rsid w:val="00475FA3"/>
    <w:rsid w:val="00476F80"/>
    <w:rsid w:val="00477006"/>
    <w:rsid w:val="00480F68"/>
    <w:rsid w:val="00481C20"/>
    <w:rsid w:val="00483B86"/>
    <w:rsid w:val="00485293"/>
    <w:rsid w:val="00485E47"/>
    <w:rsid w:val="00490499"/>
    <w:rsid w:val="00497AB8"/>
    <w:rsid w:val="004A0C09"/>
    <w:rsid w:val="004A2EE3"/>
    <w:rsid w:val="004A4356"/>
    <w:rsid w:val="004A5EEF"/>
    <w:rsid w:val="004A7474"/>
    <w:rsid w:val="004B0B1D"/>
    <w:rsid w:val="004B3711"/>
    <w:rsid w:val="004B3C41"/>
    <w:rsid w:val="004B4797"/>
    <w:rsid w:val="004B61CF"/>
    <w:rsid w:val="004B6792"/>
    <w:rsid w:val="004C0738"/>
    <w:rsid w:val="004C0D20"/>
    <w:rsid w:val="004C0FE6"/>
    <w:rsid w:val="004C20F1"/>
    <w:rsid w:val="004C212C"/>
    <w:rsid w:val="004C253C"/>
    <w:rsid w:val="004C2FC4"/>
    <w:rsid w:val="004C30C9"/>
    <w:rsid w:val="004D0B68"/>
    <w:rsid w:val="004D0F95"/>
    <w:rsid w:val="004D232B"/>
    <w:rsid w:val="004D3010"/>
    <w:rsid w:val="004D3527"/>
    <w:rsid w:val="004D3ABB"/>
    <w:rsid w:val="004D4A6B"/>
    <w:rsid w:val="004E1476"/>
    <w:rsid w:val="004E4946"/>
    <w:rsid w:val="004E5D38"/>
    <w:rsid w:val="004E603B"/>
    <w:rsid w:val="004E626B"/>
    <w:rsid w:val="004E6C7D"/>
    <w:rsid w:val="004F13BD"/>
    <w:rsid w:val="004F478F"/>
    <w:rsid w:val="004F7784"/>
    <w:rsid w:val="00501246"/>
    <w:rsid w:val="0050230D"/>
    <w:rsid w:val="0050364D"/>
    <w:rsid w:val="00503D17"/>
    <w:rsid w:val="00504D00"/>
    <w:rsid w:val="00504D6E"/>
    <w:rsid w:val="005116FB"/>
    <w:rsid w:val="0051173D"/>
    <w:rsid w:val="0051378F"/>
    <w:rsid w:val="00514B75"/>
    <w:rsid w:val="00515D44"/>
    <w:rsid w:val="0052311A"/>
    <w:rsid w:val="00523C60"/>
    <w:rsid w:val="005251E8"/>
    <w:rsid w:val="00526473"/>
    <w:rsid w:val="00527164"/>
    <w:rsid w:val="00531AFF"/>
    <w:rsid w:val="00532875"/>
    <w:rsid w:val="00534305"/>
    <w:rsid w:val="00535A41"/>
    <w:rsid w:val="0053691B"/>
    <w:rsid w:val="00537FF8"/>
    <w:rsid w:val="00542913"/>
    <w:rsid w:val="0054467E"/>
    <w:rsid w:val="005464E6"/>
    <w:rsid w:val="00546938"/>
    <w:rsid w:val="00547ACF"/>
    <w:rsid w:val="005525C7"/>
    <w:rsid w:val="00552639"/>
    <w:rsid w:val="00554C22"/>
    <w:rsid w:val="00555557"/>
    <w:rsid w:val="00557927"/>
    <w:rsid w:val="00557AA8"/>
    <w:rsid w:val="00557B17"/>
    <w:rsid w:val="00561126"/>
    <w:rsid w:val="00561296"/>
    <w:rsid w:val="00566916"/>
    <w:rsid w:val="00566F71"/>
    <w:rsid w:val="00567EBC"/>
    <w:rsid w:val="00567FC5"/>
    <w:rsid w:val="00571CCF"/>
    <w:rsid w:val="00572180"/>
    <w:rsid w:val="00572337"/>
    <w:rsid w:val="00573049"/>
    <w:rsid w:val="00573FFE"/>
    <w:rsid w:val="00575FC3"/>
    <w:rsid w:val="0057625C"/>
    <w:rsid w:val="00576743"/>
    <w:rsid w:val="005771D5"/>
    <w:rsid w:val="0058066B"/>
    <w:rsid w:val="0058099B"/>
    <w:rsid w:val="00580B98"/>
    <w:rsid w:val="00581784"/>
    <w:rsid w:val="005836A3"/>
    <w:rsid w:val="00583CBA"/>
    <w:rsid w:val="00584453"/>
    <w:rsid w:val="0058713E"/>
    <w:rsid w:val="00591838"/>
    <w:rsid w:val="00592809"/>
    <w:rsid w:val="00593343"/>
    <w:rsid w:val="00594A83"/>
    <w:rsid w:val="005A0C78"/>
    <w:rsid w:val="005A1518"/>
    <w:rsid w:val="005A4807"/>
    <w:rsid w:val="005A5A80"/>
    <w:rsid w:val="005B0FC7"/>
    <w:rsid w:val="005B2674"/>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E6955"/>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31D7"/>
    <w:rsid w:val="00624A71"/>
    <w:rsid w:val="00626031"/>
    <w:rsid w:val="006266B0"/>
    <w:rsid w:val="00630C6C"/>
    <w:rsid w:val="00630ED2"/>
    <w:rsid w:val="00631935"/>
    <w:rsid w:val="006342EF"/>
    <w:rsid w:val="00636B91"/>
    <w:rsid w:val="006373FF"/>
    <w:rsid w:val="00637833"/>
    <w:rsid w:val="00641AC4"/>
    <w:rsid w:val="00646A6F"/>
    <w:rsid w:val="0065132D"/>
    <w:rsid w:val="00653397"/>
    <w:rsid w:val="006535C3"/>
    <w:rsid w:val="006553CD"/>
    <w:rsid w:val="006559F5"/>
    <w:rsid w:val="0065752A"/>
    <w:rsid w:val="00661782"/>
    <w:rsid w:val="00661F54"/>
    <w:rsid w:val="00662C11"/>
    <w:rsid w:val="006640AA"/>
    <w:rsid w:val="0066570F"/>
    <w:rsid w:val="00672822"/>
    <w:rsid w:val="006729D2"/>
    <w:rsid w:val="00673B07"/>
    <w:rsid w:val="00673BC6"/>
    <w:rsid w:val="006775B3"/>
    <w:rsid w:val="00681434"/>
    <w:rsid w:val="006815C5"/>
    <w:rsid w:val="00684808"/>
    <w:rsid w:val="0068483E"/>
    <w:rsid w:val="00684B94"/>
    <w:rsid w:val="00687967"/>
    <w:rsid w:val="006900EA"/>
    <w:rsid w:val="00690F72"/>
    <w:rsid w:val="0069237F"/>
    <w:rsid w:val="00695AF0"/>
    <w:rsid w:val="00695FE4"/>
    <w:rsid w:val="006A0F95"/>
    <w:rsid w:val="006A516C"/>
    <w:rsid w:val="006A6B80"/>
    <w:rsid w:val="006B1301"/>
    <w:rsid w:val="006B2D92"/>
    <w:rsid w:val="006B2FEF"/>
    <w:rsid w:val="006B4B31"/>
    <w:rsid w:val="006B5C12"/>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03EB"/>
    <w:rsid w:val="006E2082"/>
    <w:rsid w:val="006E3BE5"/>
    <w:rsid w:val="006E5D5B"/>
    <w:rsid w:val="006E67BA"/>
    <w:rsid w:val="006F2362"/>
    <w:rsid w:val="006F47EB"/>
    <w:rsid w:val="006F4B13"/>
    <w:rsid w:val="006F4DE9"/>
    <w:rsid w:val="006F61B5"/>
    <w:rsid w:val="006F681A"/>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2A06"/>
    <w:rsid w:val="007153C5"/>
    <w:rsid w:val="007161D3"/>
    <w:rsid w:val="007172E6"/>
    <w:rsid w:val="00720C35"/>
    <w:rsid w:val="00720E7B"/>
    <w:rsid w:val="0072232C"/>
    <w:rsid w:val="007262F0"/>
    <w:rsid w:val="00726398"/>
    <w:rsid w:val="00727BE9"/>
    <w:rsid w:val="007314F1"/>
    <w:rsid w:val="00731BE9"/>
    <w:rsid w:val="00731E2B"/>
    <w:rsid w:val="00733C32"/>
    <w:rsid w:val="007366D2"/>
    <w:rsid w:val="007420D7"/>
    <w:rsid w:val="0074545C"/>
    <w:rsid w:val="00745C4D"/>
    <w:rsid w:val="00746933"/>
    <w:rsid w:val="0074742D"/>
    <w:rsid w:val="00752DBC"/>
    <w:rsid w:val="00753FF4"/>
    <w:rsid w:val="0075411D"/>
    <w:rsid w:val="0075462B"/>
    <w:rsid w:val="00755531"/>
    <w:rsid w:val="00755CB1"/>
    <w:rsid w:val="00756116"/>
    <w:rsid w:val="00756F8A"/>
    <w:rsid w:val="00757367"/>
    <w:rsid w:val="007601AF"/>
    <w:rsid w:val="00760295"/>
    <w:rsid w:val="007603B4"/>
    <w:rsid w:val="00760998"/>
    <w:rsid w:val="00760B97"/>
    <w:rsid w:val="00762675"/>
    <w:rsid w:val="00762FC8"/>
    <w:rsid w:val="00765825"/>
    <w:rsid w:val="00766D61"/>
    <w:rsid w:val="007700D3"/>
    <w:rsid w:val="00770970"/>
    <w:rsid w:val="0077131C"/>
    <w:rsid w:val="0077138B"/>
    <w:rsid w:val="00774B70"/>
    <w:rsid w:val="0077534E"/>
    <w:rsid w:val="00777098"/>
    <w:rsid w:val="00777133"/>
    <w:rsid w:val="0077733C"/>
    <w:rsid w:val="0078045E"/>
    <w:rsid w:val="00780B70"/>
    <w:rsid w:val="00782502"/>
    <w:rsid w:val="007827A4"/>
    <w:rsid w:val="00782847"/>
    <w:rsid w:val="00783777"/>
    <w:rsid w:val="00783D20"/>
    <w:rsid w:val="0078424F"/>
    <w:rsid w:val="00785232"/>
    <w:rsid w:val="0078549A"/>
    <w:rsid w:val="007862D0"/>
    <w:rsid w:val="00791D8D"/>
    <w:rsid w:val="0079247D"/>
    <w:rsid w:val="00792559"/>
    <w:rsid w:val="00793F37"/>
    <w:rsid w:val="00794E33"/>
    <w:rsid w:val="00794F2D"/>
    <w:rsid w:val="007954D3"/>
    <w:rsid w:val="00796159"/>
    <w:rsid w:val="00797AAD"/>
    <w:rsid w:val="007A2F02"/>
    <w:rsid w:val="007A5127"/>
    <w:rsid w:val="007A5C51"/>
    <w:rsid w:val="007B25FF"/>
    <w:rsid w:val="007B2A03"/>
    <w:rsid w:val="007B41D7"/>
    <w:rsid w:val="007B671D"/>
    <w:rsid w:val="007B70B5"/>
    <w:rsid w:val="007C0DB7"/>
    <w:rsid w:val="007C1585"/>
    <w:rsid w:val="007C1A7D"/>
    <w:rsid w:val="007C1F6C"/>
    <w:rsid w:val="007C4094"/>
    <w:rsid w:val="007C415F"/>
    <w:rsid w:val="007C45C5"/>
    <w:rsid w:val="007C5945"/>
    <w:rsid w:val="007C608D"/>
    <w:rsid w:val="007D1292"/>
    <w:rsid w:val="007D1EA6"/>
    <w:rsid w:val="007D29EC"/>
    <w:rsid w:val="007D4E04"/>
    <w:rsid w:val="007D50AE"/>
    <w:rsid w:val="007D516C"/>
    <w:rsid w:val="007E1EA6"/>
    <w:rsid w:val="007E2FDE"/>
    <w:rsid w:val="007E4C1F"/>
    <w:rsid w:val="007E4FE6"/>
    <w:rsid w:val="007E50CC"/>
    <w:rsid w:val="007E6491"/>
    <w:rsid w:val="007E6851"/>
    <w:rsid w:val="007E6943"/>
    <w:rsid w:val="007E6E32"/>
    <w:rsid w:val="007F0204"/>
    <w:rsid w:val="007F11B0"/>
    <w:rsid w:val="007F3879"/>
    <w:rsid w:val="007F5C3C"/>
    <w:rsid w:val="007F5C58"/>
    <w:rsid w:val="007F6449"/>
    <w:rsid w:val="007F6674"/>
    <w:rsid w:val="0080630B"/>
    <w:rsid w:val="00806AB5"/>
    <w:rsid w:val="00807142"/>
    <w:rsid w:val="008074E3"/>
    <w:rsid w:val="00807802"/>
    <w:rsid w:val="0080799C"/>
    <w:rsid w:val="00810C18"/>
    <w:rsid w:val="008139A1"/>
    <w:rsid w:val="00814421"/>
    <w:rsid w:val="00814AFC"/>
    <w:rsid w:val="00814B22"/>
    <w:rsid w:val="00822862"/>
    <w:rsid w:val="0082350A"/>
    <w:rsid w:val="00823765"/>
    <w:rsid w:val="0082597B"/>
    <w:rsid w:val="00831A5D"/>
    <w:rsid w:val="00831DB4"/>
    <w:rsid w:val="00832D85"/>
    <w:rsid w:val="008365EC"/>
    <w:rsid w:val="00836F80"/>
    <w:rsid w:val="00837390"/>
    <w:rsid w:val="00840A7F"/>
    <w:rsid w:val="00840A8F"/>
    <w:rsid w:val="00844176"/>
    <w:rsid w:val="00844A32"/>
    <w:rsid w:val="00846A9D"/>
    <w:rsid w:val="008503CA"/>
    <w:rsid w:val="0085126A"/>
    <w:rsid w:val="008513A9"/>
    <w:rsid w:val="00852BA6"/>
    <w:rsid w:val="00852C60"/>
    <w:rsid w:val="0085308E"/>
    <w:rsid w:val="0085318D"/>
    <w:rsid w:val="008540A7"/>
    <w:rsid w:val="008565FB"/>
    <w:rsid w:val="008577FA"/>
    <w:rsid w:val="00860354"/>
    <w:rsid w:val="008617A6"/>
    <w:rsid w:val="00862580"/>
    <w:rsid w:val="00862834"/>
    <w:rsid w:val="00870E97"/>
    <w:rsid w:val="00871516"/>
    <w:rsid w:val="00871540"/>
    <w:rsid w:val="00871E2F"/>
    <w:rsid w:val="00876284"/>
    <w:rsid w:val="008764DD"/>
    <w:rsid w:val="00877499"/>
    <w:rsid w:val="008814E9"/>
    <w:rsid w:val="00883C37"/>
    <w:rsid w:val="008841EB"/>
    <w:rsid w:val="008854B0"/>
    <w:rsid w:val="0088688D"/>
    <w:rsid w:val="008910B2"/>
    <w:rsid w:val="00891622"/>
    <w:rsid w:val="00891C00"/>
    <w:rsid w:val="008921BE"/>
    <w:rsid w:val="00895E41"/>
    <w:rsid w:val="0089734D"/>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9DC"/>
    <w:rsid w:val="008B7841"/>
    <w:rsid w:val="008C01BC"/>
    <w:rsid w:val="008C1990"/>
    <w:rsid w:val="008C20CF"/>
    <w:rsid w:val="008C4728"/>
    <w:rsid w:val="008C7959"/>
    <w:rsid w:val="008C7CA6"/>
    <w:rsid w:val="008D093B"/>
    <w:rsid w:val="008D3653"/>
    <w:rsid w:val="008D4F09"/>
    <w:rsid w:val="008D539E"/>
    <w:rsid w:val="008D65D5"/>
    <w:rsid w:val="008D75EB"/>
    <w:rsid w:val="008D7F23"/>
    <w:rsid w:val="008E12FB"/>
    <w:rsid w:val="008E1F57"/>
    <w:rsid w:val="008E5D85"/>
    <w:rsid w:val="008E5F15"/>
    <w:rsid w:val="008E71BC"/>
    <w:rsid w:val="008E751B"/>
    <w:rsid w:val="008F2FCB"/>
    <w:rsid w:val="008F40FA"/>
    <w:rsid w:val="008F5CF9"/>
    <w:rsid w:val="00900C33"/>
    <w:rsid w:val="0090193D"/>
    <w:rsid w:val="009034C7"/>
    <w:rsid w:val="00904815"/>
    <w:rsid w:val="00906ABE"/>
    <w:rsid w:val="00907D1C"/>
    <w:rsid w:val="00907DD7"/>
    <w:rsid w:val="00910BBC"/>
    <w:rsid w:val="0091182D"/>
    <w:rsid w:val="00911DA2"/>
    <w:rsid w:val="009120EC"/>
    <w:rsid w:val="00915081"/>
    <w:rsid w:val="009165D6"/>
    <w:rsid w:val="00917D6F"/>
    <w:rsid w:val="00921504"/>
    <w:rsid w:val="00921E12"/>
    <w:rsid w:val="00922352"/>
    <w:rsid w:val="0092710C"/>
    <w:rsid w:val="0093112B"/>
    <w:rsid w:val="0093298F"/>
    <w:rsid w:val="009354F2"/>
    <w:rsid w:val="009370A3"/>
    <w:rsid w:val="00937BB0"/>
    <w:rsid w:val="0094022B"/>
    <w:rsid w:val="00941E05"/>
    <w:rsid w:val="00942D63"/>
    <w:rsid w:val="00942DAA"/>
    <w:rsid w:val="0094437B"/>
    <w:rsid w:val="009455DB"/>
    <w:rsid w:val="00945DB2"/>
    <w:rsid w:val="009511D6"/>
    <w:rsid w:val="00951ED7"/>
    <w:rsid w:val="0095349E"/>
    <w:rsid w:val="00954428"/>
    <w:rsid w:val="00954541"/>
    <w:rsid w:val="00954C0F"/>
    <w:rsid w:val="00955828"/>
    <w:rsid w:val="00956218"/>
    <w:rsid w:val="00956C4B"/>
    <w:rsid w:val="00957E64"/>
    <w:rsid w:val="00961605"/>
    <w:rsid w:val="009620C5"/>
    <w:rsid w:val="00963C88"/>
    <w:rsid w:val="00965995"/>
    <w:rsid w:val="00966814"/>
    <w:rsid w:val="00967C5D"/>
    <w:rsid w:val="00970D58"/>
    <w:rsid w:val="00973167"/>
    <w:rsid w:val="00980174"/>
    <w:rsid w:val="00981A42"/>
    <w:rsid w:val="00985A6C"/>
    <w:rsid w:val="009921E3"/>
    <w:rsid w:val="0099282E"/>
    <w:rsid w:val="00992E0E"/>
    <w:rsid w:val="00993596"/>
    <w:rsid w:val="009A00EB"/>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D4879"/>
    <w:rsid w:val="009E03F3"/>
    <w:rsid w:val="009E2629"/>
    <w:rsid w:val="009E3364"/>
    <w:rsid w:val="009E5C84"/>
    <w:rsid w:val="009F0FC9"/>
    <w:rsid w:val="009F1A7E"/>
    <w:rsid w:val="009F5156"/>
    <w:rsid w:val="00A03E32"/>
    <w:rsid w:val="00A075B0"/>
    <w:rsid w:val="00A11259"/>
    <w:rsid w:val="00A12B76"/>
    <w:rsid w:val="00A13FC8"/>
    <w:rsid w:val="00A14369"/>
    <w:rsid w:val="00A154D5"/>
    <w:rsid w:val="00A16CCF"/>
    <w:rsid w:val="00A2067E"/>
    <w:rsid w:val="00A20B99"/>
    <w:rsid w:val="00A21F19"/>
    <w:rsid w:val="00A229AC"/>
    <w:rsid w:val="00A22AB0"/>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0FC4"/>
    <w:rsid w:val="00A41FB2"/>
    <w:rsid w:val="00A43105"/>
    <w:rsid w:val="00A43A02"/>
    <w:rsid w:val="00A468F1"/>
    <w:rsid w:val="00A471D7"/>
    <w:rsid w:val="00A50812"/>
    <w:rsid w:val="00A541ED"/>
    <w:rsid w:val="00A5551D"/>
    <w:rsid w:val="00A562DC"/>
    <w:rsid w:val="00A56E9B"/>
    <w:rsid w:val="00A56F27"/>
    <w:rsid w:val="00A57518"/>
    <w:rsid w:val="00A603DF"/>
    <w:rsid w:val="00A60C80"/>
    <w:rsid w:val="00A62D53"/>
    <w:rsid w:val="00A656FE"/>
    <w:rsid w:val="00A658C7"/>
    <w:rsid w:val="00A66F1F"/>
    <w:rsid w:val="00A71824"/>
    <w:rsid w:val="00A718EE"/>
    <w:rsid w:val="00A73448"/>
    <w:rsid w:val="00A74203"/>
    <w:rsid w:val="00A76C0A"/>
    <w:rsid w:val="00A82313"/>
    <w:rsid w:val="00A86F1C"/>
    <w:rsid w:val="00A87100"/>
    <w:rsid w:val="00A9174A"/>
    <w:rsid w:val="00A92A07"/>
    <w:rsid w:val="00A93054"/>
    <w:rsid w:val="00A94B68"/>
    <w:rsid w:val="00A969CC"/>
    <w:rsid w:val="00A96C8D"/>
    <w:rsid w:val="00A9708B"/>
    <w:rsid w:val="00AA34A6"/>
    <w:rsid w:val="00AA3A72"/>
    <w:rsid w:val="00AA45BA"/>
    <w:rsid w:val="00AA6E88"/>
    <w:rsid w:val="00AA71C4"/>
    <w:rsid w:val="00AB3EB4"/>
    <w:rsid w:val="00AB4677"/>
    <w:rsid w:val="00AB6AE8"/>
    <w:rsid w:val="00AB7C59"/>
    <w:rsid w:val="00AC105D"/>
    <w:rsid w:val="00AC16D2"/>
    <w:rsid w:val="00AC24BD"/>
    <w:rsid w:val="00AC2B46"/>
    <w:rsid w:val="00AC5779"/>
    <w:rsid w:val="00AC6178"/>
    <w:rsid w:val="00AD3D79"/>
    <w:rsid w:val="00AD48AA"/>
    <w:rsid w:val="00AD5B91"/>
    <w:rsid w:val="00AD5C75"/>
    <w:rsid w:val="00AD6AEF"/>
    <w:rsid w:val="00AE0055"/>
    <w:rsid w:val="00AE091D"/>
    <w:rsid w:val="00AE3B88"/>
    <w:rsid w:val="00AE45DC"/>
    <w:rsid w:val="00AE4C8F"/>
    <w:rsid w:val="00AE5675"/>
    <w:rsid w:val="00AE57EC"/>
    <w:rsid w:val="00AE64F9"/>
    <w:rsid w:val="00AF1C04"/>
    <w:rsid w:val="00AF21BE"/>
    <w:rsid w:val="00AF2547"/>
    <w:rsid w:val="00AF254A"/>
    <w:rsid w:val="00AF36C9"/>
    <w:rsid w:val="00AF5DF5"/>
    <w:rsid w:val="00AF755E"/>
    <w:rsid w:val="00B0174E"/>
    <w:rsid w:val="00B02EDD"/>
    <w:rsid w:val="00B039A0"/>
    <w:rsid w:val="00B043DE"/>
    <w:rsid w:val="00B04603"/>
    <w:rsid w:val="00B0569D"/>
    <w:rsid w:val="00B07577"/>
    <w:rsid w:val="00B1092B"/>
    <w:rsid w:val="00B10B94"/>
    <w:rsid w:val="00B111A5"/>
    <w:rsid w:val="00B117F2"/>
    <w:rsid w:val="00B13379"/>
    <w:rsid w:val="00B13C6F"/>
    <w:rsid w:val="00B14D75"/>
    <w:rsid w:val="00B15DBA"/>
    <w:rsid w:val="00B16A95"/>
    <w:rsid w:val="00B16CE3"/>
    <w:rsid w:val="00B2297A"/>
    <w:rsid w:val="00B230F6"/>
    <w:rsid w:val="00B26202"/>
    <w:rsid w:val="00B300C7"/>
    <w:rsid w:val="00B30CFE"/>
    <w:rsid w:val="00B31DDF"/>
    <w:rsid w:val="00B32793"/>
    <w:rsid w:val="00B33D89"/>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674"/>
    <w:rsid w:val="00B56A48"/>
    <w:rsid w:val="00B56B47"/>
    <w:rsid w:val="00B618A9"/>
    <w:rsid w:val="00B621AF"/>
    <w:rsid w:val="00B63C0B"/>
    <w:rsid w:val="00B652FE"/>
    <w:rsid w:val="00B65A0A"/>
    <w:rsid w:val="00B65CF6"/>
    <w:rsid w:val="00B700CC"/>
    <w:rsid w:val="00B72365"/>
    <w:rsid w:val="00B74B38"/>
    <w:rsid w:val="00B759C4"/>
    <w:rsid w:val="00B762A0"/>
    <w:rsid w:val="00B7641E"/>
    <w:rsid w:val="00B77E56"/>
    <w:rsid w:val="00B80371"/>
    <w:rsid w:val="00B8269F"/>
    <w:rsid w:val="00B837AE"/>
    <w:rsid w:val="00B83DDC"/>
    <w:rsid w:val="00B83EED"/>
    <w:rsid w:val="00B84453"/>
    <w:rsid w:val="00B85597"/>
    <w:rsid w:val="00B85A89"/>
    <w:rsid w:val="00B868AD"/>
    <w:rsid w:val="00B86DD0"/>
    <w:rsid w:val="00B91B04"/>
    <w:rsid w:val="00B9742D"/>
    <w:rsid w:val="00BA131A"/>
    <w:rsid w:val="00BA2274"/>
    <w:rsid w:val="00BA31BC"/>
    <w:rsid w:val="00BA5070"/>
    <w:rsid w:val="00BB0042"/>
    <w:rsid w:val="00BB0BAA"/>
    <w:rsid w:val="00BB1455"/>
    <w:rsid w:val="00BB1EA2"/>
    <w:rsid w:val="00BB480B"/>
    <w:rsid w:val="00BB4E62"/>
    <w:rsid w:val="00BB55EA"/>
    <w:rsid w:val="00BB6326"/>
    <w:rsid w:val="00BB7389"/>
    <w:rsid w:val="00BB7D03"/>
    <w:rsid w:val="00BC31E7"/>
    <w:rsid w:val="00BC37E0"/>
    <w:rsid w:val="00BC38A7"/>
    <w:rsid w:val="00BC608E"/>
    <w:rsid w:val="00BC69DC"/>
    <w:rsid w:val="00BC7045"/>
    <w:rsid w:val="00BD07F2"/>
    <w:rsid w:val="00BD1C32"/>
    <w:rsid w:val="00BD20AE"/>
    <w:rsid w:val="00BD746F"/>
    <w:rsid w:val="00BD7AE1"/>
    <w:rsid w:val="00BE0E6C"/>
    <w:rsid w:val="00BE15E4"/>
    <w:rsid w:val="00BE6127"/>
    <w:rsid w:val="00BE786E"/>
    <w:rsid w:val="00BF13E6"/>
    <w:rsid w:val="00BF15B9"/>
    <w:rsid w:val="00BF2AA4"/>
    <w:rsid w:val="00BF742F"/>
    <w:rsid w:val="00BF7BD9"/>
    <w:rsid w:val="00BF7D60"/>
    <w:rsid w:val="00C017FE"/>
    <w:rsid w:val="00C03273"/>
    <w:rsid w:val="00C0447C"/>
    <w:rsid w:val="00C04CAF"/>
    <w:rsid w:val="00C050AF"/>
    <w:rsid w:val="00C054A9"/>
    <w:rsid w:val="00C05EF2"/>
    <w:rsid w:val="00C0600E"/>
    <w:rsid w:val="00C07585"/>
    <w:rsid w:val="00C11685"/>
    <w:rsid w:val="00C1189F"/>
    <w:rsid w:val="00C11F32"/>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27354"/>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0883"/>
    <w:rsid w:val="00C62D9D"/>
    <w:rsid w:val="00C6333E"/>
    <w:rsid w:val="00C633A8"/>
    <w:rsid w:val="00C64DE5"/>
    <w:rsid w:val="00C65AAE"/>
    <w:rsid w:val="00C66A4D"/>
    <w:rsid w:val="00C67534"/>
    <w:rsid w:val="00C712C4"/>
    <w:rsid w:val="00C7141D"/>
    <w:rsid w:val="00C72945"/>
    <w:rsid w:val="00C74D5C"/>
    <w:rsid w:val="00C75E3A"/>
    <w:rsid w:val="00C77378"/>
    <w:rsid w:val="00C77C41"/>
    <w:rsid w:val="00C77C68"/>
    <w:rsid w:val="00C82E0E"/>
    <w:rsid w:val="00C85115"/>
    <w:rsid w:val="00C86896"/>
    <w:rsid w:val="00C86AE5"/>
    <w:rsid w:val="00C921F5"/>
    <w:rsid w:val="00C933DE"/>
    <w:rsid w:val="00C95D2F"/>
    <w:rsid w:val="00CA082C"/>
    <w:rsid w:val="00CA0BCB"/>
    <w:rsid w:val="00CA130E"/>
    <w:rsid w:val="00CA373F"/>
    <w:rsid w:val="00CB1ADF"/>
    <w:rsid w:val="00CB237D"/>
    <w:rsid w:val="00CB2A80"/>
    <w:rsid w:val="00CB2F00"/>
    <w:rsid w:val="00CB48BB"/>
    <w:rsid w:val="00CB5A26"/>
    <w:rsid w:val="00CB6AC4"/>
    <w:rsid w:val="00CC10D3"/>
    <w:rsid w:val="00CC2DAC"/>
    <w:rsid w:val="00CC4858"/>
    <w:rsid w:val="00CD00B0"/>
    <w:rsid w:val="00CD1C12"/>
    <w:rsid w:val="00CD1D66"/>
    <w:rsid w:val="00CD1F7F"/>
    <w:rsid w:val="00CD2774"/>
    <w:rsid w:val="00CD433A"/>
    <w:rsid w:val="00CD57A7"/>
    <w:rsid w:val="00CD5FCA"/>
    <w:rsid w:val="00CD7CCA"/>
    <w:rsid w:val="00CE0AC5"/>
    <w:rsid w:val="00CE1DD6"/>
    <w:rsid w:val="00CE261F"/>
    <w:rsid w:val="00CE35E1"/>
    <w:rsid w:val="00CE5541"/>
    <w:rsid w:val="00CE5C53"/>
    <w:rsid w:val="00CF0573"/>
    <w:rsid w:val="00CF4607"/>
    <w:rsid w:val="00CF6767"/>
    <w:rsid w:val="00CF747C"/>
    <w:rsid w:val="00D00576"/>
    <w:rsid w:val="00D0207F"/>
    <w:rsid w:val="00D02CD4"/>
    <w:rsid w:val="00D04299"/>
    <w:rsid w:val="00D0506F"/>
    <w:rsid w:val="00D05A7A"/>
    <w:rsid w:val="00D06C14"/>
    <w:rsid w:val="00D06F0E"/>
    <w:rsid w:val="00D07B78"/>
    <w:rsid w:val="00D12439"/>
    <w:rsid w:val="00D12B80"/>
    <w:rsid w:val="00D13BD0"/>
    <w:rsid w:val="00D13D6F"/>
    <w:rsid w:val="00D165F4"/>
    <w:rsid w:val="00D1668E"/>
    <w:rsid w:val="00D167C5"/>
    <w:rsid w:val="00D16C33"/>
    <w:rsid w:val="00D177EA"/>
    <w:rsid w:val="00D20CC5"/>
    <w:rsid w:val="00D217AC"/>
    <w:rsid w:val="00D27E4D"/>
    <w:rsid w:val="00D31BE1"/>
    <w:rsid w:val="00D35B96"/>
    <w:rsid w:val="00D35CE6"/>
    <w:rsid w:val="00D37973"/>
    <w:rsid w:val="00D40EAC"/>
    <w:rsid w:val="00D41F46"/>
    <w:rsid w:val="00D4222D"/>
    <w:rsid w:val="00D42754"/>
    <w:rsid w:val="00D4381D"/>
    <w:rsid w:val="00D455A4"/>
    <w:rsid w:val="00D51DD0"/>
    <w:rsid w:val="00D5265D"/>
    <w:rsid w:val="00D60415"/>
    <w:rsid w:val="00D62E09"/>
    <w:rsid w:val="00D64101"/>
    <w:rsid w:val="00D64A1D"/>
    <w:rsid w:val="00D64FFD"/>
    <w:rsid w:val="00D671F5"/>
    <w:rsid w:val="00D67CE9"/>
    <w:rsid w:val="00D67F89"/>
    <w:rsid w:val="00D70AAA"/>
    <w:rsid w:val="00D7105E"/>
    <w:rsid w:val="00D710DA"/>
    <w:rsid w:val="00D71684"/>
    <w:rsid w:val="00D72D32"/>
    <w:rsid w:val="00D7671C"/>
    <w:rsid w:val="00D767E6"/>
    <w:rsid w:val="00D76D7C"/>
    <w:rsid w:val="00D77A0C"/>
    <w:rsid w:val="00D8131B"/>
    <w:rsid w:val="00D81D94"/>
    <w:rsid w:val="00D8420C"/>
    <w:rsid w:val="00D84DE0"/>
    <w:rsid w:val="00D852A4"/>
    <w:rsid w:val="00D85764"/>
    <w:rsid w:val="00D863D0"/>
    <w:rsid w:val="00D90CAE"/>
    <w:rsid w:val="00D953C8"/>
    <w:rsid w:val="00D96DD6"/>
    <w:rsid w:val="00D96FBA"/>
    <w:rsid w:val="00D97622"/>
    <w:rsid w:val="00DA1B53"/>
    <w:rsid w:val="00DA1FCE"/>
    <w:rsid w:val="00DA239C"/>
    <w:rsid w:val="00DA3088"/>
    <w:rsid w:val="00DA433D"/>
    <w:rsid w:val="00DA58AF"/>
    <w:rsid w:val="00DA7141"/>
    <w:rsid w:val="00DA744D"/>
    <w:rsid w:val="00DB1E78"/>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26B"/>
    <w:rsid w:val="00DD23E0"/>
    <w:rsid w:val="00DD2637"/>
    <w:rsid w:val="00DD2F35"/>
    <w:rsid w:val="00DD696D"/>
    <w:rsid w:val="00DD7872"/>
    <w:rsid w:val="00DE0896"/>
    <w:rsid w:val="00DE0AD5"/>
    <w:rsid w:val="00DE220F"/>
    <w:rsid w:val="00DE4ED9"/>
    <w:rsid w:val="00DE55C6"/>
    <w:rsid w:val="00DE592E"/>
    <w:rsid w:val="00DE7E62"/>
    <w:rsid w:val="00DF1C2B"/>
    <w:rsid w:val="00DF2F6B"/>
    <w:rsid w:val="00DF3993"/>
    <w:rsid w:val="00DF4EB1"/>
    <w:rsid w:val="00DF6E16"/>
    <w:rsid w:val="00E00218"/>
    <w:rsid w:val="00E018E1"/>
    <w:rsid w:val="00E0333C"/>
    <w:rsid w:val="00E0484E"/>
    <w:rsid w:val="00E07AC4"/>
    <w:rsid w:val="00E10305"/>
    <w:rsid w:val="00E105CB"/>
    <w:rsid w:val="00E1062C"/>
    <w:rsid w:val="00E1136D"/>
    <w:rsid w:val="00E116BA"/>
    <w:rsid w:val="00E11D27"/>
    <w:rsid w:val="00E11D29"/>
    <w:rsid w:val="00E140A6"/>
    <w:rsid w:val="00E15447"/>
    <w:rsid w:val="00E15B7B"/>
    <w:rsid w:val="00E16B00"/>
    <w:rsid w:val="00E20773"/>
    <w:rsid w:val="00E2107F"/>
    <w:rsid w:val="00E23059"/>
    <w:rsid w:val="00E231E0"/>
    <w:rsid w:val="00E231F4"/>
    <w:rsid w:val="00E25DAC"/>
    <w:rsid w:val="00E30352"/>
    <w:rsid w:val="00E32516"/>
    <w:rsid w:val="00E33146"/>
    <w:rsid w:val="00E374D1"/>
    <w:rsid w:val="00E37F50"/>
    <w:rsid w:val="00E40942"/>
    <w:rsid w:val="00E50D80"/>
    <w:rsid w:val="00E50E6F"/>
    <w:rsid w:val="00E51035"/>
    <w:rsid w:val="00E53438"/>
    <w:rsid w:val="00E539B3"/>
    <w:rsid w:val="00E54104"/>
    <w:rsid w:val="00E55EC8"/>
    <w:rsid w:val="00E56469"/>
    <w:rsid w:val="00E56D02"/>
    <w:rsid w:val="00E57209"/>
    <w:rsid w:val="00E5727D"/>
    <w:rsid w:val="00E57FAB"/>
    <w:rsid w:val="00E66893"/>
    <w:rsid w:val="00E670D3"/>
    <w:rsid w:val="00E713A7"/>
    <w:rsid w:val="00E72404"/>
    <w:rsid w:val="00E73990"/>
    <w:rsid w:val="00E74A15"/>
    <w:rsid w:val="00E7567F"/>
    <w:rsid w:val="00E766FF"/>
    <w:rsid w:val="00E7710A"/>
    <w:rsid w:val="00E81F3E"/>
    <w:rsid w:val="00E85807"/>
    <w:rsid w:val="00E86211"/>
    <w:rsid w:val="00E86ACB"/>
    <w:rsid w:val="00E900E0"/>
    <w:rsid w:val="00E90628"/>
    <w:rsid w:val="00E90D4F"/>
    <w:rsid w:val="00E90E2C"/>
    <w:rsid w:val="00E9122B"/>
    <w:rsid w:val="00E93CFE"/>
    <w:rsid w:val="00E953B9"/>
    <w:rsid w:val="00EA0D43"/>
    <w:rsid w:val="00EA0EBB"/>
    <w:rsid w:val="00EA1619"/>
    <w:rsid w:val="00EA49CE"/>
    <w:rsid w:val="00EA4CBA"/>
    <w:rsid w:val="00EA6CD3"/>
    <w:rsid w:val="00EA7EDF"/>
    <w:rsid w:val="00EB184B"/>
    <w:rsid w:val="00EB27FB"/>
    <w:rsid w:val="00EB4B7B"/>
    <w:rsid w:val="00EC03E6"/>
    <w:rsid w:val="00EC218F"/>
    <w:rsid w:val="00EC4BC4"/>
    <w:rsid w:val="00EC5935"/>
    <w:rsid w:val="00ED053C"/>
    <w:rsid w:val="00ED0911"/>
    <w:rsid w:val="00ED0A46"/>
    <w:rsid w:val="00ED18C9"/>
    <w:rsid w:val="00ED2979"/>
    <w:rsid w:val="00ED377A"/>
    <w:rsid w:val="00ED39FF"/>
    <w:rsid w:val="00ED4255"/>
    <w:rsid w:val="00ED5CF7"/>
    <w:rsid w:val="00ED603E"/>
    <w:rsid w:val="00EE05A5"/>
    <w:rsid w:val="00EE44FE"/>
    <w:rsid w:val="00EE4A54"/>
    <w:rsid w:val="00EE4C51"/>
    <w:rsid w:val="00EE61BD"/>
    <w:rsid w:val="00EE7BA0"/>
    <w:rsid w:val="00EF17FD"/>
    <w:rsid w:val="00EF2696"/>
    <w:rsid w:val="00EF55B6"/>
    <w:rsid w:val="00F00E88"/>
    <w:rsid w:val="00F01691"/>
    <w:rsid w:val="00F019FA"/>
    <w:rsid w:val="00F02EB7"/>
    <w:rsid w:val="00F03FAA"/>
    <w:rsid w:val="00F0662E"/>
    <w:rsid w:val="00F066C5"/>
    <w:rsid w:val="00F06F21"/>
    <w:rsid w:val="00F1504D"/>
    <w:rsid w:val="00F15773"/>
    <w:rsid w:val="00F1588A"/>
    <w:rsid w:val="00F205D5"/>
    <w:rsid w:val="00F23C9C"/>
    <w:rsid w:val="00F25C34"/>
    <w:rsid w:val="00F25DB2"/>
    <w:rsid w:val="00F2652E"/>
    <w:rsid w:val="00F27363"/>
    <w:rsid w:val="00F2791C"/>
    <w:rsid w:val="00F30608"/>
    <w:rsid w:val="00F30A0A"/>
    <w:rsid w:val="00F32129"/>
    <w:rsid w:val="00F32822"/>
    <w:rsid w:val="00F32ADC"/>
    <w:rsid w:val="00F3414C"/>
    <w:rsid w:val="00F352DD"/>
    <w:rsid w:val="00F35567"/>
    <w:rsid w:val="00F378E2"/>
    <w:rsid w:val="00F40716"/>
    <w:rsid w:val="00F40762"/>
    <w:rsid w:val="00F40F20"/>
    <w:rsid w:val="00F418C2"/>
    <w:rsid w:val="00F42208"/>
    <w:rsid w:val="00F437DF"/>
    <w:rsid w:val="00F449A8"/>
    <w:rsid w:val="00F44B3E"/>
    <w:rsid w:val="00F51164"/>
    <w:rsid w:val="00F53042"/>
    <w:rsid w:val="00F5311D"/>
    <w:rsid w:val="00F53217"/>
    <w:rsid w:val="00F53508"/>
    <w:rsid w:val="00F53B91"/>
    <w:rsid w:val="00F542FA"/>
    <w:rsid w:val="00F545E1"/>
    <w:rsid w:val="00F5586F"/>
    <w:rsid w:val="00F626F8"/>
    <w:rsid w:val="00F64D33"/>
    <w:rsid w:val="00F652EB"/>
    <w:rsid w:val="00F669EB"/>
    <w:rsid w:val="00F66C35"/>
    <w:rsid w:val="00F70443"/>
    <w:rsid w:val="00F7097D"/>
    <w:rsid w:val="00F716EF"/>
    <w:rsid w:val="00F77D50"/>
    <w:rsid w:val="00F8080B"/>
    <w:rsid w:val="00F81A0A"/>
    <w:rsid w:val="00F838F0"/>
    <w:rsid w:val="00F83CEF"/>
    <w:rsid w:val="00F858D1"/>
    <w:rsid w:val="00F85A24"/>
    <w:rsid w:val="00F86C74"/>
    <w:rsid w:val="00F9016C"/>
    <w:rsid w:val="00F929ED"/>
    <w:rsid w:val="00F9305D"/>
    <w:rsid w:val="00F940F1"/>
    <w:rsid w:val="00F94D89"/>
    <w:rsid w:val="00F9522F"/>
    <w:rsid w:val="00F96902"/>
    <w:rsid w:val="00FA2346"/>
    <w:rsid w:val="00FA37DC"/>
    <w:rsid w:val="00FA3AB1"/>
    <w:rsid w:val="00FA3B62"/>
    <w:rsid w:val="00FA4414"/>
    <w:rsid w:val="00FA4EC5"/>
    <w:rsid w:val="00FA5EE1"/>
    <w:rsid w:val="00FB1472"/>
    <w:rsid w:val="00FB228A"/>
    <w:rsid w:val="00FC3C5A"/>
    <w:rsid w:val="00FC3C7A"/>
    <w:rsid w:val="00FC4BE9"/>
    <w:rsid w:val="00FC6839"/>
    <w:rsid w:val="00FC6FCC"/>
    <w:rsid w:val="00FD01FC"/>
    <w:rsid w:val="00FD061B"/>
    <w:rsid w:val="00FD31D4"/>
    <w:rsid w:val="00FD5F34"/>
    <w:rsid w:val="00FD5FEF"/>
    <w:rsid w:val="00FD6027"/>
    <w:rsid w:val="00FD7C45"/>
    <w:rsid w:val="00FE2D33"/>
    <w:rsid w:val="00FE3D8C"/>
    <w:rsid w:val="00FE6FC3"/>
    <w:rsid w:val="00FE76B5"/>
    <w:rsid w:val="00FE76D2"/>
    <w:rsid w:val="00FF15B4"/>
    <w:rsid w:val="00FF171B"/>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2">
    <w:name w:val="heading 2"/>
    <w:basedOn w:val="Normal"/>
    <w:next w:val="Normal"/>
    <w:link w:val="Heading2Char"/>
    <w:uiPriority w:val="9"/>
    <w:unhideWhenUsed/>
    <w:qFormat/>
    <w:rsid w:val="00E7710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Char1, C"/>
    <w:basedOn w:val="Normal"/>
    <w:link w:val="FootnoteTextChar"/>
    <w:uiPriority w:val="99"/>
    <w:qFormat/>
    <w:rsid w:val="00AD6AEF"/>
    <w:pPr>
      <w:jc w:val="both"/>
    </w:pPr>
    <w:rPr>
      <w:rFonts w:eastAsia="Times New Roman"/>
      <w:lang w:val="lv-LV"/>
    </w:rPr>
  </w:style>
  <w:style w:type="character" w:customStyle="1" w:styleId="FootnoteTextChar">
    <w:name w:val="Footnote Text Char"/>
    <w:aliases w:val="Footnote Char,Fußnote Char,Char Char,Char Rakstz. Rakstz. Rakstz. Char,Footnote Text Char2 Char,Footnote Text Char1 Char Char,Footnote Text Char1 Char Char Char Char,Footnote Text Char1 Char Char Char Rakstz. Rakstz. Char,Cha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table" w:styleId="TableGrid">
    <w:name w:val="Table Grid"/>
    <w:basedOn w:val="TableNormal"/>
    <w:uiPriority w:val="59"/>
    <w:rsid w:val="00F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1F22"/>
    <w:rPr>
      <w:color w:val="605E5C"/>
      <w:shd w:val="clear" w:color="auto" w:fill="E1DFDD"/>
    </w:rPr>
  </w:style>
  <w:style w:type="paragraph" w:customStyle="1" w:styleId="naisc">
    <w:name w:val="naisc"/>
    <w:basedOn w:val="Normal"/>
    <w:rsid w:val="00852C60"/>
    <w:pPr>
      <w:spacing w:before="75" w:after="75"/>
      <w:jc w:val="center"/>
    </w:pPr>
    <w:rPr>
      <w:rFonts w:eastAsia="Times New Roman"/>
      <w:sz w:val="24"/>
      <w:szCs w:val="24"/>
      <w:lang w:val="lv-LV" w:eastAsia="lv-LV"/>
    </w:rPr>
  </w:style>
  <w:style w:type="character" w:customStyle="1" w:styleId="Heading2Char">
    <w:name w:val="Heading 2 Char"/>
    <w:basedOn w:val="DefaultParagraphFont"/>
    <w:link w:val="Heading2"/>
    <w:uiPriority w:val="9"/>
    <w:rsid w:val="00E7710A"/>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6491">
      <w:bodyDiv w:val="1"/>
      <w:marLeft w:val="0"/>
      <w:marRight w:val="0"/>
      <w:marTop w:val="0"/>
      <w:marBottom w:val="0"/>
      <w:divBdr>
        <w:top w:val="none" w:sz="0" w:space="0" w:color="auto"/>
        <w:left w:val="none" w:sz="0" w:space="0" w:color="auto"/>
        <w:bottom w:val="none" w:sz="0" w:space="0" w:color="auto"/>
        <w:right w:val="none" w:sz="0" w:space="0" w:color="auto"/>
      </w:divBdr>
    </w:div>
    <w:div w:id="7709289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112">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52602839">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4219981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9295725">
      <w:bodyDiv w:val="1"/>
      <w:marLeft w:val="0"/>
      <w:marRight w:val="0"/>
      <w:marTop w:val="0"/>
      <w:marBottom w:val="0"/>
      <w:divBdr>
        <w:top w:val="none" w:sz="0" w:space="0" w:color="auto"/>
        <w:left w:val="none" w:sz="0" w:space="0" w:color="auto"/>
        <w:bottom w:val="none" w:sz="0" w:space="0" w:color="auto"/>
        <w:right w:val="none" w:sz="0" w:space="0" w:color="auto"/>
      </w:divBdr>
    </w:div>
    <w:div w:id="107898722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25799909">
      <w:bodyDiv w:val="1"/>
      <w:marLeft w:val="0"/>
      <w:marRight w:val="0"/>
      <w:marTop w:val="0"/>
      <w:marBottom w:val="0"/>
      <w:divBdr>
        <w:top w:val="none" w:sz="0" w:space="0" w:color="auto"/>
        <w:left w:val="none" w:sz="0" w:space="0" w:color="auto"/>
        <w:bottom w:val="none" w:sz="0" w:space="0" w:color="auto"/>
        <w:right w:val="none" w:sz="0" w:space="0" w:color="auto"/>
      </w:divBdr>
      <w:divsChild>
        <w:div w:id="1129712428">
          <w:marLeft w:val="1440"/>
          <w:marRight w:val="0"/>
          <w:marTop w:val="240"/>
          <w:marBottom w:val="0"/>
          <w:divBdr>
            <w:top w:val="none" w:sz="0" w:space="0" w:color="auto"/>
            <w:left w:val="none" w:sz="0" w:space="0" w:color="auto"/>
            <w:bottom w:val="none" w:sz="0" w:space="0" w:color="auto"/>
            <w:right w:val="none" w:sz="0" w:space="0" w:color="auto"/>
          </w:divBdr>
        </w:div>
        <w:div w:id="1685665072">
          <w:marLeft w:val="1440"/>
          <w:marRight w:val="0"/>
          <w:marTop w:val="240"/>
          <w:marBottom w:val="0"/>
          <w:divBdr>
            <w:top w:val="none" w:sz="0" w:space="0" w:color="auto"/>
            <w:left w:val="none" w:sz="0" w:space="0" w:color="auto"/>
            <w:bottom w:val="none" w:sz="0" w:space="0" w:color="auto"/>
            <w:right w:val="none" w:sz="0" w:space="0" w:color="auto"/>
          </w:divBdr>
        </w:div>
        <w:div w:id="1937595867">
          <w:marLeft w:val="1440"/>
          <w:marRight w:val="0"/>
          <w:marTop w:val="240"/>
          <w:marBottom w:val="0"/>
          <w:divBdr>
            <w:top w:val="none" w:sz="0" w:space="0" w:color="auto"/>
            <w:left w:val="none" w:sz="0" w:space="0" w:color="auto"/>
            <w:bottom w:val="none" w:sz="0" w:space="0" w:color="auto"/>
            <w:right w:val="none" w:sz="0" w:space="0" w:color="auto"/>
          </w:divBdr>
        </w:div>
      </w:divsChild>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0592230">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41358515">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50279227">
      <w:bodyDiv w:val="1"/>
      <w:marLeft w:val="0"/>
      <w:marRight w:val="0"/>
      <w:marTop w:val="0"/>
      <w:marBottom w:val="0"/>
      <w:divBdr>
        <w:top w:val="none" w:sz="0" w:space="0" w:color="auto"/>
        <w:left w:val="none" w:sz="0" w:space="0" w:color="auto"/>
        <w:bottom w:val="none" w:sz="0" w:space="0" w:color="auto"/>
        <w:right w:val="none" w:sz="0" w:space="0" w:color="auto"/>
      </w:divBdr>
    </w:div>
    <w:div w:id="1668903836">
      <w:bodyDiv w:val="1"/>
      <w:marLeft w:val="0"/>
      <w:marRight w:val="0"/>
      <w:marTop w:val="0"/>
      <w:marBottom w:val="0"/>
      <w:divBdr>
        <w:top w:val="none" w:sz="0" w:space="0" w:color="auto"/>
        <w:left w:val="none" w:sz="0" w:space="0" w:color="auto"/>
        <w:bottom w:val="none" w:sz="0" w:space="0" w:color="auto"/>
        <w:right w:val="none" w:sz="0" w:space="0" w:color="auto"/>
      </w:divBdr>
      <w:divsChild>
        <w:div w:id="762530543">
          <w:marLeft w:val="1800"/>
          <w:marRight w:val="0"/>
          <w:marTop w:val="240"/>
          <w:marBottom w:val="0"/>
          <w:divBdr>
            <w:top w:val="none" w:sz="0" w:space="0" w:color="auto"/>
            <w:left w:val="none" w:sz="0" w:space="0" w:color="auto"/>
            <w:bottom w:val="none" w:sz="0" w:space="0" w:color="auto"/>
            <w:right w:val="none" w:sz="0" w:space="0" w:color="auto"/>
          </w:divBdr>
        </w:div>
        <w:div w:id="505362658">
          <w:marLeft w:val="1800"/>
          <w:marRight w:val="0"/>
          <w:marTop w:val="240"/>
          <w:marBottom w:val="0"/>
          <w:divBdr>
            <w:top w:val="none" w:sz="0" w:space="0" w:color="auto"/>
            <w:left w:val="none" w:sz="0" w:space="0" w:color="auto"/>
            <w:bottom w:val="none" w:sz="0" w:space="0" w:color="auto"/>
            <w:right w:val="none" w:sz="0" w:space="0" w:color="auto"/>
          </w:divBdr>
        </w:div>
        <w:div w:id="830177265">
          <w:marLeft w:val="1080"/>
          <w:marRight w:val="0"/>
          <w:marTop w:val="240"/>
          <w:marBottom w:val="0"/>
          <w:divBdr>
            <w:top w:val="none" w:sz="0" w:space="0" w:color="auto"/>
            <w:left w:val="none" w:sz="0" w:space="0" w:color="auto"/>
            <w:bottom w:val="none" w:sz="0" w:space="0" w:color="auto"/>
            <w:right w:val="none" w:sz="0" w:space="0" w:color="auto"/>
          </w:divBdr>
        </w:div>
        <w:div w:id="1577931630">
          <w:marLeft w:val="1080"/>
          <w:marRight w:val="0"/>
          <w:marTop w:val="240"/>
          <w:marBottom w:val="0"/>
          <w:divBdr>
            <w:top w:val="none" w:sz="0" w:space="0" w:color="auto"/>
            <w:left w:val="none" w:sz="0" w:space="0" w:color="auto"/>
            <w:bottom w:val="none" w:sz="0" w:space="0" w:color="auto"/>
            <w:right w:val="none" w:sz="0" w:space="0" w:color="auto"/>
          </w:divBdr>
        </w:div>
        <w:div w:id="1328359019">
          <w:marLeft w:val="1080"/>
          <w:marRight w:val="0"/>
          <w:marTop w:val="240"/>
          <w:marBottom w:val="0"/>
          <w:divBdr>
            <w:top w:val="none" w:sz="0" w:space="0" w:color="auto"/>
            <w:left w:val="none" w:sz="0" w:space="0" w:color="auto"/>
            <w:bottom w:val="none" w:sz="0" w:space="0" w:color="auto"/>
            <w:right w:val="none" w:sz="0" w:space="0" w:color="auto"/>
          </w:divBdr>
        </w:div>
      </w:divsChild>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12487128">
      <w:bodyDiv w:val="1"/>
      <w:marLeft w:val="0"/>
      <w:marRight w:val="0"/>
      <w:marTop w:val="0"/>
      <w:marBottom w:val="0"/>
      <w:divBdr>
        <w:top w:val="none" w:sz="0" w:space="0" w:color="auto"/>
        <w:left w:val="none" w:sz="0" w:space="0" w:color="auto"/>
        <w:bottom w:val="none" w:sz="0" w:space="0" w:color="auto"/>
        <w:right w:val="none" w:sz="0" w:space="0" w:color="auto"/>
      </w:divBdr>
    </w:div>
    <w:div w:id="1785730315">
      <w:bodyDiv w:val="1"/>
      <w:marLeft w:val="0"/>
      <w:marRight w:val="0"/>
      <w:marTop w:val="0"/>
      <w:marBottom w:val="0"/>
      <w:divBdr>
        <w:top w:val="none" w:sz="0" w:space="0" w:color="auto"/>
        <w:left w:val="none" w:sz="0" w:space="0" w:color="auto"/>
        <w:bottom w:val="none" w:sz="0" w:space="0" w:color="auto"/>
        <w:right w:val="none" w:sz="0" w:space="0" w:color="auto"/>
      </w:divBdr>
    </w:div>
    <w:div w:id="1807967435">
      <w:bodyDiv w:val="1"/>
      <w:marLeft w:val="0"/>
      <w:marRight w:val="0"/>
      <w:marTop w:val="0"/>
      <w:marBottom w:val="0"/>
      <w:divBdr>
        <w:top w:val="none" w:sz="0" w:space="0" w:color="auto"/>
        <w:left w:val="none" w:sz="0" w:space="0" w:color="auto"/>
        <w:bottom w:val="none" w:sz="0" w:space="0" w:color="auto"/>
        <w:right w:val="none" w:sz="0" w:space="0" w:color="auto"/>
      </w:divBdr>
    </w:div>
    <w:div w:id="1823277882">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33665253">
      <w:bodyDiv w:val="1"/>
      <w:marLeft w:val="0"/>
      <w:marRight w:val="0"/>
      <w:marTop w:val="0"/>
      <w:marBottom w:val="0"/>
      <w:divBdr>
        <w:top w:val="none" w:sz="0" w:space="0" w:color="auto"/>
        <w:left w:val="none" w:sz="0" w:space="0" w:color="auto"/>
        <w:bottom w:val="none" w:sz="0" w:space="0" w:color="auto"/>
        <w:right w:val="none" w:sz="0" w:space="0" w:color="auto"/>
      </w:divBdr>
      <w:divsChild>
        <w:div w:id="977491932">
          <w:marLeft w:val="720"/>
          <w:marRight w:val="0"/>
          <w:marTop w:val="240"/>
          <w:marBottom w:val="0"/>
          <w:divBdr>
            <w:top w:val="none" w:sz="0" w:space="0" w:color="auto"/>
            <w:left w:val="none" w:sz="0" w:space="0" w:color="auto"/>
            <w:bottom w:val="none" w:sz="0" w:space="0" w:color="auto"/>
            <w:right w:val="none" w:sz="0" w:space="0" w:color="auto"/>
          </w:divBdr>
        </w:div>
        <w:div w:id="1217009295">
          <w:marLeft w:val="720"/>
          <w:marRight w:val="0"/>
          <w:marTop w:val="240"/>
          <w:marBottom w:val="0"/>
          <w:divBdr>
            <w:top w:val="none" w:sz="0" w:space="0" w:color="auto"/>
            <w:left w:val="none" w:sz="0" w:space="0" w:color="auto"/>
            <w:bottom w:val="none" w:sz="0" w:space="0" w:color="auto"/>
            <w:right w:val="none" w:sz="0" w:space="0" w:color="auto"/>
          </w:divBdr>
        </w:div>
        <w:div w:id="49422607">
          <w:marLeft w:val="547"/>
          <w:marRight w:val="0"/>
          <w:marTop w:val="240"/>
          <w:marBottom w:val="0"/>
          <w:divBdr>
            <w:top w:val="none" w:sz="0" w:space="0" w:color="auto"/>
            <w:left w:val="none" w:sz="0" w:space="0" w:color="auto"/>
            <w:bottom w:val="none" w:sz="0" w:space="0" w:color="auto"/>
            <w:right w:val="none" w:sz="0" w:space="0" w:color="auto"/>
          </w:divBdr>
        </w:div>
        <w:div w:id="2124028753">
          <w:marLeft w:val="720"/>
          <w:marRight w:val="0"/>
          <w:marTop w:val="240"/>
          <w:marBottom w:val="0"/>
          <w:divBdr>
            <w:top w:val="none" w:sz="0" w:space="0" w:color="auto"/>
            <w:left w:val="none" w:sz="0" w:space="0" w:color="auto"/>
            <w:bottom w:val="none" w:sz="0" w:space="0" w:color="auto"/>
            <w:right w:val="none" w:sz="0" w:space="0" w:color="auto"/>
          </w:divBdr>
        </w:div>
      </w:divsChild>
    </w:div>
    <w:div w:id="1946770081">
      <w:bodyDiv w:val="1"/>
      <w:marLeft w:val="0"/>
      <w:marRight w:val="0"/>
      <w:marTop w:val="0"/>
      <w:marBottom w:val="0"/>
      <w:divBdr>
        <w:top w:val="none" w:sz="0" w:space="0" w:color="auto"/>
        <w:left w:val="none" w:sz="0" w:space="0" w:color="auto"/>
        <w:bottom w:val="none" w:sz="0" w:space="0" w:color="auto"/>
        <w:right w:val="none" w:sz="0" w:space="0" w:color="auto"/>
      </w:divBdr>
    </w:div>
    <w:div w:id="1984040002">
      <w:bodyDiv w:val="1"/>
      <w:marLeft w:val="0"/>
      <w:marRight w:val="0"/>
      <w:marTop w:val="0"/>
      <w:marBottom w:val="0"/>
      <w:divBdr>
        <w:top w:val="none" w:sz="0" w:space="0" w:color="auto"/>
        <w:left w:val="none" w:sz="0" w:space="0" w:color="auto"/>
        <w:bottom w:val="none" w:sz="0" w:space="0" w:color="auto"/>
        <w:right w:val="none" w:sz="0" w:space="0" w:color="auto"/>
      </w:divBdr>
    </w:div>
    <w:div w:id="2093306620">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lv/content/sabiedribas-lidzdalib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XC0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6B08-F4FE-4C9C-AB2C-947A98CA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7807</Words>
  <Characters>4450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12</cp:revision>
  <cp:lastPrinted>2020-05-15T11:33:00Z</cp:lastPrinted>
  <dcterms:created xsi:type="dcterms:W3CDTF">2021-04-29T06:49:00Z</dcterms:created>
  <dcterms:modified xsi:type="dcterms:W3CDTF">2021-05-06T04:26:00Z</dcterms:modified>
</cp:coreProperties>
</file>