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9F74C" w14:textId="160D4BAF" w:rsidR="00302FAA" w:rsidRPr="00716ECC" w:rsidRDefault="00171F00" w:rsidP="008F4A99">
      <w:pPr>
        <w:shd w:val="clear" w:color="auto" w:fill="FFFFFF"/>
        <w:tabs>
          <w:tab w:val="left" w:pos="142"/>
          <w:tab w:val="left" w:pos="1134"/>
        </w:tabs>
        <w:spacing w:before="120"/>
        <w:ind w:firstLine="567"/>
        <w:jc w:val="center"/>
        <w:rPr>
          <w:b/>
          <w:szCs w:val="26"/>
          <w:lang w:val="lv-LV"/>
        </w:rPr>
      </w:pPr>
      <w:bookmarkStart w:id="0" w:name="OLE_LINK3"/>
      <w:bookmarkStart w:id="1" w:name="OLE_LINK1"/>
      <w:bookmarkStart w:id="2" w:name="OLE_LINK2"/>
      <w:r w:rsidRPr="00716ECC">
        <w:rPr>
          <w:b/>
          <w:bCs/>
          <w:szCs w:val="26"/>
          <w:lang w:val="lv-LV"/>
        </w:rPr>
        <w:t>Ministru kabineta noteikumu projekta “</w:t>
      </w:r>
      <w:r w:rsidR="005C5CFC" w:rsidRPr="005C5CFC">
        <w:rPr>
          <w:b/>
          <w:bCs/>
          <w:szCs w:val="26"/>
          <w:lang w:val="lv-LV"/>
        </w:rPr>
        <w:t>Atbalsta Covid-19 krīzes skartajiem sporta centriem noteikumi</w:t>
      </w:r>
      <w:r w:rsidRPr="00716ECC">
        <w:rPr>
          <w:b/>
          <w:bCs/>
          <w:szCs w:val="26"/>
          <w:lang w:val="lv-LV"/>
        </w:rPr>
        <w:t xml:space="preserve">” </w:t>
      </w:r>
      <w:r w:rsidR="00032471" w:rsidRPr="00716ECC">
        <w:rPr>
          <w:b/>
          <w:bCs/>
          <w:szCs w:val="26"/>
          <w:lang w:val="lv-LV"/>
        </w:rPr>
        <w:t>sākotnējās ietekmes novērtējuma ziņojums (anotācija)</w:t>
      </w:r>
    </w:p>
    <w:tbl>
      <w:tblPr>
        <w:tblStyle w:val="TableGrid"/>
        <w:tblW w:w="9209" w:type="dxa"/>
        <w:tblLook w:val="04A0" w:firstRow="1" w:lastRow="0" w:firstColumn="1" w:lastColumn="0" w:noHBand="0" w:noVBand="1"/>
      </w:tblPr>
      <w:tblGrid>
        <w:gridCol w:w="2689"/>
        <w:gridCol w:w="6520"/>
      </w:tblGrid>
      <w:tr w:rsidR="00716ECC" w:rsidRPr="00716ECC" w14:paraId="3A2615BC" w14:textId="77777777" w:rsidTr="7E8CAEB0">
        <w:tc>
          <w:tcPr>
            <w:tcW w:w="9209" w:type="dxa"/>
            <w:gridSpan w:val="2"/>
          </w:tcPr>
          <w:bookmarkEnd w:id="0"/>
          <w:bookmarkEnd w:id="1"/>
          <w:bookmarkEnd w:id="2"/>
          <w:p w14:paraId="2B822083" w14:textId="742FCAC4" w:rsidR="00500925" w:rsidRPr="00716ECC" w:rsidRDefault="00500925" w:rsidP="00434856">
            <w:pPr>
              <w:tabs>
                <w:tab w:val="right" w:pos="9072"/>
              </w:tabs>
              <w:contextualSpacing/>
              <w:rPr>
                <w:szCs w:val="26"/>
                <w:lang w:val="lv-LV"/>
              </w:rPr>
            </w:pPr>
            <w:r w:rsidRPr="00716ECC">
              <w:rPr>
                <w:rFonts w:eastAsia="Times New Roman"/>
                <w:b/>
                <w:bCs/>
                <w:iCs/>
                <w:szCs w:val="26"/>
                <w:lang w:val="lv-LV" w:eastAsia="lv-LV"/>
              </w:rPr>
              <w:t>Tiesību akta projekta anotācijas kopsavilkums</w:t>
            </w:r>
          </w:p>
        </w:tc>
      </w:tr>
      <w:tr w:rsidR="00716ECC" w:rsidRPr="004949AC" w14:paraId="075BE558" w14:textId="77777777" w:rsidTr="7E8CAEB0">
        <w:tc>
          <w:tcPr>
            <w:tcW w:w="2689" w:type="dxa"/>
          </w:tcPr>
          <w:p w14:paraId="621CA676" w14:textId="59BF0F8D" w:rsidR="00500925" w:rsidRPr="00716ECC" w:rsidRDefault="00500925" w:rsidP="00434856">
            <w:pPr>
              <w:tabs>
                <w:tab w:val="right" w:pos="9072"/>
              </w:tabs>
              <w:contextualSpacing/>
              <w:rPr>
                <w:szCs w:val="26"/>
                <w:lang w:val="lv-LV"/>
              </w:rPr>
            </w:pPr>
            <w:r w:rsidRPr="00716ECC">
              <w:rPr>
                <w:rFonts w:eastAsia="Times New Roman"/>
                <w:iCs/>
                <w:szCs w:val="26"/>
                <w:lang w:val="lv-LV" w:eastAsia="lv-LV"/>
              </w:rPr>
              <w:t>Mērķis, risinājums un projekta spēkā stāšanās laiks</w:t>
            </w:r>
          </w:p>
        </w:tc>
        <w:tc>
          <w:tcPr>
            <w:tcW w:w="6520" w:type="dxa"/>
          </w:tcPr>
          <w:p w14:paraId="1A22C0B7" w14:textId="2789199B" w:rsidR="009033F4" w:rsidRDefault="009033F4" w:rsidP="009033F4">
            <w:pPr>
              <w:contextualSpacing/>
              <w:jc w:val="both"/>
              <w:rPr>
                <w:szCs w:val="26"/>
                <w:lang w:val="lv-LV"/>
              </w:rPr>
            </w:pPr>
            <w:r>
              <w:rPr>
                <w:szCs w:val="26"/>
                <w:lang w:val="lv-LV"/>
              </w:rPr>
              <w:t>Ministru kabineta n</w:t>
            </w:r>
            <w:r w:rsidRPr="7D9D7912">
              <w:rPr>
                <w:szCs w:val="26"/>
                <w:lang w:val="lv-LV"/>
              </w:rPr>
              <w:t xml:space="preserve">oteikumu projekta </w:t>
            </w:r>
            <w:r w:rsidRPr="003A1345">
              <w:rPr>
                <w:szCs w:val="26"/>
                <w:lang w:val="lv-LV"/>
              </w:rPr>
              <w:t>“</w:t>
            </w:r>
            <w:r w:rsidR="005C5CFC" w:rsidRPr="005C5CFC">
              <w:rPr>
                <w:szCs w:val="26"/>
                <w:lang w:val="lv-LV"/>
              </w:rPr>
              <w:t>Atbalsta Covid-19 krīzes skartajiem sporta centriem noteikumi</w:t>
            </w:r>
            <w:r w:rsidRPr="003A1345">
              <w:rPr>
                <w:rFonts w:eastAsia="Times New Roman"/>
                <w:szCs w:val="26"/>
                <w:lang w:val="lv-LV"/>
              </w:rPr>
              <w:t>” (turpmāk -</w:t>
            </w:r>
            <w:r>
              <w:rPr>
                <w:rFonts w:eastAsia="Times New Roman"/>
                <w:b/>
                <w:bCs/>
                <w:szCs w:val="26"/>
                <w:lang w:val="lv-LV"/>
              </w:rPr>
              <w:t xml:space="preserve"> </w:t>
            </w:r>
            <w:r w:rsidRPr="00705DAE">
              <w:rPr>
                <w:iCs/>
                <w:color w:val="000000" w:themeColor="text1"/>
                <w:szCs w:val="26"/>
                <w:lang w:val="lv-LV"/>
              </w:rPr>
              <w:t>MK Noteikumu projekts</w:t>
            </w:r>
            <w:r>
              <w:rPr>
                <w:iCs/>
                <w:color w:val="000000" w:themeColor="text1"/>
                <w:szCs w:val="26"/>
                <w:lang w:val="lv-LV"/>
              </w:rPr>
              <w:t>)</w:t>
            </w:r>
            <w:r w:rsidRPr="00705DAE">
              <w:rPr>
                <w:iCs/>
                <w:color w:val="000000" w:themeColor="text1"/>
                <w:szCs w:val="26"/>
                <w:lang w:val="lv-LV"/>
              </w:rPr>
              <w:t xml:space="preserve"> </w:t>
            </w:r>
            <w:r w:rsidRPr="7D9D7912">
              <w:rPr>
                <w:szCs w:val="26"/>
                <w:lang w:val="lv-LV"/>
              </w:rPr>
              <w:t>mērķis ir noteikt tāda atbalsta pieteikšanas, aprēķināšanas un saņemšanas nosacījumus, kas paredzēts</w:t>
            </w:r>
            <w:r>
              <w:rPr>
                <w:szCs w:val="26"/>
                <w:lang w:val="lv-LV"/>
              </w:rPr>
              <w:t xml:space="preserve"> sporta centru </w:t>
            </w:r>
            <w:r w:rsidRPr="009033F4">
              <w:rPr>
                <w:szCs w:val="26"/>
                <w:lang w:val="lv-LV"/>
              </w:rPr>
              <w:t>īpašniekiem vai tiesiskajiem valdītājiem un nomniekiem to īpašumā, pārvaldībā vai nomā esošo sporta centru</w:t>
            </w:r>
            <w:r>
              <w:rPr>
                <w:szCs w:val="26"/>
                <w:lang w:val="lv-LV"/>
              </w:rPr>
              <w:t xml:space="preserve"> (turpmāk – sporta centri) apgrozījuma krituma kompensācijai.</w:t>
            </w:r>
          </w:p>
          <w:p w14:paraId="002ADC8E" w14:textId="619B1494" w:rsidR="00500925" w:rsidRPr="00716ECC" w:rsidRDefault="005264D0" w:rsidP="00D150D9">
            <w:pPr>
              <w:shd w:val="clear" w:color="auto" w:fill="FFFFFF" w:themeFill="background1"/>
              <w:tabs>
                <w:tab w:val="left" w:pos="142"/>
                <w:tab w:val="left" w:pos="1134"/>
              </w:tabs>
              <w:spacing w:before="120"/>
              <w:jc w:val="both"/>
              <w:rPr>
                <w:rFonts w:eastAsia="Times New Roman"/>
                <w:szCs w:val="26"/>
                <w:lang w:val="lv-LV" w:eastAsia="lv-LV"/>
              </w:rPr>
            </w:pPr>
            <w:r w:rsidRPr="00716ECC">
              <w:rPr>
                <w:iCs/>
                <w:szCs w:val="26"/>
                <w:lang w:val="lv-LV"/>
              </w:rPr>
              <w:t xml:space="preserve">MK Noteikumu projekts stāsies spēkā nākamajā dienā </w:t>
            </w:r>
            <w:r w:rsidRPr="00716ECC">
              <w:rPr>
                <w:szCs w:val="26"/>
                <w:shd w:val="clear" w:color="auto" w:fill="FFFFFF"/>
                <w:lang w:val="lv-LV"/>
              </w:rPr>
              <w:t>pēc tam, kad oficiālajā izdevumā "Latvijas Vēstnesis" tiks publicēts paziņojums par to, ka Eiropas Komisija pieņēmusi lēmumu par šo noteikumu ietvertā komercdarbības atbalsta saderību ar Eiropas Savienības iekšējo tirgu.</w:t>
            </w:r>
          </w:p>
        </w:tc>
      </w:tr>
    </w:tbl>
    <w:p w14:paraId="51B9AD58" w14:textId="5B3BE26F" w:rsidR="00500925" w:rsidRPr="00716ECC" w:rsidRDefault="00500925" w:rsidP="00434856">
      <w:pPr>
        <w:tabs>
          <w:tab w:val="right" w:pos="9072"/>
        </w:tabs>
        <w:contextualSpacing/>
        <w:rPr>
          <w:szCs w:val="26"/>
          <w:lang w:val="lv-LV"/>
        </w:rPr>
      </w:pPr>
    </w:p>
    <w:tbl>
      <w:tblPr>
        <w:tblStyle w:val="TableGridLight"/>
        <w:tblW w:w="949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46"/>
        <w:gridCol w:w="1717"/>
        <w:gridCol w:w="7230"/>
      </w:tblGrid>
      <w:tr w:rsidR="00716ECC" w:rsidRPr="00716ECC" w14:paraId="48A6099D" w14:textId="77777777" w:rsidTr="00DE7318">
        <w:tc>
          <w:tcPr>
            <w:tcW w:w="9493" w:type="dxa"/>
            <w:gridSpan w:val="3"/>
          </w:tcPr>
          <w:p w14:paraId="5E56F29B" w14:textId="62FE47C9" w:rsidR="00500925" w:rsidRPr="00716ECC" w:rsidRDefault="00500925" w:rsidP="00500925">
            <w:pPr>
              <w:tabs>
                <w:tab w:val="right" w:pos="9072"/>
              </w:tabs>
              <w:contextualSpacing/>
              <w:jc w:val="center"/>
              <w:rPr>
                <w:szCs w:val="26"/>
                <w:lang w:val="lv-LV"/>
              </w:rPr>
            </w:pPr>
            <w:r w:rsidRPr="00716ECC">
              <w:rPr>
                <w:b/>
                <w:szCs w:val="26"/>
                <w:lang w:val="lv-LV"/>
              </w:rPr>
              <w:t>I. Tiesību akta projekta izstrādes nepieciešamība</w:t>
            </w:r>
          </w:p>
        </w:tc>
      </w:tr>
      <w:tr w:rsidR="00716ECC" w:rsidRPr="004949AC" w14:paraId="16FACD2E" w14:textId="77777777" w:rsidTr="00DE7318">
        <w:tc>
          <w:tcPr>
            <w:tcW w:w="546" w:type="dxa"/>
            <w:tcBorders>
              <w:right w:val="single" w:sz="4" w:space="0" w:color="auto"/>
            </w:tcBorders>
          </w:tcPr>
          <w:p w14:paraId="24CB95B1" w14:textId="5E36F250" w:rsidR="00500925" w:rsidRPr="00716ECC" w:rsidRDefault="00500925" w:rsidP="00434856">
            <w:pPr>
              <w:tabs>
                <w:tab w:val="right" w:pos="9072"/>
              </w:tabs>
              <w:contextualSpacing/>
              <w:rPr>
                <w:szCs w:val="26"/>
                <w:lang w:val="lv-LV"/>
              </w:rPr>
            </w:pPr>
            <w:r w:rsidRPr="00716ECC">
              <w:rPr>
                <w:szCs w:val="26"/>
                <w:lang w:val="lv-LV"/>
              </w:rPr>
              <w:t>1.</w:t>
            </w:r>
          </w:p>
        </w:tc>
        <w:tc>
          <w:tcPr>
            <w:tcW w:w="1717" w:type="dxa"/>
            <w:tcBorders>
              <w:left w:val="single" w:sz="4" w:space="0" w:color="auto"/>
            </w:tcBorders>
          </w:tcPr>
          <w:p w14:paraId="313A6FFC" w14:textId="63A88328" w:rsidR="00500925" w:rsidRPr="00716ECC" w:rsidRDefault="001342EF" w:rsidP="00434856">
            <w:pPr>
              <w:tabs>
                <w:tab w:val="right" w:pos="9072"/>
              </w:tabs>
              <w:contextualSpacing/>
              <w:rPr>
                <w:szCs w:val="26"/>
                <w:lang w:val="lv-LV"/>
              </w:rPr>
            </w:pPr>
            <w:r w:rsidRPr="00716ECC">
              <w:rPr>
                <w:szCs w:val="26"/>
                <w:lang w:val="lv-LV"/>
              </w:rPr>
              <w:t>Pamatojums</w:t>
            </w:r>
          </w:p>
        </w:tc>
        <w:tc>
          <w:tcPr>
            <w:tcW w:w="7230" w:type="dxa"/>
          </w:tcPr>
          <w:p w14:paraId="6356B184" w14:textId="6718A902" w:rsidR="00500925" w:rsidRDefault="009033F4" w:rsidP="000B1248">
            <w:pPr>
              <w:tabs>
                <w:tab w:val="right" w:pos="9072"/>
              </w:tabs>
              <w:contextualSpacing/>
              <w:jc w:val="both"/>
              <w:rPr>
                <w:rFonts w:eastAsia="Times New Roman"/>
                <w:color w:val="000000" w:themeColor="text1"/>
                <w:szCs w:val="26"/>
                <w:lang w:val="lv-LV"/>
              </w:rPr>
            </w:pPr>
            <w:r w:rsidRPr="00705DAE">
              <w:rPr>
                <w:iCs/>
                <w:color w:val="000000" w:themeColor="text1"/>
                <w:szCs w:val="26"/>
                <w:lang w:val="lv-LV"/>
              </w:rPr>
              <w:t>MK Noteikumu projekts</w:t>
            </w:r>
            <w:r w:rsidRPr="00072CCB">
              <w:rPr>
                <w:szCs w:val="26"/>
                <w:lang w:val="lv-LV"/>
              </w:rPr>
              <w:t xml:space="preserve"> izstrādāts</w:t>
            </w:r>
            <w:r>
              <w:rPr>
                <w:szCs w:val="26"/>
                <w:lang w:val="lv-LV"/>
              </w:rPr>
              <w:t xml:space="preserve"> pēc Ekonomikas ministrijas iniciatīvas, balstoties uz </w:t>
            </w:r>
            <w:r w:rsidRPr="00712C79">
              <w:rPr>
                <w:szCs w:val="26"/>
                <w:lang w:val="lv-LV"/>
              </w:rPr>
              <w:t>Eiropas Komisijas 2020. gada 19. marta paziņojum</w:t>
            </w:r>
            <w:r>
              <w:rPr>
                <w:szCs w:val="26"/>
                <w:lang w:val="lv-LV"/>
              </w:rPr>
              <w:t>u</w:t>
            </w:r>
            <w:r w:rsidRPr="00712C79">
              <w:rPr>
                <w:szCs w:val="26"/>
                <w:lang w:val="lv-LV"/>
              </w:rPr>
              <w:t xml:space="preserve"> “Pagaidu regulējums valsts atbalsta pasākumiem, ar ko atbalsta ekonomiku pašreizējā Covid-19 uzliesmojuma situācijā”</w:t>
            </w:r>
            <w:r>
              <w:rPr>
                <w:szCs w:val="26"/>
                <w:lang w:val="lv-LV"/>
              </w:rPr>
              <w:t xml:space="preserve"> </w:t>
            </w:r>
            <w:r w:rsidRPr="1BC3EC0D">
              <w:rPr>
                <w:rFonts w:eastAsia="Times New Roman"/>
                <w:color w:val="000000" w:themeColor="text1"/>
                <w:szCs w:val="26"/>
                <w:lang w:val="lv-LV"/>
              </w:rPr>
              <w:t>(C(2020)1863</w:t>
            </w:r>
            <w:r>
              <w:rPr>
                <w:rFonts w:eastAsia="Times New Roman"/>
                <w:color w:val="000000" w:themeColor="text1"/>
                <w:szCs w:val="26"/>
                <w:lang w:val="lv-LV"/>
              </w:rPr>
              <w:t>)</w:t>
            </w:r>
            <w:r w:rsidR="00150950">
              <w:rPr>
                <w:rFonts w:eastAsia="Times New Roman"/>
                <w:color w:val="000000" w:themeColor="text1"/>
                <w:szCs w:val="26"/>
                <w:lang w:val="lv-LV"/>
              </w:rPr>
              <w:t xml:space="preserve"> </w:t>
            </w:r>
            <w:r w:rsidR="00150950" w:rsidRPr="00150950">
              <w:rPr>
                <w:rFonts w:eastAsia="Times New Roman"/>
                <w:color w:val="000000" w:themeColor="text1"/>
                <w:szCs w:val="26"/>
                <w:lang w:val="lv-LV"/>
              </w:rPr>
              <w:t>ar 2020. gada 3. aprīlī pieņemtajiem grozījumiem, 2020.gada 8.maijā pieņemtajiem grozījumiem  2020.gada 13.oktobrī un 2021.gada 28.janvārī pieņemtajiem grozījumiem)</w:t>
            </w:r>
            <w:r>
              <w:rPr>
                <w:rFonts w:eastAsia="Times New Roman"/>
                <w:color w:val="000000" w:themeColor="text1"/>
                <w:szCs w:val="26"/>
                <w:lang w:val="lv-LV"/>
              </w:rPr>
              <w:t xml:space="preserve"> (turpmāk – Pagaidu regulējums</w:t>
            </w:r>
            <w:r w:rsidRPr="3BAE84FF">
              <w:rPr>
                <w:rFonts w:eastAsia="Times New Roman"/>
                <w:color w:val="000000" w:themeColor="text1"/>
                <w:szCs w:val="26"/>
                <w:lang w:val="lv-LV"/>
              </w:rPr>
              <w:t>).</w:t>
            </w:r>
          </w:p>
          <w:p w14:paraId="46FAA36C" w14:textId="77777777" w:rsidR="00561C62" w:rsidRDefault="00561C62" w:rsidP="00561C62">
            <w:pPr>
              <w:spacing w:before="120"/>
              <w:jc w:val="both"/>
              <w:rPr>
                <w:rFonts w:eastAsia="Times New Roman"/>
                <w:szCs w:val="26"/>
                <w:lang w:val="lv-LV"/>
              </w:rPr>
            </w:pPr>
            <w:r w:rsidRPr="00716ECC">
              <w:rPr>
                <w:rStyle w:val="eop"/>
                <w:iCs/>
                <w:szCs w:val="26"/>
                <w:shd w:val="clear" w:color="auto" w:fill="FFFFFF"/>
                <w:lang w:val="lv-LV"/>
              </w:rPr>
              <w:t>Lai risinātu minētos jautājumus, 2021.gada 15.aprīlī sagatavotie priekšlikumi, kas iekļauti MK Noteikumu projektā, izskatīti un atbalstīti Krīzes vadības grupā</w:t>
            </w:r>
            <w:r w:rsidRPr="00716ECC">
              <w:rPr>
                <w:szCs w:val="26"/>
                <w:lang w:val="lv-LV"/>
              </w:rPr>
              <w:t xml:space="preserve"> uzņēmējdarbības veicināšanai </w:t>
            </w:r>
            <w:r w:rsidRPr="00716ECC">
              <w:rPr>
                <w:rFonts w:eastAsia="Times New Roman"/>
                <w:szCs w:val="26"/>
                <w:lang w:val="lv-LV"/>
              </w:rPr>
              <w:t>ietvaros, apspriežot noteikumu projektu ar nozares komersantiem.</w:t>
            </w:r>
          </w:p>
          <w:p w14:paraId="29E6D15E" w14:textId="10B715CD" w:rsidR="00BE3852" w:rsidRPr="00561C62" w:rsidRDefault="00BE3852" w:rsidP="00BE3852">
            <w:pPr>
              <w:spacing w:before="120"/>
              <w:jc w:val="both"/>
              <w:rPr>
                <w:rFonts w:eastAsia="Times New Roman"/>
                <w:szCs w:val="26"/>
                <w:lang w:val="lv-LV"/>
              </w:rPr>
            </w:pPr>
            <w:r>
              <w:rPr>
                <w:rFonts w:eastAsia="Times New Roman"/>
                <w:szCs w:val="26"/>
                <w:lang w:val="lv-LV"/>
              </w:rPr>
              <w:t>MK Noteikumu projekts i</w:t>
            </w:r>
            <w:r w:rsidRPr="00BE3852">
              <w:rPr>
                <w:rFonts w:eastAsia="Times New Roman"/>
                <w:szCs w:val="26"/>
                <w:lang w:val="lv-LV"/>
              </w:rPr>
              <w:t>zdot</w:t>
            </w:r>
            <w:r>
              <w:rPr>
                <w:rFonts w:eastAsia="Times New Roman"/>
                <w:szCs w:val="26"/>
                <w:lang w:val="lv-LV"/>
              </w:rPr>
              <w:t>s</w:t>
            </w:r>
            <w:r w:rsidRPr="00BE3852">
              <w:rPr>
                <w:rFonts w:eastAsia="Times New Roman"/>
                <w:szCs w:val="26"/>
                <w:lang w:val="lv-LV"/>
              </w:rPr>
              <w:t xml:space="preserve"> saskaņā ar Covid-19 infekcijas izplatības seku pārvarēšanas likuma 2. pantu un 15. panta trešo daļu</w:t>
            </w:r>
            <w:r>
              <w:rPr>
                <w:rFonts w:eastAsia="Times New Roman"/>
                <w:szCs w:val="26"/>
                <w:lang w:val="lv-LV"/>
              </w:rPr>
              <w:t>.</w:t>
            </w:r>
          </w:p>
        </w:tc>
      </w:tr>
      <w:tr w:rsidR="00716ECC" w:rsidRPr="004949AC" w14:paraId="319B0164" w14:textId="77777777" w:rsidTr="00DE7318">
        <w:tc>
          <w:tcPr>
            <w:tcW w:w="546" w:type="dxa"/>
          </w:tcPr>
          <w:p w14:paraId="2E9E22DF" w14:textId="64DE8EA7" w:rsidR="001342EF" w:rsidRPr="00716ECC" w:rsidRDefault="001342EF" w:rsidP="001342EF">
            <w:pPr>
              <w:tabs>
                <w:tab w:val="right" w:pos="9072"/>
              </w:tabs>
              <w:contextualSpacing/>
              <w:rPr>
                <w:szCs w:val="26"/>
                <w:lang w:val="lv-LV"/>
              </w:rPr>
            </w:pPr>
            <w:r w:rsidRPr="00716ECC">
              <w:rPr>
                <w:szCs w:val="26"/>
                <w:lang w:val="lv-LV"/>
              </w:rPr>
              <w:t>2.</w:t>
            </w:r>
          </w:p>
        </w:tc>
        <w:tc>
          <w:tcPr>
            <w:tcW w:w="1717" w:type="dxa"/>
          </w:tcPr>
          <w:p w14:paraId="72130EF3" w14:textId="77777777" w:rsidR="001342EF" w:rsidRPr="00716ECC" w:rsidRDefault="001342EF" w:rsidP="001342EF">
            <w:pPr>
              <w:contextualSpacing/>
              <w:rPr>
                <w:szCs w:val="26"/>
                <w:lang w:val="lv-LV"/>
              </w:rPr>
            </w:pPr>
            <w:r w:rsidRPr="00716ECC">
              <w:rPr>
                <w:szCs w:val="26"/>
                <w:lang w:val="lv-LV"/>
              </w:rPr>
              <w:t>Pašreizējā situācija un problēmas, kuru risināšanai tiesību akta projekts izstrādāts, tiesiskā regulējuma mērķis un būtība</w:t>
            </w:r>
          </w:p>
          <w:p w14:paraId="4B81F531" w14:textId="77777777" w:rsidR="001342EF" w:rsidRPr="00716ECC" w:rsidRDefault="001342EF" w:rsidP="001342EF">
            <w:pPr>
              <w:tabs>
                <w:tab w:val="right" w:pos="9072"/>
              </w:tabs>
              <w:contextualSpacing/>
              <w:rPr>
                <w:szCs w:val="26"/>
                <w:lang w:val="lv-LV"/>
              </w:rPr>
            </w:pPr>
          </w:p>
          <w:p w14:paraId="764F9363" w14:textId="77777777" w:rsidR="00861168" w:rsidRPr="00716ECC" w:rsidRDefault="00861168" w:rsidP="004949AC">
            <w:pPr>
              <w:jc w:val="center"/>
              <w:rPr>
                <w:szCs w:val="26"/>
                <w:lang w:val="lv-LV"/>
              </w:rPr>
            </w:pPr>
          </w:p>
          <w:p w14:paraId="63A85263" w14:textId="77777777" w:rsidR="00861168" w:rsidRPr="00716ECC" w:rsidRDefault="00861168" w:rsidP="00861168">
            <w:pPr>
              <w:rPr>
                <w:szCs w:val="26"/>
                <w:lang w:val="lv-LV"/>
              </w:rPr>
            </w:pPr>
          </w:p>
          <w:p w14:paraId="463953B8" w14:textId="77777777" w:rsidR="00861168" w:rsidRPr="00716ECC" w:rsidRDefault="00861168" w:rsidP="00861168">
            <w:pPr>
              <w:rPr>
                <w:szCs w:val="26"/>
                <w:lang w:val="lv-LV"/>
              </w:rPr>
            </w:pPr>
          </w:p>
          <w:p w14:paraId="59082AB0" w14:textId="77777777" w:rsidR="00861168" w:rsidRPr="00716ECC" w:rsidRDefault="00861168" w:rsidP="00861168">
            <w:pPr>
              <w:rPr>
                <w:szCs w:val="26"/>
                <w:lang w:val="lv-LV"/>
              </w:rPr>
            </w:pPr>
          </w:p>
          <w:p w14:paraId="10F79FB3" w14:textId="77777777" w:rsidR="00861168" w:rsidRPr="00716ECC" w:rsidRDefault="00861168" w:rsidP="00861168">
            <w:pPr>
              <w:rPr>
                <w:szCs w:val="26"/>
                <w:lang w:val="lv-LV"/>
              </w:rPr>
            </w:pPr>
          </w:p>
          <w:p w14:paraId="1A14CCB4" w14:textId="77777777" w:rsidR="00861168" w:rsidRPr="00716ECC" w:rsidRDefault="00861168" w:rsidP="00861168">
            <w:pPr>
              <w:rPr>
                <w:szCs w:val="26"/>
                <w:lang w:val="lv-LV"/>
              </w:rPr>
            </w:pPr>
          </w:p>
          <w:p w14:paraId="64CDA14B" w14:textId="0ED13F28" w:rsidR="00861168" w:rsidRPr="00716ECC" w:rsidRDefault="00455802" w:rsidP="00455802">
            <w:pPr>
              <w:tabs>
                <w:tab w:val="left" w:pos="435"/>
              </w:tabs>
              <w:rPr>
                <w:szCs w:val="26"/>
                <w:lang w:val="lv-LV"/>
              </w:rPr>
            </w:pPr>
            <w:r w:rsidRPr="00716ECC">
              <w:rPr>
                <w:szCs w:val="26"/>
                <w:lang w:val="lv-LV"/>
              </w:rPr>
              <w:tab/>
            </w:r>
          </w:p>
          <w:p w14:paraId="1D2E6346" w14:textId="77777777" w:rsidR="00861168" w:rsidRPr="00716ECC" w:rsidRDefault="00861168" w:rsidP="00861168">
            <w:pPr>
              <w:rPr>
                <w:szCs w:val="26"/>
                <w:lang w:val="lv-LV"/>
              </w:rPr>
            </w:pPr>
          </w:p>
          <w:p w14:paraId="6D85EFAD" w14:textId="77777777" w:rsidR="00861168" w:rsidRPr="00716ECC" w:rsidRDefault="00861168" w:rsidP="00FB5498">
            <w:pPr>
              <w:ind w:firstLine="720"/>
              <w:jc w:val="center"/>
              <w:rPr>
                <w:szCs w:val="26"/>
                <w:lang w:val="lv-LV"/>
              </w:rPr>
            </w:pPr>
          </w:p>
          <w:p w14:paraId="7055A088" w14:textId="77777777" w:rsidR="00861168" w:rsidRPr="00716ECC" w:rsidRDefault="00861168" w:rsidP="00861168">
            <w:pPr>
              <w:rPr>
                <w:szCs w:val="26"/>
                <w:lang w:val="lv-LV"/>
              </w:rPr>
            </w:pPr>
          </w:p>
          <w:p w14:paraId="3524AE12" w14:textId="77777777" w:rsidR="00861168" w:rsidRPr="00716ECC" w:rsidRDefault="00861168" w:rsidP="00861168">
            <w:pPr>
              <w:rPr>
                <w:szCs w:val="26"/>
                <w:lang w:val="lv-LV"/>
              </w:rPr>
            </w:pPr>
          </w:p>
          <w:p w14:paraId="5FC5E9A8" w14:textId="77777777" w:rsidR="00861168" w:rsidRPr="00716ECC" w:rsidRDefault="00861168" w:rsidP="00861168">
            <w:pPr>
              <w:rPr>
                <w:szCs w:val="26"/>
                <w:lang w:val="lv-LV"/>
              </w:rPr>
            </w:pPr>
          </w:p>
          <w:p w14:paraId="03AC9198" w14:textId="06B9FC55" w:rsidR="00861168" w:rsidRPr="00716ECC" w:rsidRDefault="008247F1" w:rsidP="008247F1">
            <w:pPr>
              <w:tabs>
                <w:tab w:val="left" w:pos="270"/>
              </w:tabs>
              <w:rPr>
                <w:szCs w:val="26"/>
                <w:lang w:val="lv-LV"/>
              </w:rPr>
            </w:pPr>
            <w:r w:rsidRPr="00716ECC">
              <w:rPr>
                <w:szCs w:val="26"/>
                <w:lang w:val="lv-LV"/>
              </w:rPr>
              <w:tab/>
            </w:r>
          </w:p>
        </w:tc>
        <w:tc>
          <w:tcPr>
            <w:tcW w:w="7230" w:type="dxa"/>
          </w:tcPr>
          <w:p w14:paraId="71F568DE" w14:textId="35124B29" w:rsidR="009033F4" w:rsidRDefault="00932043" w:rsidP="009033F4">
            <w:pPr>
              <w:spacing w:before="120"/>
              <w:jc w:val="both"/>
              <w:rPr>
                <w:rFonts w:eastAsia="Times New Roman"/>
                <w:color w:val="000000" w:themeColor="text1"/>
                <w:szCs w:val="26"/>
                <w:lang w:val="lv-LV"/>
              </w:rPr>
            </w:pPr>
            <w:r w:rsidRPr="00932043">
              <w:rPr>
                <w:rFonts w:eastAsia="Times New Roman"/>
                <w:color w:val="000000" w:themeColor="text1"/>
                <w:szCs w:val="26"/>
                <w:lang w:val="lv-LV"/>
              </w:rPr>
              <w:lastRenderedPageBreak/>
              <w:t xml:space="preserve">Valstī no 2021. gada 7. aprīļa ārkārtējā situācija ir atcelta, tomēr  </w:t>
            </w:r>
            <w:r w:rsidR="009033F4" w:rsidRPr="00CE65AF">
              <w:rPr>
                <w:rFonts w:eastAsia="Times New Roman"/>
                <w:color w:val="000000" w:themeColor="text1"/>
                <w:szCs w:val="26"/>
                <w:lang w:val="lv-LV"/>
              </w:rPr>
              <w:t xml:space="preserve">sabiedrības veselības un dzīvības aizsardzībai </w:t>
            </w:r>
            <w:r>
              <w:rPr>
                <w:rFonts w:eastAsia="Times New Roman"/>
                <w:color w:val="000000" w:themeColor="text1"/>
                <w:szCs w:val="26"/>
                <w:lang w:val="lv-LV"/>
              </w:rPr>
              <w:t>tiek</w:t>
            </w:r>
            <w:r w:rsidR="009033F4" w:rsidRPr="00CE65AF">
              <w:rPr>
                <w:rFonts w:eastAsia="Times New Roman"/>
                <w:color w:val="000000" w:themeColor="text1"/>
                <w:szCs w:val="26"/>
                <w:lang w:val="lv-LV"/>
              </w:rPr>
              <w:t xml:space="preserve"> </w:t>
            </w:r>
            <w:r>
              <w:rPr>
                <w:rFonts w:eastAsia="Times New Roman"/>
                <w:color w:val="000000" w:themeColor="text1"/>
                <w:szCs w:val="26"/>
                <w:lang w:val="lv-LV"/>
              </w:rPr>
              <w:t>saglabāti</w:t>
            </w:r>
            <w:r w:rsidRPr="00CE65AF">
              <w:rPr>
                <w:rFonts w:eastAsia="Times New Roman"/>
                <w:color w:val="000000" w:themeColor="text1"/>
                <w:szCs w:val="26"/>
                <w:lang w:val="lv-LV"/>
              </w:rPr>
              <w:t xml:space="preserve"> </w:t>
            </w:r>
            <w:r w:rsidR="009033F4" w:rsidRPr="00CE65AF">
              <w:rPr>
                <w:rFonts w:eastAsia="Times New Roman"/>
                <w:color w:val="000000" w:themeColor="text1"/>
                <w:szCs w:val="26"/>
                <w:lang w:val="lv-LV"/>
              </w:rPr>
              <w:t xml:space="preserve">dažāda veida ierobežojumi, kas negatīvi ietekmē nodokļu maksātāju spēju nodrošināt tādu saimniecisko darbību, kādu to varēja īstenot pirms ārkārtējās situācijas izsludināšanas. Ieilgstot Covid-19 izraisītajai nedrošībai un atkārtoti noteiktajiem ierobežojumiem Covid-19 izplatības mazināšanai tiek ierobežota ne tikai </w:t>
            </w:r>
            <w:r w:rsidR="009033F4">
              <w:rPr>
                <w:rFonts w:eastAsia="Times New Roman"/>
                <w:color w:val="000000" w:themeColor="text1"/>
                <w:szCs w:val="26"/>
                <w:lang w:val="lv-LV"/>
              </w:rPr>
              <w:t>komersantu</w:t>
            </w:r>
            <w:r w:rsidR="009033F4" w:rsidRPr="00CE65AF">
              <w:rPr>
                <w:rFonts w:eastAsia="Times New Roman"/>
                <w:color w:val="000000" w:themeColor="text1"/>
                <w:szCs w:val="26"/>
                <w:lang w:val="lv-LV"/>
              </w:rPr>
              <w:t xml:space="preserve"> pelnīt spēja, bet arī tiek krasi samazināta to iespēja segt saimnieciskajā darbībā tekošos maksājumus, piemēram, telpu nomas maksu</w:t>
            </w:r>
            <w:r w:rsidR="000A6FCB">
              <w:rPr>
                <w:rFonts w:eastAsia="Times New Roman"/>
                <w:color w:val="000000" w:themeColor="text1"/>
                <w:szCs w:val="26"/>
                <w:lang w:val="lv-LV"/>
              </w:rPr>
              <w:t>,</w:t>
            </w:r>
            <w:r w:rsidR="0010650F">
              <w:rPr>
                <w:rFonts w:eastAsia="Times New Roman"/>
                <w:color w:val="000000" w:themeColor="text1"/>
                <w:szCs w:val="26"/>
                <w:lang w:val="lv-LV"/>
              </w:rPr>
              <w:t xml:space="preserve"> komunālos maksājumus, apsaimniekošanas izdevumus, </w:t>
            </w:r>
            <w:proofErr w:type="spellStart"/>
            <w:r w:rsidR="00D73220">
              <w:rPr>
                <w:rFonts w:eastAsia="Times New Roman"/>
                <w:color w:val="000000" w:themeColor="text1"/>
                <w:szCs w:val="26"/>
                <w:lang w:val="lv-LV"/>
              </w:rPr>
              <w:t>kredītmaksājumus</w:t>
            </w:r>
            <w:proofErr w:type="spellEnd"/>
            <w:r w:rsidR="00D73220">
              <w:rPr>
                <w:rFonts w:eastAsia="Times New Roman"/>
                <w:color w:val="000000" w:themeColor="text1"/>
                <w:szCs w:val="26"/>
                <w:lang w:val="lv-LV"/>
              </w:rPr>
              <w:t xml:space="preserve"> un fiksētos administratīvos maksājumus</w:t>
            </w:r>
            <w:r w:rsidR="009033F4" w:rsidRPr="00CE65AF">
              <w:rPr>
                <w:rFonts w:eastAsia="Times New Roman"/>
                <w:color w:val="000000" w:themeColor="text1"/>
                <w:szCs w:val="26"/>
                <w:lang w:val="lv-LV"/>
              </w:rPr>
              <w:t xml:space="preserve">. Līdz ar to īpaši svarīgi </w:t>
            </w:r>
            <w:r w:rsidR="009033F4" w:rsidRPr="00B3351E">
              <w:rPr>
                <w:rFonts w:eastAsia="Times New Roman"/>
                <w:color w:val="000000" w:themeColor="text1"/>
                <w:szCs w:val="26"/>
                <w:lang w:val="lv-LV"/>
              </w:rPr>
              <w:t xml:space="preserve">no valsts puses sniegt atbalstu, kas palīdz Covid-19 krīzes skartajiem </w:t>
            </w:r>
            <w:r w:rsidR="009033F4">
              <w:rPr>
                <w:rFonts w:eastAsia="Times New Roman"/>
                <w:color w:val="000000" w:themeColor="text1"/>
                <w:szCs w:val="26"/>
                <w:lang w:val="lv-LV"/>
              </w:rPr>
              <w:t xml:space="preserve">sporta centriem segt </w:t>
            </w:r>
            <w:r w:rsidR="008B18AF">
              <w:rPr>
                <w:rFonts w:eastAsia="Times New Roman"/>
                <w:color w:val="000000" w:themeColor="text1"/>
                <w:szCs w:val="26"/>
                <w:lang w:val="lv-LV"/>
              </w:rPr>
              <w:t>apgrozījuma</w:t>
            </w:r>
            <w:r w:rsidR="009033F4">
              <w:rPr>
                <w:rFonts w:eastAsia="Times New Roman"/>
                <w:color w:val="000000" w:themeColor="text1"/>
                <w:szCs w:val="26"/>
                <w:lang w:val="lv-LV"/>
              </w:rPr>
              <w:t xml:space="preserve"> kritumu. </w:t>
            </w:r>
          </w:p>
          <w:p w14:paraId="43FF4E50" w14:textId="51A806E8" w:rsidR="009033F4" w:rsidRDefault="009033F4" w:rsidP="009033F4">
            <w:pPr>
              <w:spacing w:before="120"/>
              <w:jc w:val="both"/>
              <w:rPr>
                <w:rFonts w:eastAsia="Times New Roman"/>
                <w:color w:val="000000" w:themeColor="text1"/>
                <w:szCs w:val="26"/>
                <w:lang w:val="lv-LV"/>
              </w:rPr>
            </w:pPr>
            <w:r w:rsidRPr="009033F4">
              <w:rPr>
                <w:rFonts w:eastAsia="Times New Roman"/>
                <w:color w:val="000000" w:themeColor="text1"/>
                <w:szCs w:val="26"/>
                <w:lang w:val="lv-LV"/>
              </w:rPr>
              <w:lastRenderedPageBreak/>
              <w:t xml:space="preserve">MK Noteikumu projekts izstrādāts ievērojot to, ka Pagaidu regulējums paredz sniegt atbalstu </w:t>
            </w:r>
            <w:r>
              <w:rPr>
                <w:rFonts w:eastAsia="Times New Roman"/>
                <w:color w:val="000000" w:themeColor="text1"/>
                <w:szCs w:val="26"/>
                <w:lang w:val="lv-LV"/>
              </w:rPr>
              <w:t>komersantiem</w:t>
            </w:r>
            <w:r w:rsidRPr="009033F4">
              <w:rPr>
                <w:rFonts w:eastAsia="Times New Roman"/>
                <w:color w:val="000000" w:themeColor="text1"/>
                <w:szCs w:val="26"/>
                <w:lang w:val="lv-LV"/>
              </w:rPr>
              <w:t xml:space="preserve"> krīzes situācijas seku novēršanai. Līdz ar to ir izstrādāts MK Noteikumu projekts, kura mērķis ir atbalstīt </w:t>
            </w:r>
            <w:r>
              <w:rPr>
                <w:rFonts w:eastAsia="Times New Roman"/>
                <w:color w:val="000000" w:themeColor="text1"/>
                <w:szCs w:val="26"/>
                <w:lang w:val="lv-LV"/>
              </w:rPr>
              <w:t>komersantus</w:t>
            </w:r>
            <w:r w:rsidRPr="009033F4">
              <w:rPr>
                <w:rFonts w:eastAsia="Times New Roman"/>
                <w:color w:val="000000" w:themeColor="text1"/>
                <w:szCs w:val="26"/>
                <w:lang w:val="lv-LV"/>
              </w:rPr>
              <w:t>, kuru īpašumā ir s</w:t>
            </w:r>
            <w:r>
              <w:rPr>
                <w:rFonts w:eastAsia="Times New Roman"/>
                <w:color w:val="000000" w:themeColor="text1"/>
                <w:szCs w:val="26"/>
                <w:lang w:val="lv-LV"/>
              </w:rPr>
              <w:t>porta</w:t>
            </w:r>
            <w:r w:rsidRPr="009033F4">
              <w:rPr>
                <w:rFonts w:eastAsia="Times New Roman"/>
                <w:color w:val="000000" w:themeColor="text1"/>
                <w:szCs w:val="26"/>
                <w:lang w:val="lv-LV"/>
              </w:rPr>
              <w:t xml:space="preserve"> centri</w:t>
            </w:r>
            <w:r w:rsidR="003E40EF">
              <w:rPr>
                <w:rFonts w:eastAsia="Times New Roman"/>
                <w:color w:val="000000" w:themeColor="text1"/>
                <w:szCs w:val="26"/>
                <w:lang w:val="lv-LV"/>
              </w:rPr>
              <w:t>,</w:t>
            </w:r>
            <w:r>
              <w:rPr>
                <w:rFonts w:eastAsia="Times New Roman"/>
                <w:color w:val="000000" w:themeColor="text1"/>
                <w:szCs w:val="26"/>
                <w:lang w:val="lv-LV"/>
              </w:rPr>
              <w:t xml:space="preserve"> </w:t>
            </w:r>
            <w:r w:rsidRPr="00716ECC">
              <w:rPr>
                <w:rStyle w:val="eop"/>
                <w:iCs/>
                <w:szCs w:val="26"/>
                <w:shd w:val="clear" w:color="auto" w:fill="FFFFFF"/>
                <w:lang w:val="lv-LV"/>
              </w:rPr>
              <w:t xml:space="preserve">jo līdz šim piedāvātie krīzes atbalsta instrumenti sporta centrus sasniedza tikai daļēji, </w:t>
            </w:r>
            <w:r w:rsidR="003E40EF">
              <w:rPr>
                <w:rStyle w:val="eop"/>
                <w:iCs/>
                <w:szCs w:val="26"/>
                <w:shd w:val="clear" w:color="auto" w:fill="FFFFFF"/>
                <w:lang w:val="lv-LV"/>
              </w:rPr>
              <w:t>tā kā</w:t>
            </w:r>
            <w:r w:rsidRPr="00716ECC">
              <w:rPr>
                <w:rStyle w:val="eop"/>
                <w:iCs/>
                <w:szCs w:val="26"/>
                <w:shd w:val="clear" w:color="auto" w:fill="FFFFFF"/>
                <w:lang w:val="lv-LV"/>
              </w:rPr>
              <w:t xml:space="preserve"> atbalsta mehānismi tika balstīti uz uzņēmumā strādājošo principa</w:t>
            </w:r>
            <w:r w:rsidRPr="009033F4">
              <w:rPr>
                <w:rFonts w:eastAsia="Times New Roman"/>
                <w:color w:val="000000" w:themeColor="text1"/>
                <w:szCs w:val="26"/>
                <w:lang w:val="lv-LV"/>
              </w:rPr>
              <w:t xml:space="preserve">. Atbalsts ir paredzēts </w:t>
            </w:r>
            <w:r>
              <w:rPr>
                <w:rFonts w:eastAsia="Times New Roman"/>
                <w:color w:val="000000" w:themeColor="text1"/>
                <w:szCs w:val="26"/>
                <w:lang w:val="lv-LV"/>
              </w:rPr>
              <w:t>apgrozījuma krituma</w:t>
            </w:r>
            <w:r w:rsidRPr="009033F4">
              <w:rPr>
                <w:rFonts w:eastAsia="Times New Roman"/>
                <w:color w:val="000000" w:themeColor="text1"/>
                <w:szCs w:val="26"/>
                <w:lang w:val="lv-LV"/>
              </w:rPr>
              <w:t xml:space="preserve"> kompensācijai, lai segtu operacionālās izmaksas (komunālie maksājumi (tai skaitā elektrības, ūdens un siltuma apgāde), nekustamā īpašuma nomas, saistību maksājumus,  ārpakalpojumu izmaksas).</w:t>
            </w:r>
            <w:r w:rsidR="0078752C">
              <w:rPr>
                <w:rFonts w:eastAsia="Times New Roman"/>
                <w:color w:val="000000" w:themeColor="text1"/>
                <w:szCs w:val="26"/>
                <w:lang w:val="lv-LV"/>
              </w:rPr>
              <w:t xml:space="preserve"> Ar saistību maksājumiem tiek saprasti </w:t>
            </w:r>
            <w:proofErr w:type="spellStart"/>
            <w:r w:rsidR="0078752C">
              <w:rPr>
                <w:rFonts w:eastAsia="Times New Roman"/>
                <w:color w:val="000000" w:themeColor="text1"/>
                <w:szCs w:val="26"/>
                <w:lang w:val="lv-LV"/>
              </w:rPr>
              <w:t>kredītmaksājumi</w:t>
            </w:r>
            <w:proofErr w:type="spellEnd"/>
            <w:r w:rsidR="0078752C">
              <w:rPr>
                <w:rFonts w:eastAsia="Times New Roman"/>
                <w:color w:val="000000" w:themeColor="text1"/>
                <w:szCs w:val="26"/>
                <w:lang w:val="lv-LV"/>
              </w:rPr>
              <w:t xml:space="preserve">, procentu maksājumi, kā arī </w:t>
            </w:r>
            <w:proofErr w:type="spellStart"/>
            <w:r w:rsidR="0078752C">
              <w:rPr>
                <w:rFonts w:eastAsia="Times New Roman"/>
                <w:color w:val="000000" w:themeColor="text1"/>
                <w:szCs w:val="26"/>
                <w:lang w:val="lv-LV"/>
              </w:rPr>
              <w:t>līzingmaksājumi</w:t>
            </w:r>
            <w:proofErr w:type="spellEnd"/>
            <w:r w:rsidR="0078752C">
              <w:rPr>
                <w:rFonts w:eastAsia="Times New Roman"/>
                <w:color w:val="000000" w:themeColor="text1"/>
                <w:szCs w:val="26"/>
                <w:lang w:val="lv-LV"/>
              </w:rPr>
              <w:t xml:space="preserve">, savukārt ar ārpakalpojumu izmaksām tiek saprasti grāmatvedības pakalpojumi, apsaimniekošanas pakalpojumi, kā arī dažādu sistēmu uzturēšanas pakalpojumi, piemēram, ventilācijas, gāzes, signalizācijas, uzturēšanas sistēmu. </w:t>
            </w:r>
          </w:p>
          <w:p w14:paraId="68C29987" w14:textId="32482B6D" w:rsidR="00B74559" w:rsidRPr="00716ECC" w:rsidRDefault="00B74559" w:rsidP="7E8CAEB0">
            <w:pPr>
              <w:spacing w:before="120"/>
              <w:jc w:val="both"/>
              <w:rPr>
                <w:rStyle w:val="eop"/>
                <w:iCs/>
                <w:szCs w:val="26"/>
                <w:shd w:val="clear" w:color="auto" w:fill="FFFFFF"/>
                <w:lang w:val="lv-LV"/>
              </w:rPr>
            </w:pPr>
            <w:r w:rsidRPr="00716ECC">
              <w:rPr>
                <w:rStyle w:val="eop"/>
                <w:iCs/>
                <w:szCs w:val="26"/>
                <w:shd w:val="clear" w:color="auto" w:fill="FFFFFF"/>
                <w:lang w:val="lv-LV"/>
              </w:rPr>
              <w:t xml:space="preserve">Minēto apliecina arī no </w:t>
            </w:r>
            <w:r w:rsidR="005264D0" w:rsidRPr="00716ECC">
              <w:rPr>
                <w:rStyle w:val="eop"/>
                <w:iCs/>
                <w:szCs w:val="26"/>
                <w:shd w:val="clear" w:color="auto" w:fill="FFFFFF"/>
                <w:lang w:val="lv-LV"/>
              </w:rPr>
              <w:t>sporta centriem</w:t>
            </w:r>
            <w:r w:rsidRPr="00716ECC">
              <w:rPr>
                <w:rStyle w:val="eop"/>
                <w:iCs/>
                <w:szCs w:val="26"/>
                <w:shd w:val="clear" w:color="auto" w:fill="FFFFFF"/>
                <w:lang w:val="lv-LV"/>
              </w:rPr>
              <w:t xml:space="preserve"> saņemtie iesniegumi par nespēju veikt saimniecisko darbību Covid-19 krīzes ietekmes rezultātā. </w:t>
            </w:r>
          </w:p>
          <w:p w14:paraId="3475AFDA" w14:textId="070F895E" w:rsidR="009033F4" w:rsidRDefault="009033F4" w:rsidP="009033F4">
            <w:pPr>
              <w:spacing w:before="120"/>
              <w:jc w:val="both"/>
              <w:rPr>
                <w:rFonts w:eastAsia="Times New Roman"/>
                <w:szCs w:val="26"/>
                <w:lang w:val="lv-LV"/>
              </w:rPr>
            </w:pPr>
            <w:bookmarkStart w:id="3" w:name="_Hlk66086379"/>
            <w:r w:rsidRPr="00705DAE">
              <w:rPr>
                <w:iCs/>
                <w:color w:val="000000" w:themeColor="text1"/>
                <w:szCs w:val="26"/>
                <w:lang w:val="lv-LV"/>
              </w:rPr>
              <w:t>MK Noteikumu projekts</w:t>
            </w:r>
            <w:r w:rsidRPr="00BB121D">
              <w:rPr>
                <w:rFonts w:eastAsia="Times New Roman"/>
                <w:szCs w:val="26"/>
                <w:lang w:val="lv-LV"/>
              </w:rPr>
              <w:t xml:space="preserve"> </w:t>
            </w:r>
            <w:r>
              <w:rPr>
                <w:rFonts w:eastAsia="Times New Roman"/>
                <w:szCs w:val="26"/>
                <w:lang w:val="lv-LV"/>
              </w:rPr>
              <w:t>nosaka</w:t>
            </w:r>
            <w:r w:rsidRPr="00BB121D">
              <w:rPr>
                <w:rFonts w:eastAsia="Times New Roman"/>
                <w:szCs w:val="26"/>
                <w:lang w:val="lv-LV"/>
              </w:rPr>
              <w:t xml:space="preserve"> kritērijus, kurus piemēro Covid-19 infekcijas izplatības seku pārvarēšanas likuma ietvertajā atbalstā, kas paredz šādu atbalstu </w:t>
            </w:r>
            <w:r>
              <w:rPr>
                <w:rFonts w:eastAsia="Times New Roman"/>
                <w:szCs w:val="26"/>
                <w:lang w:val="lv-LV"/>
              </w:rPr>
              <w:t>apgrozījuma krituma kompensācijai.</w:t>
            </w:r>
          </w:p>
          <w:p w14:paraId="44089C9E" w14:textId="77777777" w:rsidR="009033F4" w:rsidRDefault="009033F4" w:rsidP="009033F4">
            <w:pPr>
              <w:spacing w:before="120"/>
              <w:jc w:val="both"/>
              <w:rPr>
                <w:rFonts w:eastAsia="Times New Roman"/>
                <w:szCs w:val="26"/>
                <w:lang w:val="lv-LV"/>
              </w:rPr>
            </w:pPr>
            <w:r>
              <w:rPr>
                <w:rFonts w:eastAsia="Times New Roman"/>
                <w:szCs w:val="26"/>
                <w:lang w:val="lv-LV"/>
              </w:rPr>
              <w:t>Šī MK Noteikumu projekta</w:t>
            </w:r>
            <w:r w:rsidRPr="009033F4">
              <w:rPr>
                <w:rFonts w:eastAsia="Times New Roman"/>
                <w:szCs w:val="26"/>
                <w:lang w:val="lv-LV"/>
              </w:rPr>
              <w:t xml:space="preserve"> izpratnē par sporta centru uzskata sporta iekštelpu – </w:t>
            </w:r>
            <w:proofErr w:type="spellStart"/>
            <w:r w:rsidRPr="009033F4">
              <w:rPr>
                <w:rFonts w:eastAsia="Times New Roman"/>
                <w:szCs w:val="26"/>
                <w:lang w:val="lv-LV"/>
              </w:rPr>
              <w:t>fitnesa</w:t>
            </w:r>
            <w:proofErr w:type="spellEnd"/>
            <w:r w:rsidRPr="009033F4">
              <w:rPr>
                <w:rFonts w:eastAsia="Times New Roman"/>
                <w:szCs w:val="26"/>
                <w:lang w:val="lv-LV"/>
              </w:rPr>
              <w:t xml:space="preserve"> centrus, sporta klubus, sporta zāles, ledus halles, publiskas lietošanas peldbaseinus un olimpiskos sporta centrus ar kopējo iekštelpu platību virs 500 m2.</w:t>
            </w:r>
          </w:p>
          <w:p w14:paraId="354EE333" w14:textId="571E1F11" w:rsidR="009033F4" w:rsidRDefault="009033F4" w:rsidP="009033F4">
            <w:pPr>
              <w:spacing w:before="120"/>
              <w:jc w:val="both"/>
              <w:rPr>
                <w:rFonts w:eastAsia="Times New Roman"/>
                <w:szCs w:val="26"/>
                <w:lang w:val="lv-LV"/>
              </w:rPr>
            </w:pPr>
            <w:r w:rsidRPr="006829CA">
              <w:rPr>
                <w:rFonts w:eastAsia="Times New Roman"/>
                <w:szCs w:val="26"/>
                <w:lang w:val="lv-LV"/>
              </w:rPr>
              <w:t xml:space="preserve">Balstoties uz saņemtajām nozares pārstāvju vēstulēm situācija </w:t>
            </w:r>
            <w:r w:rsidR="00CF15E3" w:rsidRPr="006829CA">
              <w:rPr>
                <w:rFonts w:eastAsia="Times New Roman"/>
                <w:szCs w:val="26"/>
                <w:lang w:val="lv-LV"/>
              </w:rPr>
              <w:t xml:space="preserve">sporta </w:t>
            </w:r>
            <w:r w:rsidRPr="006829CA">
              <w:rPr>
                <w:rFonts w:eastAsia="Times New Roman"/>
                <w:szCs w:val="26"/>
                <w:lang w:val="lv-LV"/>
              </w:rPr>
              <w:t xml:space="preserve">centros ir kritiska un </w:t>
            </w:r>
            <w:r w:rsidR="001E79A8" w:rsidRPr="006829CA">
              <w:rPr>
                <w:rFonts w:eastAsia="Times New Roman"/>
                <w:szCs w:val="26"/>
                <w:lang w:val="lv-LV"/>
              </w:rPr>
              <w:t xml:space="preserve">vidēji ieņēmumu kritumam sasniedzot </w:t>
            </w:r>
            <w:r w:rsidR="008C0628" w:rsidRPr="006829CA">
              <w:rPr>
                <w:rFonts w:eastAsia="Times New Roman"/>
                <w:szCs w:val="26"/>
                <w:lang w:val="lv-LV"/>
              </w:rPr>
              <w:t xml:space="preserve"> 70%</w:t>
            </w:r>
            <w:r w:rsidR="00C12523" w:rsidRPr="006829CA">
              <w:rPr>
                <w:rFonts w:eastAsia="Times New Roman"/>
                <w:szCs w:val="26"/>
                <w:lang w:val="lv-LV"/>
              </w:rPr>
              <w:t xml:space="preserve"> atzīmi. </w:t>
            </w:r>
            <w:r w:rsidRPr="006829CA">
              <w:rPr>
                <w:rFonts w:eastAsia="Times New Roman"/>
                <w:szCs w:val="26"/>
                <w:lang w:val="lv-LV"/>
              </w:rPr>
              <w:t xml:space="preserve">Kā nozares dati liecina, ka apgrozāmo līdzekļu grants </w:t>
            </w:r>
            <w:r w:rsidR="00C12523" w:rsidRPr="006829CA">
              <w:rPr>
                <w:rFonts w:eastAsia="Times New Roman"/>
                <w:szCs w:val="26"/>
                <w:lang w:val="lv-LV"/>
              </w:rPr>
              <w:t xml:space="preserve">sporta </w:t>
            </w:r>
            <w:r w:rsidR="005A7113" w:rsidRPr="006829CA">
              <w:rPr>
                <w:rFonts w:eastAsia="Times New Roman"/>
                <w:szCs w:val="26"/>
                <w:lang w:val="lv-LV"/>
              </w:rPr>
              <w:t>centrus</w:t>
            </w:r>
            <w:r w:rsidR="00C12523" w:rsidRPr="006829CA">
              <w:rPr>
                <w:rFonts w:eastAsia="Times New Roman"/>
                <w:szCs w:val="26"/>
                <w:lang w:val="lv-LV"/>
              </w:rPr>
              <w:t xml:space="preserve"> </w:t>
            </w:r>
            <w:r w:rsidRPr="006829CA">
              <w:rPr>
                <w:rFonts w:eastAsia="Times New Roman"/>
                <w:szCs w:val="26"/>
                <w:lang w:val="lv-LV"/>
              </w:rPr>
              <w:t>nesasniedz vai sasniedz ļoti ierobežotā apmērā</w:t>
            </w:r>
            <w:r w:rsidR="00E464C6" w:rsidRPr="006829CA">
              <w:rPr>
                <w:rFonts w:eastAsia="Times New Roman"/>
                <w:szCs w:val="26"/>
                <w:lang w:val="lv-LV"/>
              </w:rPr>
              <w:t xml:space="preserve">, savukārt </w:t>
            </w:r>
            <w:r w:rsidR="00AB53F5" w:rsidRPr="006829CA">
              <w:rPr>
                <w:rFonts w:eastAsia="Times New Roman"/>
                <w:szCs w:val="26"/>
                <w:lang w:val="lv-LV"/>
              </w:rPr>
              <w:t>fiksēto izmaks</w:t>
            </w:r>
            <w:r w:rsidR="00847EDA" w:rsidRPr="006829CA">
              <w:rPr>
                <w:rFonts w:eastAsia="Times New Roman"/>
                <w:szCs w:val="26"/>
                <w:lang w:val="lv-LV"/>
              </w:rPr>
              <w:t xml:space="preserve">as uz </w:t>
            </w:r>
            <w:r w:rsidR="00021F28" w:rsidRPr="006829CA">
              <w:rPr>
                <w:rFonts w:eastAsia="Times New Roman"/>
                <w:szCs w:val="26"/>
                <w:lang w:val="lv-LV"/>
              </w:rPr>
              <w:t>m</w:t>
            </w:r>
            <w:r w:rsidR="00021F28" w:rsidRPr="006829CA">
              <w:rPr>
                <w:rFonts w:eastAsia="Times New Roman"/>
                <w:szCs w:val="26"/>
                <w:vertAlign w:val="superscript"/>
                <w:lang w:val="lv-LV"/>
              </w:rPr>
              <w:t>2</w:t>
            </w:r>
            <w:r w:rsidR="00AB53F5" w:rsidRPr="006829CA">
              <w:rPr>
                <w:rFonts w:eastAsia="Times New Roman"/>
                <w:szCs w:val="26"/>
                <w:lang w:val="lv-LV"/>
              </w:rPr>
              <w:t xml:space="preserve"> </w:t>
            </w:r>
            <w:r w:rsidR="00021F28" w:rsidRPr="006829CA">
              <w:rPr>
                <w:rFonts w:eastAsia="Times New Roman"/>
                <w:szCs w:val="26"/>
                <w:lang w:val="lv-LV"/>
              </w:rPr>
              <w:t>mēnesī vidēji sasniedz gandrīz 25 EUR. Kā rez</w:t>
            </w:r>
            <w:r w:rsidR="00C87DE8" w:rsidRPr="006829CA">
              <w:rPr>
                <w:rFonts w:eastAsia="Times New Roman"/>
                <w:szCs w:val="26"/>
                <w:lang w:val="lv-LV"/>
              </w:rPr>
              <w:t>u</w:t>
            </w:r>
            <w:r w:rsidR="00021F28" w:rsidRPr="006829CA">
              <w:rPr>
                <w:rFonts w:eastAsia="Times New Roman"/>
                <w:szCs w:val="26"/>
                <w:lang w:val="lv-LV"/>
              </w:rPr>
              <w:t xml:space="preserve">ltātā </w:t>
            </w:r>
            <w:r w:rsidR="005A7113" w:rsidRPr="006829CA">
              <w:rPr>
                <w:rFonts w:eastAsia="Times New Roman"/>
                <w:szCs w:val="26"/>
                <w:lang w:val="lv-LV"/>
              </w:rPr>
              <w:t>sporta centri</w:t>
            </w:r>
            <w:r w:rsidRPr="006829CA">
              <w:rPr>
                <w:rFonts w:eastAsia="Times New Roman"/>
                <w:szCs w:val="26"/>
                <w:lang w:val="lv-LV"/>
              </w:rPr>
              <w:t xml:space="preserve"> ir ļoti tuvu maksātnespējas situācijai.</w:t>
            </w:r>
          </w:p>
          <w:p w14:paraId="2E6EF2AC" w14:textId="7E2A27E9" w:rsidR="009033F4" w:rsidRDefault="009033F4" w:rsidP="009033F4">
            <w:pPr>
              <w:spacing w:before="120"/>
              <w:jc w:val="both"/>
              <w:rPr>
                <w:rFonts w:eastAsia="Times New Roman"/>
                <w:szCs w:val="26"/>
                <w:lang w:val="lv-LV"/>
              </w:rPr>
            </w:pPr>
            <w:r>
              <w:rPr>
                <w:rFonts w:eastAsia="Times New Roman"/>
                <w:szCs w:val="26"/>
                <w:lang w:val="lv-LV"/>
              </w:rPr>
              <w:t xml:space="preserve">Sporta centrs var kvalificēties atbalstam apgrozāmo līdzekļu plūsmas nodrošināšanai atbilstoši Ministru kabineta 2020.gada 10.novembra noteikumiem Nr.676 “Noteikumi par atbalstu Covid-19 krīzes skartajiem uzņēmumiem apgrozāmo līdzekļu plūsmas nodrošināšanai” (turpmāk – MK noteikumi Nr.676). Ja MK noteikumu Nr.676 ietvaros piesakās sporta centrs, tas saņem ļoti minimālu atbalstu apgrozāmo līdzekļu plūsmas nodrošināšanai, ņemot vērā </w:t>
            </w:r>
            <w:r w:rsidRPr="008F3152">
              <w:rPr>
                <w:rFonts w:eastAsia="Times New Roman"/>
                <w:szCs w:val="26"/>
                <w:u w:val="single"/>
                <w:lang w:val="lv-LV"/>
              </w:rPr>
              <w:t>mazu nodarbināto skaitu</w:t>
            </w:r>
            <w:r w:rsidR="004628E7">
              <w:rPr>
                <w:rFonts w:eastAsia="Times New Roman"/>
                <w:szCs w:val="26"/>
                <w:u w:val="single"/>
                <w:lang w:val="lv-LV"/>
              </w:rPr>
              <w:t xml:space="preserve"> un lielu telpas platību</w:t>
            </w:r>
            <w:r>
              <w:rPr>
                <w:rFonts w:eastAsia="Times New Roman"/>
                <w:szCs w:val="26"/>
                <w:lang w:val="lv-LV"/>
              </w:rPr>
              <w:t xml:space="preserve">, jo atbalstu minētajos noteikumos nosaka 60% </w:t>
            </w:r>
            <w:r w:rsidRPr="008E6D88">
              <w:rPr>
                <w:rFonts w:eastAsia="Times New Roman"/>
                <w:szCs w:val="26"/>
                <w:lang w:val="lv-LV"/>
              </w:rPr>
              <w:t>apmērā no uzņēmuma bruto darba algas (tai skaitā arī veiktās darba devēja valsts sociālās apdrošināšanas obligātās iemaksas) kopsummas</w:t>
            </w:r>
            <w:r>
              <w:rPr>
                <w:rFonts w:eastAsia="Times New Roman"/>
                <w:szCs w:val="26"/>
                <w:lang w:val="lv-LV"/>
              </w:rPr>
              <w:t>, līdz ar to nevar nosegt radušās operacionālās izmaksas, kā arī ārpakalpojumu izmaksas un saistību maksājumus, tajā skaitā saistību maksājumus.</w:t>
            </w:r>
          </w:p>
          <w:p w14:paraId="3D3619B0" w14:textId="6D9113C4" w:rsidR="006829CA" w:rsidRDefault="009033F4" w:rsidP="7E8CAEB0">
            <w:pPr>
              <w:spacing w:before="120"/>
              <w:jc w:val="both"/>
              <w:rPr>
                <w:rFonts w:eastAsia="Times New Roman"/>
                <w:szCs w:val="26"/>
                <w:lang w:val="lv-LV"/>
              </w:rPr>
            </w:pPr>
            <w:r>
              <w:rPr>
                <w:rFonts w:eastAsia="Times New Roman"/>
                <w:szCs w:val="26"/>
                <w:lang w:val="lv-LV"/>
              </w:rPr>
              <w:lastRenderedPageBreak/>
              <w:t xml:space="preserve">Ekonomikas ministrijā ir saņemta nozares informācija, kurā identificējams Latvijas sporta centru apgrozījuma kritums. </w:t>
            </w:r>
            <w:r w:rsidR="003C26C5">
              <w:rPr>
                <w:rFonts w:eastAsia="Times New Roman"/>
                <w:szCs w:val="26"/>
                <w:lang w:val="lv-LV"/>
              </w:rPr>
              <w:t>Sporta</w:t>
            </w:r>
            <w:r>
              <w:rPr>
                <w:rFonts w:eastAsia="Times New Roman"/>
                <w:szCs w:val="26"/>
                <w:lang w:val="lv-LV"/>
              </w:rPr>
              <w:t xml:space="preserve"> centru saņemtais atbalsts MK noteikumu Nr.676 ietvaros attiecīgi nenosedz sporta centra</w:t>
            </w:r>
            <w:r w:rsidR="00C87DE8">
              <w:rPr>
                <w:rFonts w:eastAsia="Times New Roman"/>
                <w:szCs w:val="26"/>
                <w:lang w:val="lv-LV"/>
              </w:rPr>
              <w:t xml:space="preserve"> uzkrātos zaudējumus, kas sasniedz līdz 150 </w:t>
            </w:r>
            <w:proofErr w:type="spellStart"/>
            <w:r w:rsidR="00C87DE8">
              <w:rPr>
                <w:rFonts w:eastAsia="Times New Roman"/>
                <w:szCs w:val="26"/>
                <w:lang w:val="lv-LV"/>
              </w:rPr>
              <w:t>euro</w:t>
            </w:r>
            <w:proofErr w:type="spellEnd"/>
            <w:r w:rsidR="00C87DE8">
              <w:rPr>
                <w:rFonts w:eastAsia="Times New Roman"/>
                <w:szCs w:val="26"/>
                <w:lang w:val="lv-LV"/>
              </w:rPr>
              <w:t xml:space="preserve"> (atkarībā no nozares)</w:t>
            </w:r>
            <w:r>
              <w:rPr>
                <w:rFonts w:eastAsia="Times New Roman"/>
                <w:szCs w:val="26"/>
                <w:lang w:val="lv-LV"/>
              </w:rPr>
              <w:t xml:space="preserve"> tādēļ ir nepieciešams papildus atbalsts šo noteikumu ietvaros.</w:t>
            </w:r>
            <w:bookmarkEnd w:id="3"/>
          </w:p>
          <w:p w14:paraId="21F61617" w14:textId="77777777" w:rsidR="00561C62" w:rsidRPr="00CE65AF" w:rsidRDefault="00561C62" w:rsidP="00561C62">
            <w:pPr>
              <w:spacing w:before="120"/>
              <w:jc w:val="both"/>
              <w:rPr>
                <w:rFonts w:eastAsia="Times New Roman"/>
                <w:b/>
                <w:szCs w:val="26"/>
                <w:lang w:val="lv-LV"/>
              </w:rPr>
            </w:pPr>
            <w:r w:rsidRPr="00CE65AF">
              <w:rPr>
                <w:rFonts w:eastAsia="Times New Roman"/>
                <w:b/>
                <w:szCs w:val="26"/>
                <w:lang w:val="lv-LV"/>
              </w:rPr>
              <w:t xml:space="preserve">Kritēriji atbalsta saņemšanai </w:t>
            </w:r>
          </w:p>
          <w:p w14:paraId="78BA2793" w14:textId="77777777" w:rsidR="00561C62" w:rsidRPr="002B0675" w:rsidRDefault="00561C62" w:rsidP="00561C62">
            <w:pPr>
              <w:spacing w:before="120"/>
              <w:jc w:val="both"/>
              <w:rPr>
                <w:rFonts w:eastAsiaTheme="minorHAnsi"/>
                <w:szCs w:val="26"/>
                <w:lang w:val="lv-LV"/>
              </w:rPr>
            </w:pPr>
            <w:r w:rsidRPr="00CE65AF">
              <w:rPr>
                <w:rFonts w:eastAsiaTheme="minorHAnsi"/>
                <w:szCs w:val="26"/>
                <w:lang w:val="lv-LV"/>
              </w:rPr>
              <w:t>Atbalstu piešķir Latvijas Investīciju un attīstības aģentūra (turpmāk – LIAA).</w:t>
            </w:r>
          </w:p>
          <w:p w14:paraId="188D2D96" w14:textId="77777777" w:rsidR="00561C62" w:rsidRPr="00033DA3" w:rsidRDefault="00561C62" w:rsidP="00302FAA">
            <w:pPr>
              <w:jc w:val="both"/>
              <w:rPr>
                <w:rFonts w:eastAsia="Times New Roman"/>
                <w:szCs w:val="26"/>
                <w:lang w:val="lv-LV"/>
              </w:rPr>
            </w:pPr>
            <w:r w:rsidRPr="00CE65AF">
              <w:rPr>
                <w:rFonts w:eastAsia="Times New Roman"/>
                <w:szCs w:val="26"/>
                <w:lang w:val="lv-LV"/>
              </w:rPr>
              <w:t xml:space="preserve">Uz </w:t>
            </w:r>
            <w:r w:rsidRPr="00033DA3">
              <w:rPr>
                <w:rFonts w:eastAsia="Times New Roman"/>
                <w:szCs w:val="26"/>
                <w:lang w:val="lv-LV"/>
              </w:rPr>
              <w:t xml:space="preserve">atbalstu var pretendēt </w:t>
            </w:r>
            <w:r>
              <w:rPr>
                <w:rFonts w:eastAsia="Times New Roman"/>
                <w:szCs w:val="26"/>
                <w:lang w:val="lv-LV"/>
              </w:rPr>
              <w:t>komersanti</w:t>
            </w:r>
            <w:r w:rsidRPr="00033DA3">
              <w:rPr>
                <w:rFonts w:eastAsia="Times New Roman"/>
                <w:szCs w:val="26"/>
                <w:lang w:val="lv-LV"/>
              </w:rPr>
              <w:t xml:space="preserve">, kuri atbilst šādiem kritērijiem: </w:t>
            </w:r>
          </w:p>
          <w:p w14:paraId="7B1A9EA4" w14:textId="77777777" w:rsidR="00561C62" w:rsidRDefault="00561C62" w:rsidP="00302FAA">
            <w:pPr>
              <w:pStyle w:val="ListParagraph"/>
              <w:numPr>
                <w:ilvl w:val="0"/>
                <w:numId w:val="43"/>
              </w:numPr>
              <w:contextualSpacing w:val="0"/>
              <w:jc w:val="both"/>
              <w:rPr>
                <w:rFonts w:eastAsiaTheme="minorEastAsia"/>
                <w:szCs w:val="26"/>
                <w:lang w:val="lv-LV"/>
              </w:rPr>
            </w:pPr>
            <w:r w:rsidRPr="00CF219D">
              <w:rPr>
                <w:rFonts w:eastAsiaTheme="minorEastAsia"/>
                <w:szCs w:val="26"/>
                <w:lang w:val="lv-LV"/>
              </w:rPr>
              <w:t xml:space="preserve">kas atbilst sīkā (mikro), mazā un vidējā uzņēmuma definīcijai, kura noteikta </w:t>
            </w:r>
            <w:r w:rsidRPr="00712C79">
              <w:rPr>
                <w:szCs w:val="26"/>
                <w:lang w:val="lv-LV"/>
              </w:rPr>
              <w:t xml:space="preserve">Eiropas </w:t>
            </w:r>
            <w:r w:rsidRPr="00CF219D">
              <w:rPr>
                <w:rFonts w:eastAsiaTheme="minorEastAsia"/>
                <w:szCs w:val="26"/>
                <w:lang w:val="lv-LV"/>
              </w:rPr>
              <w:t>Komisijas 2014. gada 17. jūnija Regulas (ES) Nr. 651/2014, ar ko noteiktas atbalsta kategorijas atzīst par saderīgām ar iekšējo tirgu, piemērojot Līguma 107. un 108. pantu (turpmāk – Komisijas regula Nr. 651/2014), I pielikuma, vai lielā uzņēmuma definīcijai, kura noteikta Komisijas regulas Nr. 651/2014 2. panta 24. punktā;</w:t>
            </w:r>
          </w:p>
          <w:p w14:paraId="46727A66" w14:textId="24EF4132" w:rsidR="00561C62" w:rsidRPr="00561C62" w:rsidRDefault="00561C62" w:rsidP="00302FAA">
            <w:pPr>
              <w:pStyle w:val="ListParagraph"/>
              <w:numPr>
                <w:ilvl w:val="0"/>
                <w:numId w:val="43"/>
              </w:numPr>
              <w:contextualSpacing w:val="0"/>
              <w:jc w:val="both"/>
              <w:rPr>
                <w:rFonts w:eastAsiaTheme="minorHAnsi"/>
                <w:szCs w:val="26"/>
                <w:lang w:val="lv-LV"/>
              </w:rPr>
            </w:pPr>
            <w:r w:rsidRPr="00561C62">
              <w:rPr>
                <w:rFonts w:eastAsia="Times New Roman"/>
                <w:szCs w:val="26"/>
                <w:lang w:val="lv-LV"/>
              </w:rPr>
              <w:t>kuram Covid-19 krīzes ietekmē konkrētā sporta centra kopējais apgrozījuma kritums 2020. gada decembrī un 2021. gada janvārī, februārī un martā, salīdzinot ar 2019. un 2020. gada attiecīgo mēnešu apgrozījuma kopsummu, ir vismaz 60%</w:t>
            </w:r>
            <w:r w:rsidR="00B255AB">
              <w:rPr>
                <w:rFonts w:eastAsia="Times New Roman"/>
                <w:szCs w:val="26"/>
                <w:lang w:val="lv-LV"/>
              </w:rPr>
              <w:t>.</w:t>
            </w:r>
          </w:p>
          <w:p w14:paraId="696C3F70" w14:textId="77777777" w:rsidR="00561C62" w:rsidRPr="00033DA3" w:rsidRDefault="00561C62" w:rsidP="00561C62">
            <w:pPr>
              <w:spacing w:before="120"/>
              <w:jc w:val="both"/>
              <w:rPr>
                <w:rFonts w:eastAsiaTheme="minorHAnsi"/>
                <w:szCs w:val="26"/>
                <w:lang w:val="lv-LV"/>
              </w:rPr>
            </w:pPr>
            <w:r w:rsidRPr="00BF7FD8">
              <w:rPr>
                <w:rFonts w:eastAsiaTheme="minorHAnsi"/>
                <w:szCs w:val="26"/>
                <w:lang w:val="lv-LV"/>
              </w:rPr>
              <w:t>Atbalstam būs tiesīgi pieteikties uzņēmēji, kuriem</w:t>
            </w:r>
            <w:r w:rsidRPr="00033DA3">
              <w:rPr>
                <w:rFonts w:eastAsiaTheme="minorHAnsi"/>
                <w:szCs w:val="26"/>
                <w:lang w:val="lv-LV"/>
              </w:rPr>
              <w:t xml:space="preserve"> uz iesnieguma iesniegšanas dienu nav </w:t>
            </w:r>
            <w:r>
              <w:rPr>
                <w:rFonts w:eastAsiaTheme="minorHAnsi"/>
                <w:szCs w:val="26"/>
                <w:lang w:val="lv-LV"/>
              </w:rPr>
              <w:t>VID</w:t>
            </w:r>
            <w:r w:rsidRPr="00033DA3">
              <w:rPr>
                <w:rFonts w:eastAsiaTheme="minorHAnsi"/>
                <w:szCs w:val="26"/>
                <w:lang w:val="lv-LV"/>
              </w:rPr>
              <w:t xml:space="preserve"> administrēto nodokļu (nodevu) parāds, kas kopsummā pārsniedz 1000 </w:t>
            </w:r>
            <w:proofErr w:type="spellStart"/>
            <w:r w:rsidRPr="003F0A90">
              <w:rPr>
                <w:rFonts w:eastAsiaTheme="minorHAnsi"/>
                <w:i/>
                <w:iCs/>
                <w:szCs w:val="26"/>
                <w:lang w:val="lv-LV"/>
              </w:rPr>
              <w:t>euro</w:t>
            </w:r>
            <w:proofErr w:type="spellEnd"/>
            <w:r w:rsidRPr="00033DA3">
              <w:rPr>
                <w:rFonts w:eastAsiaTheme="minorHAnsi"/>
                <w:szCs w:val="26"/>
                <w:lang w:val="lv-LV"/>
              </w:rPr>
              <w:t xml:space="preserve">, izņemot nodokļu maksājumus, kuriem ir piešķirts samaksas termiņa pagarinājums, noslēgta vienošanās par labprātīgu nodokļu samaksu, vai noslēgts vienošanās līgums. </w:t>
            </w:r>
          </w:p>
          <w:p w14:paraId="78CA9602" w14:textId="77777777" w:rsidR="00561C62" w:rsidRPr="00033DA3" w:rsidRDefault="00561C62" w:rsidP="00561C62">
            <w:pPr>
              <w:spacing w:before="120"/>
              <w:jc w:val="both"/>
              <w:rPr>
                <w:rFonts w:eastAsiaTheme="minorHAnsi"/>
                <w:szCs w:val="26"/>
                <w:lang w:val="lv-LV"/>
              </w:rPr>
            </w:pPr>
            <w:r>
              <w:rPr>
                <w:rFonts w:eastAsiaTheme="minorHAnsi"/>
                <w:szCs w:val="26"/>
                <w:lang w:val="lv-LV"/>
              </w:rPr>
              <w:t>LIAA pār</w:t>
            </w:r>
            <w:r w:rsidRPr="00A64FD3">
              <w:rPr>
                <w:rFonts w:eastAsiaTheme="minorHAnsi"/>
                <w:szCs w:val="26"/>
                <w:lang w:val="lv-LV"/>
              </w:rPr>
              <w:t xml:space="preserve">bauda atbilstību VID datu bāzē pēdējā aktualizācijas datumā pirms iesnieguma iesniegšanas esošo informāciju par nodokļu parādiem. </w:t>
            </w:r>
          </w:p>
          <w:p w14:paraId="7725A0E3" w14:textId="77777777" w:rsidR="00561C62" w:rsidRDefault="00561C62" w:rsidP="00561C62">
            <w:pPr>
              <w:spacing w:before="120"/>
              <w:jc w:val="both"/>
              <w:rPr>
                <w:rFonts w:eastAsia="Times New Roman"/>
                <w:b/>
                <w:color w:val="000000" w:themeColor="text1"/>
                <w:szCs w:val="26"/>
                <w:lang w:val="lv-LV"/>
              </w:rPr>
            </w:pPr>
            <w:r w:rsidRPr="00033DA3">
              <w:rPr>
                <w:rFonts w:eastAsia="Times New Roman"/>
                <w:b/>
                <w:color w:val="000000" w:themeColor="text1"/>
                <w:szCs w:val="26"/>
                <w:lang w:val="lv-LV"/>
              </w:rPr>
              <w:t>Atbalst</w:t>
            </w:r>
            <w:r>
              <w:rPr>
                <w:rFonts w:eastAsia="Times New Roman"/>
                <w:b/>
                <w:color w:val="000000" w:themeColor="text1"/>
                <w:szCs w:val="26"/>
                <w:lang w:val="lv-LV"/>
              </w:rPr>
              <w:t xml:space="preserve">a apmērs </w:t>
            </w:r>
          </w:p>
          <w:p w14:paraId="35ACDBB9" w14:textId="1D9051AB" w:rsidR="00561C62" w:rsidRDefault="00561C62" w:rsidP="00561C62">
            <w:pPr>
              <w:spacing w:before="120"/>
              <w:jc w:val="both"/>
              <w:rPr>
                <w:rFonts w:eastAsia="Times New Roman"/>
                <w:szCs w:val="26"/>
                <w:lang w:val="lv-LV"/>
              </w:rPr>
            </w:pPr>
            <w:r>
              <w:rPr>
                <w:rFonts w:eastAsia="Times New Roman"/>
                <w:szCs w:val="26"/>
                <w:lang w:val="lv-LV"/>
              </w:rPr>
              <w:t xml:space="preserve">MK </w:t>
            </w:r>
            <w:r w:rsidRPr="00033DA3">
              <w:rPr>
                <w:rFonts w:eastAsia="Times New Roman"/>
                <w:szCs w:val="26"/>
                <w:lang w:val="lv-LV"/>
              </w:rPr>
              <w:t xml:space="preserve">Noteikumu projekts paredz, </w:t>
            </w:r>
            <w:r>
              <w:rPr>
                <w:rFonts w:eastAsia="Times New Roman"/>
                <w:szCs w:val="26"/>
                <w:lang w:val="lv-LV"/>
              </w:rPr>
              <w:t xml:space="preserve">ka </w:t>
            </w:r>
            <w:r w:rsidRPr="00561C62">
              <w:rPr>
                <w:rFonts w:eastAsia="Times New Roman"/>
                <w:szCs w:val="26"/>
                <w:lang w:val="lv-LV"/>
              </w:rPr>
              <w:t xml:space="preserve">atbalsta apmērs ir 25 </w:t>
            </w:r>
            <w:proofErr w:type="spellStart"/>
            <w:r w:rsidRPr="00561C62">
              <w:rPr>
                <w:rFonts w:eastAsia="Times New Roman"/>
                <w:szCs w:val="26"/>
                <w:lang w:val="lv-LV"/>
              </w:rPr>
              <w:t>euro</w:t>
            </w:r>
            <w:proofErr w:type="spellEnd"/>
            <w:r w:rsidRPr="00561C62">
              <w:rPr>
                <w:rFonts w:eastAsia="Times New Roman"/>
                <w:szCs w:val="26"/>
                <w:lang w:val="lv-LV"/>
              </w:rPr>
              <w:t xml:space="preserve"> par katru sporta centra iekštelpu kadastrālās uzmērīšanas lietā norādītās kopējās platības kvadrātmetru, bet kopējais atbalsta apmērs nepārsniedz šo noteikumu </w:t>
            </w:r>
            <w:r w:rsidR="00361D38">
              <w:rPr>
                <w:rFonts w:eastAsia="Times New Roman"/>
                <w:szCs w:val="26"/>
                <w:lang w:val="lv-LV"/>
              </w:rPr>
              <w:t>5</w:t>
            </w:r>
            <w:r w:rsidRPr="00561C62">
              <w:rPr>
                <w:rFonts w:eastAsia="Times New Roman"/>
                <w:szCs w:val="26"/>
                <w:lang w:val="lv-LV"/>
              </w:rPr>
              <w:t xml:space="preserve">.2. apakšpunktā minēto apgrozījuma krituma apmēru. Atbalstu </w:t>
            </w:r>
            <w:r w:rsidR="00F734FE">
              <w:rPr>
                <w:rFonts w:eastAsia="Times New Roman"/>
                <w:szCs w:val="26"/>
                <w:lang w:val="lv-LV"/>
              </w:rPr>
              <w:t>LIAA</w:t>
            </w:r>
            <w:r w:rsidRPr="00561C62">
              <w:rPr>
                <w:rFonts w:eastAsia="Times New Roman"/>
                <w:szCs w:val="26"/>
                <w:lang w:val="lv-LV"/>
              </w:rPr>
              <w:t xml:space="preserve"> piešķir, ievērojot, ka </w:t>
            </w:r>
            <w:r>
              <w:rPr>
                <w:rFonts w:eastAsia="Times New Roman"/>
                <w:szCs w:val="26"/>
                <w:lang w:val="lv-LV"/>
              </w:rPr>
              <w:t>Pagaidu regulējuma ietvaros</w:t>
            </w:r>
            <w:r w:rsidRPr="00561C62">
              <w:rPr>
                <w:rFonts w:eastAsia="Times New Roman"/>
                <w:szCs w:val="26"/>
                <w:lang w:val="lv-LV"/>
              </w:rPr>
              <w:t xml:space="preserve"> piešķiramā ierobežota apjoma atbalsta apmērs vienam uzņēmumam un ar to saistīto personu grupai nepārsniedz 1 800 000 </w:t>
            </w:r>
            <w:proofErr w:type="spellStart"/>
            <w:r w:rsidRPr="00561C62">
              <w:rPr>
                <w:rFonts w:eastAsia="Times New Roman"/>
                <w:szCs w:val="26"/>
                <w:lang w:val="lv-LV"/>
              </w:rPr>
              <w:t>euro</w:t>
            </w:r>
            <w:proofErr w:type="spellEnd"/>
            <w:r w:rsidRPr="00561C62">
              <w:rPr>
                <w:rFonts w:eastAsia="Times New Roman"/>
                <w:szCs w:val="26"/>
                <w:lang w:val="lv-LV"/>
              </w:rPr>
              <w:t xml:space="preserve"> (pirms 2021. gada 30. </w:t>
            </w:r>
            <w:r w:rsidR="00E91161">
              <w:rPr>
                <w:rFonts w:eastAsia="Times New Roman"/>
                <w:szCs w:val="26"/>
                <w:lang w:val="lv-LV"/>
              </w:rPr>
              <w:t>septembra</w:t>
            </w:r>
            <w:r w:rsidRPr="00561C62">
              <w:rPr>
                <w:rFonts w:eastAsia="Times New Roman"/>
                <w:szCs w:val="26"/>
                <w:lang w:val="lv-LV"/>
              </w:rPr>
              <w:t xml:space="preserve"> atbalsta saņēmēja un ar to saistīto personu grupas atmaksātais ierobežota apjoma atbalsts netiek ņemts vērā šajā punktā noteiktajā ierobežota apjoma atbalsta apmērā). Ja komersants ir saistīto personu grupā, komercdarbības atbalstu piešķir, ievērojot komersantu iesniegumu iesniegšanas secību, lai nodrošinātu, ka saistīto personu grupā netiek pārsniegts </w:t>
            </w:r>
            <w:r w:rsidRPr="00561C62">
              <w:rPr>
                <w:rFonts w:eastAsia="Times New Roman"/>
                <w:szCs w:val="26"/>
                <w:lang w:val="lv-LV"/>
              </w:rPr>
              <w:lastRenderedPageBreak/>
              <w:t>šo noteikumu ietvaros pieļaujamais maksimālais atbalsts. Komercdarbības atbalstam komersants var pieteikties vienu reizi.</w:t>
            </w:r>
          </w:p>
          <w:p w14:paraId="799A12FB" w14:textId="437608CC" w:rsidR="00561C62" w:rsidRDefault="00561C62" w:rsidP="00561C62">
            <w:pPr>
              <w:spacing w:before="120"/>
              <w:jc w:val="both"/>
              <w:rPr>
                <w:rFonts w:eastAsia="Times New Roman"/>
                <w:szCs w:val="26"/>
                <w:lang w:val="lv-LV"/>
              </w:rPr>
            </w:pPr>
            <w:r>
              <w:rPr>
                <w:rFonts w:eastAsia="Times New Roman"/>
                <w:szCs w:val="26"/>
                <w:lang w:val="lv-LV"/>
              </w:rPr>
              <w:t xml:space="preserve">Ja uzņēmums vienreiz ir saņēmis atbalstu, tad otrreiz pieteikties uz šo pašu atbalstu nevar. Ja LIAA ir pieprasījusi no komersanta papildus informāciju līdz konkrētam datumam, tad komersants tos drīkst iesniegt un tas netiek uzskatīts kā otrreizējs pieteikums. </w:t>
            </w:r>
          </w:p>
          <w:p w14:paraId="26D72464" w14:textId="77777777" w:rsidR="00561C62" w:rsidRPr="006829CA" w:rsidRDefault="00561C62" w:rsidP="00561C62">
            <w:pPr>
              <w:spacing w:before="120"/>
              <w:jc w:val="both"/>
              <w:rPr>
                <w:rFonts w:eastAsia="Times New Roman"/>
                <w:szCs w:val="26"/>
                <w:lang w:val="lv-LV"/>
              </w:rPr>
            </w:pPr>
            <w:r w:rsidRPr="00A476B8">
              <w:rPr>
                <w:rFonts w:eastAsia="Times New Roman"/>
                <w:szCs w:val="26"/>
                <w:lang w:val="lv-LV"/>
              </w:rPr>
              <w:t xml:space="preserve">Atsauce uz Eiropas Komisijas 2020. gada 19. marta paziņojumu “Pagaidu regulējums valsts atbalsta pasākumiem, ar ko atbalsta ekonomiku pašreizējā Covid-19 uzliesmojuma situācijā” (C(2020)1863) projekta </w:t>
            </w:r>
            <w:r>
              <w:rPr>
                <w:rFonts w:eastAsia="Times New Roman"/>
                <w:szCs w:val="26"/>
                <w:lang w:val="lv-LV"/>
              </w:rPr>
              <w:t>9</w:t>
            </w:r>
            <w:r w:rsidRPr="00A476B8">
              <w:rPr>
                <w:rFonts w:eastAsia="Times New Roman"/>
                <w:szCs w:val="26"/>
                <w:lang w:val="lv-LV"/>
              </w:rPr>
              <w:t>.punktā</w:t>
            </w:r>
            <w:r>
              <w:rPr>
                <w:rFonts w:eastAsia="Times New Roman"/>
                <w:szCs w:val="26"/>
                <w:lang w:val="lv-LV"/>
              </w:rPr>
              <w:t xml:space="preserve"> un 11.8.apakšpunktā</w:t>
            </w:r>
            <w:r w:rsidRPr="00A476B8">
              <w:rPr>
                <w:rFonts w:eastAsia="Times New Roman"/>
                <w:szCs w:val="26"/>
                <w:lang w:val="lv-LV"/>
              </w:rPr>
              <w:t xml:space="preserve"> ietverta vadoties no Eiropas Komisijas prasības, lai piešķirtu atbalstu privātpersonām. Tādēļ šāda atsauce ir veidojama izņēmuma gadījumā, ievērojot Eiropas Komisijas prasības, kā arī privātpersonu </w:t>
            </w:r>
            <w:r w:rsidRPr="006829CA">
              <w:rPr>
                <w:rFonts w:eastAsia="Times New Roman"/>
                <w:szCs w:val="26"/>
                <w:lang w:val="lv-LV"/>
              </w:rPr>
              <w:t>intereses Covid-19 laikā.</w:t>
            </w:r>
          </w:p>
          <w:p w14:paraId="1D50ACAF" w14:textId="0828F3ED" w:rsidR="00561C62" w:rsidRPr="006829CA" w:rsidRDefault="00561C62" w:rsidP="00561C62">
            <w:pPr>
              <w:spacing w:before="120"/>
              <w:jc w:val="both"/>
              <w:rPr>
                <w:rFonts w:eastAsia="Times New Roman"/>
                <w:szCs w:val="26"/>
                <w:lang w:val="lv-LV"/>
              </w:rPr>
            </w:pPr>
            <w:r w:rsidRPr="006829CA">
              <w:rPr>
                <w:rFonts w:eastAsia="Times New Roman"/>
                <w:szCs w:val="26"/>
                <w:lang w:val="lv-LV"/>
              </w:rPr>
              <w:t>Nozares</w:t>
            </w:r>
            <w:r w:rsidR="00F53080" w:rsidRPr="006829CA">
              <w:rPr>
                <w:rFonts w:eastAsia="Times New Roman"/>
                <w:szCs w:val="26"/>
                <w:lang w:val="lv-LV"/>
              </w:rPr>
              <w:t xml:space="preserve"> sniegtā informācija liecina, ka </w:t>
            </w:r>
            <w:r w:rsidR="004D4233" w:rsidRPr="006829CA">
              <w:rPr>
                <w:rFonts w:eastAsia="Times New Roman"/>
                <w:szCs w:val="26"/>
                <w:lang w:val="lv-LV"/>
              </w:rPr>
              <w:t xml:space="preserve">tās </w:t>
            </w:r>
            <w:r w:rsidR="00196124" w:rsidRPr="006829CA">
              <w:rPr>
                <w:rFonts w:eastAsia="Times New Roman"/>
                <w:szCs w:val="26"/>
                <w:lang w:val="lv-LV"/>
              </w:rPr>
              <w:t xml:space="preserve">vidējais </w:t>
            </w:r>
            <w:r w:rsidRPr="006829CA">
              <w:rPr>
                <w:rFonts w:eastAsia="Times New Roman"/>
                <w:szCs w:val="26"/>
                <w:lang w:val="lv-LV"/>
              </w:rPr>
              <w:t>uzkrātais zaudējumu apmērs Covid-19 ierobežojumu iespaidā kopš 2020.</w:t>
            </w:r>
            <w:r w:rsidR="00196124" w:rsidRPr="006829CA">
              <w:rPr>
                <w:rFonts w:eastAsia="Times New Roman"/>
                <w:szCs w:val="26"/>
                <w:lang w:val="lv-LV"/>
              </w:rPr>
              <w:t> </w:t>
            </w:r>
            <w:r w:rsidRPr="006829CA">
              <w:rPr>
                <w:rFonts w:eastAsia="Times New Roman"/>
                <w:szCs w:val="26"/>
                <w:lang w:val="lv-LV"/>
              </w:rPr>
              <w:t xml:space="preserve">gada </w:t>
            </w:r>
            <w:r w:rsidR="00196124" w:rsidRPr="006829CA">
              <w:rPr>
                <w:rFonts w:eastAsia="Times New Roman"/>
                <w:szCs w:val="26"/>
                <w:lang w:val="lv-LV"/>
              </w:rPr>
              <w:t>oktobra</w:t>
            </w:r>
            <w:r w:rsidRPr="006829CA">
              <w:rPr>
                <w:rFonts w:eastAsia="Times New Roman"/>
                <w:szCs w:val="26"/>
                <w:lang w:val="lv-LV"/>
              </w:rPr>
              <w:t xml:space="preserve"> ir </w:t>
            </w:r>
            <w:r w:rsidR="0068583F" w:rsidRPr="006829CA">
              <w:rPr>
                <w:rFonts w:eastAsia="Times New Roman"/>
                <w:szCs w:val="26"/>
                <w:lang w:val="lv-LV"/>
              </w:rPr>
              <w:t>54</w:t>
            </w:r>
            <w:r w:rsidRPr="006829CA">
              <w:rPr>
                <w:rFonts w:eastAsia="Times New Roman"/>
                <w:szCs w:val="26"/>
                <w:lang w:val="lv-LV"/>
              </w:rPr>
              <w:t xml:space="preserve"> </w:t>
            </w:r>
            <w:proofErr w:type="spellStart"/>
            <w:r w:rsidRPr="006829CA">
              <w:rPr>
                <w:rFonts w:eastAsia="Times New Roman"/>
                <w:i/>
                <w:iCs/>
                <w:szCs w:val="26"/>
                <w:lang w:val="lv-LV"/>
              </w:rPr>
              <w:t>euro</w:t>
            </w:r>
            <w:proofErr w:type="spellEnd"/>
            <w:r w:rsidRPr="006829CA">
              <w:rPr>
                <w:rFonts w:eastAsia="Times New Roman"/>
                <w:szCs w:val="26"/>
                <w:lang w:val="lv-LV"/>
              </w:rPr>
              <w:t xml:space="preserve"> par m</w:t>
            </w:r>
            <w:r w:rsidRPr="006829CA">
              <w:rPr>
                <w:rFonts w:eastAsia="Times New Roman"/>
                <w:szCs w:val="26"/>
                <w:vertAlign w:val="superscript"/>
                <w:lang w:val="lv-LV"/>
              </w:rPr>
              <w:t xml:space="preserve">2. </w:t>
            </w:r>
            <w:r w:rsidRPr="006829CA">
              <w:rPr>
                <w:rFonts w:eastAsia="Times New Roman"/>
                <w:szCs w:val="26"/>
                <w:lang w:val="lv-LV"/>
              </w:rPr>
              <w:t xml:space="preserve">Ņemot vērā nozares iesniegtos datus un </w:t>
            </w:r>
            <w:r w:rsidR="00436E4B" w:rsidRPr="006829CA">
              <w:rPr>
                <w:rFonts w:eastAsia="Times New Roman"/>
                <w:szCs w:val="26"/>
                <w:lang w:val="lv-LV"/>
              </w:rPr>
              <w:t xml:space="preserve">sporta </w:t>
            </w:r>
            <w:r w:rsidRPr="006829CA">
              <w:rPr>
                <w:rFonts w:eastAsia="Times New Roman"/>
                <w:szCs w:val="26"/>
                <w:lang w:val="lv-LV"/>
              </w:rPr>
              <w:t>centru īpašnieku</w:t>
            </w:r>
            <w:r w:rsidR="00E52E46" w:rsidRPr="006829CA">
              <w:rPr>
                <w:rFonts w:eastAsia="Times New Roman"/>
                <w:szCs w:val="26"/>
                <w:lang w:val="lv-LV"/>
              </w:rPr>
              <w:t>, tiesisko vadītāju un nomnieku</w:t>
            </w:r>
            <w:r w:rsidRPr="006829CA">
              <w:rPr>
                <w:rFonts w:eastAsia="Times New Roman"/>
                <w:szCs w:val="26"/>
                <w:lang w:val="lv-LV"/>
              </w:rPr>
              <w:t xml:space="preserve"> saņemtos iesniegumus Ekonomikas ministrijā, Ekonomikas ministrija nosaka, ka kompensējamais atbalsts ir puse no </w:t>
            </w:r>
            <w:r w:rsidR="008A7DEF" w:rsidRPr="006829CA">
              <w:rPr>
                <w:rFonts w:eastAsia="Times New Roman"/>
                <w:szCs w:val="26"/>
                <w:lang w:val="lv-LV"/>
              </w:rPr>
              <w:t>uzkrātajiem zaudējumiem</w:t>
            </w:r>
            <w:r w:rsidR="00C96A7D" w:rsidRPr="006829CA">
              <w:rPr>
                <w:rFonts w:eastAsia="Times New Roman"/>
                <w:szCs w:val="26"/>
                <w:lang w:val="lv-LV"/>
              </w:rPr>
              <w:t xml:space="preserve"> par m</w:t>
            </w:r>
            <w:r w:rsidR="00C96A7D" w:rsidRPr="006829CA">
              <w:rPr>
                <w:rFonts w:eastAsia="Times New Roman"/>
                <w:szCs w:val="26"/>
                <w:vertAlign w:val="superscript"/>
                <w:lang w:val="lv-LV"/>
              </w:rPr>
              <w:t>2</w:t>
            </w:r>
            <w:r w:rsidRPr="006829CA">
              <w:rPr>
                <w:rFonts w:eastAsia="Times New Roman"/>
                <w:szCs w:val="26"/>
                <w:lang w:val="lv-LV"/>
              </w:rPr>
              <w:t xml:space="preserve">, līdz ar to nosaka atbalstu </w:t>
            </w:r>
            <w:r w:rsidR="00C96A7D" w:rsidRPr="006829CA">
              <w:rPr>
                <w:rFonts w:eastAsia="Times New Roman"/>
                <w:szCs w:val="26"/>
                <w:lang w:val="lv-LV"/>
              </w:rPr>
              <w:t>2</w:t>
            </w:r>
            <w:r w:rsidRPr="006829CA">
              <w:rPr>
                <w:rFonts w:eastAsia="Times New Roman"/>
                <w:szCs w:val="26"/>
                <w:lang w:val="lv-LV"/>
              </w:rPr>
              <w:t xml:space="preserve">5 </w:t>
            </w:r>
            <w:proofErr w:type="spellStart"/>
            <w:r w:rsidRPr="006829CA">
              <w:rPr>
                <w:rFonts w:eastAsia="Times New Roman"/>
                <w:i/>
                <w:iCs/>
                <w:szCs w:val="26"/>
                <w:lang w:val="lv-LV"/>
              </w:rPr>
              <w:t>euro</w:t>
            </w:r>
            <w:proofErr w:type="spellEnd"/>
            <w:r w:rsidRPr="006829CA">
              <w:rPr>
                <w:rFonts w:eastAsia="Times New Roman"/>
                <w:i/>
                <w:iCs/>
                <w:szCs w:val="26"/>
                <w:lang w:val="lv-LV"/>
              </w:rPr>
              <w:t xml:space="preserve"> </w:t>
            </w:r>
            <w:r w:rsidRPr="006829CA">
              <w:rPr>
                <w:rFonts w:eastAsia="Times New Roman"/>
                <w:szCs w:val="26"/>
                <w:lang w:val="lv-LV"/>
              </w:rPr>
              <w:t xml:space="preserve">apmērā par katru </w:t>
            </w:r>
            <w:r w:rsidR="00164B72" w:rsidRPr="006829CA">
              <w:rPr>
                <w:rFonts w:eastAsia="Times New Roman"/>
                <w:szCs w:val="26"/>
                <w:lang w:val="lv-LV"/>
              </w:rPr>
              <w:t>sporta</w:t>
            </w:r>
            <w:r w:rsidRPr="006829CA">
              <w:rPr>
                <w:rFonts w:eastAsia="Times New Roman"/>
                <w:szCs w:val="26"/>
                <w:lang w:val="lv-LV"/>
              </w:rPr>
              <w:t xml:space="preserve"> centra </w:t>
            </w:r>
            <w:r w:rsidR="00F23C99" w:rsidRPr="006829CA">
              <w:rPr>
                <w:rFonts w:eastAsia="Times New Roman"/>
                <w:szCs w:val="26"/>
                <w:lang w:val="lv-LV"/>
              </w:rPr>
              <w:t xml:space="preserve">iekštelpas </w:t>
            </w:r>
            <w:r w:rsidRPr="006829CA">
              <w:rPr>
                <w:rFonts w:eastAsia="Times New Roman"/>
                <w:szCs w:val="26"/>
                <w:lang w:val="lv-LV"/>
              </w:rPr>
              <w:t>kadastrālās uzmērīšanas lietā norādītās kopējās platības m</w:t>
            </w:r>
            <w:r w:rsidRPr="006829CA">
              <w:rPr>
                <w:rFonts w:eastAsia="Times New Roman"/>
                <w:szCs w:val="26"/>
                <w:vertAlign w:val="superscript"/>
                <w:lang w:val="lv-LV"/>
              </w:rPr>
              <w:t>2</w:t>
            </w:r>
            <w:r w:rsidR="003B70D0" w:rsidRPr="006829CA">
              <w:rPr>
                <w:rFonts w:eastAsia="Times New Roman"/>
                <w:szCs w:val="26"/>
                <w:lang w:val="lv-LV"/>
              </w:rPr>
              <w:t>,</w:t>
            </w:r>
            <w:r w:rsidR="0081590C" w:rsidRPr="006829CA">
              <w:rPr>
                <w:rFonts w:eastAsia="Times New Roman"/>
                <w:szCs w:val="26"/>
                <w:lang w:val="lv-LV"/>
              </w:rPr>
              <w:t xml:space="preserve"> atskaitot iznomātās biroja telpas</w:t>
            </w:r>
            <w:r w:rsidR="00EC68EC" w:rsidRPr="006829CA">
              <w:rPr>
                <w:rFonts w:eastAsia="Times New Roman"/>
                <w:szCs w:val="26"/>
                <w:lang w:val="lv-LV"/>
              </w:rPr>
              <w:t xml:space="preserve"> un</w:t>
            </w:r>
            <w:r w:rsidR="0081590C" w:rsidRPr="006829CA">
              <w:rPr>
                <w:rFonts w:eastAsia="Times New Roman"/>
                <w:szCs w:val="26"/>
                <w:lang w:val="lv-LV"/>
              </w:rPr>
              <w:t xml:space="preserve"> tirdzniecības telpas komercdarbībai</w:t>
            </w:r>
            <w:r w:rsidR="000E0154" w:rsidRPr="006829CA">
              <w:rPr>
                <w:rFonts w:eastAsia="Times New Roman"/>
                <w:szCs w:val="26"/>
                <w:lang w:val="lv-LV"/>
              </w:rPr>
              <w:t>,</w:t>
            </w:r>
            <w:r w:rsidR="0081590C" w:rsidRPr="006829CA">
              <w:rPr>
                <w:rFonts w:eastAsia="Times New Roman"/>
                <w:szCs w:val="26"/>
                <w:lang w:val="lv-LV"/>
              </w:rPr>
              <w:t xml:space="preserve"> </w:t>
            </w:r>
            <w:r w:rsidR="00EC68EC" w:rsidRPr="006829CA">
              <w:rPr>
                <w:rFonts w:eastAsia="Times New Roman"/>
                <w:szCs w:val="26"/>
                <w:lang w:val="lv-LV"/>
              </w:rPr>
              <w:t>un</w:t>
            </w:r>
            <w:r w:rsidR="003B70D0" w:rsidRPr="006829CA">
              <w:rPr>
                <w:rFonts w:eastAsia="Times New Roman"/>
                <w:szCs w:val="26"/>
                <w:lang w:val="lv-LV"/>
              </w:rPr>
              <w:t xml:space="preserve"> nepārsniedzot kopējos zaudējumus par periodu. </w:t>
            </w:r>
            <w:r w:rsidRPr="006829CA">
              <w:rPr>
                <w:rFonts w:eastAsia="Times New Roman"/>
                <w:szCs w:val="26"/>
                <w:lang w:val="lv-LV"/>
              </w:rPr>
              <w:t xml:space="preserve"> </w:t>
            </w:r>
          </w:p>
          <w:p w14:paraId="0854969A" w14:textId="77777777" w:rsidR="00561C62" w:rsidRPr="00716ECC" w:rsidRDefault="00561C62" w:rsidP="00561C62">
            <w:pPr>
              <w:spacing w:before="120"/>
              <w:jc w:val="both"/>
              <w:rPr>
                <w:rStyle w:val="eop"/>
                <w:iCs/>
                <w:szCs w:val="26"/>
                <w:shd w:val="clear" w:color="auto" w:fill="FFFFFF"/>
                <w:lang w:val="lv-LV"/>
              </w:rPr>
            </w:pPr>
            <w:r w:rsidRPr="006829CA">
              <w:rPr>
                <w:rStyle w:val="eop"/>
                <w:iCs/>
                <w:szCs w:val="26"/>
                <w:shd w:val="clear" w:color="auto" w:fill="FFFFFF"/>
                <w:lang w:val="lv-LV"/>
              </w:rPr>
              <w:t>Ja apgrozījuma kritumu veido ne</w:t>
            </w:r>
            <w:r>
              <w:rPr>
                <w:rStyle w:val="eop"/>
                <w:iCs/>
                <w:szCs w:val="26"/>
                <w:shd w:val="clear" w:color="auto" w:fill="FFFFFF"/>
                <w:lang w:val="lv-LV"/>
              </w:rPr>
              <w:t xml:space="preserve"> tikai iekštelpu pakalpojumi, tad attiecīgi nodala iekštelpu un </w:t>
            </w:r>
            <w:proofErr w:type="spellStart"/>
            <w:r>
              <w:rPr>
                <w:rStyle w:val="eop"/>
                <w:iCs/>
                <w:szCs w:val="26"/>
                <w:shd w:val="clear" w:color="auto" w:fill="FFFFFF"/>
                <w:lang w:val="lv-LV"/>
              </w:rPr>
              <w:t>ārtelpu</w:t>
            </w:r>
            <w:proofErr w:type="spellEnd"/>
            <w:r>
              <w:rPr>
                <w:rStyle w:val="eop"/>
                <w:iCs/>
                <w:szCs w:val="26"/>
                <w:shd w:val="clear" w:color="auto" w:fill="FFFFFF"/>
                <w:lang w:val="lv-LV"/>
              </w:rPr>
              <w:t xml:space="preserve"> pakalpojumus.</w:t>
            </w:r>
          </w:p>
          <w:tbl>
            <w:tblPr>
              <w:tblW w:w="6967" w:type="dxa"/>
              <w:tblLayout w:type="fixed"/>
              <w:tblCellMar>
                <w:left w:w="0" w:type="dxa"/>
                <w:right w:w="0" w:type="dxa"/>
              </w:tblCellMar>
              <w:tblLook w:val="0600" w:firstRow="0" w:lastRow="0" w:firstColumn="0" w:lastColumn="0" w:noHBand="1" w:noVBand="1"/>
            </w:tblPr>
            <w:tblGrid>
              <w:gridCol w:w="1186"/>
              <w:gridCol w:w="1245"/>
              <w:gridCol w:w="1276"/>
              <w:gridCol w:w="1275"/>
              <w:gridCol w:w="1134"/>
              <w:gridCol w:w="851"/>
            </w:tblGrid>
            <w:tr w:rsidR="00561C62" w:rsidRPr="00716ECC" w14:paraId="46329B8D" w14:textId="77777777" w:rsidTr="006829CA">
              <w:trPr>
                <w:trHeight w:val="2033"/>
              </w:trPr>
              <w:tc>
                <w:tcPr>
                  <w:tcW w:w="118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3022492B" w14:textId="77777777" w:rsidR="00561C62" w:rsidRPr="00716ECC" w:rsidRDefault="00561C62" w:rsidP="00561C62">
                  <w:pPr>
                    <w:spacing w:before="120"/>
                    <w:rPr>
                      <w:b/>
                      <w:bCs/>
                      <w:iCs/>
                      <w:szCs w:val="26"/>
                      <w:shd w:val="clear" w:color="auto" w:fill="FFFFFF"/>
                      <w:lang w:val="lv-LV"/>
                    </w:rPr>
                  </w:pPr>
                  <w:r w:rsidRPr="00716ECC">
                    <w:rPr>
                      <w:b/>
                      <w:bCs/>
                      <w:iCs/>
                      <w:szCs w:val="26"/>
                      <w:shd w:val="clear" w:color="auto" w:fill="FFFFFF"/>
                      <w:lang w:val="lv-LV"/>
                    </w:rPr>
                    <w:t>Nozare</w:t>
                  </w:r>
                </w:p>
              </w:tc>
              <w:tc>
                <w:tcPr>
                  <w:tcW w:w="1245" w:type="dxa"/>
                  <w:tcBorders>
                    <w:top w:val="single" w:sz="8" w:space="0" w:color="4472C4"/>
                    <w:left w:val="single" w:sz="8" w:space="0" w:color="4472C4"/>
                    <w:bottom w:val="single" w:sz="8" w:space="0" w:color="4472C4"/>
                    <w:right w:val="single" w:sz="8" w:space="0" w:color="4472C4"/>
                  </w:tcBorders>
                  <w:vAlign w:val="center"/>
                </w:tcPr>
                <w:p w14:paraId="2E5DCB71" w14:textId="77777777" w:rsidR="00561C62" w:rsidRPr="00716ECC" w:rsidRDefault="00561C62" w:rsidP="00561C62">
                  <w:pPr>
                    <w:jc w:val="center"/>
                    <w:rPr>
                      <w:b/>
                      <w:bCs/>
                      <w:iCs/>
                      <w:szCs w:val="26"/>
                      <w:shd w:val="clear" w:color="auto" w:fill="FFFFFF"/>
                      <w:lang w:val="lv-LV"/>
                    </w:rPr>
                  </w:pPr>
                  <w:r w:rsidRPr="00716ECC">
                    <w:rPr>
                      <w:b/>
                      <w:bCs/>
                      <w:iCs/>
                      <w:szCs w:val="26"/>
                      <w:shd w:val="clear" w:color="auto" w:fill="FFFFFF"/>
                      <w:lang w:val="lv-LV"/>
                    </w:rPr>
                    <w:t>Kopējā iekštelpu platība m</w:t>
                  </w:r>
                  <w:r w:rsidRPr="00716ECC">
                    <w:rPr>
                      <w:b/>
                      <w:bCs/>
                      <w:iCs/>
                      <w:sz w:val="24"/>
                      <w:szCs w:val="24"/>
                      <w:shd w:val="clear" w:color="auto" w:fill="FFFFFF"/>
                      <w:vertAlign w:val="superscript"/>
                      <w:lang w:val="lv-LV"/>
                    </w:rPr>
                    <w:t>2</w:t>
                  </w:r>
                </w:p>
              </w:tc>
              <w:tc>
                <w:tcPr>
                  <w:tcW w:w="127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5F527934" w14:textId="77777777" w:rsidR="00561C62" w:rsidRPr="00716ECC" w:rsidRDefault="00561C62" w:rsidP="00561C62">
                  <w:pPr>
                    <w:jc w:val="center"/>
                    <w:rPr>
                      <w:b/>
                      <w:bCs/>
                      <w:iCs/>
                      <w:szCs w:val="26"/>
                      <w:shd w:val="clear" w:color="auto" w:fill="FFFFFF"/>
                      <w:lang w:val="lv-LV"/>
                    </w:rPr>
                  </w:pPr>
                  <w:r w:rsidRPr="00716ECC">
                    <w:rPr>
                      <w:b/>
                      <w:bCs/>
                      <w:iCs/>
                      <w:szCs w:val="26"/>
                      <w:shd w:val="clear" w:color="auto" w:fill="FFFFFF"/>
                      <w:lang w:val="lv-LV"/>
                    </w:rPr>
                    <w:t>Ieņēmumu kritums</w:t>
                  </w:r>
                </w:p>
                <w:p w14:paraId="7A00A0D8" w14:textId="77777777" w:rsidR="00561C62" w:rsidRPr="00716ECC" w:rsidRDefault="00561C62" w:rsidP="00561C62">
                  <w:pPr>
                    <w:jc w:val="center"/>
                    <w:rPr>
                      <w:b/>
                      <w:bCs/>
                      <w:iCs/>
                      <w:szCs w:val="26"/>
                      <w:shd w:val="clear" w:color="auto" w:fill="FFFFFF"/>
                      <w:lang w:val="lv-LV"/>
                    </w:rPr>
                  </w:pPr>
                </w:p>
                <w:p w14:paraId="05278053" w14:textId="77777777" w:rsidR="00561C62" w:rsidRPr="00716ECC" w:rsidRDefault="00561C62" w:rsidP="00561C62">
                  <w:pPr>
                    <w:jc w:val="center"/>
                    <w:rPr>
                      <w:b/>
                      <w:bCs/>
                      <w:iCs/>
                      <w:szCs w:val="26"/>
                      <w:shd w:val="clear" w:color="auto" w:fill="FFFFFF"/>
                      <w:lang w:val="lv-LV"/>
                    </w:rPr>
                  </w:pPr>
                </w:p>
                <w:p w14:paraId="57729B63" w14:textId="77777777" w:rsidR="00561C62" w:rsidRPr="00716ECC" w:rsidRDefault="00561C62" w:rsidP="00561C62">
                  <w:pPr>
                    <w:jc w:val="center"/>
                    <w:rPr>
                      <w:b/>
                      <w:bCs/>
                      <w:iCs/>
                      <w:szCs w:val="26"/>
                      <w:shd w:val="clear" w:color="auto" w:fill="FFFFFF"/>
                      <w:lang w:val="lv-LV"/>
                    </w:rPr>
                  </w:pPr>
                  <w:r w:rsidRPr="00716ECC">
                    <w:rPr>
                      <w:b/>
                      <w:bCs/>
                      <w:iCs/>
                      <w:szCs w:val="26"/>
                      <w:shd w:val="clear" w:color="auto" w:fill="FFFFFF"/>
                      <w:lang w:val="lv-LV"/>
                    </w:rPr>
                    <w:t>(10.2020.-03.2021.)</w:t>
                  </w:r>
                </w:p>
              </w:tc>
              <w:tc>
                <w:tcPr>
                  <w:tcW w:w="12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62BFF762" w14:textId="77777777" w:rsidR="00561C62" w:rsidRPr="00716ECC" w:rsidRDefault="00561C62" w:rsidP="00561C62">
                  <w:pPr>
                    <w:jc w:val="center"/>
                    <w:rPr>
                      <w:b/>
                      <w:bCs/>
                      <w:iCs/>
                      <w:szCs w:val="26"/>
                      <w:shd w:val="clear" w:color="auto" w:fill="FFFFFF"/>
                      <w:vertAlign w:val="superscript"/>
                      <w:lang w:val="lv-LV"/>
                    </w:rPr>
                  </w:pPr>
                  <w:r w:rsidRPr="00716ECC">
                    <w:rPr>
                      <w:b/>
                      <w:bCs/>
                      <w:iCs/>
                      <w:szCs w:val="26"/>
                      <w:shd w:val="clear" w:color="auto" w:fill="FFFFFF"/>
                      <w:lang w:val="lv-LV"/>
                    </w:rPr>
                    <w:t>Uzkrātie zaudējumi EUR uz m</w:t>
                  </w:r>
                  <w:r w:rsidRPr="00716ECC">
                    <w:rPr>
                      <w:b/>
                      <w:bCs/>
                      <w:iCs/>
                      <w:szCs w:val="26"/>
                      <w:shd w:val="clear" w:color="auto" w:fill="FFFFFF"/>
                      <w:vertAlign w:val="superscript"/>
                      <w:lang w:val="lv-LV"/>
                    </w:rPr>
                    <w:t>2</w:t>
                  </w:r>
                </w:p>
                <w:p w14:paraId="7982634F" w14:textId="77777777" w:rsidR="00561C62" w:rsidRPr="00716ECC" w:rsidRDefault="00561C62" w:rsidP="00561C62">
                  <w:pPr>
                    <w:jc w:val="center"/>
                    <w:rPr>
                      <w:b/>
                      <w:bCs/>
                      <w:iCs/>
                      <w:szCs w:val="26"/>
                      <w:shd w:val="clear" w:color="auto" w:fill="FFFFFF"/>
                      <w:lang w:val="lv-LV"/>
                    </w:rPr>
                  </w:pPr>
                </w:p>
                <w:p w14:paraId="1A28BF71" w14:textId="77777777" w:rsidR="00561C62" w:rsidRPr="00716ECC" w:rsidRDefault="00561C62" w:rsidP="00561C62">
                  <w:pPr>
                    <w:jc w:val="center"/>
                    <w:rPr>
                      <w:b/>
                      <w:bCs/>
                      <w:iCs/>
                      <w:szCs w:val="26"/>
                      <w:shd w:val="clear" w:color="auto" w:fill="FFFFFF"/>
                      <w:lang w:val="lv-LV"/>
                    </w:rPr>
                  </w:pPr>
                  <w:r w:rsidRPr="00716ECC">
                    <w:rPr>
                      <w:b/>
                      <w:bCs/>
                      <w:iCs/>
                      <w:szCs w:val="26"/>
                      <w:shd w:val="clear" w:color="auto" w:fill="FFFFFF"/>
                      <w:lang w:val="lv-LV"/>
                    </w:rPr>
                    <w:t>(10.2020.-03.2021.)</w:t>
                  </w:r>
                </w:p>
              </w:tc>
              <w:tc>
                <w:tcPr>
                  <w:tcW w:w="11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284521B4" w14:textId="77777777" w:rsidR="00561C62" w:rsidRPr="00716ECC" w:rsidRDefault="00561C62" w:rsidP="00561C62">
                  <w:pPr>
                    <w:jc w:val="center"/>
                    <w:rPr>
                      <w:b/>
                      <w:bCs/>
                      <w:iCs/>
                      <w:szCs w:val="26"/>
                      <w:shd w:val="clear" w:color="auto" w:fill="FFFFFF"/>
                      <w:vertAlign w:val="superscript"/>
                      <w:lang w:val="lv-LV"/>
                    </w:rPr>
                  </w:pPr>
                  <w:r w:rsidRPr="00716ECC">
                    <w:rPr>
                      <w:b/>
                      <w:bCs/>
                      <w:iCs/>
                      <w:szCs w:val="26"/>
                      <w:shd w:val="clear" w:color="auto" w:fill="FFFFFF"/>
                      <w:lang w:val="lv-LV"/>
                    </w:rPr>
                    <w:t>Fiksētās izmaksas EUR uz m</w:t>
                  </w:r>
                  <w:r w:rsidRPr="00716ECC">
                    <w:rPr>
                      <w:b/>
                      <w:bCs/>
                      <w:iCs/>
                      <w:szCs w:val="26"/>
                      <w:shd w:val="clear" w:color="auto" w:fill="FFFFFF"/>
                      <w:vertAlign w:val="superscript"/>
                      <w:lang w:val="lv-LV"/>
                    </w:rPr>
                    <w:t>2</w:t>
                  </w:r>
                </w:p>
                <w:p w14:paraId="7F2AAD16" w14:textId="77777777" w:rsidR="00561C62" w:rsidRPr="00716ECC" w:rsidRDefault="00561C62" w:rsidP="00561C62">
                  <w:pPr>
                    <w:jc w:val="center"/>
                    <w:rPr>
                      <w:b/>
                      <w:bCs/>
                      <w:iCs/>
                      <w:szCs w:val="26"/>
                      <w:shd w:val="clear" w:color="auto" w:fill="FFFFFF"/>
                      <w:lang w:val="lv-LV"/>
                    </w:rPr>
                  </w:pPr>
                  <w:r w:rsidRPr="00716ECC">
                    <w:rPr>
                      <w:b/>
                      <w:bCs/>
                      <w:iCs/>
                      <w:szCs w:val="26"/>
                      <w:shd w:val="clear" w:color="auto" w:fill="FFFFFF"/>
                      <w:lang w:val="lv-LV"/>
                    </w:rPr>
                    <w:t>(10.2020.-03.2021.)</w:t>
                  </w:r>
                </w:p>
              </w:tc>
              <w:tc>
                <w:tcPr>
                  <w:tcW w:w="851" w:type="dxa"/>
                  <w:tcBorders>
                    <w:top w:val="single" w:sz="8" w:space="0" w:color="4472C4"/>
                    <w:left w:val="single" w:sz="8" w:space="0" w:color="4472C4"/>
                    <w:bottom w:val="single" w:sz="8" w:space="0" w:color="4472C4"/>
                    <w:right w:val="single" w:sz="8" w:space="0" w:color="4472C4"/>
                  </w:tcBorders>
                  <w:vAlign w:val="center"/>
                </w:tcPr>
                <w:p w14:paraId="233F15C3" w14:textId="77777777" w:rsidR="00561C62" w:rsidRPr="00716ECC" w:rsidRDefault="00561C62" w:rsidP="00561C62">
                  <w:pPr>
                    <w:spacing w:before="120"/>
                    <w:jc w:val="center"/>
                    <w:rPr>
                      <w:b/>
                      <w:bCs/>
                      <w:iCs/>
                      <w:szCs w:val="26"/>
                      <w:shd w:val="clear" w:color="auto" w:fill="FFFFFF"/>
                      <w:lang w:val="lv-LV"/>
                    </w:rPr>
                  </w:pPr>
                  <w:proofErr w:type="spellStart"/>
                  <w:r w:rsidRPr="00716ECC">
                    <w:rPr>
                      <w:b/>
                      <w:bCs/>
                      <w:iCs/>
                      <w:szCs w:val="26"/>
                      <w:shd w:val="clear" w:color="auto" w:fill="FFFFFF"/>
                      <w:lang w:val="lv-LV"/>
                    </w:rPr>
                    <w:t>Poten-ciālo</w:t>
                  </w:r>
                  <w:proofErr w:type="spellEnd"/>
                  <w:r w:rsidRPr="00716ECC">
                    <w:rPr>
                      <w:b/>
                      <w:bCs/>
                      <w:iCs/>
                      <w:szCs w:val="26"/>
                      <w:shd w:val="clear" w:color="auto" w:fill="FFFFFF"/>
                      <w:lang w:val="lv-LV"/>
                    </w:rPr>
                    <w:t xml:space="preserve"> </w:t>
                  </w:r>
                  <w:proofErr w:type="spellStart"/>
                  <w:r w:rsidRPr="00716ECC">
                    <w:rPr>
                      <w:b/>
                      <w:bCs/>
                      <w:iCs/>
                      <w:szCs w:val="26"/>
                      <w:shd w:val="clear" w:color="auto" w:fill="FFFFFF"/>
                      <w:lang w:val="lv-LV"/>
                    </w:rPr>
                    <w:t>pietei-kumu</w:t>
                  </w:r>
                  <w:proofErr w:type="spellEnd"/>
                  <w:r w:rsidRPr="00716ECC">
                    <w:rPr>
                      <w:b/>
                      <w:bCs/>
                      <w:iCs/>
                      <w:szCs w:val="26"/>
                      <w:shd w:val="clear" w:color="auto" w:fill="FFFFFF"/>
                      <w:lang w:val="lv-LV"/>
                    </w:rPr>
                    <w:t xml:space="preserve"> skaits</w:t>
                  </w:r>
                </w:p>
              </w:tc>
            </w:tr>
            <w:tr w:rsidR="00561C62" w:rsidRPr="00716ECC" w14:paraId="7B1A8554" w14:textId="77777777" w:rsidTr="006829CA">
              <w:trPr>
                <w:trHeight w:val="936"/>
              </w:trPr>
              <w:tc>
                <w:tcPr>
                  <w:tcW w:w="118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1E865587" w14:textId="77777777" w:rsidR="00561C62" w:rsidRPr="00716ECC" w:rsidRDefault="00561C62" w:rsidP="00561C62">
                  <w:pPr>
                    <w:rPr>
                      <w:iCs/>
                      <w:szCs w:val="26"/>
                      <w:shd w:val="clear" w:color="auto" w:fill="FFFFFF"/>
                      <w:lang w:val="lv-LV"/>
                    </w:rPr>
                  </w:pPr>
                  <w:r w:rsidRPr="00716ECC">
                    <w:rPr>
                      <w:iCs/>
                      <w:szCs w:val="26"/>
                      <w:shd w:val="clear" w:color="auto" w:fill="FFFFFF"/>
                      <w:lang w:val="lv-LV"/>
                    </w:rPr>
                    <w:t>Volejbola  un pludmales volejbola halles</w:t>
                  </w:r>
                </w:p>
              </w:tc>
              <w:tc>
                <w:tcPr>
                  <w:tcW w:w="1245" w:type="dxa"/>
                  <w:tcBorders>
                    <w:top w:val="single" w:sz="8" w:space="0" w:color="4472C4"/>
                    <w:left w:val="single" w:sz="8" w:space="0" w:color="4472C4"/>
                    <w:bottom w:val="single" w:sz="8" w:space="0" w:color="4472C4"/>
                    <w:right w:val="single" w:sz="8" w:space="0" w:color="4472C4"/>
                  </w:tcBorders>
                  <w:vAlign w:val="center"/>
                </w:tcPr>
                <w:p w14:paraId="228BE5B3"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25 230</w:t>
                  </w:r>
                </w:p>
              </w:tc>
              <w:tc>
                <w:tcPr>
                  <w:tcW w:w="127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6BF7CCB5"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212 380</w:t>
                  </w:r>
                </w:p>
              </w:tc>
              <w:tc>
                <w:tcPr>
                  <w:tcW w:w="12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1C751CF0"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30.83</w:t>
                  </w:r>
                </w:p>
              </w:tc>
              <w:tc>
                <w:tcPr>
                  <w:tcW w:w="11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53E3ED4A"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37</w:t>
                  </w:r>
                </w:p>
              </w:tc>
              <w:tc>
                <w:tcPr>
                  <w:tcW w:w="851" w:type="dxa"/>
                  <w:tcBorders>
                    <w:top w:val="single" w:sz="8" w:space="0" w:color="4472C4"/>
                    <w:left w:val="single" w:sz="8" w:space="0" w:color="4472C4"/>
                    <w:bottom w:val="single" w:sz="8" w:space="0" w:color="4472C4"/>
                    <w:right w:val="single" w:sz="8" w:space="0" w:color="4472C4"/>
                  </w:tcBorders>
                  <w:vAlign w:val="center"/>
                </w:tcPr>
                <w:p w14:paraId="6A13225F"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5</w:t>
                  </w:r>
                </w:p>
              </w:tc>
            </w:tr>
            <w:tr w:rsidR="00561C62" w:rsidRPr="00716ECC" w14:paraId="5CB8D312" w14:textId="77777777" w:rsidTr="006829CA">
              <w:trPr>
                <w:trHeight w:val="498"/>
              </w:trPr>
              <w:tc>
                <w:tcPr>
                  <w:tcW w:w="118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4379DA28" w14:textId="77777777" w:rsidR="00561C62" w:rsidRPr="00716ECC" w:rsidRDefault="00561C62" w:rsidP="00561C62">
                  <w:pPr>
                    <w:rPr>
                      <w:iCs/>
                      <w:szCs w:val="26"/>
                      <w:shd w:val="clear" w:color="auto" w:fill="FFFFFF"/>
                      <w:lang w:val="lv-LV"/>
                    </w:rPr>
                  </w:pPr>
                  <w:r w:rsidRPr="00716ECC">
                    <w:rPr>
                      <w:iCs/>
                      <w:szCs w:val="26"/>
                      <w:shd w:val="clear" w:color="auto" w:fill="FFFFFF"/>
                      <w:lang w:val="lv-LV"/>
                    </w:rPr>
                    <w:t>Tenisa halles</w:t>
                  </w:r>
                </w:p>
              </w:tc>
              <w:tc>
                <w:tcPr>
                  <w:tcW w:w="1245" w:type="dxa"/>
                  <w:tcBorders>
                    <w:top w:val="single" w:sz="8" w:space="0" w:color="4472C4"/>
                    <w:left w:val="single" w:sz="8" w:space="0" w:color="4472C4"/>
                    <w:bottom w:val="single" w:sz="8" w:space="0" w:color="4472C4"/>
                    <w:right w:val="single" w:sz="8" w:space="0" w:color="4472C4"/>
                  </w:tcBorders>
                  <w:vAlign w:val="center"/>
                </w:tcPr>
                <w:p w14:paraId="34B30713"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20 305</w:t>
                  </w:r>
                </w:p>
              </w:tc>
              <w:tc>
                <w:tcPr>
                  <w:tcW w:w="127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532335E0"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214 587</w:t>
                  </w:r>
                </w:p>
              </w:tc>
              <w:tc>
                <w:tcPr>
                  <w:tcW w:w="12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08D6A147"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20.95</w:t>
                  </w:r>
                </w:p>
              </w:tc>
              <w:tc>
                <w:tcPr>
                  <w:tcW w:w="11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2CF5DE89"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7</w:t>
                  </w:r>
                </w:p>
              </w:tc>
              <w:tc>
                <w:tcPr>
                  <w:tcW w:w="851" w:type="dxa"/>
                  <w:tcBorders>
                    <w:top w:val="single" w:sz="8" w:space="0" w:color="4472C4"/>
                    <w:left w:val="single" w:sz="8" w:space="0" w:color="4472C4"/>
                    <w:bottom w:val="single" w:sz="8" w:space="0" w:color="4472C4"/>
                    <w:right w:val="single" w:sz="8" w:space="0" w:color="4472C4"/>
                  </w:tcBorders>
                  <w:vAlign w:val="center"/>
                </w:tcPr>
                <w:p w14:paraId="6F66FB05"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10</w:t>
                  </w:r>
                </w:p>
              </w:tc>
            </w:tr>
            <w:tr w:rsidR="00561C62" w:rsidRPr="00716ECC" w14:paraId="604679C5" w14:textId="77777777" w:rsidTr="006829CA">
              <w:trPr>
                <w:trHeight w:val="721"/>
              </w:trPr>
              <w:tc>
                <w:tcPr>
                  <w:tcW w:w="118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398634E1" w14:textId="77777777" w:rsidR="00561C62" w:rsidRPr="00716ECC" w:rsidRDefault="00561C62" w:rsidP="00561C62">
                  <w:pPr>
                    <w:rPr>
                      <w:iCs/>
                      <w:szCs w:val="26"/>
                      <w:shd w:val="clear" w:color="auto" w:fill="FFFFFF"/>
                      <w:lang w:val="lv-LV"/>
                    </w:rPr>
                  </w:pPr>
                  <w:r w:rsidRPr="00716ECC">
                    <w:rPr>
                      <w:iCs/>
                      <w:szCs w:val="26"/>
                      <w:shd w:val="clear" w:color="auto" w:fill="FFFFFF"/>
                      <w:lang w:val="lv-LV"/>
                    </w:rPr>
                    <w:t>Olimpiskie sporta centri</w:t>
                  </w:r>
                </w:p>
              </w:tc>
              <w:tc>
                <w:tcPr>
                  <w:tcW w:w="1245" w:type="dxa"/>
                  <w:tcBorders>
                    <w:top w:val="single" w:sz="8" w:space="0" w:color="4472C4"/>
                    <w:left w:val="single" w:sz="8" w:space="0" w:color="4472C4"/>
                    <w:bottom w:val="single" w:sz="8" w:space="0" w:color="4472C4"/>
                    <w:right w:val="single" w:sz="8" w:space="0" w:color="4472C4"/>
                  </w:tcBorders>
                  <w:vAlign w:val="center"/>
                </w:tcPr>
                <w:p w14:paraId="6CA75F52"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144 723</w:t>
                  </w:r>
                </w:p>
              </w:tc>
              <w:tc>
                <w:tcPr>
                  <w:tcW w:w="127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6C00C6D8"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3 482 753</w:t>
                  </w:r>
                </w:p>
              </w:tc>
              <w:tc>
                <w:tcPr>
                  <w:tcW w:w="12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74D9489F"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33.00</w:t>
                  </w:r>
                </w:p>
              </w:tc>
              <w:tc>
                <w:tcPr>
                  <w:tcW w:w="11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4EC3FB37"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16</w:t>
                  </w:r>
                </w:p>
              </w:tc>
              <w:tc>
                <w:tcPr>
                  <w:tcW w:w="851" w:type="dxa"/>
                  <w:tcBorders>
                    <w:top w:val="single" w:sz="8" w:space="0" w:color="4472C4"/>
                    <w:left w:val="single" w:sz="8" w:space="0" w:color="4472C4"/>
                    <w:bottom w:val="single" w:sz="8" w:space="0" w:color="4472C4"/>
                    <w:right w:val="single" w:sz="8" w:space="0" w:color="4472C4"/>
                  </w:tcBorders>
                  <w:vAlign w:val="center"/>
                </w:tcPr>
                <w:p w14:paraId="4F8945C5"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9</w:t>
                  </w:r>
                </w:p>
              </w:tc>
            </w:tr>
            <w:tr w:rsidR="00561C62" w:rsidRPr="00716ECC" w14:paraId="7F0EED52" w14:textId="77777777" w:rsidTr="006829CA">
              <w:trPr>
                <w:trHeight w:val="462"/>
              </w:trPr>
              <w:tc>
                <w:tcPr>
                  <w:tcW w:w="118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0ABA674A" w14:textId="77777777" w:rsidR="00561C62" w:rsidRPr="00716ECC" w:rsidRDefault="00561C62" w:rsidP="00561C62">
                  <w:pPr>
                    <w:rPr>
                      <w:iCs/>
                      <w:szCs w:val="26"/>
                      <w:shd w:val="clear" w:color="auto" w:fill="FFFFFF"/>
                      <w:lang w:val="lv-LV"/>
                    </w:rPr>
                  </w:pPr>
                  <w:r w:rsidRPr="00716ECC">
                    <w:rPr>
                      <w:iCs/>
                      <w:szCs w:val="26"/>
                      <w:shd w:val="clear" w:color="auto" w:fill="FFFFFF"/>
                      <w:lang w:val="lv-LV"/>
                    </w:rPr>
                    <w:t>Ledus halles</w:t>
                  </w:r>
                </w:p>
              </w:tc>
              <w:tc>
                <w:tcPr>
                  <w:tcW w:w="1245" w:type="dxa"/>
                  <w:tcBorders>
                    <w:top w:val="single" w:sz="8" w:space="0" w:color="4472C4"/>
                    <w:left w:val="single" w:sz="8" w:space="0" w:color="4472C4"/>
                    <w:bottom w:val="single" w:sz="8" w:space="0" w:color="4472C4"/>
                    <w:right w:val="single" w:sz="8" w:space="0" w:color="4472C4"/>
                  </w:tcBorders>
                  <w:vAlign w:val="center"/>
                </w:tcPr>
                <w:p w14:paraId="2C194ADD"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44 189</w:t>
                  </w:r>
                </w:p>
              </w:tc>
              <w:tc>
                <w:tcPr>
                  <w:tcW w:w="127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6159D6FA"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982 457</w:t>
                  </w:r>
                </w:p>
              </w:tc>
              <w:tc>
                <w:tcPr>
                  <w:tcW w:w="12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4E9914BA"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39.74</w:t>
                  </w:r>
                </w:p>
              </w:tc>
              <w:tc>
                <w:tcPr>
                  <w:tcW w:w="11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61BD1097"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27</w:t>
                  </w:r>
                </w:p>
              </w:tc>
              <w:tc>
                <w:tcPr>
                  <w:tcW w:w="851" w:type="dxa"/>
                  <w:tcBorders>
                    <w:top w:val="single" w:sz="8" w:space="0" w:color="4472C4"/>
                    <w:left w:val="single" w:sz="8" w:space="0" w:color="4472C4"/>
                    <w:bottom w:val="single" w:sz="8" w:space="0" w:color="4472C4"/>
                    <w:right w:val="single" w:sz="8" w:space="0" w:color="4472C4"/>
                  </w:tcBorders>
                  <w:vAlign w:val="center"/>
                </w:tcPr>
                <w:p w14:paraId="2D3255B6"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8</w:t>
                  </w:r>
                </w:p>
              </w:tc>
            </w:tr>
            <w:tr w:rsidR="00561C62" w:rsidRPr="00716ECC" w14:paraId="30198DCD" w14:textId="77777777" w:rsidTr="006829CA">
              <w:trPr>
                <w:trHeight w:val="386"/>
              </w:trPr>
              <w:tc>
                <w:tcPr>
                  <w:tcW w:w="118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7AB36A8E" w14:textId="77777777" w:rsidR="00561C62" w:rsidRPr="00716ECC" w:rsidRDefault="00561C62" w:rsidP="00561C62">
                  <w:pPr>
                    <w:rPr>
                      <w:iCs/>
                      <w:szCs w:val="26"/>
                      <w:shd w:val="clear" w:color="auto" w:fill="FFFFFF"/>
                      <w:lang w:val="lv-LV"/>
                    </w:rPr>
                  </w:pPr>
                  <w:proofErr w:type="spellStart"/>
                  <w:r w:rsidRPr="00716ECC">
                    <w:rPr>
                      <w:iCs/>
                      <w:szCs w:val="26"/>
                      <w:shd w:val="clear" w:color="auto" w:fill="FFFFFF"/>
                      <w:lang w:val="lv-LV"/>
                    </w:rPr>
                    <w:lastRenderedPageBreak/>
                    <w:t>Fitnesa</w:t>
                  </w:r>
                  <w:proofErr w:type="spellEnd"/>
                  <w:r w:rsidRPr="00716ECC">
                    <w:rPr>
                      <w:iCs/>
                      <w:szCs w:val="26"/>
                      <w:shd w:val="clear" w:color="auto" w:fill="FFFFFF"/>
                      <w:lang w:val="lv-LV"/>
                    </w:rPr>
                    <w:t xml:space="preserve"> centri</w:t>
                  </w:r>
                </w:p>
              </w:tc>
              <w:tc>
                <w:tcPr>
                  <w:tcW w:w="1245" w:type="dxa"/>
                  <w:tcBorders>
                    <w:top w:val="single" w:sz="8" w:space="0" w:color="4472C4"/>
                    <w:left w:val="single" w:sz="8" w:space="0" w:color="4472C4"/>
                    <w:bottom w:val="single" w:sz="8" w:space="0" w:color="4472C4"/>
                    <w:right w:val="single" w:sz="8" w:space="0" w:color="4472C4"/>
                  </w:tcBorders>
                  <w:vAlign w:val="center"/>
                </w:tcPr>
                <w:p w14:paraId="500BCEE2"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85 553</w:t>
                  </w:r>
                </w:p>
              </w:tc>
              <w:tc>
                <w:tcPr>
                  <w:tcW w:w="1276"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700C9355"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4 095 188</w:t>
                  </w:r>
                </w:p>
              </w:tc>
              <w:tc>
                <w:tcPr>
                  <w:tcW w:w="1275"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2D7D1EEA"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149.71</w:t>
                  </w:r>
                </w:p>
              </w:tc>
              <w:tc>
                <w:tcPr>
                  <w:tcW w:w="1134" w:type="dxa"/>
                  <w:tcBorders>
                    <w:top w:val="single" w:sz="8" w:space="0" w:color="4472C4"/>
                    <w:left w:val="single" w:sz="8" w:space="0" w:color="4472C4"/>
                    <w:bottom w:val="single" w:sz="8" w:space="0" w:color="4472C4"/>
                    <w:right w:val="single" w:sz="8" w:space="0" w:color="4472C4"/>
                  </w:tcBorders>
                  <w:shd w:val="clear" w:color="auto" w:fill="auto"/>
                  <w:tcMar>
                    <w:top w:w="15" w:type="dxa"/>
                    <w:left w:w="15" w:type="dxa"/>
                    <w:bottom w:w="0" w:type="dxa"/>
                    <w:right w:w="15" w:type="dxa"/>
                  </w:tcMar>
                  <w:vAlign w:val="center"/>
                  <w:hideMark/>
                </w:tcPr>
                <w:p w14:paraId="3417B460"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91</w:t>
                  </w:r>
                </w:p>
              </w:tc>
              <w:tc>
                <w:tcPr>
                  <w:tcW w:w="851" w:type="dxa"/>
                  <w:tcBorders>
                    <w:top w:val="single" w:sz="8" w:space="0" w:color="4472C4"/>
                    <w:left w:val="single" w:sz="8" w:space="0" w:color="4472C4"/>
                    <w:bottom w:val="single" w:sz="8" w:space="0" w:color="4472C4"/>
                    <w:right w:val="single" w:sz="8" w:space="0" w:color="4472C4"/>
                  </w:tcBorders>
                  <w:vAlign w:val="center"/>
                </w:tcPr>
                <w:p w14:paraId="0C6F97A7" w14:textId="77777777" w:rsidR="00561C62" w:rsidRPr="00716ECC" w:rsidRDefault="00561C62" w:rsidP="00561C62">
                  <w:pPr>
                    <w:jc w:val="center"/>
                    <w:rPr>
                      <w:iCs/>
                      <w:szCs w:val="26"/>
                      <w:shd w:val="clear" w:color="auto" w:fill="FFFFFF"/>
                      <w:lang w:val="lv-LV"/>
                    </w:rPr>
                  </w:pPr>
                  <w:r w:rsidRPr="00716ECC">
                    <w:rPr>
                      <w:iCs/>
                      <w:szCs w:val="26"/>
                      <w:shd w:val="clear" w:color="auto" w:fill="FFFFFF"/>
                      <w:lang w:val="lv-LV"/>
                    </w:rPr>
                    <w:t>77</w:t>
                  </w:r>
                </w:p>
              </w:tc>
            </w:tr>
          </w:tbl>
          <w:p w14:paraId="5F61CAC9" w14:textId="77777777" w:rsidR="00561C62" w:rsidRPr="00716ECC" w:rsidRDefault="00561C62" w:rsidP="00561C62">
            <w:pPr>
              <w:spacing w:before="120"/>
              <w:jc w:val="both"/>
              <w:rPr>
                <w:rStyle w:val="eop"/>
                <w:lang w:val="lv-LV"/>
              </w:rPr>
            </w:pPr>
            <w:r w:rsidRPr="00716ECC">
              <w:rPr>
                <w:rStyle w:val="eop"/>
                <w:iCs/>
                <w:szCs w:val="26"/>
                <w:shd w:val="clear" w:color="auto" w:fill="FFFFFF"/>
                <w:lang w:val="lv-LV"/>
              </w:rPr>
              <w:t>Potenciālo pieteikumu skaits kopā ir 1</w:t>
            </w:r>
            <w:r w:rsidRPr="00716ECC">
              <w:rPr>
                <w:rStyle w:val="eop"/>
                <w:lang w:val="lv-LV"/>
              </w:rPr>
              <w:t>09, savukārt kopējā iekštelpu platība ir aptuveni 320 000 m</w:t>
            </w:r>
            <w:r w:rsidRPr="00716ECC">
              <w:rPr>
                <w:rStyle w:val="eop"/>
                <w:vertAlign w:val="superscript"/>
                <w:lang w:val="lv-LV"/>
              </w:rPr>
              <w:t>2</w:t>
            </w:r>
            <w:r w:rsidRPr="00716ECC">
              <w:rPr>
                <w:rStyle w:val="eop"/>
                <w:lang w:val="lv-LV"/>
              </w:rPr>
              <w:t>.</w:t>
            </w:r>
          </w:p>
          <w:p w14:paraId="45AD6EA4" w14:textId="24511A1A" w:rsidR="00561C62" w:rsidRPr="00716ECC" w:rsidRDefault="00561C62" w:rsidP="00561C62">
            <w:pPr>
              <w:spacing w:before="120"/>
              <w:jc w:val="both"/>
              <w:rPr>
                <w:rStyle w:val="eop"/>
                <w:lang w:val="lv-LV"/>
              </w:rPr>
            </w:pPr>
            <w:r w:rsidRPr="00716ECC">
              <w:rPr>
                <w:rStyle w:val="eop"/>
                <w:lang w:val="lv-LV"/>
              </w:rPr>
              <w:t>Lai pieteiktos atbalstam, komersants līdz 2021. gada  31.maijam elektroniski iesniedz LIAA attiecīgu iesniegumu, kas parakstīts ar drošu elektronisko parakstu un apliecināts ar laika zīmogu, vai iesniedz bez droša elektroniskā paraksta valsts pārvaldes pakalpojumu portālā www.latvija.lv, kurā norāda: komersanta nosaukumu, nodokļu maksātāja reģistrācijas numuru, e-pasta adresi, kontu, kas atvērts kredītiestādē vai pie maksājumu pakalpojuma sniedzēja, NACE 2.red.klasifikācija kodu</w:t>
            </w:r>
            <w:r w:rsidR="0078752C">
              <w:rPr>
                <w:rStyle w:val="eop"/>
                <w:lang w:val="lv-LV"/>
              </w:rPr>
              <w:t xml:space="preserve"> (piemēram, lai izslēgtu iespēju pieteikties kredītu vai finanšu iestādēm)</w:t>
            </w:r>
            <w:r w:rsidRPr="00716ECC">
              <w:rPr>
                <w:rStyle w:val="eop"/>
                <w:lang w:val="lv-LV"/>
              </w:rPr>
              <w:t xml:space="preserve">, atbalstam pieprasīto summu, </w:t>
            </w:r>
            <w:r w:rsidRPr="00D94D28">
              <w:rPr>
                <w:rStyle w:val="eop"/>
                <w:lang w:val="lv-LV"/>
              </w:rPr>
              <w:t>pievienotās vērtības nodokļa deklarācijas par noteiktajiem mēnešiem</w:t>
            </w:r>
            <w:r w:rsidR="005C5CFC">
              <w:rPr>
                <w:rStyle w:val="eop"/>
                <w:lang w:val="lv-LV"/>
              </w:rPr>
              <w:t xml:space="preserve">, savukārt, </w:t>
            </w:r>
            <w:r>
              <w:rPr>
                <w:rStyle w:val="eop"/>
                <w:lang w:val="lv-LV"/>
              </w:rPr>
              <w:t>j</w:t>
            </w:r>
            <w:r w:rsidRPr="00D94D28">
              <w:rPr>
                <w:rStyle w:val="eop"/>
                <w:lang w:val="lv-LV"/>
              </w:rPr>
              <w:t>a viena komersanta īpašumā, pārvaldībā vai nomā atrodas vairāki sporta centri un viena vai vairāku sporta centru iekštelpu platība ir mazāka par 500 m</w:t>
            </w:r>
            <w:r w:rsidRPr="00D94D28">
              <w:rPr>
                <w:rStyle w:val="eop"/>
                <w:vertAlign w:val="superscript"/>
                <w:lang w:val="lv-LV"/>
              </w:rPr>
              <w:t>2</w:t>
            </w:r>
            <w:r w:rsidRPr="00D94D28">
              <w:rPr>
                <w:rStyle w:val="eop"/>
                <w:lang w:val="lv-LV"/>
              </w:rPr>
              <w:t>, komersantam iesniegumā ir jānorāda informācija (pievienojot rēķinus), tai skaitā par apgrozījuma samazinājumu, tikai par tiem sporta centriem, kuru iekštelpu platība ir virs 500 m</w:t>
            </w:r>
            <w:r w:rsidRPr="00D94D28">
              <w:rPr>
                <w:rStyle w:val="eop"/>
                <w:vertAlign w:val="superscript"/>
                <w:lang w:val="lv-LV"/>
              </w:rPr>
              <w:t>2</w:t>
            </w:r>
            <w:r w:rsidR="005C5CFC">
              <w:rPr>
                <w:rStyle w:val="eop"/>
                <w:lang w:val="lv-LV"/>
              </w:rPr>
              <w:t xml:space="preserve">. Komersantam pieteikumā jānorāda </w:t>
            </w:r>
            <w:r w:rsidRPr="00716ECC">
              <w:rPr>
                <w:rStyle w:val="eop"/>
                <w:lang w:val="lv-LV"/>
              </w:rPr>
              <w:t>sporta centra iekštelpu platību kvadrātmetros, ēkas kadastra apzīmējumu un iesniedz kadastrālās uzmērīšanas lietu, apliecinājums, ka komersants iepriekš nav saņēmis, kā arī neplāno pieteikties citam atbalstam par vienām un tām pašām attiecināmajām izmaksām.</w:t>
            </w:r>
          </w:p>
          <w:p w14:paraId="297A5974" w14:textId="2E58650B" w:rsidR="00561C62" w:rsidRDefault="00561C62" w:rsidP="00561C62">
            <w:pPr>
              <w:spacing w:before="120"/>
              <w:jc w:val="both"/>
              <w:rPr>
                <w:rStyle w:val="eop"/>
                <w:lang w:val="lv-LV"/>
              </w:rPr>
            </w:pPr>
            <w:r w:rsidRPr="00716ECC">
              <w:rPr>
                <w:rStyle w:val="eop"/>
                <w:lang w:val="lv-LV"/>
              </w:rPr>
              <w:t>Vienlaikus ar iesniegumu komersantam jāiesniedz viens no šādiem apliecinājumiem:</w:t>
            </w:r>
          </w:p>
          <w:p w14:paraId="72EC4A50" w14:textId="33C92812" w:rsidR="00711C10" w:rsidRPr="00711C10" w:rsidRDefault="00711C10" w:rsidP="00711C10">
            <w:pPr>
              <w:pStyle w:val="tv213"/>
              <w:numPr>
                <w:ilvl w:val="0"/>
                <w:numId w:val="49"/>
              </w:numPr>
              <w:shd w:val="clear" w:color="auto" w:fill="FFFFFF"/>
              <w:spacing w:before="0" w:beforeAutospacing="0" w:after="0" w:afterAutospacing="0"/>
              <w:ind w:left="598"/>
              <w:jc w:val="both"/>
              <w:rPr>
                <w:sz w:val="26"/>
                <w:szCs w:val="26"/>
              </w:rPr>
            </w:pPr>
            <w:r w:rsidRPr="00711C10">
              <w:rPr>
                <w:sz w:val="26"/>
                <w:szCs w:val="26"/>
              </w:rPr>
              <w:t>ka komersants atbilst sīkā (mikro) vai mazā uzņēmuma statusam Komisijas regulas Nr. 651/2014 2. panta 24. punkta un I pielikuma 2. panta izpratnē. Vienlaikus komersants iesniedz informāciju, kas ļauj pārliecināties par tā atbilstību šo noteikumu 20.3.1 apakšpunktā minētajām prasībām;</w:t>
            </w:r>
          </w:p>
          <w:p w14:paraId="6DEBD7D8" w14:textId="4C59E3B2" w:rsidR="00711C10" w:rsidRPr="00711C10" w:rsidRDefault="00711C10" w:rsidP="00711C10">
            <w:pPr>
              <w:pStyle w:val="tv213"/>
              <w:numPr>
                <w:ilvl w:val="0"/>
                <w:numId w:val="49"/>
              </w:numPr>
              <w:shd w:val="clear" w:color="auto" w:fill="FFFFFF"/>
              <w:spacing w:before="0" w:beforeAutospacing="0" w:after="0" w:afterAutospacing="0"/>
              <w:ind w:left="598"/>
              <w:jc w:val="both"/>
              <w:rPr>
                <w:sz w:val="26"/>
                <w:szCs w:val="26"/>
              </w:rPr>
            </w:pPr>
            <w:r w:rsidRPr="00711C10">
              <w:rPr>
                <w:sz w:val="26"/>
                <w:szCs w:val="26"/>
              </w:rPr>
              <w:t>ka komersants atbilst vidējā vai lielā uzņēmuma statusam Komisijas regulas 651/2014 2. panta 24. punkta un I pielikuma 2. panta izpratnē . Vienlaikus komersants iesniedz informāciju, kas ļauj pārliecināties par tā atbilstību šo noteikumu 20.2. apakšpunktā minētajām prasībām</w:t>
            </w:r>
            <w:r>
              <w:rPr>
                <w:sz w:val="26"/>
                <w:szCs w:val="26"/>
              </w:rPr>
              <w:t>.</w:t>
            </w:r>
          </w:p>
          <w:p w14:paraId="29A7B01C" w14:textId="699FE5F2" w:rsidR="00346798" w:rsidRPr="00561C62" w:rsidRDefault="00561C62" w:rsidP="00561C62">
            <w:pPr>
              <w:spacing w:before="120"/>
              <w:jc w:val="both"/>
              <w:rPr>
                <w:lang w:val="lv-LV"/>
              </w:rPr>
            </w:pPr>
            <w:r w:rsidRPr="00716ECC">
              <w:rPr>
                <w:rStyle w:val="eop"/>
                <w:lang w:val="lv-LV"/>
              </w:rPr>
              <w:t xml:space="preserve">Tāpat komersantam ir jāsniedz aizpildīta deklarācija par komercsabiedrības atbilstību mazajai (sīkajai) vai vidējai komercsabiedrībai, ja nepieciešams, kā arī iepriekš saņemtā un plānotā atbalsta apmēru, kas izsniegts saskaņā ar Pagaidu regulējuma 3.1. sadaļu, tā piešķiršanas datumu, atbalsta sniedzēja nosaukumu un  </w:t>
            </w:r>
            <w:r w:rsidR="00E91161">
              <w:rPr>
                <w:rStyle w:val="eop"/>
                <w:lang w:val="lv-LV"/>
              </w:rPr>
              <w:t>tiesību</w:t>
            </w:r>
            <w:r w:rsidR="00E91161" w:rsidRPr="00716ECC">
              <w:rPr>
                <w:rStyle w:val="eop"/>
                <w:lang w:val="lv-LV"/>
              </w:rPr>
              <w:t xml:space="preserve"> </w:t>
            </w:r>
            <w:r w:rsidRPr="00716ECC">
              <w:rPr>
                <w:rStyle w:val="eop"/>
                <w:lang w:val="lv-LV"/>
              </w:rPr>
              <w:t>aktus, saskaņā ar kuriem atbalstu piešķir vai plāno piešķirt, atbalsta instrumentu un, ja attiecināms, atmaksātā ierobežota apjoma atbalsta apmēru.</w:t>
            </w:r>
          </w:p>
          <w:p w14:paraId="43B5E4D9" w14:textId="77777777" w:rsidR="00561C62" w:rsidRPr="006731E1" w:rsidRDefault="00561C62" w:rsidP="00561C62">
            <w:pPr>
              <w:spacing w:before="120"/>
              <w:jc w:val="both"/>
              <w:rPr>
                <w:rFonts w:eastAsia="Times New Roman"/>
                <w:szCs w:val="26"/>
                <w:lang w:val="lv-LV"/>
              </w:rPr>
            </w:pPr>
            <w:r w:rsidRPr="006731E1">
              <w:rPr>
                <w:rFonts w:eastAsia="Times New Roman"/>
                <w:szCs w:val="26"/>
                <w:lang w:val="lv-LV"/>
              </w:rPr>
              <w:lastRenderedPageBreak/>
              <w:t>Ar saistīto personu grupu saprot ir komersanti, kas atbilst Komisijas regulas Nr. 651/2014 I pielikuma 3. panta 3. punktā noteiktajai saistīto uzņēmumu definīcijai</w:t>
            </w:r>
            <w:r>
              <w:rPr>
                <w:rFonts w:eastAsia="Times New Roman"/>
                <w:szCs w:val="26"/>
                <w:lang w:val="lv-LV"/>
              </w:rPr>
              <w:t>, t.i., s</w:t>
            </w:r>
            <w:r w:rsidRPr="006731E1">
              <w:rPr>
                <w:rFonts w:eastAsia="Times New Roman"/>
                <w:szCs w:val="26"/>
                <w:lang w:val="lv-LV"/>
              </w:rPr>
              <w:t>aistīti uzņēmumi ir uzņēmumi, kuru starpā pastāv kādas no šeit norādītajām attiecībām:</w:t>
            </w:r>
          </w:p>
          <w:p w14:paraId="34193A51" w14:textId="77777777" w:rsidR="00561C62" w:rsidRPr="006731E1" w:rsidRDefault="00561C62" w:rsidP="00561C62">
            <w:pPr>
              <w:spacing w:before="120"/>
              <w:jc w:val="both"/>
              <w:rPr>
                <w:rFonts w:eastAsia="Times New Roman"/>
                <w:szCs w:val="26"/>
                <w:lang w:val="lv-LV"/>
              </w:rPr>
            </w:pPr>
            <w:r w:rsidRPr="006731E1">
              <w:rPr>
                <w:rFonts w:eastAsia="Times New Roman"/>
                <w:szCs w:val="26"/>
                <w:lang w:val="lv-LV"/>
              </w:rPr>
              <w:t>a) uzņēmumam ir akcionāru vai dalībnieku balsstiesību vairākums citā uzņēmumā;</w:t>
            </w:r>
          </w:p>
          <w:p w14:paraId="46DEF4F7" w14:textId="77777777" w:rsidR="00561C62" w:rsidRPr="006731E1" w:rsidRDefault="00561C62" w:rsidP="00561C62">
            <w:pPr>
              <w:spacing w:before="120"/>
              <w:jc w:val="both"/>
              <w:rPr>
                <w:rFonts w:eastAsia="Times New Roman"/>
                <w:szCs w:val="26"/>
                <w:lang w:val="lv-LV"/>
              </w:rPr>
            </w:pPr>
            <w:r w:rsidRPr="006731E1">
              <w:rPr>
                <w:rFonts w:eastAsia="Times New Roman"/>
                <w:szCs w:val="26"/>
                <w:lang w:val="lv-LV"/>
              </w:rPr>
              <w:t>b) uzņēmumam ir tiesības iecelt vai atlaist pārvaldes, vadības vai uzraudzības struktūras dalībnieku vairākumu citā uzņēmumā;</w:t>
            </w:r>
          </w:p>
          <w:p w14:paraId="726882C4" w14:textId="77777777" w:rsidR="00561C62" w:rsidRPr="006731E1" w:rsidRDefault="00561C62" w:rsidP="00561C62">
            <w:pPr>
              <w:spacing w:before="120"/>
              <w:jc w:val="both"/>
              <w:rPr>
                <w:rFonts w:eastAsia="Times New Roman"/>
                <w:szCs w:val="26"/>
                <w:lang w:val="lv-LV"/>
              </w:rPr>
            </w:pPr>
            <w:r w:rsidRPr="006731E1">
              <w:rPr>
                <w:rFonts w:eastAsia="Times New Roman"/>
                <w:szCs w:val="26"/>
                <w:lang w:val="lv-LV"/>
              </w:rPr>
              <w:t>c) uzņēmumam ir tiesības īstenot noteicošu ietekmi pār citu uzņēmumu saskaņā ar līgumu, kas noslēgts ar šo uzņēmumu, vai saskaņā ar tā dibināšanas līguma klauzulu vai statūtiem;</w:t>
            </w:r>
          </w:p>
          <w:p w14:paraId="2E6D8DA5" w14:textId="49685BB1" w:rsidR="00561C62" w:rsidRDefault="00561C62" w:rsidP="00561C62">
            <w:pPr>
              <w:spacing w:before="120"/>
              <w:jc w:val="both"/>
              <w:rPr>
                <w:rFonts w:eastAsia="Times New Roman"/>
                <w:szCs w:val="26"/>
                <w:lang w:val="lv-LV"/>
              </w:rPr>
            </w:pPr>
            <w:r w:rsidRPr="006731E1">
              <w:rPr>
                <w:rFonts w:eastAsia="Times New Roman"/>
                <w:szCs w:val="26"/>
                <w:lang w:val="lv-LV"/>
              </w:rPr>
              <w:t>d) uzņēmums, kas ir cita uzņēmuma akcionārs vai dalībnieks, vienpersoniski kontrolē akcionāru vai dalībnieku vairākuma balsstiesības minētajā uzņēmumā saskaņā ar vienošanos, kas panākta ar pārējiem uzņēmuma akcionāriem vai</w:t>
            </w:r>
            <w:r>
              <w:rPr>
                <w:rFonts w:eastAsia="Times New Roman"/>
                <w:szCs w:val="26"/>
                <w:lang w:val="lv-LV"/>
              </w:rPr>
              <w:t xml:space="preserve"> </w:t>
            </w:r>
            <w:r w:rsidRPr="006731E1">
              <w:rPr>
                <w:rFonts w:eastAsia="Times New Roman"/>
                <w:szCs w:val="26"/>
                <w:lang w:val="lv-LV"/>
              </w:rPr>
              <w:t>dalībniekiem.</w:t>
            </w:r>
          </w:p>
          <w:p w14:paraId="43926C5E" w14:textId="3A61AFD8" w:rsidR="00346798" w:rsidRPr="007109D4" w:rsidRDefault="00346798" w:rsidP="00561C62">
            <w:pPr>
              <w:spacing w:before="120"/>
              <w:jc w:val="both"/>
              <w:rPr>
                <w:rFonts w:eastAsia="Times New Roman"/>
                <w:szCs w:val="26"/>
                <w:lang w:val="lv-LV"/>
              </w:rPr>
            </w:pPr>
            <w:r>
              <w:rPr>
                <w:rFonts w:eastAsia="Times New Roman"/>
                <w:szCs w:val="26"/>
                <w:lang w:val="lv-LV"/>
              </w:rPr>
              <w:t xml:space="preserve">Lai arī labas valsts pārvaldības principi paredz, ka LIAA var pārliecināties Valsts zemes dienestā par komersanta ēkas kadastrālo uzmērīšanas lietu, tāpat arī pārliecināties Valsts ieņēmumu dienestā par komersanta pievienotās vērtības nodokļa deklarācijām, tomēr šādas informācijas pieprasīšana aizņem laiku. Nereti informācijas iegūšana aizņem </w:t>
            </w:r>
            <w:r w:rsidRPr="007109D4">
              <w:rPr>
                <w:lang w:val="lv-LV"/>
              </w:rPr>
              <w:t>ilgāku laiku nekā lēmuma pieņemšanai noteiktais termiņš</w:t>
            </w:r>
            <w:r w:rsidR="007109D4">
              <w:rPr>
                <w:lang w:val="lv-LV"/>
              </w:rPr>
              <w:t xml:space="preserve">. Tādējādi tas būtiski kavē lēmuma par komercdarbības atbalsta piešķiršanas procesu un attiecīgi pretendenta turpmāko rīcību savā saimnieciskajā darbībā. </w:t>
            </w:r>
            <w:r>
              <w:rPr>
                <w:lang w:val="lv-LV"/>
              </w:rPr>
              <w:t xml:space="preserve">Līdz ar to MK Noteikumu projektā ir paredzēts, ka komersantam pie iesnieguma ir jāpievieno gan ēkas kadastrālās uzmērīšanas lieta, gan jāiesniedz pievienotās vērtības nodokļa deklarācija. </w:t>
            </w:r>
          </w:p>
          <w:p w14:paraId="694630F6" w14:textId="77777777" w:rsidR="00561C62" w:rsidRPr="00CE65AF" w:rsidRDefault="00561C62" w:rsidP="00561C62">
            <w:pPr>
              <w:spacing w:before="120"/>
              <w:jc w:val="both"/>
              <w:rPr>
                <w:rFonts w:eastAsia="Times New Roman"/>
                <w:szCs w:val="26"/>
                <w:lang w:val="lv-LV"/>
              </w:rPr>
            </w:pPr>
            <w:r>
              <w:rPr>
                <w:rFonts w:eastAsia="Times New Roman"/>
                <w:szCs w:val="26"/>
                <w:lang w:val="lv-LV"/>
              </w:rPr>
              <w:t xml:space="preserve">MK Noteikumu projektā ir paredzēts, ka komersants nodrošina dokumentu glabāšanu 10 gadus no dienas, kad tam piešķirts atbalsts. Komersantam ir jāglabā visi dokumenti, kas saistīti ar iesniegumā norādīto informāciju un visiem tā pielikumiem (tajā skaitā, apliecinājumi, līgumi, rēķini un cita saistošā informācija), kā arī LIAA lēmumi. </w:t>
            </w:r>
          </w:p>
          <w:p w14:paraId="44D14E52" w14:textId="77777777" w:rsidR="00561C62" w:rsidRPr="00CE65AF" w:rsidRDefault="00561C62" w:rsidP="00561C62">
            <w:pPr>
              <w:spacing w:before="120"/>
              <w:jc w:val="both"/>
              <w:rPr>
                <w:rFonts w:eastAsia="Times New Roman"/>
                <w:szCs w:val="26"/>
                <w:lang w:val="lv-LV"/>
              </w:rPr>
            </w:pPr>
            <w:r w:rsidRPr="00CE65AF">
              <w:rPr>
                <w:rFonts w:eastAsia="Times New Roman"/>
                <w:szCs w:val="26"/>
                <w:lang w:val="lv-LV"/>
              </w:rPr>
              <w:t>LIAA</w:t>
            </w:r>
            <w:r>
              <w:rPr>
                <w:rFonts w:eastAsia="Times New Roman"/>
                <w:szCs w:val="26"/>
                <w:lang w:val="lv-LV"/>
              </w:rPr>
              <w:t>, izvērtējot saņemto iesniegumu,</w:t>
            </w:r>
            <w:r w:rsidRPr="00CE65AF">
              <w:rPr>
                <w:rFonts w:eastAsia="Times New Roman"/>
                <w:szCs w:val="26"/>
                <w:lang w:val="lv-LV"/>
              </w:rPr>
              <w:t xml:space="preserve"> pārliecinās par </w:t>
            </w:r>
            <w:r>
              <w:rPr>
                <w:rFonts w:eastAsia="Times New Roman"/>
                <w:szCs w:val="26"/>
                <w:lang w:val="lv-LV"/>
              </w:rPr>
              <w:t>komersant</w:t>
            </w:r>
            <w:r w:rsidRPr="00CE65AF">
              <w:rPr>
                <w:rFonts w:eastAsia="Times New Roman"/>
                <w:szCs w:val="26"/>
                <w:lang w:val="lv-LV"/>
              </w:rPr>
              <w:t>a atbilstību Noteikumu projektā noteiktajiem kritērijiem un pieņem lēmumu par atbalsta sniegšanu.</w:t>
            </w:r>
          </w:p>
          <w:p w14:paraId="2FB56A5E" w14:textId="28FA65A9" w:rsidR="00561C62" w:rsidRPr="00561C62" w:rsidRDefault="00561C62" w:rsidP="7E8CAEB0">
            <w:pPr>
              <w:spacing w:before="120"/>
              <w:jc w:val="both"/>
              <w:rPr>
                <w:iCs/>
                <w:szCs w:val="26"/>
                <w:shd w:val="clear" w:color="auto" w:fill="FFFFFF"/>
                <w:lang w:val="lv-LV"/>
              </w:rPr>
            </w:pPr>
            <w:r w:rsidRPr="00716ECC">
              <w:rPr>
                <w:rStyle w:val="eop"/>
                <w:iCs/>
                <w:szCs w:val="26"/>
                <w:shd w:val="clear" w:color="auto" w:fill="FFFFFF"/>
                <w:lang w:val="lv-LV"/>
              </w:rPr>
              <w:t xml:space="preserve">Lai pārliecināto par komersanta un tā saņemtā atbalsta izlietošanu noteiktajām operacionālajām izmaksām, MK Noteikumu projektā tiek paredzēts, ka LIAA izlases veidā pārbauda 15 % no kopējā piešķirtā komercdarbības atbalsta saņēmušo komersantu skaita, kā arī LIAA ir tiesības pieprasīt no komersanta nepieciešamo informāciju pēcpārbaudes veikšanai. Savukārt komersants līdz 2022.gada 31.janvārim iesniedz </w:t>
            </w:r>
            <w:r w:rsidR="00F734FE">
              <w:rPr>
                <w:rStyle w:val="eop"/>
                <w:iCs/>
                <w:szCs w:val="26"/>
                <w:shd w:val="clear" w:color="auto" w:fill="FFFFFF"/>
                <w:lang w:val="lv-LV"/>
              </w:rPr>
              <w:t>LIAA</w:t>
            </w:r>
            <w:r w:rsidRPr="00716ECC">
              <w:rPr>
                <w:rStyle w:val="eop"/>
                <w:iCs/>
                <w:szCs w:val="26"/>
                <w:shd w:val="clear" w:color="auto" w:fill="FFFFFF"/>
                <w:lang w:val="lv-LV"/>
              </w:rPr>
              <w:t xml:space="preserve"> informāciju un maksājumus apliecinošus dokumentus (konta izdrukas, maksājuma uzdevumus), kas apliecina, ka saņemtais komercdarbības atbalsts izmantots </w:t>
            </w:r>
            <w:r w:rsidRPr="00716ECC">
              <w:rPr>
                <w:rStyle w:val="eop"/>
                <w:iCs/>
                <w:szCs w:val="26"/>
                <w:shd w:val="clear" w:color="auto" w:fill="FFFFFF"/>
                <w:lang w:val="lv-LV"/>
              </w:rPr>
              <w:lastRenderedPageBreak/>
              <w:t xml:space="preserve">noteiktajām operacionālajām izmaksām. Ja </w:t>
            </w:r>
            <w:r w:rsidR="00F734FE">
              <w:rPr>
                <w:rStyle w:val="eop"/>
                <w:iCs/>
                <w:szCs w:val="26"/>
                <w:shd w:val="clear" w:color="auto" w:fill="FFFFFF"/>
                <w:lang w:val="lv-LV"/>
              </w:rPr>
              <w:t>LIAA</w:t>
            </w:r>
            <w:r w:rsidRPr="00716ECC">
              <w:rPr>
                <w:rStyle w:val="eop"/>
                <w:iCs/>
                <w:szCs w:val="26"/>
                <w:shd w:val="clear" w:color="auto" w:fill="FFFFFF"/>
                <w:lang w:val="lv-LV"/>
              </w:rPr>
              <w:t xml:space="preserve"> rīcībā ir informācija par iespējamiem riskiem nelikumīga valsts atbalsta piešķiršanā konkrētam komersantam, tā pārbauda šī komersanta atbilstību.</w:t>
            </w:r>
          </w:p>
          <w:p w14:paraId="2B3C4D28" w14:textId="77777777" w:rsidR="00561C62" w:rsidRPr="00CE65AF" w:rsidRDefault="00561C62" w:rsidP="00561C62">
            <w:pPr>
              <w:spacing w:before="120"/>
              <w:jc w:val="both"/>
              <w:rPr>
                <w:rFonts w:eastAsia="Times New Roman"/>
                <w:b/>
                <w:szCs w:val="26"/>
                <w:lang w:val="lv-LV"/>
              </w:rPr>
            </w:pPr>
            <w:r w:rsidRPr="00CE65AF">
              <w:rPr>
                <w:rFonts w:eastAsia="Times New Roman"/>
                <w:b/>
                <w:color w:val="000000" w:themeColor="text1"/>
                <w:szCs w:val="26"/>
                <w:lang w:val="lv-LV"/>
              </w:rPr>
              <w:t xml:space="preserve">Atbalstu </w:t>
            </w:r>
            <w:r w:rsidRPr="00CE65AF">
              <w:rPr>
                <w:rFonts w:eastAsia="Times New Roman"/>
                <w:b/>
                <w:szCs w:val="26"/>
                <w:lang w:val="lv-LV"/>
              </w:rPr>
              <w:t>nepiešķirs šādos gadījumos:</w:t>
            </w:r>
          </w:p>
          <w:p w14:paraId="340935C2" w14:textId="75ACDF69" w:rsidR="00561C62" w:rsidRDefault="00561C62" w:rsidP="00561C62">
            <w:pPr>
              <w:pStyle w:val="ListParagraph"/>
              <w:numPr>
                <w:ilvl w:val="0"/>
                <w:numId w:val="45"/>
              </w:numPr>
              <w:spacing w:before="120"/>
              <w:jc w:val="both"/>
              <w:rPr>
                <w:rFonts w:eastAsia="Times New Roman"/>
                <w:szCs w:val="26"/>
                <w:lang w:val="lv-LV"/>
              </w:rPr>
            </w:pPr>
            <w:r w:rsidRPr="00561C62">
              <w:rPr>
                <w:rFonts w:eastAsia="Times New Roman"/>
                <w:szCs w:val="26"/>
                <w:lang w:val="lv-LV"/>
              </w:rPr>
              <w:t xml:space="preserve">komersantam, kuram iesnieguma iesniegšanas dienā ir Valsts ieņēmumu dienesta administrēto nodokļu (nodevu) parādi, kas kopsummā pārsniedz 1000 </w:t>
            </w:r>
            <w:proofErr w:type="spellStart"/>
            <w:r w:rsidRPr="00561C62">
              <w:rPr>
                <w:rFonts w:eastAsia="Times New Roman"/>
                <w:szCs w:val="26"/>
                <w:lang w:val="lv-LV"/>
              </w:rPr>
              <w:t>euro</w:t>
            </w:r>
            <w:proofErr w:type="spellEnd"/>
            <w:r w:rsidRPr="00561C62">
              <w:rPr>
                <w:rFonts w:eastAsia="Times New Roman"/>
                <w:szCs w:val="26"/>
                <w:lang w:val="lv-LV"/>
              </w:rPr>
              <w:t>, izņemot nodokļu maksājumus, kuriem ir piešķirts samaksas termiņa pagarinājums, noslēgta vienošanās par labprātīgu nodokļu samaksu vai noslēgts vienošanās līgums;</w:t>
            </w:r>
          </w:p>
          <w:p w14:paraId="606024C6" w14:textId="2666E2E4" w:rsidR="00561C62" w:rsidRPr="00561C62" w:rsidRDefault="00561C62" w:rsidP="00561C62">
            <w:pPr>
              <w:pStyle w:val="ListParagraph"/>
              <w:numPr>
                <w:ilvl w:val="0"/>
                <w:numId w:val="45"/>
              </w:numPr>
              <w:spacing w:before="120"/>
              <w:jc w:val="both"/>
              <w:rPr>
                <w:rFonts w:eastAsia="Times New Roman"/>
                <w:szCs w:val="26"/>
                <w:lang w:val="lv-LV"/>
              </w:rPr>
            </w:pPr>
            <w:r w:rsidRPr="00561C62">
              <w:rPr>
                <w:rFonts w:eastAsia="Times New Roman"/>
                <w:szCs w:val="26"/>
                <w:lang w:val="lv-LV"/>
              </w:rPr>
              <w:t>vidējam vai lielajam komersantam, kurš jau 2019. gada 31. decembrī bija un atbalsta piešķiršanas brīdī ir uzskatāms par nonākušu grūtībās atbilstoši Komisijas regulas Nr. 651/2014 2. panta 18. punktā minētajai definīcijai;</w:t>
            </w:r>
          </w:p>
          <w:p w14:paraId="636F9CD7" w14:textId="77FFCE37" w:rsidR="00561C62" w:rsidRPr="00561C62" w:rsidRDefault="00561C62" w:rsidP="00561C62">
            <w:pPr>
              <w:pStyle w:val="ListParagraph"/>
              <w:numPr>
                <w:ilvl w:val="0"/>
                <w:numId w:val="45"/>
              </w:numPr>
              <w:spacing w:before="120"/>
              <w:jc w:val="both"/>
              <w:rPr>
                <w:rFonts w:eastAsia="Times New Roman"/>
                <w:szCs w:val="26"/>
                <w:lang w:val="lv-LV"/>
              </w:rPr>
            </w:pPr>
            <w:r w:rsidRPr="00561C62">
              <w:rPr>
                <w:rFonts w:eastAsia="Times New Roman"/>
                <w:szCs w:val="26"/>
                <w:lang w:val="lv-LV"/>
              </w:rPr>
              <w:t xml:space="preserve">sīkajam (mikro) vai mazajam komersantam, ja tas vienlaikus atbilst šādām pazīmēm: </w:t>
            </w:r>
          </w:p>
          <w:p w14:paraId="4BE0C6EF" w14:textId="6B22AFE2" w:rsidR="00561C62" w:rsidRPr="00561C62" w:rsidRDefault="00561C62" w:rsidP="00F734FE">
            <w:pPr>
              <w:pStyle w:val="ListParagraph"/>
              <w:numPr>
                <w:ilvl w:val="0"/>
                <w:numId w:val="46"/>
              </w:numPr>
              <w:spacing w:before="120"/>
              <w:ind w:left="1163"/>
              <w:jc w:val="both"/>
              <w:rPr>
                <w:rFonts w:eastAsia="Times New Roman"/>
                <w:szCs w:val="26"/>
                <w:lang w:val="lv-LV"/>
              </w:rPr>
            </w:pPr>
            <w:r w:rsidRPr="00561C62">
              <w:rPr>
                <w:rFonts w:eastAsia="Times New Roman"/>
                <w:szCs w:val="26"/>
                <w:lang w:val="lv-LV"/>
              </w:rPr>
              <w:t>tas jau 2019. gada 31. decembrī bija nonācis grūtībās atbilstoši Komisijas regulas Nr. 651/2014 2. panta 18. punktā minētajai definīcijai;</w:t>
            </w:r>
          </w:p>
          <w:p w14:paraId="093CAF12" w14:textId="77777777" w:rsidR="00561C62" w:rsidRPr="00561C62" w:rsidRDefault="00561C62" w:rsidP="00F734FE">
            <w:pPr>
              <w:pStyle w:val="ListParagraph"/>
              <w:numPr>
                <w:ilvl w:val="0"/>
                <w:numId w:val="46"/>
              </w:numPr>
              <w:spacing w:before="120"/>
              <w:ind w:left="1163"/>
              <w:jc w:val="both"/>
              <w:rPr>
                <w:rFonts w:eastAsia="Times New Roman"/>
                <w:szCs w:val="26"/>
                <w:lang w:val="lv-LV"/>
              </w:rPr>
            </w:pPr>
            <w:r w:rsidRPr="00561C62">
              <w:rPr>
                <w:rFonts w:eastAsia="Times New Roman"/>
                <w:szCs w:val="26"/>
                <w:lang w:val="lv-LV"/>
              </w:rPr>
              <w:t>20.3.2. tam atbalsta piešķiršanas brīdī ir ierosināta tiesiskās aizsardzības procesa lieta, tiek īstenots tiesiskās aizsardzības process vai ir pasludināts maksātnespējas process, vai tas ir saņēmis glābšanas atbalstu un joprojām nav atmaksājis aizdevumu vai atsaucis garantiju, vai tas ir saņēmis pārstrukturēšanas atbalstu un uz to joprojām attiecas pārstrukturēšanas plāns;</w:t>
            </w:r>
          </w:p>
          <w:p w14:paraId="7814FCC2" w14:textId="364C4015" w:rsidR="00561C62" w:rsidRPr="00561C62" w:rsidRDefault="00561C62" w:rsidP="00561C62">
            <w:pPr>
              <w:pStyle w:val="ListParagraph"/>
              <w:numPr>
                <w:ilvl w:val="0"/>
                <w:numId w:val="45"/>
              </w:numPr>
              <w:spacing w:before="120"/>
              <w:jc w:val="both"/>
              <w:rPr>
                <w:rFonts w:eastAsia="Times New Roman"/>
                <w:szCs w:val="26"/>
                <w:lang w:val="lv-LV"/>
              </w:rPr>
            </w:pPr>
            <w:r w:rsidRPr="00561C62">
              <w:rPr>
                <w:rFonts w:eastAsia="Times New Roman"/>
                <w:szCs w:val="26"/>
                <w:lang w:val="lv-LV"/>
              </w:rPr>
              <w:t>ārzonā reģistrētām juridiskām personām vai personu apvienībām, kā arī Latvijā reģistrētām juridiskām personām, kurās vairāk nekā 25 % kapitāla daļu (akciju) īpašnieks vai turētājs ir ārzonā reģistrēta juridiskā persona vai personu apvienība;</w:t>
            </w:r>
          </w:p>
          <w:p w14:paraId="583199A8" w14:textId="796EB62D" w:rsidR="00561C62" w:rsidRPr="00561C62" w:rsidRDefault="00561C62" w:rsidP="00561C62">
            <w:pPr>
              <w:pStyle w:val="ListParagraph"/>
              <w:numPr>
                <w:ilvl w:val="0"/>
                <w:numId w:val="45"/>
              </w:numPr>
              <w:spacing w:before="120"/>
              <w:jc w:val="both"/>
              <w:rPr>
                <w:rFonts w:eastAsia="Times New Roman"/>
                <w:szCs w:val="26"/>
                <w:lang w:val="lv-LV"/>
              </w:rPr>
            </w:pPr>
            <w:r w:rsidRPr="00561C62">
              <w:rPr>
                <w:rFonts w:eastAsia="Times New Roman"/>
                <w:szCs w:val="26"/>
                <w:lang w:val="lv-LV"/>
              </w:rPr>
              <w:t>kredītiestādēm un finanšu iestādēm;</w:t>
            </w:r>
          </w:p>
          <w:p w14:paraId="4C055BFF" w14:textId="0348F117" w:rsidR="00740C2F" w:rsidRPr="007109D4" w:rsidRDefault="002B425F" w:rsidP="00740C2F">
            <w:pPr>
              <w:pStyle w:val="ListParagraph"/>
              <w:numPr>
                <w:ilvl w:val="0"/>
                <w:numId w:val="45"/>
              </w:numPr>
              <w:spacing w:before="120"/>
              <w:jc w:val="both"/>
              <w:rPr>
                <w:rFonts w:eastAsia="Times New Roman"/>
                <w:color w:val="000000" w:themeColor="text1"/>
                <w:szCs w:val="26"/>
                <w:lang w:val="lv-LV"/>
              </w:rPr>
            </w:pPr>
            <w:r w:rsidRPr="007109D4">
              <w:rPr>
                <w:rFonts w:eastAsia="Times New Roman"/>
                <w:szCs w:val="26"/>
                <w:lang w:val="lv-LV"/>
              </w:rPr>
              <w:t>valsts un pašvaldību institūcijām,</w:t>
            </w:r>
            <w:r w:rsidR="00740C2F" w:rsidRPr="007109D4">
              <w:rPr>
                <w:lang w:val="lv-LV"/>
              </w:rPr>
              <w:t xml:space="preserve"> </w:t>
            </w:r>
            <w:r w:rsidR="00740C2F" w:rsidRPr="007109D4">
              <w:rPr>
                <w:rFonts w:eastAsia="Times New Roman"/>
                <w:szCs w:val="26"/>
                <w:lang w:val="lv-LV"/>
              </w:rPr>
              <w:t>publiskas personas kontrolētām kapitālsabiedrībām,</w:t>
            </w:r>
            <w:r w:rsidRPr="007109D4">
              <w:rPr>
                <w:rFonts w:eastAsia="Times New Roman"/>
                <w:szCs w:val="26"/>
                <w:lang w:val="lv-LV"/>
              </w:rPr>
              <w:t xml:space="preserve"> brīvostām un speciālajām ekonomiskajām zonām, izņemot publiskas lietošanas peldbaseiniem ar nacionālās sporta bāzes statusu un olimpiskajiem centriem;</w:t>
            </w:r>
            <w:r w:rsidR="00740C2F" w:rsidRPr="007109D4">
              <w:rPr>
                <w:rFonts w:eastAsia="Times New Roman"/>
                <w:szCs w:val="26"/>
                <w:lang w:val="lv-LV"/>
              </w:rPr>
              <w:t xml:space="preserve"> </w:t>
            </w:r>
          </w:p>
          <w:p w14:paraId="03961E58" w14:textId="52189366" w:rsidR="0075798B" w:rsidRPr="007109D4" w:rsidRDefault="0075798B" w:rsidP="0075798B">
            <w:pPr>
              <w:pStyle w:val="ListParagraph"/>
              <w:numPr>
                <w:ilvl w:val="0"/>
                <w:numId w:val="45"/>
              </w:numPr>
              <w:spacing w:before="120"/>
              <w:jc w:val="both"/>
              <w:rPr>
                <w:rFonts w:eastAsia="Times New Roman"/>
                <w:color w:val="000000" w:themeColor="text1"/>
                <w:szCs w:val="26"/>
                <w:lang w:val="lv-LV"/>
              </w:rPr>
            </w:pPr>
            <w:r w:rsidRPr="007109D4">
              <w:rPr>
                <w:rFonts w:eastAsia="Times New Roman"/>
                <w:szCs w:val="26"/>
                <w:lang w:val="lv-LV"/>
              </w:rPr>
              <w:t>sporta centru apakšnomnieki</w:t>
            </w:r>
            <w:r w:rsidR="0017639E" w:rsidRPr="007109D4">
              <w:rPr>
                <w:rFonts w:eastAsia="Times New Roman"/>
                <w:szCs w:val="26"/>
                <w:lang w:val="lv-LV"/>
              </w:rPr>
              <w:t>em</w:t>
            </w:r>
            <w:r w:rsidRPr="007109D4">
              <w:rPr>
                <w:rFonts w:eastAsia="Times New Roman"/>
                <w:szCs w:val="26"/>
                <w:lang w:val="lv-LV"/>
              </w:rPr>
              <w:t xml:space="preserve">, kuri īrē telpas Olimpiskajos sporta centros. </w:t>
            </w:r>
          </w:p>
          <w:p w14:paraId="62B6A23D" w14:textId="38200950" w:rsidR="00D262B9" w:rsidRPr="007109D4" w:rsidRDefault="00142847" w:rsidP="0056528A">
            <w:pPr>
              <w:spacing w:before="120"/>
              <w:jc w:val="both"/>
              <w:rPr>
                <w:rFonts w:eastAsia="Times New Roman"/>
                <w:color w:val="000000" w:themeColor="text1"/>
                <w:szCs w:val="26"/>
                <w:lang w:val="lv-LV"/>
              </w:rPr>
            </w:pPr>
            <w:r w:rsidRPr="007109D4">
              <w:rPr>
                <w:rFonts w:eastAsia="Times New Roman"/>
                <w:color w:val="000000" w:themeColor="text1"/>
                <w:szCs w:val="26"/>
                <w:lang w:val="lv-LV"/>
              </w:rPr>
              <w:t>Attiecībā</w:t>
            </w:r>
            <w:r w:rsidR="003F3221" w:rsidRPr="007109D4">
              <w:rPr>
                <w:rFonts w:eastAsia="Times New Roman"/>
                <w:color w:val="000000" w:themeColor="text1"/>
                <w:szCs w:val="26"/>
                <w:lang w:val="lv-LV"/>
              </w:rPr>
              <w:t xml:space="preserve"> uz MK Noteikumu projektā noteiktajiem ierobežojumiem komercdarbības atbalsta saņemšanai</w:t>
            </w:r>
            <w:r w:rsidRPr="007109D4">
              <w:rPr>
                <w:rFonts w:eastAsia="Times New Roman"/>
                <w:color w:val="000000" w:themeColor="text1"/>
                <w:szCs w:val="26"/>
                <w:lang w:val="lv-LV"/>
              </w:rPr>
              <w:t xml:space="preserve"> apakšnomniekiem, </w:t>
            </w:r>
            <w:r w:rsidR="00D262B9" w:rsidRPr="007109D4">
              <w:rPr>
                <w:rFonts w:eastAsia="Times New Roman"/>
                <w:color w:val="000000" w:themeColor="text1"/>
                <w:szCs w:val="26"/>
                <w:lang w:val="lv-LV"/>
              </w:rPr>
              <w:t>ir jāņem, ka telpu nomas atlaidi minētie apakšnomnieki var saņemt no Olimpiskā sporta centra</w:t>
            </w:r>
            <w:r w:rsidR="00A134F3" w:rsidRPr="007109D4">
              <w:rPr>
                <w:rFonts w:eastAsia="Times New Roman"/>
                <w:color w:val="000000" w:themeColor="text1"/>
                <w:szCs w:val="26"/>
                <w:lang w:val="lv-LV"/>
              </w:rPr>
              <w:t>.</w:t>
            </w:r>
          </w:p>
          <w:p w14:paraId="401213BC" w14:textId="72F96658" w:rsidR="00932043" w:rsidRDefault="00932043" w:rsidP="0056528A">
            <w:pPr>
              <w:spacing w:before="120"/>
              <w:jc w:val="both"/>
              <w:rPr>
                <w:rFonts w:eastAsia="Times New Roman"/>
                <w:color w:val="000000" w:themeColor="text1"/>
                <w:szCs w:val="26"/>
                <w:lang w:val="lv-LV"/>
              </w:rPr>
            </w:pPr>
            <w:r w:rsidRPr="007109D4">
              <w:rPr>
                <w:rFonts w:eastAsia="Times New Roman"/>
                <w:color w:val="000000" w:themeColor="text1"/>
                <w:szCs w:val="26"/>
                <w:lang w:val="lv-LV"/>
              </w:rPr>
              <w:t>Attiecībā uz izņēmumiem saistībā ar publiskas lietošanas peldbaseiniem ar nacionālas sporta bāzes statusu un olimpiskajiem centriem</w:t>
            </w:r>
            <w:r w:rsidR="009555B7" w:rsidRPr="007109D4">
              <w:rPr>
                <w:rFonts w:eastAsia="Times New Roman"/>
                <w:color w:val="000000" w:themeColor="text1"/>
                <w:szCs w:val="26"/>
                <w:lang w:val="lv-LV"/>
              </w:rPr>
              <w:t xml:space="preserve"> – šī norma iekļauta, jo ir gadījumi, ka tās var būt </w:t>
            </w:r>
            <w:r w:rsidR="009555B7" w:rsidRPr="007109D4">
              <w:rPr>
                <w:rFonts w:eastAsia="Times New Roman"/>
                <w:color w:val="000000" w:themeColor="text1"/>
                <w:szCs w:val="26"/>
                <w:lang w:val="lv-LV"/>
              </w:rPr>
              <w:lastRenderedPageBreak/>
              <w:t xml:space="preserve">pašvaldības vai valsts institūcijas </w:t>
            </w:r>
            <w:r w:rsidR="007109D4" w:rsidRPr="007109D4">
              <w:rPr>
                <w:rFonts w:eastAsia="Times New Roman"/>
                <w:color w:val="000000" w:themeColor="text1"/>
                <w:szCs w:val="26"/>
                <w:lang w:val="lv-LV"/>
              </w:rPr>
              <w:t>vai t</w:t>
            </w:r>
            <w:r w:rsidR="009555B7" w:rsidRPr="007109D4">
              <w:rPr>
                <w:rFonts w:eastAsia="Times New Roman"/>
                <w:color w:val="000000" w:themeColor="text1"/>
                <w:szCs w:val="26"/>
                <w:lang w:val="lv-LV"/>
              </w:rPr>
              <w:t>o daļas. Savukārt, atbalsts olimpiskajiem centriem un</w:t>
            </w:r>
            <w:r w:rsidR="007109D4" w:rsidRPr="007109D4">
              <w:rPr>
                <w:rFonts w:eastAsia="Times New Roman"/>
                <w:color w:val="000000" w:themeColor="text1"/>
                <w:szCs w:val="26"/>
                <w:lang w:val="lv-LV"/>
              </w:rPr>
              <w:t xml:space="preserve"> peldbaseiniem ar</w:t>
            </w:r>
            <w:r w:rsidR="009555B7" w:rsidRPr="007109D4">
              <w:rPr>
                <w:rFonts w:eastAsia="Times New Roman"/>
                <w:color w:val="000000" w:themeColor="text1"/>
                <w:szCs w:val="26"/>
                <w:lang w:val="lv-LV"/>
              </w:rPr>
              <w:t xml:space="preserve"> nacionālās sporta bāzes statusu pēc nozares iesniegtajiem datiem</w:t>
            </w:r>
            <w:r w:rsidR="007109D4" w:rsidRPr="007109D4">
              <w:rPr>
                <w:rFonts w:eastAsia="Times New Roman"/>
                <w:color w:val="000000" w:themeColor="text1"/>
                <w:szCs w:val="26"/>
                <w:lang w:val="lv-LV"/>
              </w:rPr>
              <w:t xml:space="preserve"> ir nepieciešams, jo tie gūst līdzvērtīgus zaudējumus tāpat kā pārējie sporta centri.</w:t>
            </w:r>
            <w:r w:rsidR="007109D4">
              <w:rPr>
                <w:rFonts w:eastAsia="Times New Roman"/>
                <w:color w:val="000000" w:themeColor="text1"/>
                <w:szCs w:val="26"/>
                <w:lang w:val="lv-LV"/>
              </w:rPr>
              <w:t xml:space="preserve"> </w:t>
            </w:r>
          </w:p>
          <w:p w14:paraId="78C699BC" w14:textId="74F21EB3" w:rsidR="00BC1BB0" w:rsidRPr="0056528A" w:rsidRDefault="00BC1BB0" w:rsidP="0056528A">
            <w:pPr>
              <w:spacing w:before="120"/>
              <w:jc w:val="both"/>
              <w:rPr>
                <w:rFonts w:eastAsia="Times New Roman"/>
                <w:color w:val="000000" w:themeColor="text1"/>
                <w:szCs w:val="26"/>
                <w:lang w:val="lv-LV"/>
              </w:rPr>
            </w:pPr>
            <w:r>
              <w:rPr>
                <w:rFonts w:eastAsia="Times New Roman"/>
                <w:color w:val="000000" w:themeColor="text1"/>
                <w:szCs w:val="26"/>
                <w:lang w:val="lv-LV"/>
              </w:rPr>
              <w:t>Attiecība uz kredītiestādēm un finanšu iestādēm - tās</w:t>
            </w:r>
            <w:r w:rsidRPr="00BC1BB0">
              <w:rPr>
                <w:rFonts w:eastAsia="Times New Roman"/>
                <w:color w:val="000000" w:themeColor="text1"/>
                <w:szCs w:val="26"/>
                <w:lang w:val="lv-LV"/>
              </w:rPr>
              <w:t xml:space="preserve"> nevar saņemt atbalstu arī tad, ja veic darbību un izmaksu nodalīšanu.</w:t>
            </w:r>
          </w:p>
          <w:p w14:paraId="277D00E7" w14:textId="17ECD871" w:rsidR="00066322" w:rsidRPr="0056528A" w:rsidRDefault="00F734FE" w:rsidP="0075798B">
            <w:pPr>
              <w:spacing w:before="120"/>
              <w:jc w:val="both"/>
              <w:rPr>
                <w:rFonts w:eastAsia="Times New Roman"/>
                <w:szCs w:val="26"/>
                <w:lang w:val="lv-LV"/>
              </w:rPr>
            </w:pPr>
            <w:r w:rsidRPr="0075798B">
              <w:rPr>
                <w:rFonts w:eastAsia="Times New Roman"/>
                <w:szCs w:val="26"/>
                <w:lang w:val="lv-LV"/>
              </w:rPr>
              <w:t>MK Noteikumu projekta ietvaros sniegto atbalstu par vienām un tām pašām attiecināmajām izmaksām nedrīkst apvienot ar citu valsts atbalstu. Ja komersants vienlaikus darbojas vienā vai vairākās nozarēs vai veic citas darbības, tas nodrošina šo nozaru darbību vai izmaksu nodalīšanu no darbībām, kurām atbalsts tiek piešķirts šo noteikumu ietvaros.</w:t>
            </w:r>
            <w:r w:rsidRPr="0075798B" w:rsidDel="006731E1">
              <w:rPr>
                <w:rFonts w:eastAsia="Times New Roman"/>
                <w:szCs w:val="26"/>
                <w:lang w:val="lv-LV"/>
              </w:rPr>
              <w:t xml:space="preserve"> </w:t>
            </w:r>
            <w:r w:rsidR="00066322">
              <w:rPr>
                <w:rFonts w:eastAsia="Times New Roman"/>
                <w:szCs w:val="26"/>
                <w:lang w:val="lv-LV"/>
              </w:rPr>
              <w:t>S</w:t>
            </w:r>
            <w:r w:rsidR="00066322" w:rsidRPr="0056528A">
              <w:rPr>
                <w:lang w:val="lv-LV"/>
              </w:rPr>
              <w:t xml:space="preserve">porta centriem nereti ir kā viena no nozarēm ir sporta inventāra mazumtirdzniecība, līdz ar to ir svarīgi nodalīt šīs nozares, par kurām tiek prasīts komercdarbības atbalsts. </w:t>
            </w:r>
          </w:p>
          <w:p w14:paraId="4E701B00" w14:textId="77777777" w:rsidR="00F734FE" w:rsidRDefault="00F734FE" w:rsidP="00F734FE">
            <w:pPr>
              <w:spacing w:before="120"/>
              <w:jc w:val="both"/>
              <w:rPr>
                <w:rFonts w:eastAsia="Times New Roman"/>
                <w:szCs w:val="26"/>
                <w:lang w:val="lv-LV"/>
              </w:rPr>
            </w:pPr>
            <w:r w:rsidRPr="00CE65AF">
              <w:rPr>
                <w:rFonts w:eastAsia="Times New Roman"/>
                <w:color w:val="000000" w:themeColor="text1"/>
                <w:szCs w:val="26"/>
                <w:lang w:val="lv-LV"/>
              </w:rPr>
              <w:t>Atbalsta</w:t>
            </w:r>
            <w:r w:rsidRPr="00CE65AF">
              <w:rPr>
                <w:rFonts w:eastAsia="Times New Roman"/>
                <w:szCs w:val="26"/>
                <w:lang w:val="lv-LV"/>
              </w:rPr>
              <w:t xml:space="preserve"> nepiešķiršanas gadījumi izriet no principa, ka atbalsts ir piešķirams</w:t>
            </w:r>
            <w:r w:rsidRPr="00CE65AF">
              <w:rPr>
                <w:rFonts w:eastAsia="Times New Roman"/>
                <w:color w:val="000000" w:themeColor="text1"/>
                <w:szCs w:val="26"/>
                <w:lang w:val="lv-LV"/>
              </w:rPr>
              <w:t xml:space="preserve"> “godīgam” un “</w:t>
            </w:r>
            <w:proofErr w:type="spellStart"/>
            <w:r w:rsidRPr="00CE65AF">
              <w:rPr>
                <w:rFonts w:eastAsia="Times New Roman"/>
                <w:color w:val="000000" w:themeColor="text1"/>
                <w:szCs w:val="26"/>
                <w:lang w:val="lv-LV"/>
              </w:rPr>
              <w:t>likumpaklausīgam</w:t>
            </w:r>
            <w:proofErr w:type="spellEnd"/>
            <w:r w:rsidRPr="00CE65AF">
              <w:rPr>
                <w:rFonts w:eastAsia="Times New Roman"/>
                <w:color w:val="000000" w:themeColor="text1"/>
                <w:szCs w:val="26"/>
                <w:lang w:val="lv-LV"/>
              </w:rPr>
              <w:t xml:space="preserve">” nodokļu maksātājam. </w:t>
            </w:r>
          </w:p>
          <w:p w14:paraId="3DC8B6B4" w14:textId="725B5FB6" w:rsidR="00F734FE" w:rsidRPr="00CE65AF" w:rsidRDefault="00F734FE" w:rsidP="00F734FE">
            <w:pPr>
              <w:spacing w:before="120"/>
              <w:jc w:val="both"/>
              <w:rPr>
                <w:rFonts w:eastAsia="Times New Roman"/>
                <w:szCs w:val="26"/>
                <w:lang w:val="lv-LV"/>
              </w:rPr>
            </w:pPr>
            <w:r>
              <w:rPr>
                <w:rFonts w:eastAsia="Times New Roman"/>
                <w:szCs w:val="26"/>
                <w:lang w:val="lv-LV"/>
              </w:rPr>
              <w:t>LIAA</w:t>
            </w:r>
            <w:r w:rsidRPr="00F56B96">
              <w:rPr>
                <w:rFonts w:eastAsia="Times New Roman"/>
                <w:szCs w:val="26"/>
                <w:lang w:val="lv-LV"/>
              </w:rPr>
              <w:t xml:space="preserve"> publicē savā tīmekļvietnē 5 dienas pēc lēmuma par atbalsta piešķiršanu to komersantu sarakstu, kuri saņēmuši atbalstu nomas ieņēmumu krituma kompensācijai, lai pārvarētu Covid-19 krīzes izraisītās sekas, norādot komersanta nosaukumu, reģistrācijas numuru un piešķirto atbalsta apmēru.</w:t>
            </w:r>
          </w:p>
          <w:p w14:paraId="0022F1EF" w14:textId="7E5BEB70" w:rsidR="00F734FE" w:rsidRDefault="00F734FE" w:rsidP="00F734FE">
            <w:pPr>
              <w:spacing w:before="120"/>
              <w:jc w:val="both"/>
              <w:rPr>
                <w:rFonts w:eastAsia="Times New Roman"/>
                <w:szCs w:val="26"/>
                <w:lang w:val="lv-LV"/>
              </w:rPr>
            </w:pPr>
            <w:r>
              <w:rPr>
                <w:rFonts w:eastAsia="Times New Roman"/>
                <w:szCs w:val="26"/>
                <w:lang w:val="lv-LV"/>
              </w:rPr>
              <w:t xml:space="preserve">MK </w:t>
            </w:r>
            <w:r w:rsidRPr="006E7DBD">
              <w:rPr>
                <w:rFonts w:eastAsia="Times New Roman"/>
                <w:szCs w:val="26"/>
                <w:lang w:val="lv-LV"/>
              </w:rPr>
              <w:t>Noteikumu projekta 2</w:t>
            </w:r>
            <w:r>
              <w:rPr>
                <w:rFonts w:eastAsia="Times New Roman"/>
                <w:szCs w:val="26"/>
                <w:lang w:val="lv-LV"/>
              </w:rPr>
              <w:t>3</w:t>
            </w:r>
            <w:r w:rsidRPr="006E7DBD">
              <w:rPr>
                <w:rFonts w:eastAsia="Times New Roman"/>
                <w:szCs w:val="26"/>
                <w:lang w:val="lv-LV"/>
              </w:rPr>
              <w:t>.punkts nosaka</w:t>
            </w:r>
            <w:r w:rsidRPr="005045DB">
              <w:rPr>
                <w:rFonts w:eastAsia="Times New Roman"/>
                <w:szCs w:val="26"/>
                <w:lang w:val="lv-LV"/>
              </w:rPr>
              <w:t xml:space="preserve"> valsts atbalsta kontroles regulējuma ievērošanu attiecībā uz nelikumīgā valsts atbalsta atgūšanu, ja pārkāpti valsts atbalsta nosacījumi, ņemot vērā Eiropas Savienības tiesas 2019. gada 5. marta spriedumu Lietā C349/17 par lūgumu sniegt prejudiciālu nolēmumu atbilstoši Līguma par Eiropas Savienības darbību (turpmāk – LESD) 267. pantam tiesvedībā </w:t>
            </w:r>
            <w:proofErr w:type="spellStart"/>
            <w:r w:rsidRPr="005045DB">
              <w:rPr>
                <w:rFonts w:eastAsia="Times New Roman"/>
                <w:i/>
                <w:szCs w:val="26"/>
                <w:lang w:val="lv-LV"/>
              </w:rPr>
              <w:t>Eesti</w:t>
            </w:r>
            <w:proofErr w:type="spellEnd"/>
            <w:r w:rsidRPr="005045DB">
              <w:rPr>
                <w:rFonts w:eastAsia="Times New Roman"/>
                <w:i/>
                <w:szCs w:val="26"/>
                <w:lang w:val="lv-LV"/>
              </w:rPr>
              <w:t xml:space="preserve"> </w:t>
            </w:r>
            <w:proofErr w:type="spellStart"/>
            <w:r w:rsidRPr="005045DB">
              <w:rPr>
                <w:rFonts w:eastAsia="Times New Roman"/>
                <w:i/>
                <w:szCs w:val="26"/>
                <w:lang w:val="lv-LV"/>
              </w:rPr>
              <w:t>Pagar</w:t>
            </w:r>
            <w:proofErr w:type="spellEnd"/>
            <w:r w:rsidRPr="005045DB">
              <w:rPr>
                <w:rFonts w:eastAsia="Times New Roman"/>
                <w:i/>
                <w:szCs w:val="26"/>
                <w:lang w:val="lv-LV"/>
              </w:rPr>
              <w:t xml:space="preserve"> AS </w:t>
            </w:r>
            <w:r w:rsidRPr="005045DB">
              <w:rPr>
                <w:rFonts w:eastAsia="Times New Roman"/>
                <w:szCs w:val="26"/>
                <w:lang w:val="lv-LV"/>
              </w:rPr>
              <w:t xml:space="preserve">pret </w:t>
            </w:r>
            <w:proofErr w:type="spellStart"/>
            <w:r w:rsidRPr="005045DB">
              <w:rPr>
                <w:rFonts w:eastAsia="Times New Roman"/>
                <w:i/>
                <w:szCs w:val="26"/>
                <w:lang w:val="lv-LV"/>
              </w:rPr>
              <w:t>Ettevõtluse</w:t>
            </w:r>
            <w:proofErr w:type="spellEnd"/>
            <w:r w:rsidRPr="005045DB">
              <w:rPr>
                <w:rFonts w:eastAsia="Times New Roman"/>
                <w:i/>
                <w:szCs w:val="26"/>
                <w:lang w:val="lv-LV"/>
              </w:rPr>
              <w:t xml:space="preserve"> </w:t>
            </w:r>
            <w:proofErr w:type="spellStart"/>
            <w:r w:rsidRPr="005045DB">
              <w:rPr>
                <w:rFonts w:eastAsia="Times New Roman"/>
                <w:i/>
                <w:szCs w:val="26"/>
                <w:lang w:val="lv-LV"/>
              </w:rPr>
              <w:t>Arendamise</w:t>
            </w:r>
            <w:proofErr w:type="spellEnd"/>
            <w:r w:rsidRPr="005045DB">
              <w:rPr>
                <w:rFonts w:eastAsia="Times New Roman"/>
                <w:i/>
                <w:szCs w:val="26"/>
                <w:lang w:val="lv-LV"/>
              </w:rPr>
              <w:t xml:space="preserve"> </w:t>
            </w:r>
            <w:proofErr w:type="spellStart"/>
            <w:r w:rsidRPr="005045DB">
              <w:rPr>
                <w:rFonts w:eastAsia="Times New Roman"/>
                <w:i/>
                <w:szCs w:val="26"/>
                <w:lang w:val="lv-LV"/>
              </w:rPr>
              <w:t>Sihtasutus</w:t>
            </w:r>
            <w:proofErr w:type="spellEnd"/>
            <w:r w:rsidRPr="005045DB">
              <w:rPr>
                <w:rFonts w:eastAsia="Times New Roman"/>
                <w:szCs w:val="26"/>
                <w:lang w:val="lv-LV"/>
              </w:rPr>
              <w:t xml:space="preserve">, </w:t>
            </w:r>
            <w:proofErr w:type="spellStart"/>
            <w:r w:rsidRPr="005045DB">
              <w:rPr>
                <w:rFonts w:eastAsia="Times New Roman"/>
                <w:i/>
                <w:szCs w:val="26"/>
                <w:lang w:val="lv-LV"/>
              </w:rPr>
              <w:t>Majandus</w:t>
            </w:r>
            <w:proofErr w:type="spellEnd"/>
            <w:r w:rsidRPr="005045DB">
              <w:rPr>
                <w:rFonts w:eastAsia="Times New Roman"/>
                <w:i/>
                <w:szCs w:val="26"/>
                <w:lang w:val="lv-LV"/>
              </w:rPr>
              <w:t xml:space="preserve"> </w:t>
            </w:r>
            <w:r w:rsidRPr="005045DB">
              <w:rPr>
                <w:rFonts w:eastAsia="Times New Roman"/>
                <w:szCs w:val="26"/>
                <w:lang w:val="lv-LV"/>
              </w:rPr>
              <w:t>‑</w:t>
            </w:r>
            <w:r w:rsidRPr="005045DB">
              <w:rPr>
                <w:rFonts w:eastAsia="Times New Roman"/>
                <w:i/>
                <w:szCs w:val="26"/>
                <w:lang w:val="lv-LV"/>
              </w:rPr>
              <w:t xml:space="preserve"> ja </w:t>
            </w:r>
            <w:proofErr w:type="spellStart"/>
            <w:r w:rsidRPr="005045DB">
              <w:rPr>
                <w:rFonts w:eastAsia="Times New Roman"/>
                <w:i/>
                <w:szCs w:val="26"/>
                <w:lang w:val="lv-LV"/>
              </w:rPr>
              <w:t>Kommunikatsiooniministeerium</w:t>
            </w:r>
            <w:proofErr w:type="spellEnd"/>
            <w:r w:rsidR="00BE655E">
              <w:fldChar w:fldCharType="begin"/>
            </w:r>
            <w:r w:rsidR="00BE655E" w:rsidRPr="00BE655E">
              <w:rPr>
                <w:lang w:val="lv-LV"/>
              </w:rPr>
              <w:instrText xml:space="preserve"> HYPERLINK "https://euc-word-edit.officeapps.live.com/we/wordeditorframe.aspx?ui=en-us&amp;rs=en-us&amp;wopisrc=https%3A%2F%2Fekmin-my.sharepoint.com%2Fpersonal%2Fkristaps_soms_em_gov_lv%2F_vti_bin%2Fwopi.ashx%2Ffiles%2F8a6e2fa4f402460aa548d6ca720859b9&amp;wdenableroaming=1&amp;mscc=1&amp;wdodb=1&amp;hid=af7ed32d-f2c6-ef92-2da7-85c58fbf8d74-3634&amp;uiembed=1&amp;uih=teams&amp;hhdr=1&amp;dchat=1&amp;sc=%7B%22pmo%22%3A%22https%3A%2F%2Fteams.microsoft.com%22%2C%22pmshare%22%3Atrue%2C%22surl%22%3A%22%22%2C%22curl%22%3A%22%22%2C%22vurl%22%3A%22%22%2C%22eurl%22%3A%22https%3A%2F%2Fteams.microsoft.com%2Ffiles%2Fapps%2Fcom.microsoft.teams.files%2Ffiles%2F406223751%2Fopen%3Fagent%3Dpostmessage%26objectUrl%3Dhttps%253A%252F%252Fekmin-my.sharepoint.com%252Fpersonal%252Fkristaps_soms_em_gov_lv%252FDocuments%252FEM%252F2020.gads%252FCOVID%2520kr%25C4%25ABze%252FNovembra%2520atbalsts%252FEMAnot_041120_atbalsts.docx%26fileId%3D8A6E2FA4-F402-460A-A548-D6CA720859B9%26fileType%3Ddocx%26ctx%3DfileLink%26scenarioId%3D3634%26locale%3Den-us%26theme%3Ddefault%26version%3D20200928023%26setting%3Dring.id%3Ageneral%26setting%3DcreatedTime%3A1604761638860%22%7D&amp;wdorigin=TEAMS-ELECTRON.p2p.fileLink&amp;wdhostclicktime=1604761638753&amp;jsapi=1&amp;jsapiver=v1&amp;newsession=1&amp;corrid=8c669b2f-1eda-4241-9b58-be81edec833d&amp;usid=8c669b2f-1eda-4241-9b58-be81edec833d&amp;sftc=1&amp;accloop=1&amp;sdr=6&amp;scnd=1&amp;hbcv=1&amp;htv=1&amp;hodflp=1&amp;instantedit=1&amp;wopicomplete=1&amp;wdredirectionreason=Unified_SingleFlush&amp;rct=Medium&amp;ctp=LeastProtected" \l "_ftn1" \h </w:instrText>
            </w:r>
            <w:r w:rsidR="00BE655E">
              <w:fldChar w:fldCharType="separate"/>
            </w:r>
            <w:r w:rsidRPr="005045DB">
              <w:rPr>
                <w:rStyle w:val="Hyperlink"/>
                <w:rFonts w:eastAsia="Times New Roman"/>
                <w:b/>
                <w:i/>
                <w:szCs w:val="26"/>
                <w:vertAlign w:val="superscript"/>
                <w:lang w:val="lv-LV"/>
              </w:rPr>
              <w:t>[1]</w:t>
            </w:r>
            <w:r>
              <w:rPr>
                <w:rStyle w:val="FootnoteReference"/>
                <w:rFonts w:eastAsia="Times New Roman"/>
                <w:b/>
                <w:i/>
                <w:color w:val="0000FF" w:themeColor="hyperlink"/>
                <w:szCs w:val="26"/>
                <w:u w:val="single"/>
                <w:lang w:val="lv-LV"/>
              </w:rPr>
              <w:footnoteReference w:id="2"/>
            </w:r>
            <w:r w:rsidR="00BE655E">
              <w:rPr>
                <w:rStyle w:val="FootnoteReference"/>
                <w:rFonts w:eastAsia="Times New Roman"/>
                <w:b/>
                <w:i/>
                <w:color w:val="0000FF" w:themeColor="hyperlink"/>
                <w:szCs w:val="26"/>
                <w:u w:val="single"/>
                <w:lang w:val="lv-LV"/>
              </w:rPr>
              <w:fldChar w:fldCharType="end"/>
            </w:r>
            <w:r w:rsidRPr="005045DB">
              <w:rPr>
                <w:rFonts w:eastAsia="Times New Roman"/>
                <w:szCs w:val="26"/>
                <w:lang w:val="lv-LV"/>
              </w:rPr>
              <w:t xml:space="preserve"> Proti, tiek noteikts, ka arī gadījumos, kad Eiropas Komisija nav pieņēmusi lēmumu par komercdarbības atbalsta atgūšanu par dalībvalsts iestādes (atbalsta sniedzēja) piešķirto komercdarbības atbalstu, kas tika piešķirts, neievērojot Līguma par Eiropas Savienības darbību 108. panta 3. punktā noteikto paziņošanas pienākumu, un kuru piešķirot netika izpildīti komercdarbības atbalsta regulējuma nosacījumi, dalībvalsts iestādei (atbalsta sniedzējam) ir pienākums pašai pēc savas iniciatīvas atgūt šādu komercdarbības atbalstu. Vienlaikus spriedumā noteikts, ka ar šīm tiesību normām tiktu nodrošināta visa nelikumīgā atbalsta atgūšana un lai līdz ar to tā saņēmējam tostarp tiktu uzdots samaksāt procentus par visu laikposmu, kurā tas ir guvis labumu no šī atbalsta, pēc likmes, kas vienāda ar likmi, kura būtu </w:t>
            </w:r>
            <w:r w:rsidRPr="005045DB">
              <w:rPr>
                <w:rFonts w:eastAsia="Times New Roman"/>
                <w:szCs w:val="26"/>
                <w:lang w:val="lv-LV"/>
              </w:rPr>
              <w:lastRenderedPageBreak/>
              <w:t xml:space="preserve">tikusi piemērota, ja šim atbalsta saņēmējam minētajā laikposmā attiecīgā atbalsta summa būtu bijusi jāaizņemas tirgū (atgūstamo procentu apmērs nevar būt pretrunā minētajam līdzvērtības un efektivitātes principam un tādējādi, nosakot atgūstamo procentu apmēru, ir jāievēro Eiropas Savienības tiesību normas.). </w:t>
            </w:r>
          </w:p>
          <w:p w14:paraId="57A80D1A" w14:textId="64D8290A" w:rsidR="00F734FE" w:rsidRPr="005E2ACA" w:rsidRDefault="00F734FE" w:rsidP="00F734FE">
            <w:pPr>
              <w:spacing w:before="120"/>
              <w:jc w:val="both"/>
              <w:rPr>
                <w:rFonts w:eastAsia="Times New Roman"/>
                <w:szCs w:val="26"/>
                <w:lang w:val="lv-LV"/>
              </w:rPr>
            </w:pPr>
            <w:r>
              <w:rPr>
                <w:rFonts w:eastAsia="Times New Roman"/>
                <w:szCs w:val="26"/>
                <w:lang w:val="lv-LV"/>
              </w:rPr>
              <w:t>Atbilstoši Administratīvā procesa likuma 59.pantam, LIAA</w:t>
            </w:r>
            <w:r w:rsidR="00346798">
              <w:rPr>
                <w:rFonts w:eastAsia="Times New Roman"/>
                <w:szCs w:val="26"/>
                <w:lang w:val="lv-LV"/>
              </w:rPr>
              <w:t xml:space="preserve"> </w:t>
            </w:r>
            <w:r w:rsidRPr="00075484">
              <w:rPr>
                <w:rFonts w:eastAsia="Times New Roman"/>
                <w:szCs w:val="26"/>
                <w:lang w:val="lv-LV"/>
              </w:rPr>
              <w:t xml:space="preserve">ir tiesīga pieprasīt no komersanta papildu vai precizējošu informāciju un dokumentus, ja vienlaikus ar iesniegumu nav iesniegta visa informācija un dokumenti, kas nepieciešami komersanta atbilstības atbalsta piešķiršanai izvērtēšanai. </w:t>
            </w:r>
            <w:r>
              <w:rPr>
                <w:rFonts w:eastAsia="Times New Roman"/>
                <w:szCs w:val="26"/>
                <w:lang w:val="lv-LV"/>
              </w:rPr>
              <w:t>LIAA</w:t>
            </w:r>
            <w:r w:rsidRPr="00075484">
              <w:rPr>
                <w:rFonts w:eastAsia="Times New Roman"/>
                <w:szCs w:val="26"/>
                <w:lang w:val="lv-LV"/>
              </w:rPr>
              <w:t xml:space="preserve"> ir tiesības noteikt papildu informācijas iesniegšanas termiņu, kā arī tiesības atteikt atbalsta piešķiršanu, ja informācija netiek sniegta.</w:t>
            </w:r>
            <w:r>
              <w:rPr>
                <w:rFonts w:eastAsia="Times New Roman"/>
                <w:szCs w:val="26"/>
                <w:lang w:val="lv-LV"/>
              </w:rPr>
              <w:t xml:space="preserve"> V</w:t>
            </w:r>
            <w:r w:rsidRPr="005E2ACA">
              <w:rPr>
                <w:rFonts w:eastAsia="Times New Roman"/>
                <w:szCs w:val="26"/>
                <w:lang w:val="lv-LV"/>
              </w:rPr>
              <w:t>isos gadījumos, ja nav iesniegta visa informācija un dokumenti, kas nepieciešami atbalsta piešķiršanas izvērtēšanai,</w:t>
            </w:r>
            <w:r>
              <w:rPr>
                <w:rFonts w:eastAsia="Times New Roman"/>
                <w:szCs w:val="26"/>
                <w:lang w:val="lv-LV"/>
              </w:rPr>
              <w:t xml:space="preserve"> LIAA</w:t>
            </w:r>
            <w:r w:rsidRPr="00F56B96">
              <w:rPr>
                <w:rFonts w:eastAsia="Times New Roman"/>
                <w:szCs w:val="26"/>
                <w:lang w:val="lv-LV"/>
              </w:rPr>
              <w:t xml:space="preserve"> </w:t>
            </w:r>
            <w:r>
              <w:rPr>
                <w:rFonts w:eastAsia="Times New Roman"/>
                <w:szCs w:val="26"/>
                <w:lang w:val="lv-LV"/>
              </w:rPr>
              <w:t>nosaka</w:t>
            </w:r>
            <w:r w:rsidRPr="005E2ACA">
              <w:rPr>
                <w:rFonts w:eastAsia="Times New Roman"/>
                <w:szCs w:val="26"/>
                <w:lang w:val="lv-LV"/>
              </w:rPr>
              <w:t xml:space="preserve"> papildu informācijas iesniegšanas termiņ</w:t>
            </w:r>
            <w:r>
              <w:rPr>
                <w:rFonts w:eastAsia="Times New Roman"/>
                <w:szCs w:val="26"/>
                <w:lang w:val="lv-LV"/>
              </w:rPr>
              <w:t xml:space="preserve">u. Ja informācija netiek sniegta noteiktajā termiņā, </w:t>
            </w:r>
            <w:r w:rsidRPr="005E2ACA">
              <w:rPr>
                <w:rFonts w:eastAsia="Times New Roman"/>
                <w:szCs w:val="26"/>
                <w:lang w:val="lv-LV"/>
              </w:rPr>
              <w:t>atbalsta piešķiršana tiek atteikta.</w:t>
            </w:r>
            <w:r w:rsidRPr="005E2ACA">
              <w:rPr>
                <w:bCs/>
                <w:highlight w:val="yellow"/>
                <w:lang w:val="lv-LV"/>
              </w:rPr>
              <w:t xml:space="preserve"> </w:t>
            </w:r>
          </w:p>
          <w:p w14:paraId="650B8FE3" w14:textId="4F6B5623" w:rsidR="00F734FE" w:rsidRPr="005A4EBD" w:rsidRDefault="00F734FE" w:rsidP="00F734FE">
            <w:pPr>
              <w:spacing w:before="120"/>
              <w:jc w:val="both"/>
              <w:rPr>
                <w:rFonts w:eastAsia="Times New Roman"/>
                <w:szCs w:val="26"/>
                <w:lang w:val="lv-LV"/>
              </w:rPr>
            </w:pPr>
            <w:r>
              <w:rPr>
                <w:rFonts w:eastAsia="Times New Roman"/>
                <w:szCs w:val="26"/>
                <w:lang w:val="lv-LV"/>
              </w:rPr>
              <w:t>LIAA</w:t>
            </w:r>
            <w:r w:rsidRPr="00F56B96">
              <w:rPr>
                <w:rFonts w:eastAsia="Times New Roman"/>
                <w:szCs w:val="26"/>
                <w:lang w:val="lv-LV"/>
              </w:rPr>
              <w:t xml:space="preserve"> </w:t>
            </w:r>
            <w:r w:rsidRPr="005045DB">
              <w:rPr>
                <w:rFonts w:eastAsia="Times New Roman"/>
                <w:szCs w:val="26"/>
                <w:lang w:val="lv-LV"/>
              </w:rPr>
              <w:t xml:space="preserve">nodrošina atbalsta un informācijas uzskaiti. Minēto informāciju </w:t>
            </w:r>
            <w:r>
              <w:rPr>
                <w:rFonts w:eastAsia="Times New Roman"/>
                <w:szCs w:val="26"/>
                <w:lang w:val="lv-LV"/>
              </w:rPr>
              <w:t>LIAA</w:t>
            </w:r>
            <w:r w:rsidRPr="00F56B96">
              <w:rPr>
                <w:rFonts w:eastAsia="Times New Roman"/>
                <w:szCs w:val="26"/>
                <w:lang w:val="lv-LV"/>
              </w:rPr>
              <w:t xml:space="preserve"> </w:t>
            </w:r>
            <w:r w:rsidRPr="005045DB">
              <w:rPr>
                <w:rFonts w:eastAsia="Times New Roman"/>
                <w:szCs w:val="26"/>
                <w:lang w:val="lv-LV"/>
              </w:rPr>
              <w:t xml:space="preserve">glabā 10 gadus no dienas, kad piešķirts pēdējais atbalsts, un informāciju pēc pieprasījuma iesniedz </w:t>
            </w:r>
            <w:r w:rsidRPr="00712C79">
              <w:rPr>
                <w:szCs w:val="26"/>
                <w:lang w:val="lv-LV"/>
              </w:rPr>
              <w:t xml:space="preserve">Eiropas </w:t>
            </w:r>
            <w:r w:rsidRPr="005045DB">
              <w:rPr>
                <w:rFonts w:eastAsia="Times New Roman"/>
                <w:szCs w:val="26"/>
                <w:lang w:val="lv-LV"/>
              </w:rPr>
              <w:t xml:space="preserve">Komisijā. </w:t>
            </w:r>
            <w:r>
              <w:rPr>
                <w:rFonts w:eastAsia="Times New Roman"/>
                <w:szCs w:val="26"/>
                <w:lang w:val="lv-LV"/>
              </w:rPr>
              <w:t>LIAA</w:t>
            </w:r>
            <w:r w:rsidRPr="00F56B96">
              <w:rPr>
                <w:rFonts w:eastAsia="Times New Roman"/>
                <w:szCs w:val="26"/>
                <w:lang w:val="lv-LV"/>
              </w:rPr>
              <w:t xml:space="preserve"> </w:t>
            </w:r>
            <w:r w:rsidRPr="005045DB">
              <w:rPr>
                <w:rFonts w:eastAsia="Times New Roman"/>
                <w:szCs w:val="26"/>
                <w:lang w:val="lv-LV"/>
              </w:rPr>
              <w:t xml:space="preserve">nodrošina ikgadējā pārskata par sniegto atbalstu iesniegšanu Eiropas Komisijai. Tāpat </w:t>
            </w:r>
            <w:r>
              <w:rPr>
                <w:rFonts w:eastAsia="Times New Roman"/>
                <w:szCs w:val="26"/>
                <w:lang w:val="lv-LV"/>
              </w:rPr>
              <w:t>LIAA</w:t>
            </w:r>
            <w:r w:rsidRPr="00F56B96">
              <w:rPr>
                <w:rFonts w:eastAsia="Times New Roman"/>
                <w:szCs w:val="26"/>
                <w:lang w:val="lv-LV"/>
              </w:rPr>
              <w:t xml:space="preserve"> </w:t>
            </w:r>
            <w:r w:rsidRPr="005045DB">
              <w:rPr>
                <w:rFonts w:eastAsia="Times New Roman"/>
                <w:szCs w:val="26"/>
                <w:lang w:val="lv-LV"/>
              </w:rPr>
              <w:t>nodrošina informācijas publicēšanu atbilstoši Eiropas Komisijas lēmumā noteiktajām publicitātes pasākumu prasībām (</w:t>
            </w:r>
            <w:r w:rsidRPr="005045DB">
              <w:rPr>
                <w:rFonts w:eastAsia="Segoe UI"/>
                <w:szCs w:val="26"/>
                <w:lang w:val="lv-LV"/>
              </w:rPr>
              <w:t>Pagaidu regulējuma (ar 2020. gada 3. aprīlī pieņemtajiem grozījumiem,</w:t>
            </w:r>
            <w:r>
              <w:rPr>
                <w:rFonts w:eastAsia="Segoe UI"/>
                <w:szCs w:val="26"/>
                <w:lang w:val="lv-LV"/>
              </w:rPr>
              <w:t xml:space="preserve"> </w:t>
            </w:r>
            <w:r w:rsidRPr="005045DB">
              <w:rPr>
                <w:rFonts w:eastAsia="Segoe UI"/>
                <w:szCs w:val="26"/>
                <w:lang w:val="lv-LV"/>
              </w:rPr>
              <w:t>2020.gada 8.maijā pieņemtajiem grozījumiem  2020.gada 13.oktobrī</w:t>
            </w:r>
            <w:r>
              <w:rPr>
                <w:rFonts w:eastAsia="Segoe UI"/>
                <w:szCs w:val="26"/>
                <w:lang w:val="lv-LV"/>
              </w:rPr>
              <w:t xml:space="preserve"> un </w:t>
            </w:r>
            <w:r w:rsidRPr="00706C7F">
              <w:rPr>
                <w:rFonts w:eastAsia="Segoe UI"/>
                <w:szCs w:val="26"/>
                <w:lang w:val="lv-LV"/>
              </w:rPr>
              <w:t>2021.gada 28.</w:t>
            </w:r>
            <w:r>
              <w:rPr>
                <w:rFonts w:eastAsia="Segoe UI"/>
                <w:szCs w:val="26"/>
                <w:lang w:val="lv-LV"/>
              </w:rPr>
              <w:t xml:space="preserve">janvārī </w:t>
            </w:r>
            <w:r w:rsidRPr="005045DB">
              <w:rPr>
                <w:rFonts w:eastAsia="Segoe UI"/>
                <w:szCs w:val="26"/>
                <w:lang w:val="lv-LV"/>
              </w:rPr>
              <w:t xml:space="preserve">pieņemtajiem grozījumiem) (angliski - </w:t>
            </w:r>
            <w:proofErr w:type="spellStart"/>
            <w:r w:rsidRPr="005045DB">
              <w:rPr>
                <w:rFonts w:eastAsia="Segoe UI"/>
                <w:i/>
                <w:iCs/>
                <w:szCs w:val="26"/>
                <w:lang w:val="lv-LV"/>
              </w:rPr>
              <w:t>Temporary</w:t>
            </w:r>
            <w:proofErr w:type="spellEnd"/>
            <w:r w:rsidRPr="005045DB">
              <w:rPr>
                <w:rFonts w:eastAsia="Segoe UI"/>
                <w:i/>
                <w:iCs/>
                <w:szCs w:val="26"/>
                <w:lang w:val="lv-LV"/>
              </w:rPr>
              <w:t xml:space="preserve"> </w:t>
            </w:r>
            <w:proofErr w:type="spellStart"/>
            <w:r w:rsidRPr="005045DB">
              <w:rPr>
                <w:rFonts w:eastAsia="Segoe UI"/>
                <w:i/>
                <w:iCs/>
                <w:szCs w:val="26"/>
                <w:lang w:val="lv-LV"/>
              </w:rPr>
              <w:t>Framework</w:t>
            </w:r>
            <w:proofErr w:type="spellEnd"/>
            <w:r w:rsidRPr="005045DB">
              <w:rPr>
                <w:rFonts w:eastAsia="Segoe UI"/>
                <w:i/>
                <w:iCs/>
                <w:szCs w:val="26"/>
                <w:lang w:val="lv-LV"/>
              </w:rPr>
              <w:t xml:space="preserve"> to </w:t>
            </w:r>
            <w:proofErr w:type="spellStart"/>
            <w:r w:rsidRPr="005045DB">
              <w:rPr>
                <w:rFonts w:eastAsia="Segoe UI"/>
                <w:i/>
                <w:iCs/>
                <w:szCs w:val="26"/>
                <w:lang w:val="lv-LV"/>
              </w:rPr>
              <w:t>support</w:t>
            </w:r>
            <w:proofErr w:type="spellEnd"/>
            <w:r w:rsidRPr="005045DB">
              <w:rPr>
                <w:rFonts w:eastAsia="Segoe UI"/>
                <w:i/>
                <w:iCs/>
                <w:szCs w:val="26"/>
                <w:lang w:val="lv-LV"/>
              </w:rPr>
              <w:t xml:space="preserve"> </w:t>
            </w:r>
            <w:proofErr w:type="spellStart"/>
            <w:r w:rsidRPr="005045DB">
              <w:rPr>
                <w:rFonts w:eastAsia="Segoe UI"/>
                <w:i/>
                <w:iCs/>
                <w:szCs w:val="26"/>
                <w:lang w:val="lv-LV"/>
              </w:rPr>
              <w:t>the</w:t>
            </w:r>
            <w:proofErr w:type="spellEnd"/>
            <w:r w:rsidRPr="005045DB">
              <w:rPr>
                <w:rFonts w:eastAsia="Segoe UI"/>
                <w:i/>
                <w:iCs/>
                <w:szCs w:val="26"/>
                <w:lang w:val="lv-LV"/>
              </w:rPr>
              <w:t xml:space="preserve"> </w:t>
            </w:r>
            <w:proofErr w:type="spellStart"/>
            <w:r w:rsidRPr="005045DB">
              <w:rPr>
                <w:rFonts w:eastAsia="Segoe UI"/>
                <w:i/>
                <w:iCs/>
                <w:szCs w:val="26"/>
                <w:lang w:val="lv-LV"/>
              </w:rPr>
              <w:t>economy</w:t>
            </w:r>
            <w:proofErr w:type="spellEnd"/>
            <w:r w:rsidRPr="005045DB">
              <w:rPr>
                <w:rFonts w:eastAsia="Segoe UI"/>
                <w:i/>
                <w:iCs/>
                <w:szCs w:val="26"/>
                <w:lang w:val="lv-LV"/>
              </w:rPr>
              <w:t xml:space="preserve"> </w:t>
            </w:r>
            <w:proofErr w:type="spellStart"/>
            <w:r w:rsidRPr="005045DB">
              <w:rPr>
                <w:rFonts w:eastAsia="Segoe UI"/>
                <w:i/>
                <w:iCs/>
                <w:szCs w:val="26"/>
                <w:lang w:val="lv-LV"/>
              </w:rPr>
              <w:t>in</w:t>
            </w:r>
            <w:proofErr w:type="spellEnd"/>
            <w:r w:rsidRPr="005045DB">
              <w:rPr>
                <w:rFonts w:eastAsia="Segoe UI"/>
                <w:i/>
                <w:iCs/>
                <w:szCs w:val="26"/>
                <w:lang w:val="lv-LV"/>
              </w:rPr>
              <w:t xml:space="preserve"> </w:t>
            </w:r>
            <w:proofErr w:type="spellStart"/>
            <w:r w:rsidRPr="005045DB">
              <w:rPr>
                <w:rFonts w:eastAsia="Segoe UI"/>
                <w:i/>
                <w:iCs/>
                <w:szCs w:val="26"/>
                <w:lang w:val="lv-LV"/>
              </w:rPr>
              <w:t>the</w:t>
            </w:r>
            <w:proofErr w:type="spellEnd"/>
            <w:r w:rsidRPr="005045DB">
              <w:rPr>
                <w:rFonts w:eastAsia="Segoe UI"/>
                <w:i/>
                <w:iCs/>
                <w:szCs w:val="26"/>
                <w:lang w:val="lv-LV"/>
              </w:rPr>
              <w:t xml:space="preserve"> </w:t>
            </w:r>
            <w:proofErr w:type="spellStart"/>
            <w:r w:rsidRPr="005045DB">
              <w:rPr>
                <w:rFonts w:eastAsia="Segoe UI"/>
                <w:i/>
                <w:iCs/>
                <w:szCs w:val="26"/>
                <w:lang w:val="lv-LV"/>
              </w:rPr>
              <w:t>context</w:t>
            </w:r>
            <w:proofErr w:type="spellEnd"/>
            <w:r w:rsidRPr="005045DB">
              <w:rPr>
                <w:rFonts w:eastAsia="Segoe UI"/>
                <w:i/>
                <w:iCs/>
                <w:szCs w:val="26"/>
                <w:lang w:val="lv-LV"/>
              </w:rPr>
              <w:t xml:space="preserve"> </w:t>
            </w:r>
            <w:proofErr w:type="spellStart"/>
            <w:r w:rsidRPr="005045DB">
              <w:rPr>
                <w:rFonts w:eastAsia="Segoe UI"/>
                <w:i/>
                <w:iCs/>
                <w:szCs w:val="26"/>
                <w:lang w:val="lv-LV"/>
              </w:rPr>
              <w:t>of</w:t>
            </w:r>
            <w:proofErr w:type="spellEnd"/>
            <w:r w:rsidRPr="005045DB">
              <w:rPr>
                <w:rFonts w:eastAsia="Segoe UI"/>
                <w:i/>
                <w:iCs/>
                <w:szCs w:val="26"/>
                <w:lang w:val="lv-LV"/>
              </w:rPr>
              <w:t xml:space="preserve"> </w:t>
            </w:r>
            <w:proofErr w:type="spellStart"/>
            <w:r w:rsidRPr="005045DB">
              <w:rPr>
                <w:rFonts w:eastAsia="Segoe UI"/>
                <w:i/>
                <w:iCs/>
                <w:szCs w:val="26"/>
                <w:lang w:val="lv-LV"/>
              </w:rPr>
              <w:t>the</w:t>
            </w:r>
            <w:proofErr w:type="spellEnd"/>
            <w:r w:rsidRPr="005045DB">
              <w:rPr>
                <w:rFonts w:eastAsia="Segoe UI"/>
                <w:i/>
                <w:iCs/>
                <w:szCs w:val="26"/>
                <w:lang w:val="lv-LV"/>
              </w:rPr>
              <w:t xml:space="preserve"> COVID-19 </w:t>
            </w:r>
            <w:proofErr w:type="spellStart"/>
            <w:r w:rsidRPr="005045DB">
              <w:rPr>
                <w:rFonts w:eastAsia="Segoe UI"/>
                <w:i/>
                <w:iCs/>
                <w:szCs w:val="26"/>
                <w:lang w:val="lv-LV"/>
              </w:rPr>
              <w:t>outbreak</w:t>
            </w:r>
            <w:proofErr w:type="spellEnd"/>
            <w:r w:rsidRPr="005045DB">
              <w:rPr>
                <w:rFonts w:eastAsia="Segoe UI"/>
                <w:szCs w:val="26"/>
                <w:lang w:val="lv-LV"/>
              </w:rPr>
              <w:t>) 8</w:t>
            </w:r>
            <w:r>
              <w:rPr>
                <w:rFonts w:eastAsia="Segoe UI"/>
                <w:szCs w:val="26"/>
                <w:lang w:val="lv-LV"/>
              </w:rPr>
              <w:t>8</w:t>
            </w:r>
            <w:r w:rsidRPr="005045DB">
              <w:rPr>
                <w:rFonts w:eastAsia="Segoe UI"/>
                <w:szCs w:val="26"/>
                <w:lang w:val="lv-LV"/>
              </w:rPr>
              <w:t>.punkts</w:t>
            </w:r>
            <w:r w:rsidRPr="005045DB">
              <w:rPr>
                <w:rFonts w:eastAsia="Times New Roman"/>
                <w:szCs w:val="26"/>
                <w:lang w:val="lv-LV"/>
              </w:rPr>
              <w:t xml:space="preserve">) saskaņā ar normatīvajiem aktiem par kārtību, kādā publicē informāciju par sniegto komercdarbības </w:t>
            </w:r>
            <w:r w:rsidRPr="005A4EBD">
              <w:rPr>
                <w:rFonts w:eastAsia="Times New Roman"/>
                <w:szCs w:val="26"/>
                <w:lang w:val="lv-LV"/>
              </w:rPr>
              <w:t>atbalstu un piešķir un anulē elektroniskās sistēmas lietošanas tiesības.</w:t>
            </w:r>
          </w:p>
          <w:p w14:paraId="525A4E67" w14:textId="6594A441" w:rsidR="00F57481" w:rsidRPr="00F734FE" w:rsidRDefault="00F734FE" w:rsidP="000A37AF">
            <w:pPr>
              <w:spacing w:before="120"/>
              <w:jc w:val="both"/>
              <w:rPr>
                <w:rStyle w:val="eop"/>
                <w:rFonts w:eastAsia="Times New Roman"/>
                <w:szCs w:val="26"/>
                <w:lang w:val="lv-LV"/>
              </w:rPr>
            </w:pPr>
            <w:r w:rsidRPr="005A4EBD">
              <w:rPr>
                <w:rFonts w:eastAsia="Times New Roman"/>
                <w:szCs w:val="26"/>
                <w:lang w:val="lv-LV"/>
              </w:rPr>
              <w:t xml:space="preserve">Par valsts atbalsta piešķiršanas brīdi tiek uzskatīta diena, kurā </w:t>
            </w:r>
            <w:r>
              <w:rPr>
                <w:rFonts w:eastAsia="Times New Roman"/>
                <w:szCs w:val="26"/>
                <w:lang w:val="lv-LV"/>
              </w:rPr>
              <w:t>LIAA</w:t>
            </w:r>
            <w:r w:rsidRPr="00F56B96">
              <w:rPr>
                <w:rFonts w:eastAsia="Times New Roman"/>
                <w:szCs w:val="26"/>
                <w:lang w:val="lv-LV"/>
              </w:rPr>
              <w:t xml:space="preserve"> </w:t>
            </w:r>
            <w:r w:rsidRPr="005A4EBD">
              <w:rPr>
                <w:rFonts w:eastAsia="Times New Roman"/>
                <w:szCs w:val="26"/>
                <w:lang w:val="lv-LV"/>
              </w:rPr>
              <w:t>pieņem lēmumu par atbalsta piešķiršanu.</w:t>
            </w:r>
            <w:r>
              <w:rPr>
                <w:rFonts w:eastAsia="Times New Roman"/>
                <w:szCs w:val="26"/>
                <w:lang w:val="lv-LV"/>
              </w:rPr>
              <w:t xml:space="preserve"> LIAA</w:t>
            </w:r>
            <w:r w:rsidRPr="00F56B96">
              <w:rPr>
                <w:rFonts w:eastAsia="Times New Roman"/>
                <w:szCs w:val="26"/>
                <w:lang w:val="lv-LV"/>
              </w:rPr>
              <w:t xml:space="preserve"> </w:t>
            </w:r>
            <w:r>
              <w:rPr>
                <w:rFonts w:eastAsia="Times New Roman"/>
                <w:szCs w:val="26"/>
                <w:lang w:val="lv-LV"/>
              </w:rPr>
              <w:t xml:space="preserve">lēmumu par atbalsta piešķiršanu pieņem atbilstoši Administratīvā procesa likuma 64.pantam. </w:t>
            </w:r>
          </w:p>
          <w:p w14:paraId="0E5A19C3" w14:textId="6E12F3CD" w:rsidR="001342EF" w:rsidRPr="00716ECC" w:rsidRDefault="00F734FE" w:rsidP="006A4C69">
            <w:pPr>
              <w:jc w:val="both"/>
              <w:rPr>
                <w:rFonts w:eastAsia="Times New Roman"/>
                <w:szCs w:val="26"/>
                <w:lang w:val="lv-LV" w:eastAsia="lv-LV"/>
              </w:rPr>
            </w:pPr>
            <w:r>
              <w:rPr>
                <w:rFonts w:eastAsia="Times New Roman"/>
                <w:szCs w:val="26"/>
                <w:lang w:val="lv-LV"/>
              </w:rPr>
              <w:t xml:space="preserve">MK </w:t>
            </w:r>
            <w:r w:rsidRPr="005A4EBD">
              <w:rPr>
                <w:rFonts w:eastAsia="Times New Roman"/>
                <w:szCs w:val="26"/>
                <w:lang w:val="lv-LV"/>
              </w:rPr>
              <w:t>Noteikum</w:t>
            </w:r>
            <w:r>
              <w:rPr>
                <w:rFonts w:eastAsia="Times New Roman"/>
                <w:szCs w:val="26"/>
                <w:lang w:val="lv-LV"/>
              </w:rPr>
              <w:t>u projekts</w:t>
            </w:r>
            <w:r w:rsidRPr="005A4EBD">
              <w:rPr>
                <w:rFonts w:eastAsia="Times New Roman"/>
                <w:szCs w:val="26"/>
                <w:lang w:val="lv-LV"/>
              </w:rPr>
              <w:t xml:space="preserve"> stājas spēkā ar brīdi, kad tie tiek publicēti oficiālajā izdevumā “Latvijas vēstnesis”. Vienlaikus lēmuma pieņemšana par atbalsta piešķiršanu tiek veikta tikai pēc tam, kad Eiropas Komisija pieņēmusi lēmumu par komercdarbības atbalsta saderību ar Eiropas Savienības iekšējo tirgu.</w:t>
            </w:r>
          </w:p>
        </w:tc>
      </w:tr>
      <w:tr w:rsidR="00716ECC" w:rsidRPr="00716ECC" w14:paraId="6EA8D031" w14:textId="77777777" w:rsidTr="00DE7318">
        <w:tc>
          <w:tcPr>
            <w:tcW w:w="546" w:type="dxa"/>
          </w:tcPr>
          <w:p w14:paraId="229131F8" w14:textId="63030CCA" w:rsidR="001342EF" w:rsidRPr="00716ECC" w:rsidRDefault="001342EF" w:rsidP="001342EF">
            <w:pPr>
              <w:tabs>
                <w:tab w:val="right" w:pos="9072"/>
              </w:tabs>
              <w:contextualSpacing/>
              <w:rPr>
                <w:szCs w:val="26"/>
                <w:lang w:val="lv-LV"/>
              </w:rPr>
            </w:pPr>
            <w:r w:rsidRPr="00716ECC">
              <w:rPr>
                <w:szCs w:val="26"/>
                <w:lang w:val="lv-LV"/>
              </w:rPr>
              <w:lastRenderedPageBreak/>
              <w:t>3.</w:t>
            </w:r>
          </w:p>
        </w:tc>
        <w:tc>
          <w:tcPr>
            <w:tcW w:w="1717" w:type="dxa"/>
          </w:tcPr>
          <w:p w14:paraId="3736CC5D" w14:textId="6C65FB4C" w:rsidR="001342EF" w:rsidRPr="00716ECC" w:rsidRDefault="001342EF" w:rsidP="001342EF">
            <w:pPr>
              <w:tabs>
                <w:tab w:val="right" w:pos="9072"/>
              </w:tabs>
              <w:contextualSpacing/>
              <w:rPr>
                <w:szCs w:val="26"/>
                <w:lang w:val="lv-LV"/>
              </w:rPr>
            </w:pPr>
            <w:r w:rsidRPr="00716ECC">
              <w:rPr>
                <w:szCs w:val="26"/>
                <w:lang w:val="lv-LV"/>
              </w:rPr>
              <w:t>Projekta izstrādē iesaistītās institūcijas un publiskas personas kapitālsabiedrības</w:t>
            </w:r>
          </w:p>
        </w:tc>
        <w:tc>
          <w:tcPr>
            <w:tcW w:w="7230" w:type="dxa"/>
          </w:tcPr>
          <w:p w14:paraId="4C4ADA62" w14:textId="4C003551" w:rsidR="001342EF" w:rsidRPr="00716ECC" w:rsidRDefault="003A41F7" w:rsidP="001342EF">
            <w:pPr>
              <w:tabs>
                <w:tab w:val="right" w:pos="9072"/>
              </w:tabs>
              <w:contextualSpacing/>
              <w:rPr>
                <w:szCs w:val="26"/>
                <w:lang w:val="lv-LV"/>
              </w:rPr>
            </w:pPr>
            <w:r w:rsidRPr="00716ECC">
              <w:rPr>
                <w:rFonts w:eastAsia="Times New Roman"/>
                <w:szCs w:val="26"/>
                <w:lang w:val="lv-LV" w:eastAsia="lv-LV"/>
              </w:rPr>
              <w:t xml:space="preserve">Ekonomikas ministrija, </w:t>
            </w:r>
            <w:r w:rsidR="00F734FE">
              <w:rPr>
                <w:rFonts w:eastAsia="Times New Roman"/>
                <w:szCs w:val="26"/>
                <w:lang w:val="lv-LV"/>
              </w:rPr>
              <w:t>LIAA.</w:t>
            </w:r>
          </w:p>
        </w:tc>
      </w:tr>
      <w:tr w:rsidR="001342EF" w:rsidRPr="00716ECC" w14:paraId="346F400E" w14:textId="77777777" w:rsidTr="00DE7318">
        <w:tc>
          <w:tcPr>
            <w:tcW w:w="546" w:type="dxa"/>
          </w:tcPr>
          <w:p w14:paraId="5D47EBE6" w14:textId="522F84A7" w:rsidR="001342EF" w:rsidRPr="00716ECC" w:rsidRDefault="001342EF" w:rsidP="001342EF">
            <w:pPr>
              <w:tabs>
                <w:tab w:val="right" w:pos="9072"/>
              </w:tabs>
              <w:contextualSpacing/>
              <w:rPr>
                <w:szCs w:val="26"/>
                <w:lang w:val="lv-LV"/>
              </w:rPr>
            </w:pPr>
            <w:r w:rsidRPr="00716ECC">
              <w:rPr>
                <w:szCs w:val="26"/>
                <w:lang w:val="lv-LV"/>
              </w:rPr>
              <w:lastRenderedPageBreak/>
              <w:t>4.</w:t>
            </w:r>
          </w:p>
        </w:tc>
        <w:tc>
          <w:tcPr>
            <w:tcW w:w="1717" w:type="dxa"/>
          </w:tcPr>
          <w:p w14:paraId="2B31B963" w14:textId="3379E9D4" w:rsidR="001342EF" w:rsidRPr="00716ECC" w:rsidRDefault="001342EF" w:rsidP="001342EF">
            <w:pPr>
              <w:tabs>
                <w:tab w:val="right" w:pos="9072"/>
              </w:tabs>
              <w:contextualSpacing/>
              <w:rPr>
                <w:szCs w:val="26"/>
                <w:lang w:val="lv-LV"/>
              </w:rPr>
            </w:pPr>
            <w:r w:rsidRPr="00716ECC">
              <w:rPr>
                <w:szCs w:val="26"/>
                <w:lang w:val="lv-LV"/>
              </w:rPr>
              <w:t>Cita informācija</w:t>
            </w:r>
          </w:p>
        </w:tc>
        <w:tc>
          <w:tcPr>
            <w:tcW w:w="7230" w:type="dxa"/>
          </w:tcPr>
          <w:p w14:paraId="2DA1D4D8" w14:textId="1EF02194" w:rsidR="001342EF" w:rsidRPr="00716ECC" w:rsidRDefault="001342EF" w:rsidP="001342EF">
            <w:pPr>
              <w:tabs>
                <w:tab w:val="right" w:pos="9072"/>
              </w:tabs>
              <w:contextualSpacing/>
              <w:rPr>
                <w:szCs w:val="26"/>
                <w:lang w:val="lv-LV"/>
              </w:rPr>
            </w:pPr>
            <w:r w:rsidRPr="00716ECC">
              <w:rPr>
                <w:szCs w:val="26"/>
                <w:lang w:val="lv-LV"/>
              </w:rPr>
              <w:t>Nav.</w:t>
            </w:r>
          </w:p>
        </w:tc>
      </w:tr>
    </w:tbl>
    <w:p w14:paraId="3B75E07E" w14:textId="77777777" w:rsidR="008F4A99" w:rsidRPr="00716ECC" w:rsidRDefault="008F4A99" w:rsidP="00434856">
      <w:pPr>
        <w:tabs>
          <w:tab w:val="right" w:pos="9072"/>
        </w:tabs>
        <w:contextualSpacing/>
        <w:rPr>
          <w:szCs w:val="26"/>
          <w:lang w:val="lv-LV"/>
        </w:rPr>
      </w:pPr>
    </w:p>
    <w:tbl>
      <w:tblPr>
        <w:tblW w:w="9076"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324"/>
      </w:tblGrid>
      <w:tr w:rsidR="00716ECC" w:rsidRPr="004949AC" w14:paraId="5271E387" w14:textId="77777777" w:rsidTr="00AE4CF0">
        <w:trPr>
          <w:trHeight w:val="555"/>
        </w:trPr>
        <w:tc>
          <w:tcPr>
            <w:tcW w:w="9076"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716ECC" w:rsidRDefault="009A00EB" w:rsidP="003D3252">
            <w:pPr>
              <w:contextualSpacing/>
              <w:jc w:val="center"/>
              <w:rPr>
                <w:rFonts w:eastAsia="Times New Roman"/>
                <w:szCs w:val="26"/>
                <w:lang w:val="lv-LV" w:eastAsia="lv-LV"/>
              </w:rPr>
            </w:pPr>
            <w:r w:rsidRPr="00716ECC">
              <w:rPr>
                <w:rFonts w:eastAsia="Times New Roman"/>
                <w:b/>
                <w:bCs/>
                <w:szCs w:val="26"/>
                <w:lang w:val="lv-LV" w:eastAsia="lv-LV"/>
              </w:rPr>
              <w:t>II. Tiesību akta projekta ietekme uz sabiedrību, tautsaimniecības attīstību un administratīvo slogu</w:t>
            </w:r>
          </w:p>
        </w:tc>
      </w:tr>
      <w:tr w:rsidR="00716ECC" w:rsidRPr="004949AC" w14:paraId="7F8630C6" w14:textId="77777777" w:rsidTr="00AE4CF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 xml:space="preserve">Sabiedrības </w:t>
            </w:r>
            <w:proofErr w:type="spellStart"/>
            <w:r w:rsidRPr="00716ECC">
              <w:rPr>
                <w:rFonts w:eastAsia="Times New Roman"/>
                <w:szCs w:val="26"/>
                <w:lang w:val="lv-LV" w:eastAsia="lv-LV"/>
              </w:rPr>
              <w:t>mērķgrupas</w:t>
            </w:r>
            <w:proofErr w:type="spellEnd"/>
            <w:r w:rsidRPr="00716ECC">
              <w:rPr>
                <w:rFonts w:eastAsia="Times New Roman"/>
                <w:szCs w:val="26"/>
                <w:lang w:val="lv-LV" w:eastAsia="lv-LV"/>
              </w:rPr>
              <w:t>, kuras tiesiskais regulējums ietekmē vai varētu ietekmēt</w:t>
            </w:r>
          </w:p>
        </w:tc>
        <w:tc>
          <w:tcPr>
            <w:tcW w:w="6324" w:type="dxa"/>
            <w:tcBorders>
              <w:top w:val="single" w:sz="4" w:space="0" w:color="auto"/>
              <w:left w:val="outset" w:sz="6" w:space="0" w:color="414142"/>
              <w:bottom w:val="outset" w:sz="6" w:space="0" w:color="414142"/>
              <w:right w:val="outset" w:sz="6" w:space="0" w:color="414142"/>
            </w:tcBorders>
            <w:hideMark/>
          </w:tcPr>
          <w:p w14:paraId="24767C0C" w14:textId="77777777" w:rsidR="00F734FE" w:rsidRDefault="003A41F7" w:rsidP="00D54773">
            <w:pPr>
              <w:jc w:val="both"/>
              <w:rPr>
                <w:szCs w:val="26"/>
                <w:lang w:val="lv-LV"/>
              </w:rPr>
            </w:pPr>
            <w:r w:rsidRPr="00716ECC">
              <w:rPr>
                <w:szCs w:val="26"/>
                <w:lang w:val="lv-LV"/>
              </w:rPr>
              <w:t xml:space="preserve">Regulējums ietekmēs MK Noteikumu projektā noteikto nomas maksas ieņēmumu krituma piedzīvojušos uzņēmējus – aptuveni 109 sporta centrus. </w:t>
            </w:r>
          </w:p>
          <w:p w14:paraId="3D68FB87" w14:textId="6EFB32B1" w:rsidR="00481296" w:rsidRPr="00716ECC" w:rsidRDefault="00F734FE" w:rsidP="00D54773">
            <w:pPr>
              <w:jc w:val="both"/>
              <w:rPr>
                <w:rFonts w:eastAsia="Times New Roman"/>
                <w:szCs w:val="26"/>
                <w:lang w:val="lv-LV" w:eastAsia="lv-LV"/>
              </w:rPr>
            </w:pPr>
            <w:r w:rsidRPr="28BD8EE4">
              <w:rPr>
                <w:szCs w:val="26"/>
                <w:lang w:val="lv-LV"/>
              </w:rPr>
              <w:t xml:space="preserve">Atbalsta mehānisma nodrošināšana ietekmēs </w:t>
            </w:r>
            <w:r>
              <w:rPr>
                <w:rFonts w:eastAsia="Times New Roman"/>
                <w:szCs w:val="26"/>
                <w:lang w:val="lv-LV"/>
              </w:rPr>
              <w:t>LIAA</w:t>
            </w:r>
            <w:r w:rsidRPr="00F56B96">
              <w:rPr>
                <w:rFonts w:eastAsia="Times New Roman"/>
                <w:szCs w:val="26"/>
                <w:lang w:val="lv-LV"/>
              </w:rPr>
              <w:t xml:space="preserve"> aģentūra</w:t>
            </w:r>
            <w:r>
              <w:rPr>
                <w:rFonts w:eastAsia="Times New Roman"/>
                <w:szCs w:val="26"/>
                <w:lang w:val="lv-LV"/>
              </w:rPr>
              <w:t>s</w:t>
            </w:r>
            <w:r w:rsidRPr="00F56B96">
              <w:rPr>
                <w:rFonts w:eastAsia="Times New Roman"/>
                <w:szCs w:val="26"/>
                <w:lang w:val="lv-LV"/>
              </w:rPr>
              <w:t xml:space="preserve"> </w:t>
            </w:r>
            <w:r w:rsidRPr="28BD8EE4">
              <w:rPr>
                <w:szCs w:val="26"/>
                <w:lang w:val="lv-LV"/>
              </w:rPr>
              <w:t>darbību.</w:t>
            </w:r>
          </w:p>
        </w:tc>
      </w:tr>
      <w:tr w:rsidR="00716ECC" w:rsidRPr="004949AC" w14:paraId="718E705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Tiesiskā regulējuma ietekme uz tautsaimniecību un administratīvo slogu</w:t>
            </w:r>
          </w:p>
        </w:tc>
        <w:tc>
          <w:tcPr>
            <w:tcW w:w="6324" w:type="dxa"/>
            <w:tcBorders>
              <w:top w:val="outset" w:sz="6" w:space="0" w:color="414142"/>
              <w:left w:val="outset" w:sz="6" w:space="0" w:color="414142"/>
              <w:bottom w:val="outset" w:sz="6" w:space="0" w:color="414142"/>
              <w:right w:val="outset" w:sz="6" w:space="0" w:color="414142"/>
            </w:tcBorders>
            <w:hideMark/>
          </w:tcPr>
          <w:p w14:paraId="7512CC6D" w14:textId="556C50F6" w:rsidR="003A41F7" w:rsidRPr="00716ECC" w:rsidRDefault="003A41F7" w:rsidP="003A41F7">
            <w:pPr>
              <w:pStyle w:val="BodyText"/>
              <w:ind w:right="201"/>
              <w:contextualSpacing/>
              <w:rPr>
                <w:rFonts w:eastAsia="Calibri"/>
                <w:sz w:val="26"/>
                <w:szCs w:val="26"/>
                <w:lang w:eastAsia="en-US"/>
              </w:rPr>
            </w:pPr>
            <w:r w:rsidRPr="00716ECC">
              <w:rPr>
                <w:rFonts w:eastAsia="Calibri"/>
                <w:sz w:val="26"/>
                <w:szCs w:val="26"/>
                <w:lang w:eastAsia="en-US"/>
              </w:rPr>
              <w:t xml:space="preserve">Noteikumu projekts paredz atbalstīt </w:t>
            </w:r>
            <w:r w:rsidR="00F734FE">
              <w:rPr>
                <w:rFonts w:eastAsia="Calibri"/>
                <w:sz w:val="26"/>
                <w:szCs w:val="26"/>
                <w:lang w:eastAsia="en-US"/>
              </w:rPr>
              <w:t>sporta</w:t>
            </w:r>
            <w:r w:rsidRPr="00716ECC">
              <w:rPr>
                <w:rFonts w:eastAsia="Calibri"/>
                <w:sz w:val="26"/>
                <w:szCs w:val="26"/>
                <w:lang w:eastAsia="en-US"/>
              </w:rPr>
              <w:t xml:space="preserve"> centrus COVID-19 krīzes ietvaros, sniedzot atbalstu apgrozījuma krituma kompensācijai.</w:t>
            </w:r>
          </w:p>
          <w:p w14:paraId="33918B01" w14:textId="60EBD640" w:rsidR="009A00EB" w:rsidRPr="00716ECC" w:rsidRDefault="00F734FE" w:rsidP="003A41F7">
            <w:pPr>
              <w:pStyle w:val="BodyText"/>
              <w:ind w:right="201"/>
              <w:contextualSpacing/>
              <w:rPr>
                <w:rFonts w:eastAsia="Calibri"/>
                <w:sz w:val="26"/>
                <w:szCs w:val="26"/>
                <w:lang w:eastAsia="en-US"/>
              </w:rPr>
            </w:pPr>
            <w:r w:rsidRPr="00B34695">
              <w:rPr>
                <w:rFonts w:eastAsia="Calibri"/>
                <w:color w:val="000000" w:themeColor="text1"/>
                <w:sz w:val="26"/>
                <w:szCs w:val="26"/>
                <w:lang w:eastAsia="en-US"/>
              </w:rPr>
              <w:t xml:space="preserve">Noteikumu projektā ietvertā tiesiskā regulējuma īstenošana tiks nodrošināta </w:t>
            </w:r>
            <w:r>
              <w:rPr>
                <w:sz w:val="26"/>
                <w:szCs w:val="26"/>
              </w:rPr>
              <w:t>LIAA</w:t>
            </w:r>
            <w:r w:rsidRPr="00B34695">
              <w:rPr>
                <w:rFonts w:eastAsia="Calibri"/>
                <w:color w:val="000000" w:themeColor="text1"/>
                <w:sz w:val="26"/>
                <w:szCs w:val="26"/>
                <w:lang w:eastAsia="en-US"/>
              </w:rPr>
              <w:t xml:space="preserve"> esošo līdzekļu un cilvēkresursu ietvaros.</w:t>
            </w:r>
          </w:p>
        </w:tc>
      </w:tr>
      <w:tr w:rsidR="00716ECC" w:rsidRPr="00716ECC" w14:paraId="6AF18C8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Administratīvo izmaksu monetārs novērtējums</w:t>
            </w:r>
          </w:p>
        </w:tc>
        <w:tc>
          <w:tcPr>
            <w:tcW w:w="6324" w:type="dxa"/>
            <w:tcBorders>
              <w:top w:val="outset" w:sz="6" w:space="0" w:color="414142"/>
              <w:left w:val="outset" w:sz="6" w:space="0" w:color="414142"/>
              <w:bottom w:val="outset" w:sz="6" w:space="0" w:color="414142"/>
              <w:right w:val="outset" w:sz="6" w:space="0" w:color="414142"/>
            </w:tcBorders>
            <w:hideMark/>
          </w:tcPr>
          <w:p w14:paraId="1C2C4F79" w14:textId="4D1B7B30" w:rsidR="009A00EB" w:rsidRPr="00716ECC" w:rsidRDefault="001F5AB0" w:rsidP="005F3196">
            <w:pPr>
              <w:pStyle w:val="BodyText"/>
              <w:ind w:right="201"/>
              <w:contextualSpacing/>
              <w:rPr>
                <w:rFonts w:eastAsia="Calibri"/>
                <w:sz w:val="26"/>
                <w:szCs w:val="26"/>
                <w:lang w:eastAsia="en-US"/>
              </w:rPr>
            </w:pPr>
            <w:r w:rsidRPr="00716ECC">
              <w:rPr>
                <w:bCs/>
                <w:iCs/>
                <w:sz w:val="26"/>
                <w:szCs w:val="26"/>
              </w:rPr>
              <w:t xml:space="preserve">MK </w:t>
            </w:r>
            <w:r w:rsidR="003A41F7" w:rsidRPr="00716ECC">
              <w:rPr>
                <w:bCs/>
                <w:iCs/>
                <w:sz w:val="26"/>
                <w:szCs w:val="26"/>
              </w:rPr>
              <w:t>N</w:t>
            </w:r>
            <w:r w:rsidRPr="00716ECC">
              <w:rPr>
                <w:bCs/>
                <w:iCs/>
                <w:sz w:val="26"/>
                <w:szCs w:val="26"/>
              </w:rPr>
              <w:t>oteikumu projekts</w:t>
            </w:r>
            <w:r w:rsidRPr="00716ECC">
              <w:rPr>
                <w:rFonts w:eastAsia="Calibri"/>
                <w:sz w:val="26"/>
                <w:szCs w:val="26"/>
                <w:lang w:eastAsia="en-US"/>
              </w:rPr>
              <w:t xml:space="preserve"> </w:t>
            </w:r>
            <w:r w:rsidR="009A00EB" w:rsidRPr="00716ECC">
              <w:rPr>
                <w:rFonts w:eastAsia="Calibri"/>
                <w:sz w:val="26"/>
                <w:szCs w:val="26"/>
                <w:lang w:eastAsia="en-US"/>
              </w:rPr>
              <w:t>šo jomu neskar</w:t>
            </w:r>
            <w:r w:rsidR="009D1FC1" w:rsidRPr="00716ECC">
              <w:rPr>
                <w:rFonts w:eastAsia="Calibri"/>
                <w:sz w:val="26"/>
                <w:szCs w:val="26"/>
                <w:lang w:eastAsia="en-US"/>
              </w:rPr>
              <w:t>.</w:t>
            </w:r>
          </w:p>
        </w:tc>
      </w:tr>
      <w:tr w:rsidR="00716ECC" w:rsidRPr="00716ECC" w14:paraId="259E0982" w14:textId="77777777" w:rsidTr="00AE4CF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tcPr>
          <w:p w14:paraId="7C60B8CA" w14:textId="074C85F9" w:rsidR="009A00EB" w:rsidRPr="00716ECC" w:rsidRDefault="001F5AB0" w:rsidP="005F3196">
            <w:pPr>
              <w:pStyle w:val="BodyText"/>
              <w:ind w:right="201"/>
              <w:contextualSpacing/>
              <w:rPr>
                <w:rFonts w:eastAsia="Calibri"/>
                <w:sz w:val="26"/>
                <w:szCs w:val="26"/>
                <w:lang w:eastAsia="en-US"/>
              </w:rPr>
            </w:pPr>
            <w:r w:rsidRPr="00716ECC">
              <w:rPr>
                <w:bCs/>
                <w:iCs/>
                <w:sz w:val="26"/>
                <w:szCs w:val="26"/>
              </w:rPr>
              <w:t xml:space="preserve">MK </w:t>
            </w:r>
            <w:r w:rsidR="003A41F7" w:rsidRPr="00716ECC">
              <w:rPr>
                <w:bCs/>
                <w:iCs/>
                <w:sz w:val="26"/>
                <w:szCs w:val="26"/>
              </w:rPr>
              <w:t>N</w:t>
            </w:r>
            <w:r w:rsidRPr="00716ECC">
              <w:rPr>
                <w:bCs/>
                <w:iCs/>
                <w:sz w:val="26"/>
                <w:szCs w:val="26"/>
              </w:rPr>
              <w:t>oteikumu projekts</w:t>
            </w:r>
            <w:r w:rsidRPr="00716ECC">
              <w:rPr>
                <w:rFonts w:eastAsia="Calibri"/>
                <w:sz w:val="26"/>
                <w:szCs w:val="26"/>
                <w:lang w:eastAsia="en-US"/>
              </w:rPr>
              <w:t xml:space="preserve"> </w:t>
            </w:r>
            <w:r w:rsidR="009A00EB" w:rsidRPr="00716ECC">
              <w:rPr>
                <w:rFonts w:eastAsia="Calibri"/>
                <w:sz w:val="26"/>
                <w:szCs w:val="26"/>
                <w:lang w:eastAsia="en-US"/>
              </w:rPr>
              <w:t>šo jomu neskar</w:t>
            </w:r>
            <w:r w:rsidR="009D1FC1" w:rsidRPr="00716ECC">
              <w:rPr>
                <w:rFonts w:eastAsia="Calibri"/>
                <w:sz w:val="26"/>
                <w:szCs w:val="26"/>
                <w:lang w:eastAsia="en-US"/>
              </w:rPr>
              <w:t>.</w:t>
            </w:r>
          </w:p>
        </w:tc>
      </w:tr>
      <w:tr w:rsidR="00716ECC" w:rsidRPr="00716ECC" w14:paraId="14FCA979" w14:textId="77777777" w:rsidTr="00AE4CF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716ECC" w:rsidRDefault="009A00EB" w:rsidP="009A00EB">
            <w:pPr>
              <w:contextualSpacing/>
              <w:rPr>
                <w:rFonts w:eastAsia="Times New Roman"/>
                <w:szCs w:val="26"/>
                <w:lang w:val="lv-LV" w:eastAsia="lv-LV"/>
              </w:rPr>
            </w:pPr>
            <w:r w:rsidRPr="00716ECC">
              <w:rPr>
                <w:rFonts w:eastAsia="Times New Roman"/>
                <w:szCs w:val="26"/>
                <w:lang w:val="lv-LV" w:eastAsia="lv-LV"/>
              </w:rPr>
              <w:t>Cita informācija</w:t>
            </w:r>
          </w:p>
        </w:tc>
        <w:tc>
          <w:tcPr>
            <w:tcW w:w="6324"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716ECC" w:rsidRDefault="009A00EB" w:rsidP="005F3196">
            <w:pPr>
              <w:ind w:right="201"/>
              <w:contextualSpacing/>
              <w:jc w:val="both"/>
              <w:rPr>
                <w:szCs w:val="26"/>
                <w:lang w:val="lv-LV"/>
              </w:rPr>
            </w:pPr>
            <w:r w:rsidRPr="00716ECC">
              <w:rPr>
                <w:szCs w:val="26"/>
                <w:lang w:val="lv-LV"/>
              </w:rPr>
              <w:t>Nav</w:t>
            </w:r>
          </w:p>
        </w:tc>
      </w:tr>
    </w:tbl>
    <w:p w14:paraId="31773186" w14:textId="03E02AF9" w:rsidR="001342EF" w:rsidRPr="00716ECC" w:rsidRDefault="001342EF" w:rsidP="00370711">
      <w:pPr>
        <w:contextualSpacing/>
        <w:rPr>
          <w:rFonts w:eastAsia="Times New Roman"/>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112"/>
        <w:gridCol w:w="1287"/>
        <w:gridCol w:w="1272"/>
        <w:gridCol w:w="1426"/>
        <w:gridCol w:w="1021"/>
        <w:gridCol w:w="1106"/>
        <w:gridCol w:w="1319"/>
      </w:tblGrid>
      <w:tr w:rsidR="00716ECC" w:rsidRPr="004949AC" w14:paraId="276821E3" w14:textId="77777777" w:rsidTr="00DE7318">
        <w:tc>
          <w:tcPr>
            <w:tcW w:w="10120" w:type="dxa"/>
            <w:gridSpan w:val="8"/>
            <w:tcBorders>
              <w:top w:val="single" w:sz="4" w:space="0" w:color="auto"/>
              <w:left w:val="single" w:sz="4" w:space="0" w:color="auto"/>
              <w:bottom w:val="single" w:sz="4" w:space="0" w:color="auto"/>
              <w:right w:val="single" w:sz="4" w:space="0" w:color="auto"/>
            </w:tcBorders>
            <w:vAlign w:val="center"/>
          </w:tcPr>
          <w:p w14:paraId="44EF3244" w14:textId="77777777" w:rsidR="003A41F7" w:rsidRPr="00716ECC" w:rsidRDefault="003A41F7" w:rsidP="00DE7318">
            <w:pPr>
              <w:pStyle w:val="ListParagraph"/>
              <w:tabs>
                <w:tab w:val="left" w:pos="317"/>
              </w:tabs>
              <w:ind w:left="0"/>
              <w:jc w:val="center"/>
              <w:rPr>
                <w:b/>
                <w:bCs/>
                <w:szCs w:val="26"/>
                <w:lang w:val="lv-LV" w:eastAsia="ja-JP"/>
              </w:rPr>
            </w:pPr>
            <w:r w:rsidRPr="00716ECC">
              <w:rPr>
                <w:b/>
                <w:bCs/>
                <w:szCs w:val="26"/>
                <w:lang w:val="lv-LV" w:eastAsia="ja-JP"/>
              </w:rPr>
              <w:t>III. Tiesību akta projekta ietekme uz valsts budžetu un pašvaldību budžetiem</w:t>
            </w:r>
          </w:p>
        </w:tc>
      </w:tr>
      <w:tr w:rsidR="00716ECC" w:rsidRPr="00716ECC" w14:paraId="07A1A22C" w14:textId="77777777" w:rsidTr="00DE7318">
        <w:tc>
          <w:tcPr>
            <w:tcW w:w="1577" w:type="dxa"/>
            <w:vMerge w:val="restart"/>
            <w:tcBorders>
              <w:top w:val="single" w:sz="4" w:space="0" w:color="auto"/>
              <w:left w:val="single" w:sz="4" w:space="0" w:color="auto"/>
              <w:right w:val="single" w:sz="4" w:space="0" w:color="auto"/>
            </w:tcBorders>
            <w:shd w:val="clear" w:color="auto" w:fill="auto"/>
            <w:vAlign w:val="center"/>
          </w:tcPr>
          <w:p w14:paraId="60E8CA5E" w14:textId="77777777" w:rsidR="003A41F7" w:rsidRPr="00716ECC" w:rsidRDefault="003A41F7" w:rsidP="00DE7318">
            <w:pPr>
              <w:jc w:val="center"/>
              <w:rPr>
                <w:rFonts w:eastAsia="Times New Roman"/>
                <w:b/>
                <w:bCs/>
                <w:sz w:val="22"/>
                <w:szCs w:val="22"/>
                <w:lang w:val="lv-LV" w:eastAsia="ja-JP"/>
              </w:rPr>
            </w:pPr>
          </w:p>
          <w:p w14:paraId="5DA86E3C" w14:textId="77777777" w:rsidR="003A41F7" w:rsidRPr="00716ECC" w:rsidRDefault="003A41F7" w:rsidP="00DE7318">
            <w:pPr>
              <w:jc w:val="center"/>
              <w:rPr>
                <w:rFonts w:eastAsia="Times New Roman"/>
                <w:b/>
                <w:bCs/>
                <w:sz w:val="22"/>
                <w:szCs w:val="22"/>
                <w:lang w:val="lv-LV" w:eastAsia="ja-JP"/>
              </w:rPr>
            </w:pPr>
          </w:p>
          <w:p w14:paraId="2199D7D4" w14:textId="77777777" w:rsidR="003A41F7" w:rsidRPr="00716ECC" w:rsidRDefault="003A41F7" w:rsidP="00DE7318">
            <w:pPr>
              <w:jc w:val="center"/>
              <w:rPr>
                <w:rFonts w:eastAsia="Times New Roman"/>
                <w:b/>
                <w:bCs/>
                <w:sz w:val="22"/>
                <w:szCs w:val="22"/>
                <w:lang w:val="lv-LV" w:eastAsia="ja-JP"/>
              </w:rPr>
            </w:pPr>
          </w:p>
          <w:p w14:paraId="25F9A64D" w14:textId="77777777" w:rsidR="003A41F7" w:rsidRPr="00716ECC" w:rsidRDefault="003A41F7" w:rsidP="00DE7318">
            <w:pPr>
              <w:jc w:val="center"/>
              <w:rPr>
                <w:rFonts w:eastAsia="Times New Roman"/>
                <w:b/>
                <w:bCs/>
                <w:sz w:val="22"/>
                <w:szCs w:val="22"/>
                <w:lang w:val="lv-LV" w:eastAsia="ja-JP"/>
              </w:rPr>
            </w:pPr>
          </w:p>
          <w:p w14:paraId="756D99FB" w14:textId="77777777" w:rsidR="003A41F7" w:rsidRPr="00716ECC" w:rsidRDefault="003A41F7" w:rsidP="00DE7318">
            <w:pPr>
              <w:jc w:val="center"/>
              <w:rPr>
                <w:rFonts w:eastAsia="Times New Roman"/>
                <w:b/>
                <w:bCs/>
                <w:sz w:val="22"/>
                <w:szCs w:val="22"/>
                <w:lang w:val="lv-LV" w:eastAsia="ja-JP"/>
              </w:rPr>
            </w:pPr>
          </w:p>
          <w:p w14:paraId="08B9335D" w14:textId="77777777" w:rsidR="003A41F7" w:rsidRPr="00716ECC" w:rsidRDefault="003A41F7" w:rsidP="00DE7318">
            <w:pPr>
              <w:jc w:val="center"/>
              <w:rPr>
                <w:sz w:val="22"/>
                <w:szCs w:val="22"/>
                <w:lang w:val="lv-LV"/>
              </w:rPr>
            </w:pPr>
            <w:r w:rsidRPr="00716ECC">
              <w:rPr>
                <w:rFonts w:eastAsia="Times New Roman"/>
                <w:b/>
                <w:bCs/>
                <w:sz w:val="22"/>
                <w:szCs w:val="22"/>
                <w:lang w:val="lv-LV" w:eastAsia="ja-JP"/>
              </w:rPr>
              <w:t>Rādītāji</w:t>
            </w:r>
          </w:p>
        </w:tc>
        <w:tc>
          <w:tcPr>
            <w:tcW w:w="2399" w:type="dxa"/>
            <w:gridSpan w:val="2"/>
            <w:vMerge w:val="restart"/>
            <w:tcBorders>
              <w:top w:val="single" w:sz="4" w:space="0" w:color="auto"/>
              <w:left w:val="single" w:sz="4" w:space="0" w:color="auto"/>
              <w:right w:val="single" w:sz="4" w:space="0" w:color="auto"/>
            </w:tcBorders>
            <w:shd w:val="clear" w:color="auto" w:fill="auto"/>
            <w:vAlign w:val="center"/>
          </w:tcPr>
          <w:p w14:paraId="43F42FF5" w14:textId="77777777" w:rsidR="003A41F7" w:rsidRPr="00716ECC" w:rsidRDefault="003A41F7" w:rsidP="00DE7318">
            <w:pPr>
              <w:pStyle w:val="ListParagraph"/>
              <w:tabs>
                <w:tab w:val="left" w:pos="317"/>
              </w:tabs>
              <w:ind w:left="34"/>
              <w:jc w:val="center"/>
              <w:rPr>
                <w:bCs/>
                <w:sz w:val="22"/>
                <w:szCs w:val="22"/>
                <w:lang w:val="lv-LV"/>
              </w:rPr>
            </w:pPr>
            <w:r w:rsidRPr="00716ECC">
              <w:rPr>
                <w:b/>
                <w:bCs/>
                <w:sz w:val="22"/>
                <w:szCs w:val="22"/>
                <w:lang w:val="lv-LV" w:eastAsia="ja-JP"/>
              </w:rPr>
              <w:t>2021.gads</w:t>
            </w:r>
          </w:p>
        </w:tc>
        <w:tc>
          <w:tcPr>
            <w:tcW w:w="6144" w:type="dxa"/>
            <w:gridSpan w:val="5"/>
            <w:tcBorders>
              <w:top w:val="single" w:sz="4" w:space="0" w:color="auto"/>
              <w:left w:val="single" w:sz="4" w:space="0" w:color="auto"/>
              <w:right w:val="single" w:sz="4" w:space="0" w:color="auto"/>
            </w:tcBorders>
            <w:vAlign w:val="center"/>
          </w:tcPr>
          <w:p w14:paraId="09E09430"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Turpmākie trīs gadi (</w:t>
            </w:r>
            <w:proofErr w:type="spellStart"/>
            <w:r w:rsidRPr="00716ECC">
              <w:rPr>
                <w:rFonts w:eastAsia="Times New Roman"/>
                <w:i/>
                <w:iCs/>
                <w:sz w:val="22"/>
                <w:szCs w:val="22"/>
                <w:lang w:val="lv-LV" w:eastAsia="ja-JP"/>
              </w:rPr>
              <w:t>euro</w:t>
            </w:r>
            <w:proofErr w:type="spellEnd"/>
            <w:r w:rsidRPr="00716ECC">
              <w:rPr>
                <w:rFonts w:eastAsia="Times New Roman"/>
                <w:sz w:val="22"/>
                <w:szCs w:val="22"/>
                <w:lang w:val="lv-LV" w:eastAsia="ja-JP"/>
              </w:rPr>
              <w:t>)</w:t>
            </w:r>
          </w:p>
        </w:tc>
      </w:tr>
      <w:tr w:rsidR="00716ECC" w:rsidRPr="00716ECC" w14:paraId="39D8E569" w14:textId="77777777" w:rsidTr="00DE7318">
        <w:tc>
          <w:tcPr>
            <w:tcW w:w="1577" w:type="dxa"/>
            <w:vMerge/>
            <w:vAlign w:val="center"/>
          </w:tcPr>
          <w:p w14:paraId="5ED73651" w14:textId="77777777" w:rsidR="003A41F7" w:rsidRPr="00716ECC" w:rsidRDefault="003A41F7" w:rsidP="00DE7318">
            <w:pPr>
              <w:jc w:val="center"/>
              <w:rPr>
                <w:sz w:val="22"/>
                <w:szCs w:val="22"/>
                <w:lang w:val="lv-LV"/>
              </w:rPr>
            </w:pPr>
          </w:p>
        </w:tc>
        <w:tc>
          <w:tcPr>
            <w:tcW w:w="2399" w:type="dxa"/>
            <w:gridSpan w:val="2"/>
            <w:vMerge/>
            <w:vAlign w:val="center"/>
          </w:tcPr>
          <w:p w14:paraId="014BB472" w14:textId="77777777" w:rsidR="003A41F7" w:rsidRPr="00716ECC" w:rsidRDefault="003A41F7" w:rsidP="00DE7318">
            <w:pPr>
              <w:pStyle w:val="ListParagraph"/>
              <w:tabs>
                <w:tab w:val="left" w:pos="317"/>
              </w:tabs>
              <w:ind w:left="34"/>
              <w:jc w:val="center"/>
              <w:rPr>
                <w:bCs/>
                <w:sz w:val="22"/>
                <w:szCs w:val="22"/>
                <w:lang w:val="lv-LV"/>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625EC" w14:textId="77777777" w:rsidR="003A41F7" w:rsidRPr="00716ECC" w:rsidRDefault="003A41F7" w:rsidP="00DE7318">
            <w:pPr>
              <w:jc w:val="center"/>
              <w:rPr>
                <w:rFonts w:eastAsia="Times New Roman"/>
                <w:b/>
                <w:bCs/>
                <w:sz w:val="22"/>
                <w:szCs w:val="22"/>
                <w:lang w:val="lv-LV" w:eastAsia="ja-JP"/>
              </w:rPr>
            </w:pPr>
            <w:r w:rsidRPr="00716ECC">
              <w:rPr>
                <w:rFonts w:eastAsia="Times New Roman"/>
                <w:b/>
                <w:bCs/>
                <w:sz w:val="22"/>
                <w:szCs w:val="22"/>
                <w:lang w:val="lv-LV" w:eastAsia="ja-JP"/>
              </w:rPr>
              <w:t>2022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9A488" w14:textId="77777777" w:rsidR="003A41F7" w:rsidRPr="00716ECC" w:rsidRDefault="003A41F7" w:rsidP="00DE7318">
            <w:pPr>
              <w:jc w:val="center"/>
              <w:rPr>
                <w:rFonts w:eastAsia="Times New Roman"/>
                <w:b/>
                <w:bCs/>
                <w:sz w:val="22"/>
                <w:szCs w:val="22"/>
                <w:lang w:val="lv-LV" w:eastAsia="ja-JP"/>
              </w:rPr>
            </w:pPr>
            <w:r w:rsidRPr="00716ECC">
              <w:rPr>
                <w:rFonts w:eastAsia="Times New Roman"/>
                <w:b/>
                <w:bCs/>
                <w:sz w:val="22"/>
                <w:szCs w:val="22"/>
                <w:lang w:val="lv-LV" w:eastAsia="ja-JP"/>
              </w:rPr>
              <w:t>2023</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B29B385" w14:textId="77777777" w:rsidR="003A41F7" w:rsidRPr="00716ECC" w:rsidRDefault="003A41F7" w:rsidP="00DE7318">
            <w:pPr>
              <w:jc w:val="center"/>
              <w:rPr>
                <w:rFonts w:eastAsia="Times New Roman"/>
                <w:b/>
                <w:bCs/>
                <w:sz w:val="22"/>
                <w:szCs w:val="22"/>
                <w:lang w:val="lv-LV" w:eastAsia="ja-JP"/>
              </w:rPr>
            </w:pPr>
            <w:r w:rsidRPr="00716ECC">
              <w:rPr>
                <w:rFonts w:eastAsia="Times New Roman"/>
                <w:b/>
                <w:bCs/>
                <w:sz w:val="22"/>
                <w:szCs w:val="22"/>
                <w:lang w:val="lv-LV" w:eastAsia="ja-JP"/>
              </w:rPr>
              <w:t>2024</w:t>
            </w:r>
          </w:p>
        </w:tc>
      </w:tr>
      <w:tr w:rsidR="00716ECC" w:rsidRPr="00716ECC" w14:paraId="65821657" w14:textId="77777777" w:rsidTr="00DE7318">
        <w:tc>
          <w:tcPr>
            <w:tcW w:w="1577" w:type="dxa"/>
            <w:vMerge/>
            <w:vAlign w:val="center"/>
          </w:tcPr>
          <w:p w14:paraId="50E5BCCB" w14:textId="77777777" w:rsidR="003A41F7" w:rsidRPr="00716ECC" w:rsidRDefault="003A41F7" w:rsidP="00DE7318">
            <w:pPr>
              <w:jc w:val="center"/>
              <w:rPr>
                <w:sz w:val="22"/>
                <w:szCs w:val="22"/>
                <w:lang w:val="lv-LV"/>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88894CF"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saskaņā ar valsts budžetu kārtējam gadam</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AC1939A"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izmaiņas kārtējā gadā, salīdzinot ar valsts budžetu kārtējam gadam</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F4862F1"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saskaņā ar vidēja termiņa budžeta ietvaru</w:t>
            </w:r>
          </w:p>
          <w:p w14:paraId="1708BC40" w14:textId="77777777" w:rsidR="003A41F7" w:rsidRPr="00716ECC" w:rsidRDefault="003A41F7" w:rsidP="00DE7318">
            <w:pPr>
              <w:jc w:val="center"/>
              <w:rPr>
                <w:rFonts w:eastAsia="Times New Roman"/>
                <w:sz w:val="22"/>
                <w:szCs w:val="22"/>
                <w:lang w:val="lv-LV" w:eastAsia="ja-JP"/>
              </w:rPr>
            </w:pPr>
          </w:p>
        </w:tc>
        <w:tc>
          <w:tcPr>
            <w:tcW w:w="1426" w:type="dxa"/>
            <w:tcBorders>
              <w:top w:val="single" w:sz="4" w:space="0" w:color="auto"/>
              <w:left w:val="single" w:sz="4" w:space="0" w:color="auto"/>
              <w:bottom w:val="single" w:sz="4" w:space="0" w:color="auto"/>
              <w:right w:val="single" w:sz="4" w:space="0" w:color="auto"/>
            </w:tcBorders>
            <w:vAlign w:val="center"/>
          </w:tcPr>
          <w:p w14:paraId="452AB11A"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izmaiņas, salīdzinot ar vidēja termiņa budžeta ietvaru 2022. gadam</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1D901B9"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saskaņā ar vidēja termiņa budžeta ietvaru</w:t>
            </w:r>
          </w:p>
          <w:p w14:paraId="4D23D06D" w14:textId="77777777" w:rsidR="003A41F7" w:rsidRPr="00716ECC" w:rsidRDefault="003A41F7" w:rsidP="00DE7318">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vAlign w:val="center"/>
          </w:tcPr>
          <w:p w14:paraId="71FFC49B"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izmaiņas, salīdzinot ar vidēja termiņa budžeta ietvaru 2023. gadam</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C26546F"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izmaiņas, salīdzinot ar vidēja termiņa budžeta ietvaru 2023. gadam</w:t>
            </w:r>
          </w:p>
        </w:tc>
      </w:tr>
      <w:tr w:rsidR="00716ECC" w:rsidRPr="00716ECC" w14:paraId="40E6EE9C"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A9FF6B9" w14:textId="77777777" w:rsidR="003A41F7" w:rsidRPr="00716ECC" w:rsidRDefault="003A41F7" w:rsidP="00DE7318">
            <w:pPr>
              <w:jc w:val="center"/>
              <w:rPr>
                <w:sz w:val="22"/>
                <w:szCs w:val="22"/>
                <w:lang w:val="lv-LV"/>
              </w:rPr>
            </w:pPr>
            <w:r w:rsidRPr="00716ECC">
              <w:rPr>
                <w:sz w:val="22"/>
                <w:szCs w:val="22"/>
                <w:lang w:val="lv-LV"/>
              </w:rPr>
              <w:t>1</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5C8FF5B" w14:textId="77777777" w:rsidR="003A41F7" w:rsidRPr="00716ECC" w:rsidRDefault="003A41F7" w:rsidP="00DE7318">
            <w:pPr>
              <w:jc w:val="center"/>
              <w:rPr>
                <w:sz w:val="22"/>
                <w:szCs w:val="22"/>
                <w:lang w:val="lv-LV"/>
              </w:rPr>
            </w:pPr>
            <w:r w:rsidRPr="00716ECC">
              <w:rPr>
                <w:sz w:val="22"/>
                <w:szCs w:val="22"/>
                <w:lang w:val="lv-LV"/>
              </w:rPr>
              <w:t>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AF93255" w14:textId="77777777" w:rsidR="003A41F7" w:rsidRPr="00716ECC" w:rsidRDefault="003A41F7" w:rsidP="00DE7318">
            <w:pPr>
              <w:jc w:val="center"/>
              <w:rPr>
                <w:bCs/>
                <w:sz w:val="22"/>
                <w:szCs w:val="22"/>
                <w:lang w:val="lv-LV"/>
              </w:rPr>
            </w:pPr>
            <w:r w:rsidRPr="00716ECC">
              <w:rPr>
                <w:sz w:val="22"/>
                <w:szCs w:val="22"/>
                <w:lang w:val="lv-LV"/>
              </w:rPr>
              <w:t>3</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50CAC7E" w14:textId="77777777" w:rsidR="003A41F7" w:rsidRPr="00716ECC" w:rsidRDefault="003A41F7" w:rsidP="00DE7318">
            <w:pPr>
              <w:pStyle w:val="ListParagraph"/>
              <w:tabs>
                <w:tab w:val="left" w:pos="317"/>
              </w:tabs>
              <w:ind w:left="34"/>
              <w:jc w:val="center"/>
              <w:rPr>
                <w:bCs/>
                <w:sz w:val="22"/>
                <w:szCs w:val="22"/>
                <w:lang w:val="lv-LV"/>
              </w:rPr>
            </w:pPr>
            <w:r w:rsidRPr="00716ECC">
              <w:rPr>
                <w:bCs/>
                <w:sz w:val="22"/>
                <w:szCs w:val="22"/>
                <w:lang w:val="lv-LV"/>
              </w:rPr>
              <w:t>4</w:t>
            </w:r>
          </w:p>
        </w:tc>
        <w:tc>
          <w:tcPr>
            <w:tcW w:w="1426" w:type="dxa"/>
            <w:tcBorders>
              <w:top w:val="single" w:sz="4" w:space="0" w:color="auto"/>
              <w:left w:val="single" w:sz="4" w:space="0" w:color="auto"/>
              <w:bottom w:val="single" w:sz="4" w:space="0" w:color="auto"/>
              <w:right w:val="single" w:sz="4" w:space="0" w:color="auto"/>
            </w:tcBorders>
            <w:vAlign w:val="center"/>
          </w:tcPr>
          <w:p w14:paraId="5242076F" w14:textId="77777777" w:rsidR="003A41F7" w:rsidRPr="00716ECC" w:rsidRDefault="003A41F7" w:rsidP="00DE7318">
            <w:pPr>
              <w:pStyle w:val="ListParagraph"/>
              <w:tabs>
                <w:tab w:val="left" w:pos="317"/>
              </w:tabs>
              <w:ind w:left="34"/>
              <w:jc w:val="center"/>
              <w:rPr>
                <w:bCs/>
                <w:sz w:val="22"/>
                <w:szCs w:val="22"/>
                <w:lang w:val="lv-LV"/>
              </w:rPr>
            </w:pPr>
            <w:r w:rsidRPr="00716ECC">
              <w:rPr>
                <w:bCs/>
                <w:sz w:val="22"/>
                <w:szCs w:val="22"/>
                <w:lang w:val="lv-LV"/>
              </w:rPr>
              <w:t>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A2406DD" w14:textId="77777777" w:rsidR="003A41F7" w:rsidRPr="00716ECC" w:rsidRDefault="003A41F7" w:rsidP="00DE7318">
            <w:pPr>
              <w:pStyle w:val="ListParagraph"/>
              <w:tabs>
                <w:tab w:val="left" w:pos="317"/>
              </w:tabs>
              <w:ind w:left="34"/>
              <w:jc w:val="center"/>
              <w:rPr>
                <w:bCs/>
                <w:sz w:val="22"/>
                <w:szCs w:val="22"/>
                <w:lang w:val="lv-LV"/>
              </w:rPr>
            </w:pPr>
            <w:r w:rsidRPr="00716ECC">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vAlign w:val="center"/>
          </w:tcPr>
          <w:p w14:paraId="63282872" w14:textId="77777777" w:rsidR="003A41F7" w:rsidRPr="00716ECC" w:rsidRDefault="003A41F7" w:rsidP="00DE7318">
            <w:pPr>
              <w:pStyle w:val="ListParagraph"/>
              <w:tabs>
                <w:tab w:val="left" w:pos="317"/>
              </w:tabs>
              <w:ind w:left="34"/>
              <w:jc w:val="center"/>
              <w:rPr>
                <w:bCs/>
                <w:sz w:val="22"/>
                <w:szCs w:val="22"/>
                <w:lang w:val="lv-LV"/>
              </w:rPr>
            </w:pPr>
            <w:r w:rsidRPr="00716ECC">
              <w:rPr>
                <w:bCs/>
                <w:sz w:val="22"/>
                <w:szCs w:val="22"/>
                <w:lang w:val="lv-LV"/>
              </w:rPr>
              <w:t>7</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6A4874A" w14:textId="77777777" w:rsidR="003A41F7" w:rsidRPr="00716ECC" w:rsidRDefault="003A41F7" w:rsidP="00DE7318">
            <w:pPr>
              <w:pStyle w:val="ListParagraph"/>
              <w:tabs>
                <w:tab w:val="left" w:pos="317"/>
              </w:tabs>
              <w:ind w:left="34"/>
              <w:jc w:val="center"/>
              <w:rPr>
                <w:bCs/>
                <w:sz w:val="22"/>
                <w:szCs w:val="22"/>
                <w:lang w:val="lv-LV"/>
              </w:rPr>
            </w:pPr>
            <w:r w:rsidRPr="00716ECC">
              <w:rPr>
                <w:bCs/>
                <w:sz w:val="22"/>
                <w:szCs w:val="22"/>
                <w:lang w:val="lv-LV"/>
              </w:rPr>
              <w:t>8</w:t>
            </w:r>
          </w:p>
        </w:tc>
      </w:tr>
      <w:tr w:rsidR="00716ECC" w:rsidRPr="00716ECC" w14:paraId="513A7DDB"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765CB082"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1. Budžeta ieņēmumi: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CEC6343"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3A8DAE0"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FE1C5E7" w14:textId="77777777" w:rsidR="003A41F7" w:rsidRPr="00716ECC" w:rsidRDefault="003A41F7" w:rsidP="00DE7318">
            <w:pPr>
              <w:jc w:val="center"/>
              <w:rPr>
                <w:rFonts w:eastAsia="Times New Roman"/>
                <w:b/>
                <w:sz w:val="22"/>
                <w:szCs w:val="22"/>
                <w:lang w:val="lv-LV" w:eastAsia="ja-JP"/>
              </w:rPr>
            </w:pPr>
            <w:r w:rsidRPr="00716ECC">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371F295"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73F26E"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C283790"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DE83B5E" w14:textId="77777777" w:rsidR="003A41F7" w:rsidRPr="00716ECC" w:rsidRDefault="003A41F7" w:rsidP="00DE7318">
            <w:pPr>
              <w:jc w:val="center"/>
              <w:rPr>
                <w:rFonts w:eastAsia="Times New Roman"/>
                <w:b/>
                <w:sz w:val="22"/>
                <w:szCs w:val="22"/>
                <w:lang w:val="lv-LV" w:eastAsia="ja-JP"/>
              </w:rPr>
            </w:pPr>
            <w:r w:rsidRPr="00716ECC">
              <w:rPr>
                <w:rFonts w:eastAsia="Arial Unicode MS"/>
                <w:sz w:val="22"/>
                <w:szCs w:val="22"/>
                <w:lang w:val="lv-LV"/>
              </w:rPr>
              <w:t>0</w:t>
            </w:r>
          </w:p>
        </w:tc>
      </w:tr>
      <w:tr w:rsidR="00716ECC" w:rsidRPr="00716ECC" w14:paraId="3E242AC9"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BFB2C60"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1.1. valsts pamatbudžets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DE23557"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A253BF8"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17A928E" w14:textId="77777777" w:rsidR="003A41F7" w:rsidRPr="00716ECC" w:rsidRDefault="003A41F7" w:rsidP="00DE7318">
            <w:pPr>
              <w:jc w:val="center"/>
              <w:rPr>
                <w:rFonts w:eastAsia="Times New Roman"/>
                <w:b/>
                <w:sz w:val="22"/>
                <w:szCs w:val="22"/>
                <w:lang w:val="lv-LV" w:eastAsia="ja-JP"/>
              </w:rPr>
            </w:pPr>
            <w:r w:rsidRPr="00716ECC">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465515EC"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936CB63"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62567D6"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740D5288" w14:textId="77777777" w:rsidR="003A41F7" w:rsidRPr="00716ECC" w:rsidRDefault="003A41F7" w:rsidP="00DE7318">
            <w:pPr>
              <w:tabs>
                <w:tab w:val="left" w:pos="315"/>
                <w:tab w:val="center" w:pos="459"/>
              </w:tabs>
              <w:jc w:val="center"/>
              <w:rPr>
                <w:rFonts w:eastAsia="Times New Roman"/>
                <w:b/>
                <w:sz w:val="22"/>
                <w:szCs w:val="22"/>
                <w:lang w:val="lv-LV" w:eastAsia="ja-JP"/>
              </w:rPr>
            </w:pPr>
            <w:r w:rsidRPr="00716ECC">
              <w:rPr>
                <w:rFonts w:eastAsia="Arial Unicode MS"/>
                <w:sz w:val="22"/>
                <w:szCs w:val="22"/>
                <w:lang w:val="lv-LV"/>
              </w:rPr>
              <w:t>0</w:t>
            </w:r>
          </w:p>
        </w:tc>
      </w:tr>
      <w:tr w:rsidR="00716ECC" w:rsidRPr="00716ECC" w14:paraId="045F730E"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C8A32C5"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1.2. valsts speciālais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CCA6990" w14:textId="77777777" w:rsidR="003A41F7" w:rsidRPr="00716ECC" w:rsidRDefault="003A41F7" w:rsidP="00DE7318">
            <w:pPr>
              <w:jc w:val="center"/>
              <w:rPr>
                <w:rFonts w:eastAsia="Arial Unicode MS"/>
                <w:sz w:val="22"/>
                <w:szCs w:val="22"/>
                <w:lang w:val="lv-LV"/>
              </w:rPr>
            </w:pPr>
            <w:r w:rsidRPr="00716ECC">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C40836A" w14:textId="77777777" w:rsidR="003A41F7" w:rsidRPr="00716ECC" w:rsidRDefault="003A41F7" w:rsidP="00DE7318">
            <w:pPr>
              <w:jc w:val="center"/>
              <w:rPr>
                <w:rFonts w:eastAsia="Arial Unicode MS"/>
                <w:sz w:val="22"/>
                <w:szCs w:val="22"/>
                <w:lang w:val="lv-LV"/>
              </w:rPr>
            </w:pPr>
            <w:r w:rsidRPr="00716ECC">
              <w:rPr>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1FE6C01"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8820475" w14:textId="77777777" w:rsidR="003A41F7" w:rsidRPr="00716ECC" w:rsidRDefault="003A41F7" w:rsidP="00DE7318">
            <w:pPr>
              <w:jc w:val="center"/>
              <w:rPr>
                <w:sz w:val="22"/>
                <w:szCs w:val="22"/>
                <w:lang w:val="lv-LV"/>
              </w:rPr>
            </w:pPr>
            <w:r w:rsidRPr="00716ECC">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EF1C8C8"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CB08E0E" w14:textId="77777777" w:rsidR="003A41F7" w:rsidRPr="00716ECC" w:rsidRDefault="003A41F7" w:rsidP="00DE7318">
            <w:pPr>
              <w:jc w:val="center"/>
              <w:rPr>
                <w:sz w:val="22"/>
                <w:szCs w:val="22"/>
                <w:lang w:val="lv-LV"/>
              </w:rPr>
            </w:pPr>
            <w:r w:rsidRPr="00716ECC">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C466A0F"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r>
      <w:tr w:rsidR="00716ECC" w:rsidRPr="00716ECC" w14:paraId="7A9F2C83"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CCD9D00"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1.3. pašvaldību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70CFCB0" w14:textId="77777777" w:rsidR="003A41F7" w:rsidRPr="00716ECC" w:rsidRDefault="003A41F7" w:rsidP="00DE7318">
            <w:pPr>
              <w:jc w:val="center"/>
              <w:rPr>
                <w:sz w:val="22"/>
                <w:szCs w:val="22"/>
                <w:lang w:val="lv-LV"/>
              </w:rPr>
            </w:pPr>
            <w:r w:rsidRPr="00716ECC">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2846D729" w14:textId="77777777" w:rsidR="003A41F7" w:rsidRPr="00716ECC" w:rsidRDefault="003A41F7" w:rsidP="00DE7318">
            <w:pPr>
              <w:jc w:val="center"/>
              <w:rPr>
                <w:sz w:val="22"/>
                <w:szCs w:val="22"/>
                <w:lang w:val="lv-LV"/>
              </w:rPr>
            </w:pPr>
            <w:r w:rsidRPr="00716ECC">
              <w:rPr>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0B916F6"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7B2B7C2" w14:textId="77777777" w:rsidR="003A41F7" w:rsidRPr="00716ECC" w:rsidRDefault="003A41F7" w:rsidP="00DE7318">
            <w:pPr>
              <w:jc w:val="center"/>
              <w:rPr>
                <w:sz w:val="22"/>
                <w:szCs w:val="22"/>
                <w:lang w:val="lv-LV"/>
              </w:rPr>
            </w:pPr>
            <w:r w:rsidRPr="00716ECC">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E403F87"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1D204C5" w14:textId="77777777" w:rsidR="003A41F7" w:rsidRPr="00716ECC" w:rsidRDefault="003A41F7" w:rsidP="00DE7318">
            <w:pPr>
              <w:jc w:val="center"/>
              <w:rPr>
                <w:sz w:val="22"/>
                <w:szCs w:val="22"/>
                <w:lang w:val="lv-LV"/>
              </w:rPr>
            </w:pPr>
            <w:r w:rsidRPr="00716ECC">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10DD488"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r>
      <w:tr w:rsidR="00716ECC" w:rsidRPr="00716ECC" w14:paraId="3D58DEC2"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77B85E4"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2. Budžeta izdevumi: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8CC4FAC" w14:textId="77777777" w:rsidR="003A41F7" w:rsidRPr="00716ECC" w:rsidRDefault="003A41F7" w:rsidP="00DE7318">
            <w:pPr>
              <w:jc w:val="center"/>
              <w:rPr>
                <w:sz w:val="22"/>
                <w:szCs w:val="22"/>
                <w:lang w:val="lv-LV"/>
              </w:rPr>
            </w:pPr>
            <w:r w:rsidRPr="00716ECC">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1195D25" w14:textId="376AD4EB" w:rsidR="003A41F7" w:rsidRPr="00716ECC" w:rsidRDefault="00EA1632" w:rsidP="00DE7318">
            <w:pPr>
              <w:jc w:val="center"/>
              <w:rPr>
                <w:rFonts w:eastAsia="Times New Roman"/>
                <w:sz w:val="22"/>
                <w:szCs w:val="22"/>
                <w:lang w:val="lv-LV"/>
              </w:rPr>
            </w:pPr>
            <w:r w:rsidRPr="00716ECC">
              <w:rPr>
                <w:rFonts w:eastAsia="Times New Roman"/>
                <w:sz w:val="22"/>
                <w:szCs w:val="22"/>
                <w:lang w:val="lv-LV"/>
              </w:rPr>
              <w:t>8</w:t>
            </w:r>
            <w:r w:rsidR="003A41F7" w:rsidRPr="00716ECC">
              <w:rPr>
                <w:rFonts w:eastAsia="Times New Roman"/>
                <w:sz w:val="22"/>
                <w:szCs w:val="22"/>
                <w:lang w:val="lv-LV"/>
              </w:rPr>
              <w:t> 000 000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516F7E2" w14:textId="77777777" w:rsidR="003A41F7" w:rsidRPr="00716ECC" w:rsidRDefault="003A41F7" w:rsidP="00DE7318">
            <w:pPr>
              <w:jc w:val="center"/>
              <w:rPr>
                <w:rFonts w:eastAsia="Times New Roman"/>
                <w:b/>
                <w:bCs/>
                <w:sz w:val="22"/>
                <w:szCs w:val="22"/>
                <w:lang w:val="lv-LV" w:eastAsia="ja-JP"/>
              </w:rPr>
            </w:pPr>
            <w:r w:rsidRPr="00716ECC">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D306FB9" w14:textId="77777777" w:rsidR="003A41F7" w:rsidRPr="00716ECC" w:rsidRDefault="003A41F7" w:rsidP="00DE7318">
            <w:pPr>
              <w:jc w:val="center"/>
              <w:rPr>
                <w:sz w:val="22"/>
                <w:szCs w:val="22"/>
                <w:lang w:val="lv-LV"/>
              </w:rPr>
            </w:pPr>
            <w:r w:rsidRPr="00716ECC">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63ACA3F" w14:textId="77777777" w:rsidR="003A41F7" w:rsidRPr="00716ECC" w:rsidRDefault="003A41F7" w:rsidP="00DE7318">
            <w:pPr>
              <w:jc w:val="center"/>
              <w:rPr>
                <w:rFonts w:eastAsia="Times New Roman"/>
                <w:b/>
                <w:bCs/>
                <w:sz w:val="22"/>
                <w:szCs w:val="22"/>
                <w:lang w:val="lv-LV" w:eastAsia="ja-JP"/>
              </w:rPr>
            </w:pPr>
            <w:r w:rsidRPr="00716E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86DBC02"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4D292DD" w14:textId="77777777" w:rsidR="003A41F7" w:rsidRPr="00716ECC" w:rsidRDefault="003A41F7" w:rsidP="00DE7318">
            <w:pPr>
              <w:jc w:val="center"/>
              <w:rPr>
                <w:rFonts w:eastAsia="Times New Roman"/>
                <w:b/>
                <w:sz w:val="22"/>
                <w:szCs w:val="22"/>
                <w:lang w:val="lv-LV" w:eastAsia="ja-JP"/>
              </w:rPr>
            </w:pPr>
            <w:r w:rsidRPr="00716ECC">
              <w:rPr>
                <w:rFonts w:eastAsia="Arial Unicode MS"/>
                <w:sz w:val="22"/>
                <w:szCs w:val="22"/>
                <w:lang w:val="lv-LV"/>
              </w:rPr>
              <w:t>0</w:t>
            </w:r>
          </w:p>
        </w:tc>
      </w:tr>
      <w:tr w:rsidR="00716ECC" w:rsidRPr="00716ECC" w14:paraId="2DF65DE9" w14:textId="77777777" w:rsidTr="00DE7318">
        <w:trPr>
          <w:trHeight w:val="581"/>
        </w:trPr>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15669457" w14:textId="77777777" w:rsidR="003A41F7" w:rsidRPr="00716ECC" w:rsidRDefault="003A41F7" w:rsidP="00DE7318">
            <w:pPr>
              <w:jc w:val="center"/>
              <w:rPr>
                <w:rFonts w:eastAsia="Times New Roman"/>
                <w:sz w:val="22"/>
                <w:szCs w:val="22"/>
                <w:lang w:val="lv-LV"/>
              </w:rPr>
            </w:pPr>
            <w:r w:rsidRPr="00716ECC">
              <w:rPr>
                <w:rFonts w:eastAsia="Times New Roman"/>
                <w:sz w:val="22"/>
                <w:szCs w:val="22"/>
                <w:lang w:val="lv-LV"/>
              </w:rPr>
              <w:t>2.1. valsts pamatbudžets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B559B9C" w14:textId="77777777" w:rsidR="003A41F7" w:rsidRPr="00716ECC" w:rsidRDefault="003A41F7" w:rsidP="00DE7318">
            <w:pPr>
              <w:jc w:val="center"/>
              <w:rPr>
                <w:sz w:val="22"/>
                <w:szCs w:val="22"/>
                <w:lang w:val="lv-LV"/>
              </w:rPr>
            </w:pPr>
            <w:r w:rsidRPr="00716ECC">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3E3F6685" w14:textId="18771643" w:rsidR="003A41F7" w:rsidRPr="00716ECC" w:rsidRDefault="00EA1632" w:rsidP="00DE7318">
            <w:pPr>
              <w:jc w:val="center"/>
              <w:rPr>
                <w:sz w:val="22"/>
                <w:szCs w:val="22"/>
                <w:lang w:val="lv-LV"/>
              </w:rPr>
            </w:pPr>
            <w:r w:rsidRPr="00716ECC">
              <w:rPr>
                <w:rFonts w:eastAsia="Times New Roman"/>
                <w:sz w:val="22"/>
                <w:szCs w:val="22"/>
                <w:lang w:val="lv-LV"/>
              </w:rPr>
              <w:t>8</w:t>
            </w:r>
            <w:r w:rsidR="003A41F7" w:rsidRPr="00716ECC">
              <w:rPr>
                <w:rFonts w:eastAsia="Times New Roman"/>
                <w:sz w:val="22"/>
                <w:szCs w:val="22"/>
                <w:lang w:val="lv-LV"/>
              </w:rPr>
              <w:t> 000 000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14CD4A9" w14:textId="77777777" w:rsidR="003A41F7" w:rsidRPr="00716ECC" w:rsidRDefault="003A41F7" w:rsidP="00DE7318">
            <w:pPr>
              <w:jc w:val="center"/>
              <w:rPr>
                <w:rFonts w:eastAsia="Times New Roman"/>
                <w:b/>
                <w:bCs/>
                <w:sz w:val="22"/>
                <w:szCs w:val="22"/>
                <w:lang w:val="lv-LV" w:eastAsia="ja-JP"/>
              </w:rPr>
            </w:pPr>
            <w:r w:rsidRPr="00716ECC">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B8710CB" w14:textId="77777777" w:rsidR="003A41F7" w:rsidRPr="00716ECC" w:rsidRDefault="003A41F7" w:rsidP="00DE7318">
            <w:pPr>
              <w:jc w:val="center"/>
              <w:rPr>
                <w:sz w:val="22"/>
                <w:szCs w:val="22"/>
                <w:lang w:val="lv-LV"/>
              </w:rPr>
            </w:pPr>
            <w:r w:rsidRPr="00716ECC">
              <w:rPr>
                <w:rFonts w:eastAsia="Times New Roman"/>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79BF478"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4FE6654" w14:textId="77777777" w:rsidR="003A41F7" w:rsidRPr="00716ECC" w:rsidDel="007A71B8" w:rsidRDefault="003A41F7" w:rsidP="00DE7318">
            <w:pPr>
              <w:jc w:val="center"/>
              <w:rPr>
                <w:sz w:val="22"/>
                <w:szCs w:val="22"/>
                <w:lang w:val="lv-LV"/>
              </w:rPr>
            </w:pPr>
            <w:r w:rsidRPr="00716ECC">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EA869F9"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r>
      <w:tr w:rsidR="00716ECC" w:rsidRPr="00716ECC" w14:paraId="7F753DB1"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F7D6F10" w14:textId="77777777" w:rsidR="003A41F7" w:rsidRPr="00716ECC" w:rsidRDefault="003A41F7" w:rsidP="00DE7318">
            <w:pPr>
              <w:jc w:val="center"/>
              <w:rPr>
                <w:rFonts w:eastAsia="Times New Roman"/>
                <w:sz w:val="22"/>
                <w:szCs w:val="22"/>
                <w:lang w:val="lv-LV"/>
              </w:rPr>
            </w:pPr>
            <w:r w:rsidRPr="00716ECC">
              <w:rPr>
                <w:rFonts w:eastAsia="Times New Roman"/>
                <w:sz w:val="22"/>
                <w:szCs w:val="22"/>
                <w:lang w:val="lv-LV"/>
              </w:rPr>
              <w:lastRenderedPageBreak/>
              <w:t>2.2. valsts speciālais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6A1A9439" w14:textId="77777777" w:rsidR="003A41F7" w:rsidRPr="00716ECC" w:rsidRDefault="003A41F7" w:rsidP="00DE7318">
            <w:pPr>
              <w:jc w:val="center"/>
              <w:rPr>
                <w:sz w:val="22"/>
                <w:szCs w:val="22"/>
                <w:lang w:val="lv-LV"/>
              </w:rPr>
            </w:pPr>
            <w:r w:rsidRPr="00716ECC">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8B53FA0" w14:textId="77777777" w:rsidR="003A41F7" w:rsidRPr="00716ECC" w:rsidRDefault="003A41F7" w:rsidP="00DE7318">
            <w:pPr>
              <w:jc w:val="center"/>
              <w:rPr>
                <w:sz w:val="22"/>
                <w:szCs w:val="22"/>
                <w:lang w:val="lv-LV"/>
              </w:rPr>
            </w:pPr>
            <w:r w:rsidRPr="00716ECC">
              <w:rPr>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56ACB2"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242C251F" w14:textId="77777777" w:rsidR="003A41F7" w:rsidRPr="00716ECC" w:rsidRDefault="003A41F7" w:rsidP="00DE7318">
            <w:pPr>
              <w:jc w:val="center"/>
              <w:rPr>
                <w:sz w:val="22"/>
                <w:szCs w:val="22"/>
                <w:lang w:val="lv-LV"/>
              </w:rPr>
            </w:pPr>
            <w:r w:rsidRPr="00716ECC">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C98E4DC"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90BA85" w14:textId="77777777" w:rsidR="003A41F7" w:rsidRPr="00716ECC" w:rsidRDefault="003A41F7" w:rsidP="00DE7318">
            <w:pPr>
              <w:jc w:val="center"/>
              <w:rPr>
                <w:sz w:val="22"/>
                <w:szCs w:val="22"/>
                <w:lang w:val="lv-LV"/>
              </w:rPr>
            </w:pPr>
            <w:r w:rsidRPr="00716ECC">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B5037B0"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r>
      <w:tr w:rsidR="00716ECC" w:rsidRPr="00716ECC" w14:paraId="623E63C0"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FCC98B9" w14:textId="77777777" w:rsidR="003A41F7" w:rsidRPr="00716ECC" w:rsidRDefault="003A41F7" w:rsidP="00DE7318">
            <w:pPr>
              <w:jc w:val="center"/>
              <w:rPr>
                <w:rFonts w:eastAsia="Times New Roman"/>
                <w:sz w:val="22"/>
                <w:szCs w:val="22"/>
                <w:lang w:val="lv-LV"/>
              </w:rPr>
            </w:pPr>
            <w:r w:rsidRPr="00716ECC">
              <w:rPr>
                <w:rFonts w:eastAsia="Times New Roman"/>
                <w:sz w:val="22"/>
                <w:szCs w:val="22"/>
                <w:lang w:val="lv-LV"/>
              </w:rPr>
              <w:t>2.3. pašvaldību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770BE0EC" w14:textId="77777777" w:rsidR="003A41F7" w:rsidRPr="00716ECC" w:rsidRDefault="003A41F7" w:rsidP="00DE7318">
            <w:pPr>
              <w:jc w:val="center"/>
              <w:rPr>
                <w:sz w:val="22"/>
                <w:szCs w:val="22"/>
                <w:lang w:val="lv-LV"/>
              </w:rPr>
            </w:pPr>
            <w:r w:rsidRPr="00716ECC">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DC0B745" w14:textId="77777777" w:rsidR="003A41F7" w:rsidRPr="00716ECC" w:rsidRDefault="003A41F7" w:rsidP="00DE7318">
            <w:pPr>
              <w:jc w:val="center"/>
              <w:rPr>
                <w:sz w:val="22"/>
                <w:szCs w:val="22"/>
                <w:lang w:val="lv-LV"/>
              </w:rPr>
            </w:pPr>
            <w:r w:rsidRPr="00716ECC">
              <w:rPr>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5439D86"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0DFECDC9" w14:textId="77777777" w:rsidR="003A41F7" w:rsidRPr="00716ECC" w:rsidRDefault="003A41F7" w:rsidP="00DE7318">
            <w:pPr>
              <w:jc w:val="center"/>
              <w:rPr>
                <w:sz w:val="22"/>
                <w:szCs w:val="22"/>
                <w:lang w:val="lv-LV"/>
              </w:rPr>
            </w:pPr>
            <w:r w:rsidRPr="00716ECC">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3296307"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5C8B033" w14:textId="77777777" w:rsidR="003A41F7" w:rsidRPr="00716ECC" w:rsidRDefault="003A41F7" w:rsidP="00DE7318">
            <w:pPr>
              <w:jc w:val="center"/>
              <w:rPr>
                <w:sz w:val="22"/>
                <w:szCs w:val="22"/>
                <w:lang w:val="lv-LV"/>
              </w:rPr>
            </w:pPr>
            <w:r w:rsidRPr="00716ECC">
              <w:rPr>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5F1C7842" w14:textId="77777777" w:rsidR="003A41F7" w:rsidRPr="00716ECC" w:rsidRDefault="003A41F7" w:rsidP="00DE7318">
            <w:pPr>
              <w:jc w:val="center"/>
              <w:rPr>
                <w:rFonts w:eastAsia="Times New Roman"/>
                <w:b/>
                <w:sz w:val="22"/>
                <w:szCs w:val="22"/>
                <w:lang w:val="lv-LV" w:eastAsia="ja-JP"/>
              </w:rPr>
            </w:pPr>
            <w:r w:rsidRPr="00716ECC">
              <w:rPr>
                <w:sz w:val="22"/>
                <w:szCs w:val="22"/>
                <w:lang w:val="lv-LV"/>
              </w:rPr>
              <w:t>0</w:t>
            </w:r>
          </w:p>
        </w:tc>
      </w:tr>
      <w:tr w:rsidR="00716ECC" w:rsidRPr="00716ECC" w14:paraId="4CF5A3E5"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E85AC8C"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3. Finansiālā ietekme:</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39392AA3" w14:textId="77777777" w:rsidR="003A41F7" w:rsidRPr="00716ECC" w:rsidRDefault="003A41F7" w:rsidP="00DE7318">
            <w:pPr>
              <w:jc w:val="center"/>
              <w:rPr>
                <w:rFonts w:eastAsia="Arial Unicode MS"/>
                <w:sz w:val="22"/>
                <w:szCs w:val="22"/>
                <w:lang w:val="lv-LV"/>
              </w:rPr>
            </w:pPr>
            <w:r w:rsidRPr="00716ECC">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1257665" w14:textId="2B9DC87B" w:rsidR="003A41F7" w:rsidRPr="00716ECC" w:rsidRDefault="003A41F7" w:rsidP="00DE7318">
            <w:pPr>
              <w:jc w:val="center"/>
              <w:rPr>
                <w:sz w:val="22"/>
                <w:szCs w:val="22"/>
                <w:lang w:val="lv-LV"/>
              </w:rPr>
            </w:pPr>
            <w:r w:rsidRPr="00716ECC">
              <w:rPr>
                <w:rFonts w:eastAsia="Times New Roman"/>
                <w:sz w:val="22"/>
                <w:szCs w:val="22"/>
                <w:lang w:val="lv-LV"/>
              </w:rPr>
              <w:t>-</w:t>
            </w:r>
            <w:r w:rsidR="00EA1632" w:rsidRPr="00716ECC">
              <w:rPr>
                <w:rFonts w:eastAsia="Times New Roman"/>
                <w:sz w:val="22"/>
                <w:szCs w:val="22"/>
                <w:lang w:val="lv-LV"/>
              </w:rPr>
              <w:t>8</w:t>
            </w:r>
            <w:r w:rsidRPr="00716ECC">
              <w:rPr>
                <w:rFonts w:eastAsia="Times New Roman"/>
                <w:sz w:val="22"/>
                <w:szCs w:val="22"/>
                <w:lang w:val="lv-LV"/>
              </w:rPr>
              <w:t> 000 000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53BEFF5" w14:textId="77777777" w:rsidR="003A41F7" w:rsidRPr="00716ECC" w:rsidRDefault="003A41F7" w:rsidP="00DE7318">
            <w:pPr>
              <w:jc w:val="center"/>
              <w:rPr>
                <w:rFonts w:eastAsia="Times New Roman"/>
                <w:b/>
                <w:sz w:val="22"/>
                <w:szCs w:val="22"/>
                <w:lang w:val="lv-LV" w:eastAsia="ja-JP"/>
              </w:rPr>
            </w:pPr>
            <w:r w:rsidRPr="00716ECC">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17718018" w14:textId="77777777" w:rsidR="003A41F7" w:rsidRPr="00716ECC" w:rsidRDefault="003A41F7" w:rsidP="00DE7318">
            <w:pPr>
              <w:jc w:val="center"/>
              <w:rPr>
                <w:rFonts w:eastAsia="Arial Unicode MS"/>
                <w:sz w:val="22"/>
                <w:szCs w:val="22"/>
                <w:lang w:val="lv-LV"/>
              </w:rPr>
            </w:pPr>
            <w:r w:rsidRPr="00716ECC">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4BD662" w14:textId="77777777" w:rsidR="003A41F7" w:rsidRPr="00716ECC" w:rsidRDefault="003A41F7" w:rsidP="00DE7318">
            <w:pPr>
              <w:jc w:val="center"/>
              <w:rPr>
                <w:rFonts w:eastAsia="Times New Roman"/>
                <w:b/>
                <w:sz w:val="22"/>
                <w:szCs w:val="22"/>
                <w:lang w:val="lv-LV" w:eastAsia="ja-JP"/>
              </w:rPr>
            </w:pPr>
            <w:r w:rsidRPr="00716E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06C5A40"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7CF0B6A" w14:textId="77777777" w:rsidR="003A41F7" w:rsidRPr="00716ECC" w:rsidRDefault="003A41F7" w:rsidP="00DE7318">
            <w:pPr>
              <w:jc w:val="center"/>
              <w:rPr>
                <w:rFonts w:eastAsia="Times New Roman"/>
                <w:b/>
                <w:sz w:val="22"/>
                <w:szCs w:val="22"/>
                <w:lang w:val="lv-LV" w:eastAsia="ja-JP"/>
              </w:rPr>
            </w:pPr>
            <w:r w:rsidRPr="00716ECC">
              <w:rPr>
                <w:rFonts w:eastAsia="Arial Unicode MS"/>
                <w:sz w:val="22"/>
                <w:szCs w:val="22"/>
                <w:lang w:val="lv-LV"/>
              </w:rPr>
              <w:t>0</w:t>
            </w:r>
          </w:p>
        </w:tc>
      </w:tr>
      <w:tr w:rsidR="00716ECC" w:rsidRPr="00716ECC" w14:paraId="322DA655"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69D5F7D" w14:textId="77777777" w:rsidR="003A41F7" w:rsidRPr="00716ECC" w:rsidRDefault="003A41F7" w:rsidP="00DE7318">
            <w:pPr>
              <w:jc w:val="center"/>
              <w:rPr>
                <w:rFonts w:eastAsia="Times New Roman"/>
                <w:sz w:val="22"/>
                <w:szCs w:val="22"/>
                <w:lang w:val="lv-LV"/>
              </w:rPr>
            </w:pPr>
            <w:r w:rsidRPr="00716ECC">
              <w:rPr>
                <w:rFonts w:eastAsia="Times New Roman"/>
                <w:sz w:val="22"/>
                <w:szCs w:val="22"/>
                <w:lang w:val="lv-LV"/>
              </w:rPr>
              <w:t>3.1. valsts pamatbudžets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E64E2F9" w14:textId="77777777" w:rsidR="003A41F7" w:rsidRPr="00716ECC" w:rsidRDefault="003A41F7" w:rsidP="00DE7318">
            <w:pPr>
              <w:jc w:val="center"/>
              <w:rPr>
                <w:rFonts w:eastAsia="Arial Unicode MS"/>
                <w:sz w:val="22"/>
                <w:szCs w:val="22"/>
                <w:lang w:val="lv-LV"/>
              </w:rPr>
            </w:pPr>
            <w:r w:rsidRPr="00716ECC">
              <w:rPr>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F645CDF" w14:textId="5F20DCBD" w:rsidR="003A41F7" w:rsidRPr="00716ECC" w:rsidRDefault="003A41F7" w:rsidP="00DE7318">
            <w:pPr>
              <w:jc w:val="center"/>
              <w:rPr>
                <w:sz w:val="22"/>
                <w:szCs w:val="22"/>
                <w:lang w:val="lv-LV"/>
              </w:rPr>
            </w:pPr>
            <w:r w:rsidRPr="00716ECC">
              <w:rPr>
                <w:rFonts w:eastAsia="Times New Roman"/>
                <w:sz w:val="22"/>
                <w:szCs w:val="22"/>
                <w:lang w:val="lv-LV"/>
              </w:rPr>
              <w:t>-</w:t>
            </w:r>
            <w:r w:rsidR="00EA1632" w:rsidRPr="00716ECC">
              <w:rPr>
                <w:rFonts w:eastAsia="Times New Roman"/>
                <w:sz w:val="22"/>
                <w:szCs w:val="22"/>
                <w:lang w:val="lv-LV"/>
              </w:rPr>
              <w:t>8</w:t>
            </w:r>
            <w:r w:rsidRPr="00716ECC">
              <w:rPr>
                <w:rFonts w:eastAsia="Times New Roman"/>
                <w:sz w:val="22"/>
                <w:szCs w:val="22"/>
                <w:lang w:val="lv-LV"/>
              </w:rPr>
              <w:t> 000 000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84BBEDD"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7CE5F4AE" w14:textId="77777777" w:rsidR="003A41F7" w:rsidRPr="00716ECC" w:rsidRDefault="003A41F7" w:rsidP="00DE7318">
            <w:pPr>
              <w:jc w:val="center"/>
              <w:rPr>
                <w:sz w:val="22"/>
                <w:szCs w:val="22"/>
                <w:lang w:val="lv-LV"/>
              </w:rPr>
            </w:pPr>
            <w:r w:rsidRPr="00716ECC">
              <w:rPr>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E8B398"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63E95C7"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4A04B8AD"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r>
      <w:tr w:rsidR="00716ECC" w:rsidRPr="00716ECC" w14:paraId="13C0C92F"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1C52CA6C" w14:textId="77777777" w:rsidR="003A41F7" w:rsidRPr="00716ECC" w:rsidRDefault="003A41F7" w:rsidP="00DE7318">
            <w:pPr>
              <w:jc w:val="center"/>
              <w:rPr>
                <w:rFonts w:eastAsia="Times New Roman"/>
                <w:sz w:val="22"/>
                <w:szCs w:val="22"/>
                <w:lang w:val="lv-LV"/>
              </w:rPr>
            </w:pPr>
            <w:r w:rsidRPr="00716ECC">
              <w:rPr>
                <w:rFonts w:eastAsia="Times New Roman"/>
                <w:sz w:val="22"/>
                <w:szCs w:val="22"/>
                <w:lang w:val="lv-LV"/>
              </w:rPr>
              <w:t>3.2. speciālais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F2C45E9"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5082C9B8" w14:textId="77777777" w:rsidR="003A41F7" w:rsidRPr="00716ECC" w:rsidRDefault="003A41F7" w:rsidP="00DE7318">
            <w:pPr>
              <w:jc w:val="center"/>
              <w:rPr>
                <w:lang w:val="lv-LV"/>
              </w:rPr>
            </w:pPr>
            <w:r w:rsidRPr="00716ECC">
              <w:rPr>
                <w:rFonts w:eastAsia="Arial Unicode MS"/>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4817C06" w14:textId="77777777" w:rsidR="003A41F7" w:rsidRPr="00716ECC" w:rsidRDefault="003A41F7" w:rsidP="00DE7318">
            <w:pPr>
              <w:jc w:val="center"/>
              <w:rPr>
                <w:rFonts w:eastAsia="Times New Roman"/>
                <w:sz w:val="22"/>
                <w:szCs w:val="22"/>
                <w:lang w:val="lv-LV"/>
              </w:rPr>
            </w:pPr>
            <w:r w:rsidRPr="00716ECC">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367FC666"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B1730" w14:textId="77777777" w:rsidR="003A41F7" w:rsidRPr="00716ECC" w:rsidRDefault="003A41F7" w:rsidP="00DE7318">
            <w:pPr>
              <w:jc w:val="center"/>
              <w:rPr>
                <w:rFonts w:eastAsia="Times New Roman"/>
                <w:sz w:val="22"/>
                <w:szCs w:val="22"/>
                <w:lang w:val="lv-LV"/>
              </w:rPr>
            </w:pPr>
            <w:r w:rsidRPr="00716E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7BE567FF"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2AD3A07E" w14:textId="77777777" w:rsidR="003A41F7" w:rsidRPr="00716ECC" w:rsidRDefault="003A41F7" w:rsidP="00DE7318">
            <w:pPr>
              <w:jc w:val="center"/>
              <w:rPr>
                <w:rFonts w:eastAsia="Times New Roman"/>
                <w:sz w:val="22"/>
                <w:szCs w:val="22"/>
                <w:lang w:val="lv-LV"/>
              </w:rPr>
            </w:pPr>
            <w:r w:rsidRPr="00716ECC">
              <w:rPr>
                <w:rFonts w:eastAsia="Arial Unicode MS"/>
                <w:sz w:val="22"/>
                <w:szCs w:val="22"/>
                <w:lang w:val="lv-LV"/>
              </w:rPr>
              <w:t>0</w:t>
            </w:r>
          </w:p>
        </w:tc>
      </w:tr>
      <w:tr w:rsidR="00716ECC" w:rsidRPr="00716ECC" w14:paraId="7AF74B62"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65F2C785" w14:textId="77777777" w:rsidR="003A41F7" w:rsidRPr="00716ECC" w:rsidRDefault="003A41F7" w:rsidP="00DE7318">
            <w:pPr>
              <w:jc w:val="center"/>
              <w:rPr>
                <w:rFonts w:eastAsia="Times New Roman"/>
                <w:sz w:val="22"/>
                <w:szCs w:val="22"/>
                <w:lang w:val="lv-LV"/>
              </w:rPr>
            </w:pPr>
            <w:r w:rsidRPr="00716ECC">
              <w:rPr>
                <w:rFonts w:eastAsia="Times New Roman"/>
                <w:sz w:val="22"/>
                <w:szCs w:val="22"/>
                <w:lang w:val="lv-LV"/>
              </w:rPr>
              <w:t>3.3. pašvaldību budžets</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DDD230B"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17961BCA" w14:textId="77777777" w:rsidR="003A41F7" w:rsidRPr="00716ECC" w:rsidRDefault="003A41F7" w:rsidP="00DE7318">
            <w:pPr>
              <w:jc w:val="center"/>
              <w:rPr>
                <w:sz w:val="22"/>
                <w:szCs w:val="22"/>
                <w:lang w:val="lv-LV"/>
              </w:rPr>
            </w:pPr>
            <w:r w:rsidRPr="00716ECC">
              <w:rPr>
                <w:rFonts w:eastAsia="Arial Unicode MS"/>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4B4D019" w14:textId="77777777" w:rsidR="003A41F7" w:rsidRPr="00716ECC" w:rsidRDefault="003A41F7" w:rsidP="00DE7318">
            <w:pPr>
              <w:jc w:val="center"/>
              <w:rPr>
                <w:rFonts w:eastAsia="Times New Roman"/>
                <w:sz w:val="22"/>
                <w:szCs w:val="22"/>
                <w:lang w:val="lv-LV"/>
              </w:rPr>
            </w:pPr>
            <w:r w:rsidRPr="00716ECC">
              <w:rPr>
                <w:rFonts w:eastAsia="Arial Unicode MS"/>
                <w:sz w:val="22"/>
                <w:szCs w:val="22"/>
                <w:lang w:val="lv-LV"/>
              </w:rPr>
              <w:t>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14:paraId="57A0465E"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B86495" w14:textId="77777777" w:rsidR="003A41F7" w:rsidRPr="00716ECC" w:rsidRDefault="003A41F7" w:rsidP="00DE7318">
            <w:pPr>
              <w:jc w:val="center"/>
              <w:rPr>
                <w:rFonts w:eastAsia="Times New Roman"/>
                <w:sz w:val="22"/>
                <w:szCs w:val="22"/>
                <w:lang w:val="lv-LV"/>
              </w:rPr>
            </w:pPr>
            <w:r w:rsidRPr="00716ECC">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EF77933"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6F187E7" w14:textId="77777777" w:rsidR="003A41F7" w:rsidRPr="00716ECC" w:rsidRDefault="003A41F7" w:rsidP="00DE7318">
            <w:pPr>
              <w:jc w:val="center"/>
              <w:rPr>
                <w:rFonts w:eastAsia="Times New Roman"/>
                <w:sz w:val="22"/>
                <w:szCs w:val="22"/>
                <w:lang w:val="lv-LV"/>
              </w:rPr>
            </w:pPr>
            <w:r w:rsidRPr="00716ECC">
              <w:rPr>
                <w:rFonts w:eastAsia="Arial Unicode MS"/>
                <w:sz w:val="22"/>
                <w:szCs w:val="22"/>
                <w:lang w:val="lv-LV"/>
              </w:rPr>
              <w:t>0</w:t>
            </w:r>
          </w:p>
        </w:tc>
      </w:tr>
      <w:tr w:rsidR="00716ECC" w:rsidRPr="00716ECC" w14:paraId="605935E3"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7C13DDB8"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4. Finanšu līdzekļi papildu izdevumu finansēšanai (kompensējošu izdevumu samazinājumu norāda ar "+" zīmi)</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212DC412"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X</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3C7B37D" w14:textId="67479781" w:rsidR="003A41F7" w:rsidRPr="00716ECC" w:rsidRDefault="005C7D4F" w:rsidP="00DE7318">
            <w:pPr>
              <w:jc w:val="center"/>
              <w:rPr>
                <w:rFonts w:eastAsia="Arial Unicode MS"/>
                <w:b/>
                <w:sz w:val="22"/>
                <w:szCs w:val="22"/>
                <w:lang w:val="lv-LV"/>
              </w:rPr>
            </w:pPr>
            <w:r>
              <w:rPr>
                <w:rFonts w:eastAsia="Arial Unicode MS"/>
                <w:sz w:val="22"/>
                <w:szCs w:val="22"/>
                <w:lang w:val="lv-LV"/>
              </w:rPr>
              <w:t>+8 000 00</w:t>
            </w:r>
            <w:r w:rsidR="003A41F7" w:rsidRPr="00716ECC">
              <w:rPr>
                <w:rFonts w:eastAsia="Arial Unicode MS"/>
                <w:sz w:val="22"/>
                <w:szCs w:val="22"/>
                <w:lang w:val="lv-LV"/>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F3DB127" w14:textId="77777777" w:rsidR="003A41F7" w:rsidRPr="00716ECC" w:rsidRDefault="003A41F7" w:rsidP="00DE7318">
            <w:pPr>
              <w:ind w:left="-30"/>
              <w:jc w:val="center"/>
              <w:rPr>
                <w:rFonts w:eastAsia="Times New Roman"/>
                <w:b/>
                <w:sz w:val="22"/>
                <w:szCs w:val="22"/>
                <w:lang w:val="lv-LV"/>
              </w:rPr>
            </w:pPr>
            <w:r w:rsidRPr="00716ECC">
              <w:rPr>
                <w:rFonts w:eastAsia="Arial Unicode MS"/>
                <w:sz w:val="22"/>
                <w:szCs w:val="22"/>
                <w:lang w:val="lv-LV"/>
              </w:rPr>
              <w:t>X</w:t>
            </w:r>
          </w:p>
        </w:tc>
        <w:tc>
          <w:tcPr>
            <w:tcW w:w="1426" w:type="dxa"/>
            <w:tcBorders>
              <w:top w:val="single" w:sz="4" w:space="0" w:color="auto"/>
              <w:left w:val="single" w:sz="4" w:space="0" w:color="auto"/>
              <w:bottom w:val="single" w:sz="4" w:space="0" w:color="auto"/>
              <w:right w:val="single" w:sz="4" w:space="0" w:color="auto"/>
            </w:tcBorders>
            <w:vAlign w:val="center"/>
          </w:tcPr>
          <w:p w14:paraId="0CC210FE" w14:textId="77777777" w:rsidR="003A41F7" w:rsidRPr="00716ECC" w:rsidRDefault="003A41F7" w:rsidP="00DE7318">
            <w:pPr>
              <w:ind w:left="-30"/>
              <w:jc w:val="center"/>
              <w:rPr>
                <w:rFonts w:eastAsia="Arial Unicode MS"/>
                <w:sz w:val="22"/>
                <w:szCs w:val="22"/>
                <w:lang w:val="lv-LV"/>
              </w:rPr>
            </w:pPr>
            <w:r w:rsidRPr="00716ECC">
              <w:rPr>
                <w:rFonts w:eastAsia="Arial Unicode MS"/>
                <w:sz w:val="22"/>
                <w:szCs w:val="22"/>
                <w:lang w:val="lv-LV"/>
              </w:rPr>
              <w:t>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12A25D" w14:textId="77777777" w:rsidR="003A41F7" w:rsidRPr="00716ECC" w:rsidRDefault="003A41F7" w:rsidP="00DE7318">
            <w:pPr>
              <w:ind w:left="-30"/>
              <w:jc w:val="center"/>
              <w:rPr>
                <w:rFonts w:eastAsia="Times New Roman"/>
                <w:b/>
                <w:sz w:val="22"/>
                <w:szCs w:val="22"/>
                <w:lang w:val="lv-LV"/>
              </w:rPr>
            </w:pPr>
            <w:r w:rsidRPr="00716ECC">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vAlign w:val="center"/>
          </w:tcPr>
          <w:p w14:paraId="41EB8534" w14:textId="77777777" w:rsidR="003A41F7" w:rsidRPr="00716ECC" w:rsidRDefault="003A41F7" w:rsidP="00DE7318">
            <w:pPr>
              <w:ind w:left="-30"/>
              <w:jc w:val="center"/>
              <w:rPr>
                <w:rFonts w:eastAsia="Arial Unicode MS"/>
                <w:sz w:val="22"/>
                <w:szCs w:val="22"/>
                <w:lang w:val="lv-LV"/>
              </w:rPr>
            </w:pPr>
            <w:r w:rsidRPr="00716ECC">
              <w:rPr>
                <w:rFonts w:eastAsia="Arial Unicode MS"/>
                <w:sz w:val="22"/>
                <w:szCs w:val="22"/>
                <w:lang w:val="lv-LV"/>
              </w:rPr>
              <w:t>0</w:t>
            </w: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0361F74F" w14:textId="77777777" w:rsidR="003A41F7" w:rsidRPr="00716ECC" w:rsidRDefault="003A41F7" w:rsidP="00DE7318">
            <w:pPr>
              <w:ind w:left="-30"/>
              <w:jc w:val="center"/>
              <w:rPr>
                <w:rFonts w:eastAsia="Times New Roman"/>
                <w:b/>
                <w:sz w:val="22"/>
                <w:szCs w:val="22"/>
                <w:lang w:val="lv-LV"/>
              </w:rPr>
            </w:pPr>
            <w:r w:rsidRPr="00716ECC">
              <w:rPr>
                <w:rFonts w:eastAsia="Arial Unicode MS"/>
                <w:sz w:val="22"/>
                <w:szCs w:val="22"/>
                <w:lang w:val="lv-LV"/>
              </w:rPr>
              <w:t>X</w:t>
            </w:r>
          </w:p>
        </w:tc>
      </w:tr>
      <w:tr w:rsidR="00716ECC" w:rsidRPr="00716ECC" w14:paraId="0AB248DD"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59753B67"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5. Precizēta finansiālā ietekme:</w:t>
            </w:r>
          </w:p>
        </w:tc>
        <w:tc>
          <w:tcPr>
            <w:tcW w:w="1112" w:type="dxa"/>
            <w:vMerge w:val="restart"/>
            <w:tcBorders>
              <w:top w:val="single" w:sz="4" w:space="0" w:color="auto"/>
              <w:left w:val="single" w:sz="4" w:space="0" w:color="auto"/>
              <w:right w:val="single" w:sz="4" w:space="0" w:color="auto"/>
            </w:tcBorders>
            <w:shd w:val="clear" w:color="auto" w:fill="auto"/>
            <w:vAlign w:val="center"/>
          </w:tcPr>
          <w:p w14:paraId="0174B484" w14:textId="77777777" w:rsidR="003A41F7" w:rsidRPr="00716ECC" w:rsidRDefault="003A41F7" w:rsidP="00DE7318">
            <w:pPr>
              <w:jc w:val="center"/>
              <w:rPr>
                <w:sz w:val="22"/>
                <w:szCs w:val="22"/>
                <w:lang w:val="lv-LV"/>
              </w:rPr>
            </w:pPr>
            <w:r w:rsidRPr="00716ECC">
              <w:rPr>
                <w:sz w:val="22"/>
                <w:szCs w:val="22"/>
                <w:lang w:val="lv-LV"/>
              </w:rPr>
              <w:t>X</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753DD41D" w14:textId="7974057D" w:rsidR="003A41F7" w:rsidRPr="00716ECC" w:rsidRDefault="003A41F7" w:rsidP="00DE7318">
            <w:pPr>
              <w:jc w:val="center"/>
              <w:rPr>
                <w:rFonts w:eastAsia="Arial Unicode MS"/>
                <w:sz w:val="22"/>
                <w:szCs w:val="22"/>
                <w:lang w:val="lv-LV"/>
              </w:rPr>
            </w:pPr>
            <w:r w:rsidRPr="00716ECC">
              <w:rPr>
                <w:rFonts w:eastAsia="Times New Roman"/>
                <w:sz w:val="22"/>
                <w:szCs w:val="22"/>
                <w:lang w:val="lv-LV"/>
              </w:rPr>
              <w:t>0</w:t>
            </w:r>
          </w:p>
        </w:tc>
        <w:tc>
          <w:tcPr>
            <w:tcW w:w="1272" w:type="dxa"/>
            <w:vMerge w:val="restart"/>
            <w:tcBorders>
              <w:top w:val="single" w:sz="4" w:space="0" w:color="auto"/>
              <w:left w:val="single" w:sz="4" w:space="0" w:color="auto"/>
              <w:right w:val="single" w:sz="4" w:space="0" w:color="auto"/>
            </w:tcBorders>
            <w:shd w:val="clear" w:color="auto" w:fill="auto"/>
            <w:vAlign w:val="center"/>
          </w:tcPr>
          <w:p w14:paraId="5FFF4429" w14:textId="77777777" w:rsidR="003A41F7" w:rsidRPr="00716ECC" w:rsidRDefault="003A41F7" w:rsidP="00DE7318">
            <w:pPr>
              <w:jc w:val="center"/>
              <w:rPr>
                <w:rFonts w:eastAsia="Times New Roman"/>
                <w:sz w:val="22"/>
                <w:szCs w:val="22"/>
                <w:lang w:val="lv-LV"/>
              </w:rPr>
            </w:pPr>
            <w:r w:rsidRPr="00716ECC">
              <w:rPr>
                <w:rFonts w:eastAsia="Arial Unicode MS"/>
                <w:sz w:val="22"/>
                <w:szCs w:val="22"/>
                <w:lang w:val="lv-LV"/>
              </w:rPr>
              <w:t>X</w:t>
            </w:r>
          </w:p>
        </w:tc>
        <w:tc>
          <w:tcPr>
            <w:tcW w:w="1426" w:type="dxa"/>
            <w:tcBorders>
              <w:top w:val="single" w:sz="4" w:space="0" w:color="auto"/>
              <w:left w:val="single" w:sz="4" w:space="0" w:color="auto"/>
              <w:bottom w:val="single" w:sz="4" w:space="0" w:color="auto"/>
              <w:right w:val="single" w:sz="4" w:space="0" w:color="auto"/>
            </w:tcBorders>
            <w:vAlign w:val="center"/>
          </w:tcPr>
          <w:p w14:paraId="5EE6C65D"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021" w:type="dxa"/>
            <w:vMerge w:val="restart"/>
            <w:tcBorders>
              <w:top w:val="single" w:sz="4" w:space="0" w:color="auto"/>
              <w:left w:val="single" w:sz="4" w:space="0" w:color="auto"/>
              <w:right w:val="single" w:sz="4" w:space="0" w:color="auto"/>
            </w:tcBorders>
            <w:shd w:val="clear" w:color="auto" w:fill="auto"/>
            <w:vAlign w:val="center"/>
          </w:tcPr>
          <w:p w14:paraId="5654C616" w14:textId="77777777" w:rsidR="003A41F7" w:rsidRPr="00716ECC" w:rsidRDefault="003A41F7" w:rsidP="00DE7318">
            <w:pPr>
              <w:jc w:val="center"/>
              <w:rPr>
                <w:rFonts w:eastAsia="Times New Roman"/>
                <w:sz w:val="22"/>
                <w:szCs w:val="22"/>
                <w:lang w:val="lv-LV"/>
              </w:rPr>
            </w:pPr>
            <w:r w:rsidRPr="00716ECC">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vAlign w:val="center"/>
          </w:tcPr>
          <w:p w14:paraId="0D400DD7"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319" w:type="dxa"/>
            <w:vMerge w:val="restart"/>
            <w:tcBorders>
              <w:top w:val="single" w:sz="4" w:space="0" w:color="auto"/>
              <w:left w:val="single" w:sz="4" w:space="0" w:color="auto"/>
              <w:right w:val="single" w:sz="4" w:space="0" w:color="auto"/>
            </w:tcBorders>
            <w:shd w:val="clear" w:color="auto" w:fill="auto"/>
            <w:vAlign w:val="center"/>
          </w:tcPr>
          <w:p w14:paraId="6D5FAE65" w14:textId="77777777" w:rsidR="003A41F7" w:rsidRPr="00716ECC" w:rsidRDefault="003A41F7" w:rsidP="00DE7318">
            <w:pPr>
              <w:jc w:val="center"/>
              <w:rPr>
                <w:rFonts w:eastAsia="Times New Roman"/>
                <w:sz w:val="22"/>
                <w:szCs w:val="22"/>
                <w:lang w:val="lv-LV"/>
              </w:rPr>
            </w:pPr>
            <w:r w:rsidRPr="00716ECC">
              <w:rPr>
                <w:rFonts w:eastAsia="Arial Unicode MS"/>
                <w:sz w:val="22"/>
                <w:szCs w:val="22"/>
                <w:lang w:val="lv-LV"/>
              </w:rPr>
              <w:t>X</w:t>
            </w:r>
          </w:p>
        </w:tc>
      </w:tr>
      <w:tr w:rsidR="00716ECC" w:rsidRPr="00716ECC" w14:paraId="6532AC8D"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74A1F69C"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rPr>
              <w:t>5.1. valsts pamatbudžets</w:t>
            </w:r>
          </w:p>
        </w:tc>
        <w:tc>
          <w:tcPr>
            <w:tcW w:w="1112" w:type="dxa"/>
            <w:vMerge/>
            <w:tcBorders>
              <w:left w:val="single" w:sz="4" w:space="0" w:color="auto"/>
              <w:right w:val="single" w:sz="4" w:space="0" w:color="auto"/>
            </w:tcBorders>
            <w:shd w:val="clear" w:color="auto" w:fill="auto"/>
            <w:vAlign w:val="center"/>
          </w:tcPr>
          <w:p w14:paraId="047EC4F3" w14:textId="77777777" w:rsidR="003A41F7" w:rsidRPr="00716ECC" w:rsidRDefault="003A41F7" w:rsidP="00DE7318">
            <w:pPr>
              <w:jc w:val="center"/>
              <w:rPr>
                <w:sz w:val="22"/>
                <w:szCs w:val="22"/>
                <w:lang w:val="lv-LV"/>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0E563E93" w14:textId="79592FCC" w:rsidR="003A41F7" w:rsidRPr="00716ECC" w:rsidRDefault="003A41F7" w:rsidP="00DE7318">
            <w:pPr>
              <w:jc w:val="center"/>
              <w:rPr>
                <w:rFonts w:eastAsia="Times New Roman"/>
                <w:sz w:val="22"/>
                <w:szCs w:val="22"/>
                <w:lang w:val="lv-LV"/>
              </w:rPr>
            </w:pPr>
            <w:r w:rsidRPr="00716ECC">
              <w:rPr>
                <w:rFonts w:eastAsia="Times New Roman"/>
                <w:sz w:val="22"/>
                <w:szCs w:val="22"/>
                <w:lang w:val="lv-LV"/>
              </w:rPr>
              <w:t>0</w:t>
            </w:r>
          </w:p>
        </w:tc>
        <w:tc>
          <w:tcPr>
            <w:tcW w:w="1272" w:type="dxa"/>
            <w:vMerge/>
            <w:tcBorders>
              <w:left w:val="single" w:sz="4" w:space="0" w:color="auto"/>
              <w:right w:val="single" w:sz="4" w:space="0" w:color="auto"/>
            </w:tcBorders>
            <w:shd w:val="clear" w:color="auto" w:fill="auto"/>
            <w:vAlign w:val="center"/>
          </w:tcPr>
          <w:p w14:paraId="1DAB4BE5" w14:textId="77777777" w:rsidR="003A41F7" w:rsidRPr="00716ECC" w:rsidRDefault="003A41F7" w:rsidP="00DE7318">
            <w:pPr>
              <w:jc w:val="center"/>
              <w:rPr>
                <w:rFonts w:eastAsia="Arial Unicode MS"/>
                <w:sz w:val="22"/>
                <w:szCs w:val="22"/>
                <w:lang w:val="lv-LV"/>
              </w:rPr>
            </w:pPr>
          </w:p>
        </w:tc>
        <w:tc>
          <w:tcPr>
            <w:tcW w:w="1426" w:type="dxa"/>
            <w:tcBorders>
              <w:top w:val="single" w:sz="4" w:space="0" w:color="auto"/>
              <w:left w:val="single" w:sz="4" w:space="0" w:color="auto"/>
              <w:bottom w:val="single" w:sz="4" w:space="0" w:color="auto"/>
              <w:right w:val="single" w:sz="4" w:space="0" w:color="auto"/>
            </w:tcBorders>
            <w:vAlign w:val="center"/>
          </w:tcPr>
          <w:p w14:paraId="4F8B5666"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021" w:type="dxa"/>
            <w:vMerge/>
            <w:tcBorders>
              <w:left w:val="single" w:sz="4" w:space="0" w:color="auto"/>
              <w:right w:val="single" w:sz="4" w:space="0" w:color="auto"/>
            </w:tcBorders>
            <w:shd w:val="clear" w:color="auto" w:fill="auto"/>
            <w:vAlign w:val="center"/>
          </w:tcPr>
          <w:p w14:paraId="2F7E6876" w14:textId="77777777" w:rsidR="003A41F7" w:rsidRPr="00716ECC" w:rsidRDefault="003A41F7" w:rsidP="00DE7318">
            <w:pPr>
              <w:jc w:val="center"/>
              <w:rPr>
                <w:rFonts w:eastAsia="Arial Unicode MS"/>
                <w:sz w:val="22"/>
                <w:szCs w:val="22"/>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1F7A55CE"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319" w:type="dxa"/>
            <w:vMerge/>
            <w:tcBorders>
              <w:left w:val="single" w:sz="4" w:space="0" w:color="auto"/>
              <w:right w:val="single" w:sz="4" w:space="0" w:color="auto"/>
            </w:tcBorders>
            <w:shd w:val="clear" w:color="auto" w:fill="auto"/>
            <w:vAlign w:val="center"/>
          </w:tcPr>
          <w:p w14:paraId="333A78A2" w14:textId="77777777" w:rsidR="003A41F7" w:rsidRPr="00716ECC" w:rsidRDefault="003A41F7" w:rsidP="00DE7318">
            <w:pPr>
              <w:jc w:val="center"/>
              <w:rPr>
                <w:rFonts w:eastAsia="Arial Unicode MS"/>
                <w:sz w:val="22"/>
                <w:szCs w:val="22"/>
                <w:lang w:val="lv-LV"/>
              </w:rPr>
            </w:pPr>
          </w:p>
        </w:tc>
      </w:tr>
      <w:tr w:rsidR="00716ECC" w:rsidRPr="00716ECC" w14:paraId="5015A020"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641284EC"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rPr>
              <w:t>5.2. speciālais budžets</w:t>
            </w:r>
          </w:p>
        </w:tc>
        <w:tc>
          <w:tcPr>
            <w:tcW w:w="1112" w:type="dxa"/>
            <w:vMerge/>
            <w:tcBorders>
              <w:left w:val="single" w:sz="4" w:space="0" w:color="auto"/>
              <w:right w:val="single" w:sz="4" w:space="0" w:color="auto"/>
            </w:tcBorders>
            <w:shd w:val="clear" w:color="auto" w:fill="auto"/>
            <w:vAlign w:val="center"/>
          </w:tcPr>
          <w:p w14:paraId="35823A8F" w14:textId="77777777" w:rsidR="003A41F7" w:rsidRPr="00716ECC" w:rsidRDefault="003A41F7" w:rsidP="00DE7318">
            <w:pPr>
              <w:jc w:val="center"/>
              <w:rPr>
                <w:sz w:val="22"/>
                <w:szCs w:val="22"/>
                <w:lang w:val="lv-LV"/>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00D5E35" w14:textId="77777777" w:rsidR="003A41F7" w:rsidRPr="00716ECC" w:rsidRDefault="003A41F7" w:rsidP="00DE7318">
            <w:pPr>
              <w:jc w:val="center"/>
              <w:rPr>
                <w:rFonts w:eastAsia="Times New Roman"/>
                <w:sz w:val="22"/>
                <w:szCs w:val="22"/>
                <w:lang w:val="lv-LV"/>
              </w:rPr>
            </w:pPr>
            <w:r w:rsidRPr="00716ECC">
              <w:rPr>
                <w:rFonts w:eastAsia="Times New Roman"/>
                <w:sz w:val="22"/>
                <w:szCs w:val="22"/>
                <w:lang w:val="lv-LV"/>
              </w:rPr>
              <w:t>0</w:t>
            </w:r>
          </w:p>
        </w:tc>
        <w:tc>
          <w:tcPr>
            <w:tcW w:w="1272" w:type="dxa"/>
            <w:vMerge/>
            <w:tcBorders>
              <w:left w:val="single" w:sz="4" w:space="0" w:color="auto"/>
              <w:right w:val="single" w:sz="4" w:space="0" w:color="auto"/>
            </w:tcBorders>
            <w:shd w:val="clear" w:color="auto" w:fill="auto"/>
            <w:vAlign w:val="center"/>
          </w:tcPr>
          <w:p w14:paraId="7BE4046C" w14:textId="77777777" w:rsidR="003A41F7" w:rsidRPr="00716ECC" w:rsidRDefault="003A41F7" w:rsidP="00DE7318">
            <w:pPr>
              <w:jc w:val="center"/>
              <w:rPr>
                <w:rFonts w:eastAsia="Arial Unicode MS"/>
                <w:sz w:val="22"/>
                <w:szCs w:val="22"/>
                <w:lang w:val="lv-LV"/>
              </w:rPr>
            </w:pPr>
          </w:p>
        </w:tc>
        <w:tc>
          <w:tcPr>
            <w:tcW w:w="1426" w:type="dxa"/>
            <w:tcBorders>
              <w:top w:val="single" w:sz="4" w:space="0" w:color="auto"/>
              <w:left w:val="single" w:sz="4" w:space="0" w:color="auto"/>
              <w:bottom w:val="single" w:sz="4" w:space="0" w:color="auto"/>
              <w:right w:val="single" w:sz="4" w:space="0" w:color="auto"/>
            </w:tcBorders>
            <w:vAlign w:val="center"/>
          </w:tcPr>
          <w:p w14:paraId="758A9606"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021" w:type="dxa"/>
            <w:vMerge/>
            <w:tcBorders>
              <w:left w:val="single" w:sz="4" w:space="0" w:color="auto"/>
              <w:right w:val="single" w:sz="4" w:space="0" w:color="auto"/>
            </w:tcBorders>
            <w:shd w:val="clear" w:color="auto" w:fill="auto"/>
            <w:vAlign w:val="center"/>
          </w:tcPr>
          <w:p w14:paraId="60AA4882" w14:textId="77777777" w:rsidR="003A41F7" w:rsidRPr="00716ECC" w:rsidRDefault="003A41F7" w:rsidP="00DE7318">
            <w:pPr>
              <w:jc w:val="center"/>
              <w:rPr>
                <w:rFonts w:eastAsia="Arial Unicode MS"/>
                <w:sz w:val="22"/>
                <w:szCs w:val="22"/>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7FAC8574"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319" w:type="dxa"/>
            <w:vMerge/>
            <w:tcBorders>
              <w:left w:val="single" w:sz="4" w:space="0" w:color="auto"/>
              <w:right w:val="single" w:sz="4" w:space="0" w:color="auto"/>
            </w:tcBorders>
            <w:shd w:val="clear" w:color="auto" w:fill="auto"/>
            <w:vAlign w:val="center"/>
          </w:tcPr>
          <w:p w14:paraId="1888B85E" w14:textId="77777777" w:rsidR="003A41F7" w:rsidRPr="00716ECC" w:rsidRDefault="003A41F7" w:rsidP="00DE7318">
            <w:pPr>
              <w:jc w:val="center"/>
              <w:rPr>
                <w:rFonts w:eastAsia="Arial Unicode MS"/>
                <w:sz w:val="22"/>
                <w:szCs w:val="22"/>
                <w:lang w:val="lv-LV"/>
              </w:rPr>
            </w:pPr>
          </w:p>
        </w:tc>
      </w:tr>
      <w:tr w:rsidR="00716ECC" w:rsidRPr="00716ECC" w14:paraId="1D59464C"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68ACCB62"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rPr>
              <w:t>5.3. pašvaldību budžets</w:t>
            </w:r>
          </w:p>
        </w:tc>
        <w:tc>
          <w:tcPr>
            <w:tcW w:w="1112" w:type="dxa"/>
            <w:vMerge/>
            <w:tcBorders>
              <w:left w:val="single" w:sz="4" w:space="0" w:color="auto"/>
              <w:bottom w:val="single" w:sz="4" w:space="0" w:color="auto"/>
              <w:right w:val="single" w:sz="4" w:space="0" w:color="auto"/>
            </w:tcBorders>
            <w:shd w:val="clear" w:color="auto" w:fill="auto"/>
            <w:vAlign w:val="center"/>
          </w:tcPr>
          <w:p w14:paraId="48034DAF" w14:textId="77777777" w:rsidR="003A41F7" w:rsidRPr="00716ECC" w:rsidRDefault="003A41F7" w:rsidP="00DE7318">
            <w:pPr>
              <w:jc w:val="center"/>
              <w:rPr>
                <w:sz w:val="22"/>
                <w:szCs w:val="22"/>
                <w:lang w:val="lv-LV"/>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41C81FAC" w14:textId="77777777" w:rsidR="003A41F7" w:rsidRPr="00716ECC" w:rsidRDefault="003A41F7" w:rsidP="00DE7318">
            <w:pPr>
              <w:jc w:val="center"/>
              <w:rPr>
                <w:rFonts w:eastAsia="Times New Roman"/>
                <w:sz w:val="22"/>
                <w:szCs w:val="22"/>
                <w:lang w:val="lv-LV"/>
              </w:rPr>
            </w:pPr>
            <w:r w:rsidRPr="00716ECC">
              <w:rPr>
                <w:rFonts w:eastAsia="Times New Roman"/>
                <w:sz w:val="22"/>
                <w:szCs w:val="22"/>
                <w:lang w:val="lv-LV"/>
              </w:rPr>
              <w:t>0</w:t>
            </w:r>
          </w:p>
        </w:tc>
        <w:tc>
          <w:tcPr>
            <w:tcW w:w="1272" w:type="dxa"/>
            <w:vMerge/>
            <w:tcBorders>
              <w:left w:val="single" w:sz="4" w:space="0" w:color="auto"/>
              <w:bottom w:val="single" w:sz="4" w:space="0" w:color="auto"/>
              <w:right w:val="single" w:sz="4" w:space="0" w:color="auto"/>
            </w:tcBorders>
            <w:shd w:val="clear" w:color="auto" w:fill="auto"/>
            <w:vAlign w:val="center"/>
          </w:tcPr>
          <w:p w14:paraId="3573CEF2" w14:textId="77777777" w:rsidR="003A41F7" w:rsidRPr="00716ECC" w:rsidRDefault="003A41F7" w:rsidP="00DE7318">
            <w:pPr>
              <w:jc w:val="center"/>
              <w:rPr>
                <w:rFonts w:eastAsia="Arial Unicode MS"/>
                <w:sz w:val="22"/>
                <w:szCs w:val="22"/>
                <w:lang w:val="lv-LV"/>
              </w:rPr>
            </w:pPr>
          </w:p>
        </w:tc>
        <w:tc>
          <w:tcPr>
            <w:tcW w:w="1426" w:type="dxa"/>
            <w:tcBorders>
              <w:top w:val="single" w:sz="4" w:space="0" w:color="auto"/>
              <w:left w:val="single" w:sz="4" w:space="0" w:color="auto"/>
              <w:bottom w:val="single" w:sz="4" w:space="0" w:color="auto"/>
              <w:right w:val="single" w:sz="4" w:space="0" w:color="auto"/>
            </w:tcBorders>
            <w:vAlign w:val="center"/>
          </w:tcPr>
          <w:p w14:paraId="36D6DC00"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021" w:type="dxa"/>
            <w:vMerge/>
            <w:tcBorders>
              <w:left w:val="single" w:sz="4" w:space="0" w:color="auto"/>
              <w:bottom w:val="single" w:sz="4" w:space="0" w:color="auto"/>
              <w:right w:val="single" w:sz="4" w:space="0" w:color="auto"/>
            </w:tcBorders>
            <w:shd w:val="clear" w:color="auto" w:fill="auto"/>
            <w:vAlign w:val="center"/>
          </w:tcPr>
          <w:p w14:paraId="6BC2CDC7" w14:textId="77777777" w:rsidR="003A41F7" w:rsidRPr="00716ECC" w:rsidRDefault="003A41F7" w:rsidP="00DE7318">
            <w:pPr>
              <w:jc w:val="center"/>
              <w:rPr>
                <w:rFonts w:eastAsia="Arial Unicode MS"/>
                <w:sz w:val="22"/>
                <w:szCs w:val="22"/>
                <w:lang w:val="lv-LV"/>
              </w:rPr>
            </w:pPr>
          </w:p>
        </w:tc>
        <w:tc>
          <w:tcPr>
            <w:tcW w:w="1106" w:type="dxa"/>
            <w:tcBorders>
              <w:top w:val="single" w:sz="4" w:space="0" w:color="auto"/>
              <w:left w:val="single" w:sz="4" w:space="0" w:color="auto"/>
              <w:bottom w:val="single" w:sz="4" w:space="0" w:color="auto"/>
              <w:right w:val="single" w:sz="4" w:space="0" w:color="auto"/>
            </w:tcBorders>
            <w:vAlign w:val="center"/>
          </w:tcPr>
          <w:p w14:paraId="2B5D4D12" w14:textId="77777777" w:rsidR="003A41F7" w:rsidRPr="00716ECC" w:rsidRDefault="003A41F7" w:rsidP="00DE7318">
            <w:pPr>
              <w:jc w:val="center"/>
              <w:rPr>
                <w:rFonts w:eastAsia="Arial Unicode MS"/>
                <w:sz w:val="22"/>
                <w:szCs w:val="22"/>
                <w:lang w:val="lv-LV"/>
              </w:rPr>
            </w:pPr>
            <w:r w:rsidRPr="00716ECC">
              <w:rPr>
                <w:rFonts w:eastAsia="Arial Unicode MS"/>
                <w:sz w:val="22"/>
                <w:szCs w:val="22"/>
                <w:lang w:val="lv-LV"/>
              </w:rPr>
              <w:t>0</w:t>
            </w:r>
          </w:p>
        </w:tc>
        <w:tc>
          <w:tcPr>
            <w:tcW w:w="1319" w:type="dxa"/>
            <w:vMerge/>
            <w:tcBorders>
              <w:left w:val="single" w:sz="4" w:space="0" w:color="auto"/>
              <w:bottom w:val="single" w:sz="4" w:space="0" w:color="auto"/>
              <w:right w:val="single" w:sz="4" w:space="0" w:color="auto"/>
            </w:tcBorders>
            <w:shd w:val="clear" w:color="auto" w:fill="auto"/>
            <w:vAlign w:val="center"/>
          </w:tcPr>
          <w:p w14:paraId="35627618" w14:textId="77777777" w:rsidR="003A41F7" w:rsidRPr="00716ECC" w:rsidRDefault="003A41F7" w:rsidP="00DE7318">
            <w:pPr>
              <w:jc w:val="center"/>
              <w:rPr>
                <w:rFonts w:eastAsia="Arial Unicode MS"/>
                <w:sz w:val="22"/>
                <w:szCs w:val="22"/>
                <w:lang w:val="lv-LV"/>
              </w:rPr>
            </w:pPr>
          </w:p>
        </w:tc>
      </w:tr>
      <w:tr w:rsidR="00716ECC" w:rsidRPr="00716ECC" w14:paraId="1254255F"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04EA8158" w14:textId="77777777" w:rsidR="003A41F7" w:rsidRPr="00716ECC" w:rsidRDefault="003A41F7" w:rsidP="00DE7318">
            <w:pPr>
              <w:jc w:val="center"/>
              <w:rPr>
                <w:iCs/>
                <w:sz w:val="22"/>
                <w:szCs w:val="22"/>
                <w:lang w:val="lv-LV"/>
              </w:rPr>
            </w:pPr>
            <w:r w:rsidRPr="00716ECC">
              <w:rPr>
                <w:iCs/>
                <w:sz w:val="22"/>
                <w:szCs w:val="22"/>
                <w:lang w:val="lv-LV"/>
              </w:rPr>
              <w:t>6. Detalizēts ieņēmumu un izdevumu aprēķins (ja nepieciešams, detalizētu ieņēmumu un izdevumu aprēķinu var pievienot anotācijas pielikumā):</w:t>
            </w:r>
          </w:p>
        </w:tc>
        <w:tc>
          <w:tcPr>
            <w:tcW w:w="8543" w:type="dxa"/>
            <w:gridSpan w:val="7"/>
            <w:vMerge w:val="restart"/>
            <w:tcBorders>
              <w:top w:val="single" w:sz="4" w:space="0" w:color="auto"/>
              <w:left w:val="single" w:sz="4" w:space="0" w:color="auto"/>
              <w:right w:val="single" w:sz="4" w:space="0" w:color="auto"/>
            </w:tcBorders>
          </w:tcPr>
          <w:p w14:paraId="29F0AC89" w14:textId="21C0CE18" w:rsidR="003A41F7" w:rsidRPr="00716ECC" w:rsidRDefault="003A41F7" w:rsidP="00DE7318">
            <w:pPr>
              <w:rPr>
                <w:rFonts w:eastAsia="Times New Roman"/>
                <w:sz w:val="24"/>
                <w:szCs w:val="24"/>
                <w:lang w:val="lv-LV"/>
              </w:rPr>
            </w:pPr>
            <w:r w:rsidRPr="00716ECC">
              <w:rPr>
                <w:rFonts w:eastAsia="Times New Roman"/>
                <w:sz w:val="24"/>
                <w:szCs w:val="24"/>
                <w:lang w:val="lv-LV"/>
              </w:rPr>
              <w:t>Atbilstoši sporta nozares iesniegtajiem datiem sporta centri ar platību virs 500 m</w:t>
            </w:r>
            <w:r w:rsidRPr="00716ECC">
              <w:rPr>
                <w:rFonts w:eastAsia="Times New Roman"/>
                <w:sz w:val="24"/>
                <w:szCs w:val="24"/>
                <w:vertAlign w:val="superscript"/>
                <w:lang w:val="lv-LV"/>
              </w:rPr>
              <w:t>2</w:t>
            </w:r>
            <w:r w:rsidRPr="00716ECC">
              <w:rPr>
                <w:rFonts w:eastAsia="Times New Roman"/>
                <w:sz w:val="24"/>
                <w:szCs w:val="24"/>
                <w:lang w:val="lv-LV"/>
              </w:rPr>
              <w:t xml:space="preserve"> ir </w:t>
            </w:r>
            <w:r w:rsidR="00DE7318" w:rsidRPr="00716ECC">
              <w:rPr>
                <w:rFonts w:eastAsia="Times New Roman"/>
                <w:sz w:val="24"/>
                <w:szCs w:val="24"/>
                <w:lang w:val="lv-LV"/>
              </w:rPr>
              <w:t>109</w:t>
            </w:r>
            <w:r w:rsidR="00721A69" w:rsidRPr="00716ECC">
              <w:rPr>
                <w:rFonts w:eastAsia="Times New Roman"/>
                <w:sz w:val="24"/>
                <w:szCs w:val="24"/>
                <w:lang w:val="lv-LV"/>
              </w:rPr>
              <w:t>, savukārt kopējā iekštelpu platība ir aptuveni 320 000 m2.</w:t>
            </w:r>
          </w:p>
          <w:p w14:paraId="7CAF39DE" w14:textId="2E8CD30A" w:rsidR="00721A69" w:rsidRPr="00F734FE" w:rsidRDefault="00721A69" w:rsidP="00DE7318">
            <w:pPr>
              <w:rPr>
                <w:rFonts w:eastAsia="Times New Roman"/>
                <w:b/>
                <w:bCs/>
                <w:sz w:val="24"/>
                <w:szCs w:val="24"/>
                <w:lang w:val="lv-LV"/>
              </w:rPr>
            </w:pPr>
            <w:r w:rsidRPr="00F734FE">
              <w:rPr>
                <w:rFonts w:eastAsia="Times New Roman"/>
                <w:b/>
                <w:bCs/>
                <w:sz w:val="24"/>
                <w:szCs w:val="24"/>
                <w:lang w:val="lv-LV"/>
              </w:rPr>
              <w:t xml:space="preserve">Līdz ar to kopējais atbalsts sporta centriem ir 25*320 000=8 000 000 </w:t>
            </w:r>
            <w:proofErr w:type="spellStart"/>
            <w:r w:rsidRPr="00F734FE">
              <w:rPr>
                <w:rFonts w:eastAsia="Times New Roman"/>
                <w:b/>
                <w:bCs/>
                <w:i/>
                <w:iCs/>
                <w:sz w:val="24"/>
                <w:szCs w:val="24"/>
                <w:lang w:val="lv-LV"/>
              </w:rPr>
              <w:t>euro</w:t>
            </w:r>
            <w:proofErr w:type="spellEnd"/>
            <w:r w:rsidRPr="00F734FE">
              <w:rPr>
                <w:rFonts w:eastAsia="Times New Roman"/>
                <w:b/>
                <w:bCs/>
                <w:sz w:val="24"/>
                <w:szCs w:val="24"/>
                <w:lang w:val="lv-LV"/>
              </w:rPr>
              <w:t>.</w:t>
            </w:r>
          </w:p>
          <w:p w14:paraId="05E19A9E" w14:textId="77777777" w:rsidR="003A41F7" w:rsidRPr="00716ECC" w:rsidRDefault="003A41F7" w:rsidP="00DE7318">
            <w:pPr>
              <w:rPr>
                <w:rFonts w:eastAsia="Times New Roman"/>
                <w:sz w:val="24"/>
                <w:szCs w:val="24"/>
                <w:lang w:val="lv-LV"/>
              </w:rPr>
            </w:pPr>
          </w:p>
          <w:p w14:paraId="3BBB724E" w14:textId="211CEF88" w:rsidR="00DE7318" w:rsidRPr="00716ECC" w:rsidRDefault="00DE7318" w:rsidP="00DE7318">
            <w:pPr>
              <w:rPr>
                <w:rFonts w:eastAsia="Times New Roman"/>
                <w:b/>
                <w:bCs/>
                <w:sz w:val="24"/>
                <w:szCs w:val="24"/>
                <w:lang w:val="lv-LV"/>
              </w:rPr>
            </w:pPr>
          </w:p>
          <w:p w14:paraId="6E1DFC09" w14:textId="77777777" w:rsidR="00DE7318" w:rsidRPr="00716ECC" w:rsidRDefault="00DE7318" w:rsidP="00DE7318">
            <w:pPr>
              <w:rPr>
                <w:rFonts w:eastAsia="Times New Roman"/>
                <w:b/>
                <w:bCs/>
                <w:sz w:val="24"/>
                <w:szCs w:val="24"/>
                <w:lang w:val="lv-LV"/>
              </w:rPr>
            </w:pPr>
          </w:p>
          <w:p w14:paraId="691FB893" w14:textId="3940F653" w:rsidR="003A41F7" w:rsidRPr="00716ECC" w:rsidRDefault="003A41F7" w:rsidP="00DE7318">
            <w:pPr>
              <w:rPr>
                <w:rFonts w:eastAsia="Times New Roman"/>
                <w:b/>
                <w:bCs/>
                <w:sz w:val="24"/>
                <w:szCs w:val="24"/>
                <w:lang w:val="lv-LV"/>
              </w:rPr>
            </w:pPr>
          </w:p>
          <w:p w14:paraId="553C5FAC" w14:textId="77777777" w:rsidR="003A41F7" w:rsidRPr="00716ECC" w:rsidRDefault="003A41F7" w:rsidP="00DE7318">
            <w:pPr>
              <w:rPr>
                <w:rFonts w:eastAsia="Times New Roman"/>
                <w:sz w:val="24"/>
                <w:szCs w:val="24"/>
                <w:highlight w:val="yellow"/>
                <w:lang w:val="lv-LV"/>
              </w:rPr>
            </w:pPr>
          </w:p>
          <w:p w14:paraId="082F1C0F" w14:textId="77777777" w:rsidR="003A41F7" w:rsidRPr="00716ECC" w:rsidRDefault="003A41F7" w:rsidP="00DE7318">
            <w:pPr>
              <w:rPr>
                <w:rFonts w:eastAsia="Times New Roman"/>
                <w:sz w:val="24"/>
                <w:szCs w:val="24"/>
                <w:lang w:val="lv-LV"/>
              </w:rPr>
            </w:pPr>
          </w:p>
        </w:tc>
      </w:tr>
      <w:tr w:rsidR="00716ECC" w:rsidRPr="00716ECC" w14:paraId="1EF4EFAB"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412A70A6" w14:textId="77777777" w:rsidR="003A41F7" w:rsidRPr="00716ECC" w:rsidRDefault="003A41F7" w:rsidP="00DE7318">
            <w:pPr>
              <w:jc w:val="center"/>
              <w:rPr>
                <w:iCs/>
                <w:sz w:val="22"/>
                <w:szCs w:val="22"/>
                <w:lang w:val="lv-LV"/>
              </w:rPr>
            </w:pPr>
            <w:r w:rsidRPr="00716ECC">
              <w:rPr>
                <w:iCs/>
                <w:sz w:val="22"/>
                <w:szCs w:val="22"/>
                <w:lang w:val="lv-LV"/>
              </w:rPr>
              <w:t>6.1. detalizēts ieņēmumu aprēķins</w:t>
            </w:r>
          </w:p>
        </w:tc>
        <w:tc>
          <w:tcPr>
            <w:tcW w:w="8543" w:type="dxa"/>
            <w:gridSpan w:val="7"/>
            <w:vMerge/>
            <w:vAlign w:val="center"/>
          </w:tcPr>
          <w:p w14:paraId="1430608E" w14:textId="77777777" w:rsidR="003A41F7" w:rsidRPr="00716ECC" w:rsidRDefault="003A41F7" w:rsidP="00DE7318">
            <w:pPr>
              <w:pStyle w:val="ListParagraph"/>
              <w:tabs>
                <w:tab w:val="left" w:pos="317"/>
              </w:tabs>
              <w:ind w:left="34"/>
              <w:jc w:val="center"/>
              <w:rPr>
                <w:iCs/>
                <w:sz w:val="24"/>
                <w:szCs w:val="24"/>
                <w:lang w:val="lv-LV"/>
              </w:rPr>
            </w:pPr>
          </w:p>
        </w:tc>
      </w:tr>
      <w:tr w:rsidR="00716ECC" w:rsidRPr="00716ECC" w14:paraId="15442AAD"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359B42EC" w14:textId="77777777" w:rsidR="003A41F7" w:rsidRPr="00716ECC" w:rsidRDefault="003A41F7" w:rsidP="00DE7318">
            <w:pPr>
              <w:jc w:val="center"/>
              <w:rPr>
                <w:rFonts w:eastAsia="Times New Roman"/>
                <w:szCs w:val="26"/>
                <w:lang w:val="lv-LV"/>
              </w:rPr>
            </w:pPr>
            <w:r w:rsidRPr="00716ECC">
              <w:rPr>
                <w:sz w:val="22"/>
                <w:szCs w:val="22"/>
                <w:lang w:val="lv-LV"/>
              </w:rPr>
              <w:t>6.2. detalizēts izdevumu aprēķins</w:t>
            </w:r>
          </w:p>
        </w:tc>
        <w:tc>
          <w:tcPr>
            <w:tcW w:w="8543" w:type="dxa"/>
            <w:gridSpan w:val="7"/>
            <w:vMerge/>
            <w:vAlign w:val="center"/>
          </w:tcPr>
          <w:p w14:paraId="20631C5F" w14:textId="77777777" w:rsidR="003A41F7" w:rsidRPr="00716ECC" w:rsidRDefault="003A41F7" w:rsidP="00DE7318">
            <w:pPr>
              <w:pStyle w:val="ListParagraph"/>
              <w:tabs>
                <w:tab w:val="left" w:pos="317"/>
              </w:tabs>
              <w:ind w:left="34"/>
              <w:jc w:val="center"/>
              <w:rPr>
                <w:iCs/>
                <w:sz w:val="24"/>
                <w:szCs w:val="24"/>
                <w:lang w:val="lv-LV"/>
              </w:rPr>
            </w:pPr>
          </w:p>
        </w:tc>
      </w:tr>
      <w:tr w:rsidR="00716ECC" w:rsidRPr="00716ECC" w14:paraId="6A53D75B"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7325F13B"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7. Amata vietu skaita izmaiņas</w:t>
            </w:r>
          </w:p>
        </w:tc>
        <w:tc>
          <w:tcPr>
            <w:tcW w:w="8543" w:type="dxa"/>
            <w:gridSpan w:val="7"/>
            <w:tcBorders>
              <w:top w:val="single" w:sz="4" w:space="0" w:color="auto"/>
              <w:left w:val="single" w:sz="4" w:space="0" w:color="auto"/>
              <w:bottom w:val="single" w:sz="4" w:space="0" w:color="auto"/>
              <w:right w:val="single" w:sz="4" w:space="0" w:color="auto"/>
            </w:tcBorders>
            <w:vAlign w:val="center"/>
          </w:tcPr>
          <w:p w14:paraId="11A46217" w14:textId="54B9D5AC" w:rsidR="003A41F7" w:rsidRPr="00716ECC" w:rsidRDefault="00BE3852" w:rsidP="00DE7318">
            <w:pPr>
              <w:rPr>
                <w:rFonts w:eastAsia="Times New Roman"/>
                <w:sz w:val="24"/>
                <w:szCs w:val="24"/>
                <w:lang w:val="lv-LV" w:eastAsia="ja-JP"/>
              </w:rPr>
            </w:pPr>
            <w:r>
              <w:rPr>
                <w:iCs/>
                <w:sz w:val="24"/>
                <w:szCs w:val="24"/>
                <w:lang w:val="lv-LV"/>
              </w:rPr>
              <w:t>MK N</w:t>
            </w:r>
            <w:r w:rsidR="003A41F7" w:rsidRPr="00716ECC">
              <w:rPr>
                <w:iCs/>
                <w:sz w:val="24"/>
                <w:szCs w:val="24"/>
                <w:lang w:val="lv-LV"/>
              </w:rPr>
              <w:t>oteikumu projekts šo jomu neskar.</w:t>
            </w:r>
          </w:p>
        </w:tc>
      </w:tr>
      <w:tr w:rsidR="00716ECC" w:rsidRPr="004949AC" w14:paraId="7BD7C26D" w14:textId="77777777" w:rsidTr="00DE7318">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14:paraId="2D79B772" w14:textId="77777777" w:rsidR="003A41F7" w:rsidRPr="00716ECC" w:rsidRDefault="003A41F7" w:rsidP="00DE7318">
            <w:pPr>
              <w:jc w:val="center"/>
              <w:rPr>
                <w:rFonts w:eastAsia="Times New Roman"/>
                <w:sz w:val="22"/>
                <w:szCs w:val="22"/>
                <w:lang w:val="lv-LV" w:eastAsia="ja-JP"/>
              </w:rPr>
            </w:pPr>
            <w:r w:rsidRPr="00716ECC">
              <w:rPr>
                <w:rFonts w:eastAsia="Times New Roman"/>
                <w:sz w:val="22"/>
                <w:szCs w:val="22"/>
                <w:lang w:val="lv-LV" w:eastAsia="ja-JP"/>
              </w:rPr>
              <w:t>8. Cita informācija</w:t>
            </w:r>
          </w:p>
        </w:tc>
        <w:tc>
          <w:tcPr>
            <w:tcW w:w="8543" w:type="dxa"/>
            <w:gridSpan w:val="7"/>
            <w:tcBorders>
              <w:top w:val="single" w:sz="4" w:space="0" w:color="auto"/>
              <w:left w:val="single" w:sz="4" w:space="0" w:color="auto"/>
              <w:bottom w:val="single" w:sz="4" w:space="0" w:color="auto"/>
              <w:right w:val="single" w:sz="4" w:space="0" w:color="auto"/>
            </w:tcBorders>
            <w:vAlign w:val="center"/>
          </w:tcPr>
          <w:p w14:paraId="317F4DC8" w14:textId="352ACAA8" w:rsidR="003A41F7" w:rsidRPr="00142EDA" w:rsidRDefault="005C7D4F" w:rsidP="00DE7318">
            <w:pPr>
              <w:ind w:right="57"/>
              <w:rPr>
                <w:lang w:val="lv-LV"/>
              </w:rPr>
            </w:pPr>
            <w:r w:rsidRPr="005C7D4F">
              <w:rPr>
                <w:rFonts w:eastAsia="Times New Roman"/>
                <w:sz w:val="24"/>
                <w:szCs w:val="24"/>
                <w:lang w:val="lv-LV"/>
              </w:rPr>
              <w:t>Lai nodrošinātu atbalstu komersant</w:t>
            </w:r>
            <w:r>
              <w:rPr>
                <w:rFonts w:eastAsia="Times New Roman"/>
                <w:sz w:val="24"/>
                <w:szCs w:val="24"/>
                <w:lang w:val="lv-LV"/>
              </w:rPr>
              <w:t>iem</w:t>
            </w:r>
            <w:r w:rsidRPr="005C7D4F">
              <w:rPr>
                <w:rFonts w:eastAsia="Times New Roman"/>
                <w:sz w:val="24"/>
                <w:szCs w:val="24"/>
                <w:lang w:val="lv-LV"/>
              </w:rPr>
              <w:t>, kuru īpašumā ir sporta centri,</w:t>
            </w:r>
            <w:r>
              <w:rPr>
                <w:rFonts w:eastAsia="Times New Roman"/>
                <w:sz w:val="24"/>
                <w:szCs w:val="24"/>
                <w:lang w:val="lv-LV"/>
              </w:rPr>
              <w:t xml:space="preserve"> </w:t>
            </w:r>
            <w:r w:rsidRPr="005C7D4F">
              <w:rPr>
                <w:rFonts w:eastAsia="Times New Roman"/>
                <w:sz w:val="24"/>
                <w:szCs w:val="24"/>
                <w:lang w:val="lv-LV"/>
              </w:rPr>
              <w:t xml:space="preserve">Ekonomikas ministrija normatīvajos aktos noteiktajā kārtībā sagatavos un iesniegs izskatīšanai Ministru kabinetā rīkojuma projektu par finanšu līdzekļu piešķiršanu no valsts budžeta programmas “Līdzekļi neparedzētiem gadījumiem”, kas nepārsniedz </w:t>
            </w:r>
            <w:r>
              <w:rPr>
                <w:rFonts w:eastAsia="Times New Roman"/>
                <w:sz w:val="24"/>
                <w:szCs w:val="24"/>
                <w:lang w:val="lv-LV"/>
              </w:rPr>
              <w:t>8</w:t>
            </w:r>
            <w:r w:rsidRPr="005C7D4F">
              <w:rPr>
                <w:rFonts w:eastAsia="Times New Roman"/>
                <w:sz w:val="24"/>
                <w:szCs w:val="24"/>
                <w:lang w:val="lv-LV"/>
              </w:rPr>
              <w:t xml:space="preserve"> 000 </w:t>
            </w:r>
            <w:r w:rsidRPr="005C7D4F">
              <w:rPr>
                <w:rFonts w:eastAsia="Times New Roman"/>
                <w:sz w:val="24"/>
                <w:szCs w:val="24"/>
                <w:lang w:val="lv-LV"/>
              </w:rPr>
              <w:lastRenderedPageBreak/>
              <w:t xml:space="preserve">000 </w:t>
            </w:r>
            <w:proofErr w:type="spellStart"/>
            <w:r w:rsidRPr="005C7D4F">
              <w:rPr>
                <w:rFonts w:eastAsia="Times New Roman"/>
                <w:sz w:val="24"/>
                <w:szCs w:val="24"/>
                <w:lang w:val="lv-LV"/>
              </w:rPr>
              <w:t>euro</w:t>
            </w:r>
            <w:proofErr w:type="spellEnd"/>
            <w:r w:rsidRPr="005C7D4F">
              <w:rPr>
                <w:rFonts w:eastAsia="Times New Roman"/>
                <w:sz w:val="24"/>
                <w:szCs w:val="24"/>
                <w:lang w:val="lv-LV"/>
              </w:rPr>
              <w:t xml:space="preserve"> apmērā, paredzot, ka pieprasījums par līdzekļu piešķiršanu tiks iesniegts  Finanšu ministrijā atbilstoši faktiski nepieciešamajam apmēram.</w:t>
            </w:r>
          </w:p>
        </w:tc>
      </w:tr>
    </w:tbl>
    <w:p w14:paraId="4284722A" w14:textId="62D78EAA" w:rsidR="00AA6BD3" w:rsidRPr="00716ECC" w:rsidRDefault="00AA6BD3" w:rsidP="00370711">
      <w:pPr>
        <w:contextualSpacing/>
        <w:rPr>
          <w:rFonts w:eastAsia="Times New Roman"/>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716ECC" w:rsidRPr="00716ECC" w14:paraId="40C07393" w14:textId="77777777" w:rsidTr="00DE7318">
        <w:tc>
          <w:tcPr>
            <w:tcW w:w="0" w:type="auto"/>
            <w:gridSpan w:val="3"/>
            <w:tcBorders>
              <w:top w:val="outset" w:sz="6" w:space="0" w:color="414142"/>
              <w:left w:val="outset" w:sz="6" w:space="0" w:color="414142"/>
              <w:bottom w:val="outset" w:sz="6" w:space="0" w:color="414142"/>
              <w:right w:val="outset" w:sz="6" w:space="0" w:color="414142"/>
            </w:tcBorders>
            <w:hideMark/>
          </w:tcPr>
          <w:p w14:paraId="5B82B757" w14:textId="77777777" w:rsidR="00FA336D" w:rsidRPr="00716ECC" w:rsidRDefault="00FA336D" w:rsidP="00DE7318">
            <w:pPr>
              <w:contextualSpacing/>
              <w:jc w:val="center"/>
              <w:rPr>
                <w:rFonts w:eastAsia="Times New Roman"/>
                <w:szCs w:val="26"/>
                <w:lang w:val="lv-LV" w:eastAsia="lv-LV"/>
              </w:rPr>
            </w:pPr>
            <w:r w:rsidRPr="00716ECC">
              <w:rPr>
                <w:b/>
                <w:szCs w:val="26"/>
                <w:lang w:val="lv-LV"/>
              </w:rPr>
              <w:t>V. Tiesību akta projekta atbilstība Latvijas Republikas starptautiskajām saistībām</w:t>
            </w:r>
          </w:p>
        </w:tc>
      </w:tr>
      <w:tr w:rsidR="00716ECC" w:rsidRPr="00716ECC" w14:paraId="67CE85D3" w14:textId="77777777" w:rsidTr="00DE7318">
        <w:tc>
          <w:tcPr>
            <w:tcW w:w="227" w:type="pct"/>
            <w:tcBorders>
              <w:top w:val="outset" w:sz="6" w:space="0" w:color="414142"/>
              <w:left w:val="outset" w:sz="6" w:space="0" w:color="414142"/>
              <w:bottom w:val="outset" w:sz="6" w:space="0" w:color="414142"/>
              <w:right w:val="outset" w:sz="6" w:space="0" w:color="414142"/>
            </w:tcBorders>
            <w:hideMark/>
          </w:tcPr>
          <w:p w14:paraId="321EA89E" w14:textId="77777777" w:rsidR="00FA336D" w:rsidRPr="00716ECC" w:rsidRDefault="00FA336D" w:rsidP="00DE7318">
            <w:pPr>
              <w:contextualSpacing/>
              <w:rPr>
                <w:rFonts w:eastAsia="Times New Roman"/>
                <w:szCs w:val="26"/>
                <w:lang w:val="lv-LV" w:eastAsia="lv-LV"/>
              </w:rPr>
            </w:pPr>
            <w:r w:rsidRPr="00716ECC">
              <w:rPr>
                <w:rFonts w:eastAsia="Times New Roman"/>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5D37838C" w14:textId="77777777" w:rsidR="00FA336D" w:rsidRPr="00716ECC" w:rsidRDefault="00FA336D" w:rsidP="00DE7318">
            <w:pPr>
              <w:contextualSpacing/>
              <w:jc w:val="both"/>
              <w:rPr>
                <w:rFonts w:eastAsia="Times New Roman"/>
                <w:szCs w:val="26"/>
                <w:lang w:val="lv-LV" w:eastAsia="lv-LV"/>
              </w:rPr>
            </w:pPr>
            <w:r w:rsidRPr="00716ECC">
              <w:rPr>
                <w:rFonts w:eastAsia="Times New Roman"/>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515D0D16" w14:textId="77777777" w:rsidR="00574C77" w:rsidRPr="00716ECC" w:rsidRDefault="00C973D0" w:rsidP="00C973D0">
            <w:pPr>
              <w:pStyle w:val="ListParagraph"/>
              <w:numPr>
                <w:ilvl w:val="0"/>
                <w:numId w:val="40"/>
              </w:numPr>
              <w:jc w:val="both"/>
              <w:rPr>
                <w:rFonts w:asciiTheme="minorHAnsi" w:eastAsiaTheme="minorEastAsia" w:hAnsiTheme="minorHAnsi" w:cstheme="minorBidi"/>
                <w:sz w:val="24"/>
                <w:szCs w:val="24"/>
                <w:lang w:val="lv-LV"/>
              </w:rPr>
            </w:pPr>
            <w:r w:rsidRPr="00716ECC">
              <w:rPr>
                <w:rFonts w:eastAsia="Times New Roman"/>
                <w:sz w:val="24"/>
                <w:szCs w:val="24"/>
                <w:lang w:val="lv-LV"/>
              </w:rPr>
              <w:t>Komisijas 2004. gada 21. aprīļa Regula (EK) Nr. 794/2004 ar ko īsteno Padomes Regulu (ES) 2015/1589, ar ko nosaka sīki izstrādātus noteikumus Līguma par Eiropas Savienības darbību 108. panta piemērošanai (turpmāk - Komisijas regula Nr. 794/2004);</w:t>
            </w:r>
          </w:p>
          <w:p w14:paraId="6B00F1EE" w14:textId="1154377C" w:rsidR="00C973D0" w:rsidRPr="008F4A99" w:rsidRDefault="00C973D0" w:rsidP="00C973D0">
            <w:pPr>
              <w:pStyle w:val="ListParagraph"/>
              <w:numPr>
                <w:ilvl w:val="0"/>
                <w:numId w:val="40"/>
              </w:numPr>
              <w:jc w:val="both"/>
              <w:rPr>
                <w:rFonts w:asciiTheme="minorHAnsi" w:eastAsiaTheme="minorEastAsia" w:hAnsiTheme="minorHAnsi" w:cstheme="minorBidi"/>
                <w:sz w:val="24"/>
                <w:szCs w:val="24"/>
                <w:lang w:val="lv-LV"/>
              </w:rPr>
            </w:pPr>
            <w:r w:rsidRPr="00716ECC">
              <w:rPr>
                <w:rFonts w:eastAsiaTheme="minorEastAsia"/>
                <w:sz w:val="24"/>
                <w:szCs w:val="24"/>
                <w:lang w:val="lv-LV"/>
              </w:rPr>
              <w:t>Komisijas regula Nr. 651/2014</w:t>
            </w:r>
            <w:r w:rsidR="00150950">
              <w:rPr>
                <w:rFonts w:eastAsiaTheme="minorEastAsia"/>
                <w:sz w:val="24"/>
                <w:szCs w:val="24"/>
                <w:lang w:val="lv-LV"/>
              </w:rPr>
              <w:t>;</w:t>
            </w:r>
          </w:p>
          <w:p w14:paraId="35BE7D02" w14:textId="3DF99589" w:rsidR="00150950" w:rsidRPr="00716ECC" w:rsidRDefault="00150950" w:rsidP="00C973D0">
            <w:pPr>
              <w:pStyle w:val="ListParagraph"/>
              <w:numPr>
                <w:ilvl w:val="0"/>
                <w:numId w:val="40"/>
              </w:numPr>
              <w:jc w:val="both"/>
              <w:rPr>
                <w:rFonts w:asciiTheme="minorHAnsi" w:eastAsiaTheme="minorEastAsia" w:hAnsiTheme="minorHAnsi" w:cstheme="minorBidi"/>
                <w:sz w:val="24"/>
                <w:szCs w:val="24"/>
                <w:lang w:val="lv-LV"/>
              </w:rPr>
            </w:pPr>
            <w:r>
              <w:rPr>
                <w:rFonts w:eastAsiaTheme="minorEastAsia"/>
                <w:sz w:val="24"/>
                <w:szCs w:val="24"/>
                <w:lang w:val="lv-LV"/>
              </w:rPr>
              <w:t>Pagaidu regulējums.</w:t>
            </w:r>
          </w:p>
        </w:tc>
      </w:tr>
      <w:tr w:rsidR="00716ECC" w:rsidRPr="00716ECC" w14:paraId="70B05CFA" w14:textId="77777777" w:rsidTr="00DE7318">
        <w:tc>
          <w:tcPr>
            <w:tcW w:w="227" w:type="pct"/>
            <w:tcBorders>
              <w:top w:val="outset" w:sz="6" w:space="0" w:color="414142"/>
              <w:left w:val="outset" w:sz="6" w:space="0" w:color="414142"/>
              <w:bottom w:val="outset" w:sz="6" w:space="0" w:color="414142"/>
              <w:right w:val="outset" w:sz="6" w:space="0" w:color="414142"/>
            </w:tcBorders>
            <w:hideMark/>
          </w:tcPr>
          <w:p w14:paraId="78F0D028" w14:textId="77777777" w:rsidR="00FA336D" w:rsidRPr="00716ECC" w:rsidRDefault="00FA336D" w:rsidP="00DE7318">
            <w:pPr>
              <w:contextualSpacing/>
              <w:rPr>
                <w:rFonts w:eastAsia="Times New Roman"/>
                <w:szCs w:val="26"/>
                <w:lang w:val="lv-LV" w:eastAsia="lv-LV"/>
              </w:rPr>
            </w:pPr>
            <w:r w:rsidRPr="00716ECC">
              <w:rPr>
                <w:rFonts w:eastAsia="Times New Roman"/>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496E8CEF" w14:textId="77777777" w:rsidR="00FA336D" w:rsidRPr="00716ECC" w:rsidRDefault="00FA336D" w:rsidP="00DE7318">
            <w:pPr>
              <w:contextualSpacing/>
              <w:jc w:val="both"/>
              <w:rPr>
                <w:rFonts w:eastAsia="Times New Roman"/>
                <w:szCs w:val="26"/>
                <w:lang w:val="lv-LV" w:eastAsia="lv-LV"/>
              </w:rPr>
            </w:pPr>
            <w:r w:rsidRPr="00716ECC">
              <w:rPr>
                <w:rFonts w:eastAsia="Times New Roman"/>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31219726" w14:textId="66E14219" w:rsidR="00FA336D" w:rsidRPr="00716ECC" w:rsidRDefault="00BE3852" w:rsidP="00DE7318">
            <w:pPr>
              <w:contextualSpacing/>
              <w:jc w:val="both"/>
              <w:rPr>
                <w:rFonts w:eastAsia="Times New Roman"/>
                <w:szCs w:val="26"/>
                <w:lang w:val="lv-LV" w:eastAsia="lv-LV"/>
              </w:rPr>
            </w:pPr>
            <w:r>
              <w:rPr>
                <w:iCs/>
                <w:sz w:val="24"/>
                <w:szCs w:val="24"/>
                <w:lang w:val="lv-LV"/>
              </w:rPr>
              <w:t>MK N</w:t>
            </w:r>
            <w:r w:rsidRPr="00716ECC">
              <w:rPr>
                <w:iCs/>
                <w:sz w:val="24"/>
                <w:szCs w:val="24"/>
                <w:lang w:val="lv-LV"/>
              </w:rPr>
              <w:t>oteikumu projekts šo jomu neskar.</w:t>
            </w:r>
          </w:p>
        </w:tc>
      </w:tr>
      <w:tr w:rsidR="00FA336D" w:rsidRPr="00150950" w14:paraId="4FFE61B2" w14:textId="77777777" w:rsidTr="00DE7318">
        <w:tc>
          <w:tcPr>
            <w:tcW w:w="227" w:type="pct"/>
            <w:tcBorders>
              <w:top w:val="outset" w:sz="6" w:space="0" w:color="414142"/>
              <w:left w:val="outset" w:sz="6" w:space="0" w:color="414142"/>
              <w:bottom w:val="outset" w:sz="6" w:space="0" w:color="414142"/>
              <w:right w:val="outset" w:sz="6" w:space="0" w:color="414142"/>
            </w:tcBorders>
            <w:hideMark/>
          </w:tcPr>
          <w:p w14:paraId="38EBCA4C" w14:textId="77777777" w:rsidR="00FA336D" w:rsidRPr="00716ECC" w:rsidRDefault="00FA336D" w:rsidP="00DE7318">
            <w:pPr>
              <w:contextualSpacing/>
              <w:rPr>
                <w:rFonts w:eastAsia="Times New Roman"/>
                <w:szCs w:val="26"/>
                <w:lang w:val="lv-LV" w:eastAsia="lv-LV"/>
              </w:rPr>
            </w:pPr>
            <w:r w:rsidRPr="00716ECC">
              <w:rPr>
                <w:rFonts w:eastAsia="Times New Roman"/>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48BC999B" w14:textId="77777777" w:rsidR="00FA336D" w:rsidRPr="00716ECC" w:rsidRDefault="00FA336D" w:rsidP="00DE7318">
            <w:pPr>
              <w:contextualSpacing/>
              <w:jc w:val="both"/>
              <w:rPr>
                <w:rFonts w:eastAsia="Times New Roman"/>
                <w:szCs w:val="26"/>
                <w:lang w:val="lv-LV" w:eastAsia="lv-LV"/>
              </w:rPr>
            </w:pPr>
            <w:r w:rsidRPr="00716ECC">
              <w:rPr>
                <w:rFonts w:eastAsia="Times New Roman"/>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79A3A7A2" w14:textId="6323A7BD" w:rsidR="00150950" w:rsidRPr="00716ECC" w:rsidRDefault="00150950" w:rsidP="00150950">
            <w:pPr>
              <w:pStyle w:val="ListParagraph"/>
              <w:numPr>
                <w:ilvl w:val="0"/>
                <w:numId w:val="40"/>
              </w:numPr>
              <w:jc w:val="both"/>
              <w:rPr>
                <w:rFonts w:asciiTheme="minorHAnsi" w:eastAsiaTheme="minorEastAsia" w:hAnsiTheme="minorHAnsi" w:cstheme="minorBidi"/>
                <w:sz w:val="24"/>
                <w:szCs w:val="24"/>
                <w:lang w:val="lv-LV"/>
              </w:rPr>
            </w:pPr>
            <w:r w:rsidRPr="00716ECC">
              <w:rPr>
                <w:rFonts w:eastAsia="Times New Roman"/>
                <w:sz w:val="24"/>
                <w:szCs w:val="24"/>
                <w:lang w:val="lv-LV"/>
              </w:rPr>
              <w:t xml:space="preserve">Pagaidu regulējums </w:t>
            </w:r>
          </w:p>
          <w:p w14:paraId="065D9A8A" w14:textId="6AB19FCE" w:rsidR="00FA336D" w:rsidRPr="00716ECC" w:rsidRDefault="00FA336D" w:rsidP="00DE7318">
            <w:pPr>
              <w:contextualSpacing/>
              <w:jc w:val="both"/>
              <w:rPr>
                <w:rFonts w:eastAsia="Times New Roman"/>
                <w:szCs w:val="26"/>
                <w:lang w:val="lv-LV" w:eastAsia="lv-LV"/>
              </w:rPr>
            </w:pPr>
          </w:p>
        </w:tc>
      </w:tr>
    </w:tbl>
    <w:p w14:paraId="6CF6C107" w14:textId="77777777" w:rsidR="00FA336D" w:rsidRPr="00716ECC" w:rsidRDefault="00FA336D" w:rsidP="00FA336D">
      <w:pPr>
        <w:contextualSpacing/>
        <w:rPr>
          <w:szCs w:val="26"/>
          <w:lang w:val="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970"/>
        <w:gridCol w:w="2126"/>
        <w:gridCol w:w="1712"/>
        <w:gridCol w:w="2397"/>
      </w:tblGrid>
      <w:tr w:rsidR="00716ECC" w:rsidRPr="004949AC" w14:paraId="3D15A3D8" w14:textId="77777777" w:rsidTr="00DE7318">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15821CD" w14:textId="77777777" w:rsidR="00FA336D" w:rsidRPr="00716ECC" w:rsidRDefault="00FA336D" w:rsidP="00DE7318">
            <w:pPr>
              <w:spacing w:before="100" w:beforeAutospacing="1" w:after="100" w:afterAutospacing="1" w:line="293" w:lineRule="atLeast"/>
              <w:jc w:val="center"/>
              <w:rPr>
                <w:rFonts w:eastAsia="Times New Roman"/>
                <w:b/>
                <w:bCs/>
                <w:szCs w:val="26"/>
                <w:lang w:val="lv-LV" w:eastAsia="lv-LV"/>
              </w:rPr>
            </w:pPr>
            <w:r w:rsidRPr="00716ECC">
              <w:rPr>
                <w:rFonts w:eastAsia="Times New Roman"/>
                <w:b/>
                <w:bCs/>
                <w:szCs w:val="26"/>
                <w:lang w:val="lv-LV" w:eastAsia="lv-LV"/>
              </w:rPr>
              <w:t>1. tabula</w:t>
            </w:r>
            <w:r w:rsidRPr="00716ECC">
              <w:rPr>
                <w:rFonts w:eastAsia="Times New Roman"/>
                <w:b/>
                <w:bCs/>
                <w:szCs w:val="26"/>
                <w:lang w:val="lv-LV" w:eastAsia="lv-LV"/>
              </w:rPr>
              <w:br/>
              <w:t>Tiesību akta projekta atbilstība ES tiesību aktiem</w:t>
            </w:r>
          </w:p>
        </w:tc>
      </w:tr>
      <w:tr w:rsidR="00716ECC" w:rsidRPr="00716ECC" w14:paraId="462D5FB9" w14:textId="77777777" w:rsidTr="00DE7318">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23B5E4E" w14:textId="77777777" w:rsidR="00FA336D" w:rsidRPr="00716ECC" w:rsidRDefault="00FA336D" w:rsidP="00DE7318">
            <w:pPr>
              <w:rPr>
                <w:rFonts w:eastAsia="Times New Roman"/>
                <w:szCs w:val="26"/>
                <w:lang w:val="lv-LV" w:eastAsia="lv-LV"/>
              </w:rPr>
            </w:pPr>
            <w:r w:rsidRPr="00716ECC">
              <w:rPr>
                <w:rFonts w:eastAsia="Times New Roman"/>
                <w:szCs w:val="26"/>
                <w:lang w:val="lv-LV" w:eastAsia="lv-LV"/>
              </w:rPr>
              <w:t>Attiecīgā ES tiesību akta datums, numurs un nosaukums</w:t>
            </w:r>
          </w:p>
        </w:tc>
        <w:tc>
          <w:tcPr>
            <w:tcW w:w="3387"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E24DD1" w14:textId="77777777" w:rsidR="00574C77" w:rsidRPr="00716ECC" w:rsidRDefault="00574C77" w:rsidP="00574C77">
            <w:pPr>
              <w:jc w:val="both"/>
              <w:rPr>
                <w:szCs w:val="26"/>
                <w:lang w:val="lv-LV"/>
              </w:rPr>
            </w:pPr>
            <w:r w:rsidRPr="00716ECC">
              <w:rPr>
                <w:rFonts w:eastAsia="Times New Roman"/>
                <w:szCs w:val="26"/>
                <w:lang w:val="lv-LV"/>
              </w:rPr>
              <w:t>Ar Noteikumu projektu tiek ieviestas šādas Eiropas Savienības tiesību aktu prasības:</w:t>
            </w:r>
          </w:p>
          <w:p w14:paraId="57D03852" w14:textId="7E56B12B" w:rsidR="00574C77" w:rsidRPr="00716ECC" w:rsidRDefault="00574C77" w:rsidP="00574C77">
            <w:pPr>
              <w:pStyle w:val="ListParagraph"/>
              <w:numPr>
                <w:ilvl w:val="0"/>
                <w:numId w:val="41"/>
              </w:numPr>
              <w:jc w:val="both"/>
              <w:rPr>
                <w:rFonts w:eastAsiaTheme="minorEastAsia"/>
                <w:szCs w:val="26"/>
                <w:lang w:val="lv-LV"/>
              </w:rPr>
            </w:pPr>
            <w:r w:rsidRPr="00716ECC">
              <w:rPr>
                <w:rFonts w:eastAsia="Times New Roman"/>
                <w:szCs w:val="26"/>
                <w:lang w:val="lv-LV"/>
              </w:rPr>
              <w:t>Pagaidu regulējums;</w:t>
            </w:r>
          </w:p>
          <w:p w14:paraId="41CFE9CD" w14:textId="77777777" w:rsidR="00574C77" w:rsidRPr="00716ECC" w:rsidRDefault="00574C77" w:rsidP="00574C77">
            <w:pPr>
              <w:pStyle w:val="ListParagraph"/>
              <w:numPr>
                <w:ilvl w:val="0"/>
                <w:numId w:val="41"/>
              </w:numPr>
              <w:jc w:val="both"/>
              <w:rPr>
                <w:szCs w:val="26"/>
                <w:lang w:val="lv-LV"/>
              </w:rPr>
            </w:pPr>
            <w:r w:rsidRPr="00716ECC">
              <w:rPr>
                <w:rFonts w:eastAsia="Times New Roman"/>
                <w:szCs w:val="26"/>
                <w:lang w:val="lv-LV"/>
              </w:rPr>
              <w:t>Komisijas regula Nr. 794/2004</w:t>
            </w:r>
          </w:p>
          <w:p w14:paraId="3A9D78BB" w14:textId="206E4814" w:rsidR="00FA336D" w:rsidRPr="00716ECC" w:rsidRDefault="00574C77" w:rsidP="00574C77">
            <w:pPr>
              <w:pStyle w:val="ListParagraph"/>
              <w:numPr>
                <w:ilvl w:val="0"/>
                <w:numId w:val="41"/>
              </w:numPr>
              <w:jc w:val="both"/>
              <w:rPr>
                <w:szCs w:val="26"/>
                <w:lang w:val="lv-LV"/>
              </w:rPr>
            </w:pPr>
            <w:proofErr w:type="spellStart"/>
            <w:r w:rsidRPr="00716ECC">
              <w:rPr>
                <w:szCs w:val="26"/>
              </w:rPr>
              <w:t>Komisijas</w:t>
            </w:r>
            <w:proofErr w:type="spellEnd"/>
            <w:r w:rsidRPr="00716ECC">
              <w:rPr>
                <w:szCs w:val="26"/>
              </w:rPr>
              <w:t xml:space="preserve"> </w:t>
            </w:r>
            <w:proofErr w:type="spellStart"/>
            <w:r w:rsidRPr="00716ECC">
              <w:rPr>
                <w:szCs w:val="26"/>
              </w:rPr>
              <w:t>regula</w:t>
            </w:r>
            <w:proofErr w:type="spellEnd"/>
            <w:r w:rsidRPr="00716ECC">
              <w:rPr>
                <w:szCs w:val="26"/>
              </w:rPr>
              <w:t xml:space="preserve"> Nr. 651/2014</w:t>
            </w:r>
          </w:p>
        </w:tc>
      </w:tr>
      <w:tr w:rsidR="00716ECC" w:rsidRPr="00716ECC" w14:paraId="12AB605E" w14:textId="77777777" w:rsidTr="00DE7318">
        <w:tc>
          <w:tcPr>
            <w:tcW w:w="1613"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5BE191E" w14:textId="77777777" w:rsidR="00FA336D" w:rsidRPr="00716ECC" w:rsidRDefault="00FA336D" w:rsidP="00DE7318">
            <w:pPr>
              <w:spacing w:before="100" w:beforeAutospacing="1" w:after="100" w:afterAutospacing="1" w:line="293" w:lineRule="atLeast"/>
              <w:jc w:val="center"/>
              <w:rPr>
                <w:rFonts w:eastAsia="Times New Roman"/>
                <w:szCs w:val="26"/>
                <w:lang w:val="lv-LV" w:eastAsia="lv-LV"/>
              </w:rPr>
            </w:pPr>
            <w:r w:rsidRPr="00716ECC">
              <w:rPr>
                <w:rFonts w:eastAsia="Times New Roman"/>
                <w:szCs w:val="26"/>
                <w:lang w:val="lv-LV" w:eastAsia="lv-LV"/>
              </w:rPr>
              <w:t>A</w:t>
            </w:r>
          </w:p>
        </w:tc>
        <w:tc>
          <w:tcPr>
            <w:tcW w:w="1155"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8D676BA" w14:textId="77777777" w:rsidR="00FA336D" w:rsidRPr="00716ECC" w:rsidRDefault="00FA336D" w:rsidP="00DE7318">
            <w:pPr>
              <w:spacing w:before="100" w:beforeAutospacing="1" w:after="100" w:afterAutospacing="1" w:line="293" w:lineRule="atLeast"/>
              <w:jc w:val="center"/>
              <w:rPr>
                <w:rFonts w:eastAsia="Times New Roman"/>
                <w:szCs w:val="26"/>
                <w:lang w:val="lv-LV" w:eastAsia="lv-LV"/>
              </w:rPr>
            </w:pPr>
            <w:r w:rsidRPr="00716ECC">
              <w:rPr>
                <w:rFonts w:eastAsia="Times New Roman"/>
                <w:szCs w:val="26"/>
                <w:lang w:val="lv-LV" w:eastAsia="lv-LV"/>
              </w:rPr>
              <w:t>B</w:t>
            </w:r>
          </w:p>
        </w:tc>
        <w:tc>
          <w:tcPr>
            <w:tcW w:w="930"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695ADD0" w14:textId="77777777" w:rsidR="00FA336D" w:rsidRPr="00716ECC" w:rsidRDefault="00FA336D" w:rsidP="00DE7318">
            <w:pPr>
              <w:spacing w:before="100" w:beforeAutospacing="1" w:after="100" w:afterAutospacing="1" w:line="293" w:lineRule="atLeast"/>
              <w:jc w:val="center"/>
              <w:rPr>
                <w:rFonts w:eastAsia="Times New Roman"/>
                <w:szCs w:val="26"/>
                <w:lang w:val="lv-LV" w:eastAsia="lv-LV"/>
              </w:rPr>
            </w:pPr>
            <w:r w:rsidRPr="00716ECC">
              <w:rPr>
                <w:rFonts w:eastAsia="Times New Roman"/>
                <w:szCs w:val="26"/>
                <w:lang w:val="lv-LV" w:eastAsia="lv-LV"/>
              </w:rPr>
              <w:t>C</w:t>
            </w:r>
          </w:p>
        </w:tc>
        <w:tc>
          <w:tcPr>
            <w:tcW w:w="1302"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4739E24C" w14:textId="77777777" w:rsidR="00FA336D" w:rsidRPr="00716ECC" w:rsidRDefault="00FA336D" w:rsidP="00DE7318">
            <w:pPr>
              <w:spacing w:before="100" w:beforeAutospacing="1" w:after="100" w:afterAutospacing="1" w:line="293" w:lineRule="atLeast"/>
              <w:jc w:val="center"/>
              <w:rPr>
                <w:rFonts w:eastAsia="Times New Roman"/>
                <w:szCs w:val="26"/>
                <w:lang w:val="lv-LV" w:eastAsia="lv-LV"/>
              </w:rPr>
            </w:pPr>
            <w:r w:rsidRPr="00716ECC">
              <w:rPr>
                <w:rFonts w:eastAsia="Times New Roman"/>
                <w:szCs w:val="26"/>
                <w:lang w:val="lv-LV" w:eastAsia="lv-LV"/>
              </w:rPr>
              <w:t>D</w:t>
            </w:r>
          </w:p>
        </w:tc>
      </w:tr>
      <w:tr w:rsidR="00F734FE" w:rsidRPr="00716ECC" w14:paraId="70BD0D89"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C67E801" w14:textId="54A5C448" w:rsidR="00F734FE" w:rsidRPr="005C25E8" w:rsidRDefault="00361D38" w:rsidP="00F734FE">
            <w:pPr>
              <w:textAlignment w:val="baseline"/>
              <w:rPr>
                <w:szCs w:val="26"/>
                <w:lang w:val="lv-LV"/>
              </w:rPr>
            </w:pPr>
            <w:r w:rsidRPr="00361D38">
              <w:rPr>
                <w:rFonts w:eastAsia="Times New Roman"/>
                <w:szCs w:val="26"/>
                <w:lang w:val="lv-LV"/>
              </w:rPr>
              <w:t>Komisijas regulas Nr. 651/2014 I pielikums</w:t>
            </w:r>
          </w:p>
        </w:tc>
        <w:tc>
          <w:tcPr>
            <w:tcW w:w="1155" w:type="pct"/>
            <w:tcBorders>
              <w:top w:val="nil"/>
              <w:left w:val="nil"/>
              <w:bottom w:val="single" w:sz="6" w:space="0" w:color="000000" w:themeColor="text1"/>
              <w:right w:val="single" w:sz="6" w:space="0" w:color="000000" w:themeColor="text1"/>
            </w:tcBorders>
            <w:shd w:val="clear" w:color="auto" w:fill="auto"/>
          </w:tcPr>
          <w:p w14:paraId="193C4B80" w14:textId="5A0DE753" w:rsidR="00F734FE" w:rsidRPr="005C25E8" w:rsidRDefault="00F734FE" w:rsidP="00F734FE">
            <w:pPr>
              <w:textAlignment w:val="baseline"/>
              <w:rPr>
                <w:szCs w:val="26"/>
                <w:lang w:val="lv-LV"/>
              </w:rPr>
            </w:pPr>
            <w:r w:rsidRPr="005C25E8">
              <w:rPr>
                <w:rFonts w:eastAsia="Times New Roman"/>
                <w:szCs w:val="26"/>
                <w:lang w:val="lv-LV"/>
              </w:rPr>
              <w:t>Noteikumu projekta 5.1. apakšpunkts</w:t>
            </w:r>
          </w:p>
        </w:tc>
        <w:tc>
          <w:tcPr>
            <w:tcW w:w="930" w:type="pct"/>
            <w:tcBorders>
              <w:top w:val="nil"/>
              <w:left w:val="nil"/>
              <w:bottom w:val="single" w:sz="6" w:space="0" w:color="000000" w:themeColor="text1"/>
              <w:right w:val="single" w:sz="6" w:space="0" w:color="000000" w:themeColor="text1"/>
            </w:tcBorders>
            <w:shd w:val="clear" w:color="auto" w:fill="auto"/>
          </w:tcPr>
          <w:p w14:paraId="39293EDF" w14:textId="62703477"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7E5DD4E3" w14:textId="0599A6DB"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Neparedz stingrākas prasības</w:t>
            </w:r>
          </w:p>
        </w:tc>
      </w:tr>
      <w:tr w:rsidR="00F734FE" w:rsidRPr="00716ECC" w14:paraId="09B411EA"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0CFF376A" w14:textId="77777777" w:rsidR="00F734FE" w:rsidRDefault="00F734FE" w:rsidP="00F734FE">
            <w:pPr>
              <w:textAlignment w:val="baseline"/>
              <w:rPr>
                <w:szCs w:val="26"/>
                <w:lang w:val="lv-LV"/>
              </w:rPr>
            </w:pPr>
            <w:r w:rsidRPr="008F4A99">
              <w:rPr>
                <w:szCs w:val="26"/>
                <w:lang w:val="lv-LV"/>
              </w:rPr>
              <w:t>Komisijas regulas Nr. 651/2014 2.panta 24.punkts</w:t>
            </w:r>
          </w:p>
          <w:p w14:paraId="59860E15" w14:textId="35FD99D3" w:rsidR="001825C7" w:rsidRPr="005C25E8" w:rsidRDefault="001825C7" w:rsidP="00F734FE">
            <w:pPr>
              <w:textAlignment w:val="baseline"/>
              <w:rPr>
                <w:szCs w:val="26"/>
                <w:lang w:val="lv-LV"/>
              </w:rPr>
            </w:pPr>
            <w:r>
              <w:rPr>
                <w:rFonts w:eastAsia="Times New Roman"/>
                <w:szCs w:val="26"/>
                <w:lang w:val="lv-LV"/>
              </w:rPr>
              <w:t>un I pielikuma 2.pants</w:t>
            </w:r>
          </w:p>
        </w:tc>
        <w:tc>
          <w:tcPr>
            <w:tcW w:w="1155" w:type="pct"/>
            <w:tcBorders>
              <w:top w:val="nil"/>
              <w:left w:val="nil"/>
              <w:bottom w:val="single" w:sz="6" w:space="0" w:color="000000" w:themeColor="text1"/>
              <w:right w:val="single" w:sz="6" w:space="0" w:color="000000" w:themeColor="text1"/>
            </w:tcBorders>
            <w:shd w:val="clear" w:color="auto" w:fill="auto"/>
          </w:tcPr>
          <w:p w14:paraId="06D71F70" w14:textId="06375D17" w:rsidR="00F734FE" w:rsidRPr="005C25E8" w:rsidRDefault="00F734FE" w:rsidP="008F4A99">
            <w:pPr>
              <w:rPr>
                <w:szCs w:val="26"/>
                <w:lang w:val="lv-LV"/>
              </w:rPr>
            </w:pPr>
            <w:r w:rsidRPr="005C25E8">
              <w:rPr>
                <w:rFonts w:eastAsia="Times New Roman"/>
                <w:szCs w:val="26"/>
                <w:lang w:val="lv-LV"/>
              </w:rPr>
              <w:t>Noteikumu projekta 5.1.apakšpunkts</w:t>
            </w:r>
            <w:r w:rsidR="005C25E8" w:rsidRPr="008F4A99">
              <w:rPr>
                <w:rFonts w:eastAsia="Times New Roman"/>
                <w:szCs w:val="26"/>
                <w:lang w:val="lv-LV"/>
              </w:rPr>
              <w:t xml:space="preserve">, </w:t>
            </w:r>
            <w:r w:rsidR="001825C7">
              <w:rPr>
                <w:rFonts w:eastAsia="Times New Roman"/>
                <w:szCs w:val="26"/>
                <w:lang w:val="lv-LV"/>
              </w:rPr>
              <w:t xml:space="preserve">10.5.1., </w:t>
            </w:r>
            <w:r w:rsidR="005C25E8" w:rsidRPr="008F4A99">
              <w:rPr>
                <w:rFonts w:eastAsia="Times New Roman"/>
                <w:szCs w:val="26"/>
                <w:lang w:val="lv-LV"/>
              </w:rPr>
              <w:t>10.5.2.</w:t>
            </w:r>
          </w:p>
        </w:tc>
        <w:tc>
          <w:tcPr>
            <w:tcW w:w="930" w:type="pct"/>
            <w:tcBorders>
              <w:top w:val="nil"/>
              <w:left w:val="nil"/>
              <w:bottom w:val="single" w:sz="6" w:space="0" w:color="000000" w:themeColor="text1"/>
              <w:right w:val="single" w:sz="6" w:space="0" w:color="000000" w:themeColor="text1"/>
            </w:tcBorders>
            <w:shd w:val="clear" w:color="auto" w:fill="auto"/>
          </w:tcPr>
          <w:p w14:paraId="05DDBD12" w14:textId="639BE08E"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6E0297AD" w14:textId="77777777" w:rsidR="00F734FE" w:rsidRPr="005C25E8" w:rsidRDefault="00F734FE" w:rsidP="00F734FE">
            <w:pPr>
              <w:rPr>
                <w:rFonts w:eastAsia="Times New Roman"/>
                <w:szCs w:val="26"/>
                <w:lang w:val="lv-LV"/>
              </w:rPr>
            </w:pPr>
            <w:r w:rsidRPr="005C25E8">
              <w:rPr>
                <w:rFonts w:eastAsia="Times New Roman"/>
                <w:szCs w:val="26"/>
                <w:lang w:val="lv-LV"/>
              </w:rPr>
              <w:t>Neparedz stingrākas prasības</w:t>
            </w:r>
          </w:p>
          <w:p w14:paraId="26AB038D" w14:textId="32DE66F8" w:rsidR="00F734FE" w:rsidRPr="005C25E8" w:rsidRDefault="00F734FE" w:rsidP="00F734FE">
            <w:pPr>
              <w:pStyle w:val="paragraph"/>
              <w:spacing w:before="0" w:beforeAutospacing="0" w:after="0" w:afterAutospacing="0"/>
              <w:textAlignment w:val="baseline"/>
              <w:rPr>
                <w:sz w:val="26"/>
                <w:szCs w:val="26"/>
              </w:rPr>
            </w:pPr>
          </w:p>
        </w:tc>
      </w:tr>
      <w:tr w:rsidR="00F734FE" w:rsidRPr="00716ECC" w14:paraId="41C519B7"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2C957C8D" w14:textId="7481BDDB" w:rsidR="00F734FE" w:rsidRPr="005C25E8" w:rsidRDefault="00F734FE" w:rsidP="00F734FE">
            <w:pPr>
              <w:textAlignment w:val="baseline"/>
              <w:rPr>
                <w:szCs w:val="26"/>
                <w:lang w:val="lv-LV"/>
              </w:rPr>
            </w:pPr>
            <w:r w:rsidRPr="008F4A99">
              <w:rPr>
                <w:szCs w:val="26"/>
                <w:lang w:val="lv-LV"/>
              </w:rPr>
              <w:t>Komisijas regulas Nr. 651/2014  I pielikuma 3. panta 3. punkts</w:t>
            </w:r>
          </w:p>
        </w:tc>
        <w:tc>
          <w:tcPr>
            <w:tcW w:w="1155" w:type="pct"/>
            <w:tcBorders>
              <w:top w:val="nil"/>
              <w:left w:val="nil"/>
              <w:bottom w:val="single" w:sz="6" w:space="0" w:color="000000" w:themeColor="text1"/>
              <w:right w:val="single" w:sz="6" w:space="0" w:color="000000" w:themeColor="text1"/>
            </w:tcBorders>
            <w:shd w:val="clear" w:color="auto" w:fill="auto"/>
          </w:tcPr>
          <w:p w14:paraId="7DD7ED95" w14:textId="305D7E0F" w:rsidR="00F734FE" w:rsidRPr="005C25E8" w:rsidRDefault="00F734FE" w:rsidP="00F734FE">
            <w:pPr>
              <w:textAlignment w:val="baseline"/>
              <w:rPr>
                <w:szCs w:val="26"/>
                <w:lang w:val="lv-LV"/>
              </w:rPr>
            </w:pPr>
            <w:r w:rsidRPr="005C25E8">
              <w:rPr>
                <w:rFonts w:eastAsia="Times New Roman"/>
                <w:szCs w:val="26"/>
                <w:lang w:val="lv-LV"/>
              </w:rPr>
              <w:t>Noteikumu projekta 6.punkts</w:t>
            </w:r>
          </w:p>
        </w:tc>
        <w:tc>
          <w:tcPr>
            <w:tcW w:w="930" w:type="pct"/>
            <w:tcBorders>
              <w:top w:val="nil"/>
              <w:left w:val="nil"/>
              <w:bottom w:val="single" w:sz="6" w:space="0" w:color="000000" w:themeColor="text1"/>
              <w:right w:val="single" w:sz="6" w:space="0" w:color="000000" w:themeColor="text1"/>
            </w:tcBorders>
            <w:shd w:val="clear" w:color="auto" w:fill="auto"/>
          </w:tcPr>
          <w:p w14:paraId="5FC26E74" w14:textId="0DB9D6E6"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2D75FA0A" w14:textId="77777777" w:rsidR="00F734FE" w:rsidRPr="005C25E8" w:rsidRDefault="00F734FE" w:rsidP="00F734FE">
            <w:pPr>
              <w:rPr>
                <w:rFonts w:eastAsia="Times New Roman"/>
                <w:szCs w:val="26"/>
                <w:lang w:val="lv-LV"/>
              </w:rPr>
            </w:pPr>
            <w:r w:rsidRPr="005C25E8">
              <w:rPr>
                <w:rFonts w:eastAsia="Times New Roman"/>
                <w:szCs w:val="26"/>
                <w:lang w:val="lv-LV"/>
              </w:rPr>
              <w:t>Neparedz stingrākas prasības</w:t>
            </w:r>
          </w:p>
          <w:p w14:paraId="411445C3" w14:textId="6D20C1E9" w:rsidR="00F734FE" w:rsidRPr="005C25E8" w:rsidRDefault="00F734FE" w:rsidP="00F734FE">
            <w:pPr>
              <w:pStyle w:val="paragraph"/>
              <w:spacing w:before="0" w:beforeAutospacing="0" w:after="0" w:afterAutospacing="0"/>
              <w:textAlignment w:val="baseline"/>
              <w:rPr>
                <w:sz w:val="26"/>
                <w:szCs w:val="26"/>
              </w:rPr>
            </w:pPr>
          </w:p>
        </w:tc>
      </w:tr>
      <w:tr w:rsidR="00F734FE" w:rsidRPr="00716ECC" w14:paraId="44E77856"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39CB90F" w14:textId="78C33D65" w:rsidR="00F734FE" w:rsidRPr="005C25E8" w:rsidRDefault="00150950" w:rsidP="00F734FE">
            <w:pPr>
              <w:textAlignment w:val="baseline"/>
              <w:rPr>
                <w:szCs w:val="26"/>
                <w:lang w:val="lv-LV"/>
              </w:rPr>
            </w:pPr>
            <w:r w:rsidRPr="005C25E8">
              <w:rPr>
                <w:rFonts w:eastAsia="Times New Roman"/>
                <w:szCs w:val="26"/>
                <w:lang w:val="lv-LV"/>
              </w:rPr>
              <w:t xml:space="preserve">Pagaidu regulējuma </w:t>
            </w:r>
            <w:r w:rsidR="00F734FE" w:rsidRPr="005C25E8">
              <w:rPr>
                <w:rFonts w:eastAsia="Times New Roman"/>
                <w:szCs w:val="26"/>
                <w:lang w:val="lv-LV"/>
              </w:rPr>
              <w:t>22.punkta a) punkts</w:t>
            </w:r>
          </w:p>
        </w:tc>
        <w:tc>
          <w:tcPr>
            <w:tcW w:w="1155" w:type="pct"/>
            <w:tcBorders>
              <w:top w:val="nil"/>
              <w:left w:val="nil"/>
              <w:bottom w:val="single" w:sz="6" w:space="0" w:color="000000" w:themeColor="text1"/>
              <w:right w:val="single" w:sz="6" w:space="0" w:color="000000" w:themeColor="text1"/>
            </w:tcBorders>
            <w:shd w:val="clear" w:color="auto" w:fill="auto"/>
          </w:tcPr>
          <w:p w14:paraId="3E745628" w14:textId="1D138886" w:rsidR="00F734FE" w:rsidRPr="005C25E8" w:rsidRDefault="00F734FE" w:rsidP="008F4A99">
            <w:pPr>
              <w:rPr>
                <w:szCs w:val="26"/>
                <w:lang w:val="lv-LV"/>
              </w:rPr>
            </w:pPr>
            <w:r w:rsidRPr="005C25E8">
              <w:rPr>
                <w:rFonts w:eastAsia="Times New Roman"/>
                <w:szCs w:val="26"/>
                <w:lang w:val="lv-LV"/>
              </w:rPr>
              <w:t>Noteikumu projekta 8.</w:t>
            </w:r>
            <w:r w:rsidR="00361D38">
              <w:rPr>
                <w:rFonts w:eastAsia="Times New Roman"/>
                <w:szCs w:val="26"/>
                <w:lang w:val="lv-LV"/>
              </w:rPr>
              <w:t xml:space="preserve"> punkts un</w:t>
            </w:r>
            <w:r w:rsidRPr="005C25E8">
              <w:rPr>
                <w:rFonts w:eastAsia="Times New Roman"/>
                <w:szCs w:val="26"/>
                <w:lang w:val="lv-LV"/>
              </w:rPr>
              <w:t xml:space="preserve"> 10.7.</w:t>
            </w:r>
            <w:r w:rsidR="00361D38">
              <w:rPr>
                <w:rFonts w:eastAsia="Times New Roman"/>
                <w:szCs w:val="26"/>
                <w:lang w:val="lv-LV"/>
              </w:rPr>
              <w:t xml:space="preserve"> apakšpunkts.</w:t>
            </w:r>
          </w:p>
        </w:tc>
        <w:tc>
          <w:tcPr>
            <w:tcW w:w="930" w:type="pct"/>
            <w:tcBorders>
              <w:top w:val="nil"/>
              <w:left w:val="nil"/>
              <w:bottom w:val="single" w:sz="6" w:space="0" w:color="000000" w:themeColor="text1"/>
              <w:right w:val="single" w:sz="6" w:space="0" w:color="000000" w:themeColor="text1"/>
            </w:tcBorders>
            <w:shd w:val="clear" w:color="auto" w:fill="auto"/>
          </w:tcPr>
          <w:p w14:paraId="101A10FB" w14:textId="35CC26C9"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530A157F" w14:textId="73F8BEFD"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Neparedz stingrākas prasības</w:t>
            </w:r>
          </w:p>
        </w:tc>
      </w:tr>
      <w:tr w:rsidR="00F734FE" w:rsidRPr="00716ECC" w14:paraId="6ABAD03E"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5A24BE3B" w14:textId="4929DD71" w:rsidR="00F734FE" w:rsidRPr="005C25E8" w:rsidRDefault="00150950" w:rsidP="00F734FE">
            <w:pPr>
              <w:textAlignment w:val="baseline"/>
              <w:rPr>
                <w:szCs w:val="26"/>
                <w:lang w:val="lv-LV"/>
              </w:rPr>
            </w:pPr>
            <w:r w:rsidRPr="005C25E8">
              <w:rPr>
                <w:rFonts w:eastAsia="Times New Roman"/>
                <w:szCs w:val="26"/>
                <w:lang w:val="lv-LV"/>
              </w:rPr>
              <w:t xml:space="preserve">Pagaidu regulējuma </w:t>
            </w:r>
            <w:r w:rsidR="00F734FE" w:rsidRPr="005C25E8">
              <w:rPr>
                <w:rFonts w:eastAsia="Times New Roman"/>
                <w:szCs w:val="26"/>
                <w:lang w:val="lv-LV"/>
              </w:rPr>
              <w:t>22.punkta d) apakšpunkts</w:t>
            </w:r>
          </w:p>
        </w:tc>
        <w:tc>
          <w:tcPr>
            <w:tcW w:w="1155" w:type="pct"/>
            <w:tcBorders>
              <w:top w:val="nil"/>
              <w:left w:val="nil"/>
              <w:bottom w:val="single" w:sz="6" w:space="0" w:color="000000" w:themeColor="text1"/>
              <w:right w:val="single" w:sz="6" w:space="0" w:color="000000" w:themeColor="text1"/>
            </w:tcBorders>
            <w:shd w:val="clear" w:color="auto" w:fill="auto"/>
          </w:tcPr>
          <w:p w14:paraId="4EA2CF06" w14:textId="5E6AFAD4" w:rsidR="00F734FE" w:rsidRPr="005C25E8" w:rsidRDefault="00F734FE" w:rsidP="008F4A99">
            <w:pPr>
              <w:rPr>
                <w:szCs w:val="26"/>
                <w:lang w:val="lv-LV"/>
              </w:rPr>
            </w:pPr>
            <w:r w:rsidRPr="005C25E8">
              <w:rPr>
                <w:rFonts w:eastAsia="Times New Roman"/>
                <w:szCs w:val="26"/>
                <w:lang w:val="lv-LV"/>
              </w:rPr>
              <w:t xml:space="preserve">Noteikumu projekta 12.punkts </w:t>
            </w:r>
          </w:p>
        </w:tc>
        <w:tc>
          <w:tcPr>
            <w:tcW w:w="930" w:type="pct"/>
            <w:tcBorders>
              <w:top w:val="nil"/>
              <w:left w:val="nil"/>
              <w:bottom w:val="single" w:sz="6" w:space="0" w:color="000000" w:themeColor="text1"/>
              <w:right w:val="single" w:sz="6" w:space="0" w:color="000000" w:themeColor="text1"/>
            </w:tcBorders>
            <w:shd w:val="clear" w:color="auto" w:fill="auto"/>
          </w:tcPr>
          <w:p w14:paraId="56ED011B" w14:textId="4BAEB76F"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5D50402C" w14:textId="08BFF42B"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Neparedz stingrākas prasības</w:t>
            </w:r>
          </w:p>
        </w:tc>
      </w:tr>
      <w:tr w:rsidR="00F734FE" w:rsidRPr="00716ECC" w14:paraId="0961A570"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1BD3C8D2" w14:textId="492587B5" w:rsidR="00F734FE" w:rsidRPr="005C25E8" w:rsidRDefault="00150950" w:rsidP="00F734FE">
            <w:pPr>
              <w:textAlignment w:val="baseline"/>
              <w:rPr>
                <w:szCs w:val="26"/>
                <w:lang w:val="lv-LV"/>
              </w:rPr>
            </w:pPr>
            <w:r w:rsidRPr="005C25E8">
              <w:rPr>
                <w:rFonts w:eastAsia="Times New Roman"/>
                <w:szCs w:val="26"/>
                <w:lang w:val="lv-LV"/>
              </w:rPr>
              <w:t xml:space="preserve">Pagaidu regulējuma </w:t>
            </w:r>
            <w:r w:rsidR="00F734FE" w:rsidRPr="005C25E8">
              <w:rPr>
                <w:rFonts w:eastAsia="Times New Roman"/>
                <w:szCs w:val="26"/>
                <w:lang w:val="lv-LV"/>
              </w:rPr>
              <w:t xml:space="preserve">22.punkta c, </w:t>
            </w:r>
            <w:proofErr w:type="spellStart"/>
            <w:r w:rsidR="00F734FE" w:rsidRPr="005C25E8">
              <w:rPr>
                <w:rFonts w:eastAsia="Times New Roman"/>
                <w:szCs w:val="26"/>
                <w:lang w:val="lv-LV"/>
              </w:rPr>
              <w:t>ca</w:t>
            </w:r>
            <w:proofErr w:type="spellEnd"/>
            <w:r w:rsidR="00F734FE" w:rsidRPr="005C25E8">
              <w:rPr>
                <w:rFonts w:eastAsia="Times New Roman"/>
                <w:szCs w:val="26"/>
                <w:lang w:val="lv-LV"/>
              </w:rPr>
              <w:t xml:space="preserve"> apakšpunkts un Komisijas regulas Nr. 651/2014 2.pants 18.punkts</w:t>
            </w:r>
          </w:p>
        </w:tc>
        <w:tc>
          <w:tcPr>
            <w:tcW w:w="1155" w:type="pct"/>
            <w:tcBorders>
              <w:top w:val="nil"/>
              <w:left w:val="nil"/>
              <w:bottom w:val="single" w:sz="6" w:space="0" w:color="000000" w:themeColor="text1"/>
              <w:right w:val="single" w:sz="6" w:space="0" w:color="000000" w:themeColor="text1"/>
            </w:tcBorders>
            <w:shd w:val="clear" w:color="auto" w:fill="auto"/>
          </w:tcPr>
          <w:p w14:paraId="26CBE227" w14:textId="14A56B30" w:rsidR="00F734FE" w:rsidRPr="005C25E8" w:rsidRDefault="00F734FE" w:rsidP="00F734FE">
            <w:pPr>
              <w:textAlignment w:val="baseline"/>
              <w:rPr>
                <w:szCs w:val="26"/>
                <w:lang w:val="lv-LV"/>
              </w:rPr>
            </w:pPr>
            <w:r w:rsidRPr="005C25E8">
              <w:rPr>
                <w:rFonts w:eastAsia="Times New Roman"/>
                <w:szCs w:val="26"/>
                <w:lang w:val="lv-LV"/>
              </w:rPr>
              <w:t>Noteikumu projekta 20.2., 20.3 apakšpunkts</w:t>
            </w:r>
            <w:r w:rsidRPr="005C25E8" w:rsidDel="0089131F">
              <w:rPr>
                <w:rFonts w:eastAsia="Times New Roman"/>
                <w:szCs w:val="26"/>
                <w:lang w:val="lv-LV"/>
              </w:rPr>
              <w:t xml:space="preserve"> </w:t>
            </w:r>
          </w:p>
        </w:tc>
        <w:tc>
          <w:tcPr>
            <w:tcW w:w="930" w:type="pct"/>
            <w:tcBorders>
              <w:top w:val="nil"/>
              <w:left w:val="nil"/>
              <w:bottom w:val="single" w:sz="6" w:space="0" w:color="000000" w:themeColor="text1"/>
              <w:right w:val="single" w:sz="6" w:space="0" w:color="000000" w:themeColor="text1"/>
            </w:tcBorders>
            <w:shd w:val="clear" w:color="auto" w:fill="auto"/>
          </w:tcPr>
          <w:p w14:paraId="76AFBF0B" w14:textId="26B75750"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629D573A" w14:textId="77777777" w:rsidR="00F734FE" w:rsidRPr="005C25E8" w:rsidRDefault="00F734FE" w:rsidP="00F734FE">
            <w:pPr>
              <w:rPr>
                <w:rFonts w:eastAsia="Times New Roman"/>
                <w:szCs w:val="26"/>
                <w:lang w:val="lv-LV"/>
              </w:rPr>
            </w:pPr>
            <w:r w:rsidRPr="005C25E8">
              <w:rPr>
                <w:rFonts w:eastAsia="Times New Roman"/>
                <w:szCs w:val="26"/>
                <w:lang w:val="lv-LV"/>
              </w:rPr>
              <w:t>Neparedz stingrākas prasības</w:t>
            </w:r>
          </w:p>
          <w:p w14:paraId="4F40F0C5" w14:textId="77777777" w:rsidR="00F734FE" w:rsidRPr="005C25E8" w:rsidRDefault="00F734FE" w:rsidP="00F734FE">
            <w:pPr>
              <w:pStyle w:val="paragraph"/>
              <w:spacing w:before="0" w:beforeAutospacing="0" w:after="0" w:afterAutospacing="0"/>
              <w:textAlignment w:val="baseline"/>
              <w:rPr>
                <w:sz w:val="26"/>
                <w:szCs w:val="26"/>
              </w:rPr>
            </w:pPr>
          </w:p>
        </w:tc>
      </w:tr>
      <w:tr w:rsidR="00F734FE" w:rsidRPr="00716ECC" w14:paraId="3B916714"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0214746F" w14:textId="3FD40BC9" w:rsidR="00F734FE" w:rsidRPr="005C25E8" w:rsidRDefault="00150950" w:rsidP="00F734FE">
            <w:pPr>
              <w:textAlignment w:val="baseline"/>
              <w:rPr>
                <w:szCs w:val="26"/>
                <w:lang w:val="lv-LV"/>
              </w:rPr>
            </w:pPr>
            <w:r w:rsidRPr="005C25E8">
              <w:rPr>
                <w:rFonts w:eastAsia="Times New Roman"/>
                <w:szCs w:val="26"/>
                <w:lang w:val="lv-LV"/>
              </w:rPr>
              <w:t xml:space="preserve">Pagaidu regulējuma </w:t>
            </w:r>
            <w:r w:rsidR="00F734FE" w:rsidRPr="005C25E8">
              <w:rPr>
                <w:rFonts w:eastAsia="Times New Roman"/>
                <w:szCs w:val="26"/>
                <w:lang w:val="lv-LV"/>
              </w:rPr>
              <w:t>20.punkta a) apakšpunkts</w:t>
            </w:r>
          </w:p>
        </w:tc>
        <w:tc>
          <w:tcPr>
            <w:tcW w:w="1155" w:type="pct"/>
            <w:tcBorders>
              <w:top w:val="nil"/>
              <w:left w:val="nil"/>
              <w:bottom w:val="single" w:sz="6" w:space="0" w:color="000000" w:themeColor="text1"/>
              <w:right w:val="single" w:sz="6" w:space="0" w:color="000000" w:themeColor="text1"/>
            </w:tcBorders>
            <w:shd w:val="clear" w:color="auto" w:fill="auto"/>
          </w:tcPr>
          <w:p w14:paraId="65C38962" w14:textId="7044EBE0" w:rsidR="00F734FE" w:rsidRPr="005C25E8" w:rsidRDefault="00F734FE" w:rsidP="00F734FE">
            <w:pPr>
              <w:textAlignment w:val="baseline"/>
              <w:rPr>
                <w:szCs w:val="26"/>
                <w:lang w:val="lv-LV"/>
              </w:rPr>
            </w:pPr>
            <w:r w:rsidRPr="005C25E8">
              <w:rPr>
                <w:rFonts w:eastAsia="Times New Roman"/>
                <w:szCs w:val="26"/>
                <w:lang w:val="lv-LV"/>
              </w:rPr>
              <w:t>Noteikumu projekta 20.5. apakšpunkts</w:t>
            </w:r>
          </w:p>
        </w:tc>
        <w:tc>
          <w:tcPr>
            <w:tcW w:w="930" w:type="pct"/>
            <w:tcBorders>
              <w:top w:val="nil"/>
              <w:left w:val="nil"/>
              <w:bottom w:val="single" w:sz="6" w:space="0" w:color="000000" w:themeColor="text1"/>
              <w:right w:val="single" w:sz="6" w:space="0" w:color="000000" w:themeColor="text1"/>
            </w:tcBorders>
            <w:shd w:val="clear" w:color="auto" w:fill="auto"/>
          </w:tcPr>
          <w:p w14:paraId="197A6440" w14:textId="638264ED"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 xml:space="preserve">Ieviests pilnībā </w:t>
            </w:r>
          </w:p>
        </w:tc>
        <w:tc>
          <w:tcPr>
            <w:tcW w:w="1302" w:type="pct"/>
            <w:tcBorders>
              <w:top w:val="nil"/>
              <w:left w:val="nil"/>
              <w:bottom w:val="single" w:sz="6" w:space="0" w:color="000000" w:themeColor="text1"/>
              <w:right w:val="single" w:sz="6" w:space="0" w:color="000000" w:themeColor="text1"/>
            </w:tcBorders>
            <w:shd w:val="clear" w:color="auto" w:fill="auto"/>
          </w:tcPr>
          <w:p w14:paraId="0764A818" w14:textId="1C66BDED"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Neparedz stingrākas prasības</w:t>
            </w:r>
          </w:p>
        </w:tc>
      </w:tr>
      <w:tr w:rsidR="00F734FE" w:rsidRPr="00716ECC" w14:paraId="469F5373"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13B23719" w14:textId="3424C139" w:rsidR="00F734FE" w:rsidRPr="005C25E8" w:rsidRDefault="00F734FE" w:rsidP="00F734FE">
            <w:pPr>
              <w:textAlignment w:val="baseline"/>
              <w:rPr>
                <w:szCs w:val="26"/>
                <w:lang w:val="lv-LV"/>
              </w:rPr>
            </w:pPr>
            <w:r w:rsidRPr="005C25E8">
              <w:rPr>
                <w:rFonts w:eastAsia="Times New Roman"/>
                <w:szCs w:val="26"/>
                <w:lang w:val="lv-LV"/>
              </w:rPr>
              <w:t>Komisijas regulas Nr. 794/2004 10. un 11.pants</w:t>
            </w:r>
          </w:p>
        </w:tc>
        <w:tc>
          <w:tcPr>
            <w:tcW w:w="1155" w:type="pct"/>
            <w:tcBorders>
              <w:top w:val="nil"/>
              <w:left w:val="nil"/>
              <w:bottom w:val="single" w:sz="6" w:space="0" w:color="000000" w:themeColor="text1"/>
              <w:right w:val="single" w:sz="6" w:space="0" w:color="000000" w:themeColor="text1"/>
            </w:tcBorders>
            <w:shd w:val="clear" w:color="auto" w:fill="auto"/>
          </w:tcPr>
          <w:p w14:paraId="36F877E6" w14:textId="588CC7CA" w:rsidR="00F734FE" w:rsidRPr="005C25E8" w:rsidRDefault="00F734FE" w:rsidP="00F734FE">
            <w:pPr>
              <w:textAlignment w:val="baseline"/>
              <w:rPr>
                <w:szCs w:val="26"/>
                <w:lang w:val="lv-LV"/>
              </w:rPr>
            </w:pPr>
            <w:r w:rsidRPr="005C25E8">
              <w:rPr>
                <w:rFonts w:eastAsia="Times New Roman"/>
                <w:szCs w:val="26"/>
                <w:lang w:val="lv-LV"/>
              </w:rPr>
              <w:t xml:space="preserve">Noteikumu projekta 23.punkts </w:t>
            </w:r>
          </w:p>
        </w:tc>
        <w:tc>
          <w:tcPr>
            <w:tcW w:w="930" w:type="pct"/>
            <w:tcBorders>
              <w:top w:val="nil"/>
              <w:left w:val="nil"/>
              <w:bottom w:val="single" w:sz="6" w:space="0" w:color="000000" w:themeColor="text1"/>
              <w:right w:val="single" w:sz="6" w:space="0" w:color="000000" w:themeColor="text1"/>
            </w:tcBorders>
            <w:shd w:val="clear" w:color="auto" w:fill="auto"/>
          </w:tcPr>
          <w:p w14:paraId="751C86C5" w14:textId="3117A988"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626B3A10" w14:textId="73CF9FCB"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Neparedz stingrākas prasības</w:t>
            </w:r>
          </w:p>
        </w:tc>
      </w:tr>
      <w:tr w:rsidR="00F734FE" w:rsidRPr="00716ECC" w14:paraId="1AC1F5AF"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0D6EB544" w14:textId="44D5007A" w:rsidR="00F734FE" w:rsidRPr="005C25E8" w:rsidRDefault="00150950" w:rsidP="00F734FE">
            <w:pPr>
              <w:textAlignment w:val="baseline"/>
              <w:rPr>
                <w:szCs w:val="26"/>
                <w:lang w:val="lv-LV"/>
              </w:rPr>
            </w:pPr>
            <w:r w:rsidRPr="005C25E8">
              <w:rPr>
                <w:rFonts w:eastAsia="Times New Roman"/>
                <w:szCs w:val="26"/>
                <w:lang w:val="lv-LV"/>
              </w:rPr>
              <w:t xml:space="preserve">Pagaidu regulējuma </w:t>
            </w:r>
            <w:r w:rsidR="00F734FE" w:rsidRPr="005C25E8">
              <w:rPr>
                <w:rFonts w:eastAsia="Times New Roman"/>
                <w:szCs w:val="26"/>
                <w:lang w:val="lv-LV"/>
              </w:rPr>
              <w:t>91. un 92.punkts</w:t>
            </w:r>
          </w:p>
        </w:tc>
        <w:tc>
          <w:tcPr>
            <w:tcW w:w="1155" w:type="pct"/>
            <w:tcBorders>
              <w:top w:val="nil"/>
              <w:left w:val="nil"/>
              <w:bottom w:val="single" w:sz="6" w:space="0" w:color="000000" w:themeColor="text1"/>
              <w:right w:val="single" w:sz="6" w:space="0" w:color="000000" w:themeColor="text1"/>
            </w:tcBorders>
            <w:shd w:val="clear" w:color="auto" w:fill="auto"/>
          </w:tcPr>
          <w:p w14:paraId="6B2C9F55" w14:textId="11E61A10" w:rsidR="00F734FE" w:rsidRPr="005C25E8" w:rsidRDefault="00F734FE" w:rsidP="00F734FE">
            <w:pPr>
              <w:textAlignment w:val="baseline"/>
              <w:rPr>
                <w:szCs w:val="26"/>
                <w:lang w:val="lv-LV"/>
              </w:rPr>
            </w:pPr>
            <w:r w:rsidRPr="005C25E8">
              <w:rPr>
                <w:rFonts w:eastAsia="Times New Roman"/>
                <w:szCs w:val="26"/>
                <w:lang w:val="lv-LV"/>
              </w:rPr>
              <w:t xml:space="preserve">Noteikumu projekta </w:t>
            </w:r>
            <w:r w:rsidR="005C25E8" w:rsidRPr="005C25E8">
              <w:rPr>
                <w:rFonts w:eastAsia="Times New Roman"/>
                <w:szCs w:val="26"/>
                <w:lang w:val="lv-LV"/>
              </w:rPr>
              <w:t xml:space="preserve"> 24. un </w:t>
            </w:r>
            <w:r w:rsidRPr="005C25E8">
              <w:rPr>
                <w:rFonts w:eastAsia="Times New Roman"/>
                <w:szCs w:val="26"/>
                <w:lang w:val="lv-LV"/>
              </w:rPr>
              <w:t>25.punkts</w:t>
            </w:r>
          </w:p>
        </w:tc>
        <w:tc>
          <w:tcPr>
            <w:tcW w:w="930" w:type="pct"/>
            <w:tcBorders>
              <w:top w:val="nil"/>
              <w:left w:val="nil"/>
              <w:bottom w:val="single" w:sz="6" w:space="0" w:color="000000" w:themeColor="text1"/>
              <w:right w:val="single" w:sz="6" w:space="0" w:color="000000" w:themeColor="text1"/>
            </w:tcBorders>
            <w:shd w:val="clear" w:color="auto" w:fill="auto"/>
          </w:tcPr>
          <w:p w14:paraId="29E97179" w14:textId="5852E691"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7BB2F084" w14:textId="7F6423EF"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Neparedz stingrākas prasības</w:t>
            </w:r>
          </w:p>
        </w:tc>
      </w:tr>
      <w:tr w:rsidR="00F734FE" w:rsidRPr="00716ECC" w14:paraId="206F20DD" w14:textId="77777777" w:rsidTr="008F4A99">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552"/>
        </w:trPr>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1DFB0CA0" w14:textId="3A8015B9" w:rsidR="00F734FE" w:rsidRPr="005C25E8" w:rsidRDefault="00150950" w:rsidP="00F734FE">
            <w:pPr>
              <w:textAlignment w:val="baseline"/>
              <w:rPr>
                <w:szCs w:val="26"/>
                <w:lang w:val="lv-LV"/>
              </w:rPr>
            </w:pPr>
            <w:r w:rsidRPr="005C25E8">
              <w:rPr>
                <w:rFonts w:eastAsia="Times New Roman"/>
                <w:szCs w:val="26"/>
                <w:lang w:val="lv-LV"/>
              </w:rPr>
              <w:lastRenderedPageBreak/>
              <w:t xml:space="preserve">Pagaidu regulējuma </w:t>
            </w:r>
            <w:r w:rsidR="00F734FE" w:rsidRPr="005C25E8">
              <w:rPr>
                <w:rFonts w:eastAsia="Times New Roman"/>
                <w:szCs w:val="26"/>
                <w:lang w:val="lv-LV"/>
              </w:rPr>
              <w:t>88. punkts</w:t>
            </w:r>
          </w:p>
        </w:tc>
        <w:tc>
          <w:tcPr>
            <w:tcW w:w="1155" w:type="pct"/>
            <w:tcBorders>
              <w:top w:val="nil"/>
              <w:left w:val="nil"/>
              <w:bottom w:val="single" w:sz="6" w:space="0" w:color="000000" w:themeColor="text1"/>
              <w:right w:val="single" w:sz="6" w:space="0" w:color="000000" w:themeColor="text1"/>
            </w:tcBorders>
            <w:shd w:val="clear" w:color="auto" w:fill="auto"/>
          </w:tcPr>
          <w:p w14:paraId="432005A1" w14:textId="3B9A46DF" w:rsidR="00F734FE" w:rsidRPr="005C25E8" w:rsidRDefault="00F734FE" w:rsidP="00F734FE">
            <w:pPr>
              <w:textAlignment w:val="baseline"/>
              <w:rPr>
                <w:szCs w:val="26"/>
                <w:lang w:val="lv-LV"/>
              </w:rPr>
            </w:pPr>
            <w:r w:rsidRPr="005C25E8">
              <w:rPr>
                <w:rFonts w:eastAsia="Times New Roman"/>
                <w:szCs w:val="26"/>
                <w:lang w:val="lv-LV"/>
              </w:rPr>
              <w:t>Noteikumu projekta 26.punkts</w:t>
            </w:r>
          </w:p>
        </w:tc>
        <w:tc>
          <w:tcPr>
            <w:tcW w:w="930" w:type="pct"/>
            <w:tcBorders>
              <w:top w:val="nil"/>
              <w:left w:val="nil"/>
              <w:bottom w:val="single" w:sz="6" w:space="0" w:color="000000" w:themeColor="text1"/>
              <w:right w:val="single" w:sz="6" w:space="0" w:color="000000" w:themeColor="text1"/>
            </w:tcBorders>
            <w:shd w:val="clear" w:color="auto" w:fill="auto"/>
          </w:tcPr>
          <w:p w14:paraId="3E84D179" w14:textId="6F91DBE6"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0864DC96" w14:textId="05ACECBF" w:rsidR="00F734FE" w:rsidRPr="008F4A99" w:rsidRDefault="00F734FE" w:rsidP="008F4A99">
            <w:r w:rsidRPr="005C25E8">
              <w:rPr>
                <w:rFonts w:eastAsia="Times New Roman"/>
                <w:szCs w:val="26"/>
                <w:lang w:val="lv-LV"/>
              </w:rPr>
              <w:t>Neparedz stingrākas prasības</w:t>
            </w:r>
          </w:p>
        </w:tc>
      </w:tr>
      <w:tr w:rsidR="00F734FE" w:rsidRPr="00716ECC" w14:paraId="39FE42D6" w14:textId="77777777" w:rsidTr="00DE7318">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c>
          <w:tcPr>
            <w:tcW w:w="1613" w:type="pct"/>
            <w:tcBorders>
              <w:top w:val="nil"/>
              <w:left w:val="single" w:sz="6" w:space="0" w:color="000000" w:themeColor="text1"/>
              <w:bottom w:val="single" w:sz="6" w:space="0" w:color="000000" w:themeColor="text1"/>
              <w:right w:val="single" w:sz="6" w:space="0" w:color="000000" w:themeColor="text1"/>
            </w:tcBorders>
            <w:shd w:val="clear" w:color="auto" w:fill="auto"/>
          </w:tcPr>
          <w:p w14:paraId="7A9CC7F2" w14:textId="560309EB" w:rsidR="00F734FE" w:rsidRPr="005C25E8" w:rsidRDefault="00150950" w:rsidP="00F734FE">
            <w:pPr>
              <w:textAlignment w:val="baseline"/>
              <w:rPr>
                <w:rFonts w:eastAsia="Times New Roman"/>
                <w:szCs w:val="26"/>
                <w:lang w:val="lv-LV"/>
              </w:rPr>
            </w:pPr>
            <w:r w:rsidRPr="005C25E8">
              <w:rPr>
                <w:rFonts w:eastAsia="Times New Roman"/>
                <w:szCs w:val="26"/>
                <w:lang w:val="lv-LV"/>
              </w:rPr>
              <w:t xml:space="preserve">Pagaidu regulējuma </w:t>
            </w:r>
            <w:r w:rsidR="00F734FE" w:rsidRPr="005C25E8">
              <w:rPr>
                <w:rFonts w:eastAsia="Times New Roman"/>
                <w:szCs w:val="26"/>
                <w:lang w:val="lv-LV"/>
              </w:rPr>
              <w:t xml:space="preserve">89. punkts </w:t>
            </w:r>
          </w:p>
        </w:tc>
        <w:tc>
          <w:tcPr>
            <w:tcW w:w="1155" w:type="pct"/>
            <w:tcBorders>
              <w:top w:val="nil"/>
              <w:left w:val="nil"/>
              <w:bottom w:val="single" w:sz="6" w:space="0" w:color="000000" w:themeColor="text1"/>
              <w:right w:val="single" w:sz="6" w:space="0" w:color="000000" w:themeColor="text1"/>
            </w:tcBorders>
            <w:shd w:val="clear" w:color="auto" w:fill="auto"/>
          </w:tcPr>
          <w:p w14:paraId="6BAF9961" w14:textId="43F1B1BB" w:rsidR="00F734FE" w:rsidRPr="005C25E8" w:rsidRDefault="00F734FE" w:rsidP="00F734FE">
            <w:pPr>
              <w:textAlignment w:val="baseline"/>
              <w:rPr>
                <w:rFonts w:eastAsia="Times New Roman"/>
                <w:szCs w:val="26"/>
                <w:lang w:val="lv-LV"/>
              </w:rPr>
            </w:pPr>
            <w:r w:rsidRPr="005C25E8">
              <w:rPr>
                <w:rFonts w:eastAsia="Times New Roman"/>
                <w:szCs w:val="26"/>
                <w:lang w:val="lv-LV"/>
              </w:rPr>
              <w:t>Noteikumu projekta 27.punkts</w:t>
            </w:r>
          </w:p>
        </w:tc>
        <w:tc>
          <w:tcPr>
            <w:tcW w:w="930" w:type="pct"/>
            <w:tcBorders>
              <w:top w:val="nil"/>
              <w:left w:val="nil"/>
              <w:bottom w:val="single" w:sz="6" w:space="0" w:color="000000" w:themeColor="text1"/>
              <w:right w:val="single" w:sz="6" w:space="0" w:color="000000" w:themeColor="text1"/>
            </w:tcBorders>
            <w:shd w:val="clear" w:color="auto" w:fill="auto"/>
          </w:tcPr>
          <w:p w14:paraId="4A9C11DA" w14:textId="62A44091"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Ieviests pilnībā</w:t>
            </w:r>
          </w:p>
        </w:tc>
        <w:tc>
          <w:tcPr>
            <w:tcW w:w="1302" w:type="pct"/>
            <w:tcBorders>
              <w:top w:val="nil"/>
              <w:left w:val="nil"/>
              <w:bottom w:val="single" w:sz="6" w:space="0" w:color="000000" w:themeColor="text1"/>
              <w:right w:val="single" w:sz="6" w:space="0" w:color="000000" w:themeColor="text1"/>
            </w:tcBorders>
            <w:shd w:val="clear" w:color="auto" w:fill="auto"/>
          </w:tcPr>
          <w:p w14:paraId="6065BC86" w14:textId="524DF7F5" w:rsidR="00F734FE" w:rsidRPr="005C25E8" w:rsidRDefault="00F734FE" w:rsidP="00F734FE">
            <w:pPr>
              <w:pStyle w:val="paragraph"/>
              <w:spacing w:before="0" w:beforeAutospacing="0" w:after="0" w:afterAutospacing="0"/>
              <w:textAlignment w:val="baseline"/>
              <w:rPr>
                <w:sz w:val="26"/>
                <w:szCs w:val="26"/>
              </w:rPr>
            </w:pPr>
            <w:r w:rsidRPr="005C25E8">
              <w:rPr>
                <w:sz w:val="26"/>
                <w:szCs w:val="26"/>
              </w:rPr>
              <w:t>Neparedz stingrākas prasības</w:t>
            </w:r>
          </w:p>
        </w:tc>
      </w:tr>
      <w:tr w:rsidR="00F734FE" w:rsidRPr="00716ECC" w14:paraId="64BF9DC3" w14:textId="77777777" w:rsidTr="00DE7318">
        <w:tc>
          <w:tcPr>
            <w:tcW w:w="1613" w:type="pct"/>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7F0054DA" w14:textId="77777777" w:rsidR="00F734FE" w:rsidRPr="00716ECC" w:rsidRDefault="00F734FE" w:rsidP="00F734FE">
            <w:pPr>
              <w:rPr>
                <w:rFonts w:eastAsia="Times New Roman"/>
                <w:szCs w:val="26"/>
                <w:lang w:val="lv-LV" w:eastAsia="lv-LV"/>
              </w:rPr>
            </w:pPr>
            <w:r w:rsidRPr="00716ECC">
              <w:rPr>
                <w:rFonts w:eastAsia="Times New Roman"/>
                <w:szCs w:val="26"/>
                <w:lang w:val="lv-LV" w:eastAsia="lv-LV"/>
              </w:rPr>
              <w:t>Kā ir izmantota ES tiesību aktā paredzētā rīcības brīvība dalībvalstij pārņemt vai ieviest noteiktas ES tiesību akta normas? Kādēļ?</w:t>
            </w:r>
          </w:p>
        </w:tc>
        <w:tc>
          <w:tcPr>
            <w:tcW w:w="3387" w:type="pct"/>
            <w:gridSpan w:val="3"/>
            <w:tcBorders>
              <w:top w:val="single" w:sz="4" w:space="0" w:color="auto"/>
              <w:left w:val="single" w:sz="4" w:space="0" w:color="auto"/>
              <w:bottom w:val="single" w:sz="4" w:space="0" w:color="auto"/>
              <w:right w:val="single" w:sz="4" w:space="0" w:color="auto"/>
            </w:tcBorders>
            <w:hideMark/>
          </w:tcPr>
          <w:p w14:paraId="09FBA8A4" w14:textId="77777777" w:rsidR="00F734FE" w:rsidRPr="00716ECC" w:rsidRDefault="00F734FE" w:rsidP="00F734FE">
            <w:pPr>
              <w:rPr>
                <w:rFonts w:eastAsia="Times New Roman"/>
                <w:szCs w:val="26"/>
                <w:lang w:val="lv-LV"/>
              </w:rPr>
            </w:pPr>
            <w:r w:rsidRPr="00716ECC">
              <w:rPr>
                <w:rFonts w:eastAsia="Times New Roman"/>
                <w:szCs w:val="26"/>
                <w:lang w:val="lv-LV"/>
              </w:rPr>
              <w:t>Projekts šo jomu neskar.</w:t>
            </w:r>
          </w:p>
          <w:p w14:paraId="7A1E999E" w14:textId="77777777" w:rsidR="00F734FE" w:rsidRPr="00716ECC" w:rsidRDefault="00F734FE" w:rsidP="00F734FE">
            <w:pPr>
              <w:rPr>
                <w:rFonts w:eastAsia="Times New Roman"/>
                <w:szCs w:val="26"/>
                <w:lang w:val="lv-LV" w:eastAsia="lv-LV"/>
              </w:rPr>
            </w:pPr>
          </w:p>
          <w:p w14:paraId="4AC438B0" w14:textId="16815174" w:rsidR="00F734FE" w:rsidRPr="00716ECC" w:rsidRDefault="00F734FE" w:rsidP="00F734FE">
            <w:pPr>
              <w:rPr>
                <w:rFonts w:eastAsia="Times New Roman"/>
                <w:szCs w:val="26"/>
                <w:lang w:val="lv-LV" w:eastAsia="lv-LV"/>
              </w:rPr>
            </w:pPr>
          </w:p>
        </w:tc>
      </w:tr>
      <w:tr w:rsidR="00F734FE" w:rsidRPr="00716ECC" w14:paraId="0285ACEF" w14:textId="77777777" w:rsidTr="00DE7318">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6143C46" w14:textId="77777777" w:rsidR="00F734FE" w:rsidRPr="00716ECC" w:rsidRDefault="00F734FE" w:rsidP="00F734FE">
            <w:pPr>
              <w:rPr>
                <w:rFonts w:eastAsia="Times New Roman"/>
                <w:szCs w:val="26"/>
                <w:lang w:val="lv-LV" w:eastAsia="lv-LV"/>
              </w:rPr>
            </w:pPr>
            <w:r w:rsidRPr="00716ECC">
              <w:rPr>
                <w:rFonts w:eastAsia="Times New Roman"/>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7" w:type="pct"/>
            <w:gridSpan w:val="3"/>
            <w:tcBorders>
              <w:top w:val="single" w:sz="4" w:space="0" w:color="auto"/>
              <w:left w:val="single" w:sz="4" w:space="0" w:color="auto"/>
              <w:bottom w:val="single" w:sz="4" w:space="0" w:color="auto"/>
              <w:right w:val="single" w:sz="4" w:space="0" w:color="auto"/>
            </w:tcBorders>
            <w:hideMark/>
          </w:tcPr>
          <w:p w14:paraId="71591BA0" w14:textId="62E746AE" w:rsidR="00F734FE" w:rsidRPr="00716ECC" w:rsidRDefault="00F734FE" w:rsidP="00F734FE">
            <w:pPr>
              <w:rPr>
                <w:rFonts w:eastAsia="Times New Roman"/>
                <w:szCs w:val="26"/>
                <w:lang w:val="lv-LV" w:eastAsia="lv-LV"/>
              </w:rPr>
            </w:pPr>
            <w:r w:rsidRPr="00716ECC">
              <w:rPr>
                <w:rFonts w:eastAsia="Times New Roman"/>
                <w:szCs w:val="26"/>
                <w:lang w:val="lv-LV"/>
              </w:rPr>
              <w:t>Atbalsta programmas  grozījumi tiks saskaņoti ar Eiropas Komisiju.</w:t>
            </w:r>
          </w:p>
        </w:tc>
      </w:tr>
      <w:tr w:rsidR="00F734FE" w:rsidRPr="00716ECC" w14:paraId="66552465" w14:textId="77777777" w:rsidTr="00DE7318">
        <w:tc>
          <w:tcPr>
            <w:tcW w:w="161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D47FE33" w14:textId="77777777" w:rsidR="00F734FE" w:rsidRPr="00716ECC" w:rsidRDefault="00F734FE" w:rsidP="00F734FE">
            <w:pPr>
              <w:rPr>
                <w:rFonts w:eastAsia="Times New Roman"/>
                <w:szCs w:val="26"/>
                <w:lang w:val="lv-LV" w:eastAsia="lv-LV"/>
              </w:rPr>
            </w:pPr>
            <w:r w:rsidRPr="00716ECC">
              <w:rPr>
                <w:rFonts w:eastAsia="Times New Roman"/>
                <w:szCs w:val="26"/>
                <w:lang w:val="lv-LV" w:eastAsia="lv-LV"/>
              </w:rPr>
              <w:t>Cita informācija</w:t>
            </w:r>
          </w:p>
        </w:tc>
        <w:tc>
          <w:tcPr>
            <w:tcW w:w="3387" w:type="pct"/>
            <w:gridSpan w:val="3"/>
            <w:tcBorders>
              <w:top w:val="single" w:sz="4" w:space="0" w:color="auto"/>
              <w:left w:val="single" w:sz="4" w:space="0" w:color="auto"/>
              <w:bottom w:val="single" w:sz="4" w:space="0" w:color="auto"/>
              <w:right w:val="single" w:sz="4" w:space="0" w:color="auto"/>
            </w:tcBorders>
            <w:hideMark/>
          </w:tcPr>
          <w:p w14:paraId="2DEFDF45" w14:textId="77777777" w:rsidR="00F734FE" w:rsidRPr="00716ECC" w:rsidRDefault="00F734FE" w:rsidP="00F734FE">
            <w:pPr>
              <w:rPr>
                <w:rFonts w:eastAsia="Times New Roman"/>
                <w:szCs w:val="26"/>
                <w:lang w:val="lv-LV" w:eastAsia="lv-LV"/>
              </w:rPr>
            </w:pPr>
            <w:r w:rsidRPr="00716ECC">
              <w:rPr>
                <w:szCs w:val="26"/>
                <w:lang w:val="lv-LV"/>
              </w:rPr>
              <w:t>Nav.</w:t>
            </w:r>
          </w:p>
        </w:tc>
      </w:tr>
    </w:tbl>
    <w:p w14:paraId="53937880" w14:textId="72321B56" w:rsidR="00FA336D" w:rsidRDefault="00FA336D" w:rsidP="002B1AD5">
      <w:pPr>
        <w:contextualSpacing/>
        <w:rPr>
          <w:szCs w:val="26"/>
          <w:lang w:val="lv-LV"/>
        </w:rPr>
      </w:pPr>
    </w:p>
    <w:p w14:paraId="074FADA7" w14:textId="16C59971" w:rsidR="009870D7" w:rsidRDefault="009870D7" w:rsidP="002B1AD5">
      <w:pPr>
        <w:contextualSpacing/>
        <w:rPr>
          <w:szCs w:val="26"/>
          <w:lang w:val="lv-LV"/>
        </w:rPr>
      </w:pPr>
    </w:p>
    <w:p w14:paraId="359C3940" w14:textId="454D24BE" w:rsidR="009870D7" w:rsidRDefault="009870D7" w:rsidP="002B1AD5">
      <w:pPr>
        <w:contextualSpacing/>
        <w:rPr>
          <w:szCs w:val="26"/>
          <w:lang w:val="lv-LV"/>
        </w:rPr>
      </w:pPr>
    </w:p>
    <w:p w14:paraId="3B87545B" w14:textId="77777777" w:rsidR="009870D7" w:rsidRPr="00716ECC" w:rsidRDefault="009870D7" w:rsidP="002B1AD5">
      <w:pPr>
        <w:contextualSpacing/>
        <w:rPr>
          <w:szCs w:val="26"/>
          <w:lang w:val="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7"/>
      </w:tblGrid>
      <w:tr w:rsidR="00716ECC" w:rsidRPr="004949AC" w14:paraId="7EEC0F00" w14:textId="77777777" w:rsidTr="001342EF">
        <w:trPr>
          <w:trHeight w:val="421"/>
        </w:trPr>
        <w:tc>
          <w:tcPr>
            <w:tcW w:w="9214" w:type="dxa"/>
            <w:gridSpan w:val="3"/>
            <w:tcBorders>
              <w:top w:val="single" w:sz="2" w:space="0" w:color="auto"/>
            </w:tcBorders>
            <w:vAlign w:val="center"/>
          </w:tcPr>
          <w:p w14:paraId="7BCCE7F8" w14:textId="77777777" w:rsidR="006F4B13" w:rsidRPr="00716ECC" w:rsidRDefault="006F4B13" w:rsidP="00370711">
            <w:pPr>
              <w:ind w:left="57" w:right="57"/>
              <w:contextualSpacing/>
              <w:jc w:val="center"/>
              <w:rPr>
                <w:rFonts w:eastAsia="Times New Roman"/>
                <w:szCs w:val="26"/>
                <w:lang w:val="lv-LV"/>
              </w:rPr>
            </w:pPr>
            <w:r w:rsidRPr="00716ECC">
              <w:rPr>
                <w:rFonts w:eastAsia="Times New Roman"/>
                <w:b/>
                <w:szCs w:val="26"/>
                <w:lang w:val="lv-LV"/>
              </w:rPr>
              <w:t>VI. Sabiedrības līdzdalība un komunikācijas aktivitātes</w:t>
            </w:r>
          </w:p>
        </w:tc>
      </w:tr>
      <w:tr w:rsidR="00716ECC" w:rsidRPr="004949AC" w14:paraId="6FEF54FD" w14:textId="77777777" w:rsidTr="001342EF">
        <w:trPr>
          <w:trHeight w:val="553"/>
        </w:trPr>
        <w:tc>
          <w:tcPr>
            <w:tcW w:w="426" w:type="dxa"/>
          </w:tcPr>
          <w:p w14:paraId="41086138" w14:textId="77777777" w:rsidR="003F0B47" w:rsidRPr="00716ECC" w:rsidRDefault="003F0B47" w:rsidP="003F0B47">
            <w:pPr>
              <w:ind w:left="57" w:right="57"/>
              <w:contextualSpacing/>
              <w:jc w:val="both"/>
              <w:rPr>
                <w:szCs w:val="26"/>
                <w:lang w:val="lv-LV"/>
              </w:rPr>
            </w:pPr>
            <w:r w:rsidRPr="00716ECC">
              <w:rPr>
                <w:szCs w:val="26"/>
                <w:lang w:val="lv-LV"/>
              </w:rPr>
              <w:t>1.</w:t>
            </w:r>
          </w:p>
        </w:tc>
        <w:tc>
          <w:tcPr>
            <w:tcW w:w="2551" w:type="dxa"/>
          </w:tcPr>
          <w:p w14:paraId="798682AC" w14:textId="77777777" w:rsidR="003F0B47" w:rsidRPr="00716ECC" w:rsidRDefault="003F0B47" w:rsidP="003F0B47">
            <w:pPr>
              <w:tabs>
                <w:tab w:val="left" w:pos="170"/>
              </w:tabs>
              <w:ind w:left="57" w:right="57"/>
              <w:contextualSpacing/>
              <w:rPr>
                <w:rFonts w:eastAsia="PMingLiU"/>
                <w:szCs w:val="26"/>
                <w:lang w:val="lv-LV" w:eastAsia="ja-JP"/>
              </w:rPr>
            </w:pPr>
            <w:r w:rsidRPr="00716ECC">
              <w:rPr>
                <w:rFonts w:eastAsia="PMingLiU"/>
                <w:szCs w:val="26"/>
                <w:lang w:val="lv-LV" w:eastAsia="ja-JP"/>
              </w:rPr>
              <w:t>Plānotās sabiedrības līdzdalības un komunikācijas aktivitātes saistībā ar projektu</w:t>
            </w:r>
          </w:p>
        </w:tc>
        <w:tc>
          <w:tcPr>
            <w:tcW w:w="6237" w:type="dxa"/>
          </w:tcPr>
          <w:p w14:paraId="384FFED0" w14:textId="5336AB13" w:rsidR="003F0B47" w:rsidRPr="00716ECC" w:rsidRDefault="002059DA" w:rsidP="003F0B47">
            <w:pPr>
              <w:shd w:val="clear" w:color="auto" w:fill="FFFFFF"/>
              <w:ind w:right="113"/>
              <w:contextualSpacing/>
              <w:jc w:val="both"/>
              <w:rPr>
                <w:rFonts w:eastAsia="PMingLiU"/>
                <w:szCs w:val="26"/>
                <w:lang w:val="lv-LV" w:eastAsia="ja-JP"/>
              </w:rPr>
            </w:pPr>
            <w:r w:rsidRPr="00716ECC">
              <w:rPr>
                <w:rFonts w:eastAsia="Times New Roman"/>
                <w:szCs w:val="26"/>
                <w:lang w:val="lv-LV"/>
              </w:rPr>
              <w:t xml:space="preserve">Priekšlikums ir izskatīts </w:t>
            </w:r>
            <w:r w:rsidRPr="00716ECC">
              <w:rPr>
                <w:szCs w:val="26"/>
                <w:lang w:val="lv-LV"/>
              </w:rPr>
              <w:t xml:space="preserve">krīzes vadības grupas uzņēmējdarbības veicināšanai </w:t>
            </w:r>
            <w:r w:rsidRPr="00716ECC">
              <w:rPr>
                <w:rFonts w:eastAsia="Times New Roman"/>
                <w:szCs w:val="26"/>
                <w:lang w:val="lv-LV"/>
              </w:rPr>
              <w:t>ietvaros, apspriežot noteikumu projektu ar nozares uzņēmējiem</w:t>
            </w:r>
            <w:r w:rsidRPr="00716ECC">
              <w:rPr>
                <w:szCs w:val="26"/>
                <w:lang w:val="lv-LV"/>
              </w:rPr>
              <w:t xml:space="preserve">. </w:t>
            </w:r>
          </w:p>
        </w:tc>
      </w:tr>
      <w:tr w:rsidR="00716ECC" w:rsidRPr="00716ECC" w14:paraId="3F5FD1CD" w14:textId="77777777" w:rsidTr="001342EF">
        <w:trPr>
          <w:trHeight w:val="339"/>
        </w:trPr>
        <w:tc>
          <w:tcPr>
            <w:tcW w:w="426" w:type="dxa"/>
          </w:tcPr>
          <w:p w14:paraId="4B9C6F89" w14:textId="77777777" w:rsidR="003F0B47" w:rsidRPr="00716ECC" w:rsidRDefault="003F0B47" w:rsidP="003F0B47">
            <w:pPr>
              <w:ind w:left="57" w:right="57"/>
              <w:contextualSpacing/>
              <w:jc w:val="both"/>
              <w:rPr>
                <w:szCs w:val="26"/>
                <w:lang w:val="lv-LV"/>
              </w:rPr>
            </w:pPr>
            <w:r w:rsidRPr="00716ECC">
              <w:rPr>
                <w:szCs w:val="26"/>
                <w:lang w:val="lv-LV"/>
              </w:rPr>
              <w:t>2.</w:t>
            </w:r>
          </w:p>
        </w:tc>
        <w:tc>
          <w:tcPr>
            <w:tcW w:w="2551" w:type="dxa"/>
          </w:tcPr>
          <w:p w14:paraId="4B6FBDE6" w14:textId="77777777" w:rsidR="003F0B47" w:rsidRPr="00716ECC" w:rsidRDefault="003F0B47" w:rsidP="003F0B47">
            <w:pPr>
              <w:ind w:left="57" w:right="57"/>
              <w:contextualSpacing/>
              <w:rPr>
                <w:rFonts w:eastAsia="PMingLiU"/>
                <w:szCs w:val="26"/>
                <w:lang w:val="lv-LV" w:eastAsia="ja-JP"/>
              </w:rPr>
            </w:pPr>
            <w:r w:rsidRPr="00716ECC">
              <w:rPr>
                <w:rFonts w:eastAsia="PMingLiU"/>
                <w:szCs w:val="26"/>
                <w:lang w:val="lv-LV" w:eastAsia="ja-JP"/>
              </w:rPr>
              <w:t>Sabiedrības līdzdalība projekta izstrādē</w:t>
            </w:r>
          </w:p>
        </w:tc>
        <w:tc>
          <w:tcPr>
            <w:tcW w:w="6237" w:type="dxa"/>
          </w:tcPr>
          <w:p w14:paraId="18D5064F" w14:textId="46F904D3" w:rsidR="003F0B47" w:rsidRPr="00716ECC" w:rsidRDefault="003F0B47" w:rsidP="003F0B47">
            <w:pPr>
              <w:shd w:val="clear" w:color="auto" w:fill="FFFFFF"/>
              <w:ind w:left="57" w:right="113"/>
              <w:contextualSpacing/>
              <w:jc w:val="both"/>
              <w:rPr>
                <w:rFonts w:eastAsia="PMingLiU"/>
                <w:szCs w:val="26"/>
                <w:shd w:val="clear" w:color="auto" w:fill="FFFFFF"/>
                <w:lang w:val="lv-LV" w:eastAsia="ja-JP"/>
              </w:rPr>
            </w:pPr>
          </w:p>
        </w:tc>
      </w:tr>
      <w:tr w:rsidR="00716ECC" w:rsidRPr="00716ECC" w14:paraId="0F937EA3" w14:textId="77777777" w:rsidTr="001342EF">
        <w:trPr>
          <w:trHeight w:val="476"/>
        </w:trPr>
        <w:tc>
          <w:tcPr>
            <w:tcW w:w="426" w:type="dxa"/>
          </w:tcPr>
          <w:p w14:paraId="5A007BCA" w14:textId="77777777" w:rsidR="006F4B13" w:rsidRPr="00716ECC" w:rsidRDefault="006F4B13" w:rsidP="00370711">
            <w:pPr>
              <w:ind w:left="57" w:right="57"/>
              <w:contextualSpacing/>
              <w:jc w:val="both"/>
              <w:rPr>
                <w:szCs w:val="26"/>
                <w:lang w:val="lv-LV"/>
              </w:rPr>
            </w:pPr>
            <w:r w:rsidRPr="00716ECC">
              <w:rPr>
                <w:szCs w:val="26"/>
                <w:lang w:val="lv-LV"/>
              </w:rPr>
              <w:t>3.</w:t>
            </w:r>
          </w:p>
        </w:tc>
        <w:tc>
          <w:tcPr>
            <w:tcW w:w="2551" w:type="dxa"/>
          </w:tcPr>
          <w:p w14:paraId="5F99D7D0" w14:textId="77777777" w:rsidR="006F4B13" w:rsidRPr="00716ECC" w:rsidRDefault="006F4B13" w:rsidP="00370711">
            <w:pPr>
              <w:ind w:left="57" w:right="57"/>
              <w:contextualSpacing/>
              <w:rPr>
                <w:rFonts w:eastAsia="PMingLiU"/>
                <w:szCs w:val="26"/>
                <w:lang w:val="lv-LV" w:eastAsia="ja-JP"/>
              </w:rPr>
            </w:pPr>
            <w:r w:rsidRPr="00716ECC">
              <w:rPr>
                <w:rFonts w:eastAsia="PMingLiU"/>
                <w:szCs w:val="26"/>
                <w:lang w:val="lv-LV" w:eastAsia="ja-JP"/>
              </w:rPr>
              <w:t>Sabiedrības līdzdalības rezultāti</w:t>
            </w:r>
          </w:p>
        </w:tc>
        <w:tc>
          <w:tcPr>
            <w:tcW w:w="6237" w:type="dxa"/>
          </w:tcPr>
          <w:p w14:paraId="2BF921D4" w14:textId="6D400666" w:rsidR="006F4B13" w:rsidRPr="00716ECC" w:rsidRDefault="006F4B13" w:rsidP="00370711">
            <w:pPr>
              <w:shd w:val="clear" w:color="auto" w:fill="FFFFFF"/>
              <w:ind w:left="57" w:right="113"/>
              <w:contextualSpacing/>
              <w:jc w:val="both"/>
              <w:rPr>
                <w:rFonts w:eastAsia="PMingLiU"/>
                <w:szCs w:val="26"/>
                <w:shd w:val="clear" w:color="auto" w:fill="FFFFFF"/>
                <w:lang w:val="lv-LV" w:eastAsia="ja-JP"/>
              </w:rPr>
            </w:pPr>
            <w:r w:rsidRPr="00716ECC">
              <w:rPr>
                <w:rFonts w:eastAsia="PMingLiU"/>
                <w:szCs w:val="26"/>
                <w:shd w:val="clear" w:color="auto" w:fill="FFFFFF"/>
                <w:lang w:val="lv-LV" w:eastAsia="ja-JP"/>
              </w:rPr>
              <w:t>Nav</w:t>
            </w:r>
          </w:p>
        </w:tc>
      </w:tr>
      <w:tr w:rsidR="00716ECC" w:rsidRPr="00716ECC" w14:paraId="13638F96" w14:textId="77777777" w:rsidTr="001342EF">
        <w:trPr>
          <w:trHeight w:val="205"/>
        </w:trPr>
        <w:tc>
          <w:tcPr>
            <w:tcW w:w="426" w:type="dxa"/>
          </w:tcPr>
          <w:p w14:paraId="286DE4AB" w14:textId="77777777" w:rsidR="006F4B13" w:rsidRPr="00716ECC" w:rsidRDefault="006F4B13" w:rsidP="00282251">
            <w:pPr>
              <w:ind w:left="57" w:right="57"/>
              <w:contextualSpacing/>
              <w:jc w:val="both"/>
              <w:rPr>
                <w:szCs w:val="26"/>
                <w:lang w:val="lv-LV"/>
              </w:rPr>
            </w:pPr>
            <w:r w:rsidRPr="00716ECC">
              <w:rPr>
                <w:szCs w:val="26"/>
                <w:lang w:val="lv-LV"/>
              </w:rPr>
              <w:t>4.</w:t>
            </w:r>
          </w:p>
        </w:tc>
        <w:tc>
          <w:tcPr>
            <w:tcW w:w="2551" w:type="dxa"/>
          </w:tcPr>
          <w:p w14:paraId="1AEA4978" w14:textId="77777777" w:rsidR="006F4B13" w:rsidRPr="00716ECC" w:rsidRDefault="006F4B13" w:rsidP="00282251">
            <w:pPr>
              <w:ind w:left="57" w:right="57"/>
              <w:contextualSpacing/>
              <w:rPr>
                <w:rFonts w:eastAsia="PMingLiU"/>
                <w:szCs w:val="26"/>
                <w:lang w:val="lv-LV" w:eastAsia="ja-JP"/>
              </w:rPr>
            </w:pPr>
            <w:r w:rsidRPr="00716ECC">
              <w:rPr>
                <w:rFonts w:eastAsia="PMingLiU"/>
                <w:szCs w:val="26"/>
                <w:lang w:val="lv-LV" w:eastAsia="ja-JP"/>
              </w:rPr>
              <w:t>Cita informācija</w:t>
            </w:r>
          </w:p>
        </w:tc>
        <w:tc>
          <w:tcPr>
            <w:tcW w:w="6237" w:type="dxa"/>
          </w:tcPr>
          <w:p w14:paraId="29112FCD" w14:textId="5927F71D" w:rsidR="006F4B13" w:rsidRPr="00716ECC" w:rsidRDefault="006F4B13" w:rsidP="00282251">
            <w:pPr>
              <w:ind w:left="57" w:right="113"/>
              <w:contextualSpacing/>
              <w:jc w:val="both"/>
              <w:rPr>
                <w:rFonts w:eastAsia="PMingLiU"/>
                <w:szCs w:val="26"/>
                <w:lang w:val="lv-LV" w:eastAsia="ja-JP"/>
              </w:rPr>
            </w:pPr>
            <w:r w:rsidRPr="00716ECC">
              <w:rPr>
                <w:rFonts w:eastAsia="PMingLiU"/>
                <w:szCs w:val="26"/>
                <w:lang w:val="lv-LV" w:eastAsia="ja-JP"/>
              </w:rPr>
              <w:t>Nav</w:t>
            </w:r>
          </w:p>
        </w:tc>
      </w:tr>
    </w:tbl>
    <w:p w14:paraId="2EB30350" w14:textId="77777777" w:rsidR="00AA6BD3" w:rsidRPr="00716ECC" w:rsidRDefault="00AA6BD3" w:rsidP="00282251">
      <w:pPr>
        <w:contextualSpacing/>
        <w:rPr>
          <w:rFonts w:eastAsia="Times New Roman"/>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716ECC" w:rsidRPr="004949AC"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716ECC" w:rsidRDefault="00844176" w:rsidP="005A1518">
            <w:pPr>
              <w:spacing w:before="100" w:beforeAutospacing="1" w:after="100" w:afterAutospacing="1"/>
              <w:ind w:firstLine="300"/>
              <w:jc w:val="center"/>
              <w:rPr>
                <w:rFonts w:eastAsia="Times New Roman"/>
                <w:szCs w:val="26"/>
                <w:lang w:val="lv-LV" w:eastAsia="lv-LV"/>
              </w:rPr>
            </w:pPr>
            <w:r w:rsidRPr="00716ECC">
              <w:rPr>
                <w:b/>
                <w:szCs w:val="26"/>
                <w:lang w:val="lv-LV"/>
              </w:rPr>
              <w:t>VII. Tiesību akta projekta izpildes nodrošināšana un tās ietekme uz institūcijām</w:t>
            </w:r>
          </w:p>
        </w:tc>
      </w:tr>
      <w:tr w:rsidR="00716ECC" w:rsidRPr="00716ECC"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716ECC" w:rsidRDefault="00844176" w:rsidP="00282251">
            <w:pPr>
              <w:contextualSpacing/>
              <w:rPr>
                <w:rFonts w:eastAsia="Times New Roman"/>
                <w:szCs w:val="26"/>
                <w:lang w:val="lv-LV" w:eastAsia="lv-LV"/>
              </w:rPr>
            </w:pPr>
            <w:r w:rsidRPr="00716ECC">
              <w:rPr>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716ECC" w:rsidRDefault="00844176" w:rsidP="00282251">
            <w:pPr>
              <w:ind w:right="112"/>
              <w:contextualSpacing/>
              <w:jc w:val="both"/>
              <w:rPr>
                <w:szCs w:val="26"/>
                <w:lang w:val="lv-LV"/>
              </w:rPr>
            </w:pPr>
            <w:r w:rsidRPr="00716ECC">
              <w:rPr>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5868D976" w:rsidR="00844176" w:rsidRPr="00716ECC" w:rsidRDefault="00844176" w:rsidP="00282251">
            <w:pPr>
              <w:ind w:left="82" w:right="161"/>
              <w:contextualSpacing/>
              <w:jc w:val="both"/>
              <w:rPr>
                <w:szCs w:val="26"/>
                <w:lang w:val="lv-LV"/>
              </w:rPr>
            </w:pPr>
            <w:r w:rsidRPr="00716ECC">
              <w:rPr>
                <w:szCs w:val="26"/>
                <w:lang w:val="lv-LV"/>
              </w:rPr>
              <w:t>E</w:t>
            </w:r>
            <w:r w:rsidR="00733C32" w:rsidRPr="00716ECC">
              <w:rPr>
                <w:szCs w:val="26"/>
                <w:lang w:val="lv-LV"/>
              </w:rPr>
              <w:t>konomikas ministrija</w:t>
            </w:r>
            <w:r w:rsidR="0074545C" w:rsidRPr="00716ECC">
              <w:rPr>
                <w:szCs w:val="26"/>
                <w:lang w:val="lv-LV"/>
              </w:rPr>
              <w:t xml:space="preserve">, </w:t>
            </w:r>
            <w:r w:rsidR="00F734FE">
              <w:rPr>
                <w:szCs w:val="26"/>
                <w:lang w:val="lv-LV"/>
              </w:rPr>
              <w:t>LIAA.</w:t>
            </w:r>
          </w:p>
        </w:tc>
      </w:tr>
      <w:tr w:rsidR="00716ECC" w:rsidRPr="004949AC"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716ECC" w:rsidRDefault="00844176" w:rsidP="00282251">
            <w:pPr>
              <w:contextualSpacing/>
              <w:rPr>
                <w:rFonts w:eastAsia="Times New Roman"/>
                <w:szCs w:val="26"/>
                <w:lang w:val="lv-LV" w:eastAsia="lv-LV"/>
              </w:rPr>
            </w:pPr>
            <w:r w:rsidRPr="00716ECC">
              <w:rPr>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716ECC" w:rsidRDefault="00844176" w:rsidP="00282251">
            <w:pPr>
              <w:ind w:right="112"/>
              <w:contextualSpacing/>
              <w:jc w:val="both"/>
              <w:rPr>
                <w:szCs w:val="26"/>
                <w:lang w:val="lv-LV"/>
              </w:rPr>
            </w:pPr>
            <w:r w:rsidRPr="00716ECC">
              <w:rPr>
                <w:szCs w:val="26"/>
                <w:lang w:val="lv-LV"/>
              </w:rPr>
              <w:t xml:space="preserve">Projekta izpildes ietekme uz pārvaldes funkcijām un institucionālo struktūru. </w:t>
            </w:r>
            <w:r w:rsidRPr="00716ECC">
              <w:rPr>
                <w:szCs w:val="26"/>
                <w:lang w:val="lv-LV"/>
              </w:rPr>
              <w:lastRenderedPageBreak/>
              <w:t>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237D44F" w:rsidR="00844176" w:rsidRPr="00716ECC" w:rsidRDefault="001F5AB0" w:rsidP="00282251">
            <w:pPr>
              <w:ind w:left="82" w:right="161"/>
              <w:contextualSpacing/>
              <w:jc w:val="both"/>
              <w:rPr>
                <w:szCs w:val="26"/>
                <w:lang w:val="lv-LV"/>
              </w:rPr>
            </w:pPr>
            <w:r w:rsidRPr="00716ECC">
              <w:rPr>
                <w:rFonts w:eastAsia="Times New Roman"/>
                <w:bCs/>
                <w:iCs/>
                <w:szCs w:val="26"/>
                <w:lang w:val="lv-LV"/>
              </w:rPr>
              <w:lastRenderedPageBreak/>
              <w:t xml:space="preserve">MK noteikumu projekta </w:t>
            </w:r>
            <w:r w:rsidR="00733C32" w:rsidRPr="00716ECC">
              <w:rPr>
                <w:szCs w:val="26"/>
                <w:lang w:val="lv-LV"/>
              </w:rPr>
              <w:t>izpilde tiks nodrošināta Ekonomikas ministrijas</w:t>
            </w:r>
            <w:r w:rsidR="00F57481" w:rsidRPr="00716ECC">
              <w:rPr>
                <w:szCs w:val="26"/>
                <w:lang w:val="lv-LV"/>
              </w:rPr>
              <w:t xml:space="preserve"> (</w:t>
            </w:r>
            <w:r w:rsidR="00745145" w:rsidRPr="00716ECC">
              <w:rPr>
                <w:szCs w:val="26"/>
                <w:lang w:val="lv-LV"/>
              </w:rPr>
              <w:t>normatīvā regulējuma izstrāde)</w:t>
            </w:r>
            <w:r w:rsidR="00844176" w:rsidRPr="00716ECC">
              <w:rPr>
                <w:szCs w:val="26"/>
                <w:lang w:val="lv-LV"/>
              </w:rPr>
              <w:t xml:space="preserve"> un </w:t>
            </w:r>
            <w:r w:rsidR="00F734FE">
              <w:rPr>
                <w:szCs w:val="26"/>
                <w:lang w:val="lv-LV"/>
              </w:rPr>
              <w:t>LIAA</w:t>
            </w:r>
            <w:r w:rsidR="002C4AC6" w:rsidRPr="00716ECC">
              <w:rPr>
                <w:szCs w:val="26"/>
                <w:lang w:val="lv-LV"/>
              </w:rPr>
              <w:t xml:space="preserve"> </w:t>
            </w:r>
            <w:r w:rsidR="00745145" w:rsidRPr="00716ECC">
              <w:rPr>
                <w:szCs w:val="26"/>
                <w:lang w:val="lv-LV"/>
              </w:rPr>
              <w:t xml:space="preserve">(lēmumu pieņemšana un atbalsta izsniegšana) </w:t>
            </w:r>
            <w:r w:rsidR="00844176" w:rsidRPr="00716ECC">
              <w:rPr>
                <w:szCs w:val="26"/>
                <w:lang w:val="lv-LV"/>
              </w:rPr>
              <w:t xml:space="preserve">esošo funkciju </w:t>
            </w:r>
            <w:r w:rsidR="002B7681" w:rsidRPr="00716ECC">
              <w:rPr>
                <w:szCs w:val="26"/>
                <w:lang w:val="lv-LV"/>
              </w:rPr>
              <w:t xml:space="preserve">un cilvēkresursu </w:t>
            </w:r>
            <w:r w:rsidR="00844176" w:rsidRPr="00716ECC">
              <w:rPr>
                <w:szCs w:val="26"/>
                <w:lang w:val="lv-LV"/>
              </w:rPr>
              <w:t>ietvaros</w:t>
            </w:r>
            <w:r w:rsidR="002B7681" w:rsidRPr="00716ECC">
              <w:rPr>
                <w:szCs w:val="26"/>
                <w:lang w:val="lv-LV"/>
              </w:rPr>
              <w:t xml:space="preserve">, kā arī nav </w:t>
            </w:r>
            <w:r w:rsidR="002B7681" w:rsidRPr="00716ECC">
              <w:rPr>
                <w:szCs w:val="26"/>
                <w:lang w:val="lv-LV"/>
              </w:rPr>
              <w:lastRenderedPageBreak/>
              <w:t>paredzēta jaunu institūciju izveide, esošu institūciju likvidācija vai reorganizācija</w:t>
            </w:r>
            <w:r w:rsidR="00844176" w:rsidRPr="00716ECC">
              <w:rPr>
                <w:szCs w:val="26"/>
                <w:lang w:val="lv-LV"/>
              </w:rPr>
              <w:t>.</w:t>
            </w:r>
          </w:p>
        </w:tc>
      </w:tr>
      <w:tr w:rsidR="00844176" w:rsidRPr="00716ECC"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716ECC" w:rsidRDefault="00844176" w:rsidP="00282251">
            <w:pPr>
              <w:contextualSpacing/>
              <w:rPr>
                <w:rFonts w:eastAsia="Times New Roman"/>
                <w:szCs w:val="26"/>
                <w:lang w:val="lv-LV" w:eastAsia="lv-LV"/>
              </w:rPr>
            </w:pPr>
            <w:r w:rsidRPr="00716ECC">
              <w:rPr>
                <w:szCs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716ECC" w:rsidRDefault="00844176" w:rsidP="00282251">
            <w:pPr>
              <w:contextualSpacing/>
              <w:jc w:val="both"/>
              <w:rPr>
                <w:rFonts w:eastAsia="Times New Roman"/>
                <w:szCs w:val="26"/>
                <w:lang w:val="lv-LV" w:eastAsia="lv-LV"/>
              </w:rPr>
            </w:pPr>
            <w:r w:rsidRPr="00716ECC">
              <w:rPr>
                <w:rFonts w:eastAsia="Times New Roman"/>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716ECC" w:rsidRDefault="00844176" w:rsidP="00282251">
            <w:pPr>
              <w:contextualSpacing/>
              <w:jc w:val="both"/>
              <w:rPr>
                <w:rFonts w:eastAsia="Times New Roman"/>
                <w:szCs w:val="26"/>
                <w:lang w:val="lv-LV" w:eastAsia="lv-LV"/>
              </w:rPr>
            </w:pPr>
            <w:r w:rsidRPr="00716ECC">
              <w:rPr>
                <w:rFonts w:eastAsia="Times New Roman"/>
                <w:szCs w:val="26"/>
                <w:lang w:val="lv-LV" w:eastAsia="lv-LV"/>
              </w:rPr>
              <w:t>Nav</w:t>
            </w:r>
          </w:p>
        </w:tc>
      </w:tr>
    </w:tbl>
    <w:p w14:paraId="3A720579" w14:textId="77777777" w:rsidR="001B0936" w:rsidRPr="00716ECC" w:rsidRDefault="001B0936" w:rsidP="00824797">
      <w:pPr>
        <w:ind w:firstLine="567"/>
        <w:jc w:val="both"/>
        <w:rPr>
          <w:szCs w:val="26"/>
          <w:lang w:val="lv-LV"/>
        </w:rPr>
      </w:pPr>
      <w:bookmarkStart w:id="4" w:name="_Hlk40807714"/>
    </w:p>
    <w:p w14:paraId="6452CC80" w14:textId="2E9814AC" w:rsidR="00DA1B53" w:rsidRPr="00716ECC" w:rsidRDefault="00DA1B53" w:rsidP="00824797">
      <w:pPr>
        <w:ind w:firstLine="567"/>
        <w:jc w:val="both"/>
        <w:rPr>
          <w:szCs w:val="26"/>
          <w:lang w:val="lv-LV"/>
        </w:rPr>
      </w:pPr>
      <w:r w:rsidRPr="00716ECC">
        <w:rPr>
          <w:szCs w:val="26"/>
          <w:lang w:val="lv-LV"/>
        </w:rPr>
        <w:t>Ekonomikas ministr</w:t>
      </w:r>
      <w:r w:rsidR="003F0B47" w:rsidRPr="00716ECC">
        <w:rPr>
          <w:szCs w:val="26"/>
          <w:lang w:val="lv-LV"/>
        </w:rPr>
        <w:t>s</w:t>
      </w:r>
      <w:r w:rsidR="003F0B47" w:rsidRPr="00716ECC">
        <w:rPr>
          <w:szCs w:val="26"/>
          <w:lang w:val="lv-LV"/>
        </w:rPr>
        <w:tab/>
      </w:r>
      <w:r w:rsidR="003F0B47" w:rsidRPr="00716ECC">
        <w:rPr>
          <w:szCs w:val="26"/>
          <w:lang w:val="lv-LV"/>
        </w:rPr>
        <w:tab/>
      </w:r>
      <w:r w:rsidR="003F0B47" w:rsidRPr="00716ECC">
        <w:rPr>
          <w:szCs w:val="26"/>
          <w:lang w:val="lv-LV"/>
        </w:rPr>
        <w:tab/>
      </w:r>
      <w:r w:rsidR="003F0B47" w:rsidRPr="00716ECC">
        <w:rPr>
          <w:szCs w:val="26"/>
          <w:lang w:val="lv-LV"/>
        </w:rPr>
        <w:tab/>
      </w:r>
      <w:r w:rsidR="00824797" w:rsidRPr="00716ECC">
        <w:rPr>
          <w:szCs w:val="26"/>
          <w:lang w:val="lv-LV"/>
        </w:rPr>
        <w:tab/>
      </w:r>
      <w:r w:rsidR="00824797" w:rsidRPr="00716ECC">
        <w:rPr>
          <w:szCs w:val="26"/>
          <w:lang w:val="lv-LV"/>
        </w:rPr>
        <w:tab/>
      </w:r>
      <w:proofErr w:type="spellStart"/>
      <w:r w:rsidR="003F0B47" w:rsidRPr="00716ECC">
        <w:rPr>
          <w:szCs w:val="26"/>
          <w:lang w:val="lv-LV"/>
        </w:rPr>
        <w:t>J</w:t>
      </w:r>
      <w:r w:rsidR="000065D3">
        <w:rPr>
          <w:szCs w:val="26"/>
          <w:lang w:val="lv-LV"/>
        </w:rPr>
        <w:t>.</w:t>
      </w:r>
      <w:r w:rsidR="003F0B47" w:rsidRPr="00716ECC">
        <w:rPr>
          <w:szCs w:val="26"/>
          <w:lang w:val="lv-LV"/>
        </w:rPr>
        <w:t>Vitenbergs</w:t>
      </w:r>
      <w:proofErr w:type="spellEnd"/>
    </w:p>
    <w:p w14:paraId="1DD4EC85" w14:textId="77777777" w:rsidR="00B40996" w:rsidRPr="00716ECC" w:rsidRDefault="00B40996" w:rsidP="001B0936">
      <w:pPr>
        <w:ind w:firstLine="567"/>
        <w:rPr>
          <w:szCs w:val="26"/>
          <w:lang w:val="lv-LV"/>
        </w:rPr>
      </w:pPr>
    </w:p>
    <w:p w14:paraId="186DE79D" w14:textId="7D50BFA4" w:rsidR="00102B0D" w:rsidRPr="00716ECC" w:rsidRDefault="00862580" w:rsidP="001B0936">
      <w:pPr>
        <w:ind w:firstLine="567"/>
        <w:rPr>
          <w:szCs w:val="26"/>
          <w:lang w:val="lv-LV"/>
        </w:rPr>
      </w:pPr>
      <w:r w:rsidRPr="00716ECC">
        <w:rPr>
          <w:szCs w:val="26"/>
          <w:lang w:val="lv-LV"/>
        </w:rPr>
        <w:t>Vīza</w:t>
      </w:r>
      <w:r w:rsidR="00102B0D" w:rsidRPr="00716ECC">
        <w:rPr>
          <w:szCs w:val="26"/>
          <w:lang w:val="lv-LV"/>
        </w:rPr>
        <w:t>:</w:t>
      </w:r>
    </w:p>
    <w:bookmarkEnd w:id="4"/>
    <w:p w14:paraId="1479C298" w14:textId="274ADD44" w:rsidR="00DF7086" w:rsidRDefault="00824797" w:rsidP="001B0936">
      <w:pPr>
        <w:tabs>
          <w:tab w:val="left" w:pos="6237"/>
        </w:tabs>
        <w:ind w:firstLine="567"/>
        <w:rPr>
          <w:szCs w:val="26"/>
          <w:lang w:val="lv-LV"/>
        </w:rPr>
      </w:pPr>
      <w:r w:rsidRPr="00716ECC">
        <w:rPr>
          <w:szCs w:val="26"/>
          <w:lang w:val="lv-LV"/>
        </w:rPr>
        <w:t xml:space="preserve">Valsts </w:t>
      </w:r>
      <w:r w:rsidR="008B6ADA" w:rsidRPr="00716ECC">
        <w:rPr>
          <w:szCs w:val="26"/>
          <w:lang w:val="lv-LV"/>
        </w:rPr>
        <w:t>sekretār</w:t>
      </w:r>
      <w:r w:rsidR="00D54773" w:rsidRPr="00716ECC">
        <w:rPr>
          <w:szCs w:val="26"/>
          <w:lang w:val="lv-LV"/>
        </w:rPr>
        <w:t>s</w:t>
      </w:r>
      <w:r w:rsidR="001B0936" w:rsidRPr="00716ECC">
        <w:rPr>
          <w:szCs w:val="26"/>
          <w:lang w:val="lv-LV"/>
        </w:rPr>
        <w:tab/>
      </w:r>
      <w:r w:rsidR="001B0936" w:rsidRPr="00716ECC">
        <w:rPr>
          <w:szCs w:val="26"/>
          <w:lang w:val="lv-LV"/>
        </w:rPr>
        <w:tab/>
      </w:r>
      <w:proofErr w:type="spellStart"/>
      <w:r w:rsidR="00D54773" w:rsidRPr="00716ECC">
        <w:rPr>
          <w:szCs w:val="26"/>
          <w:lang w:val="lv-LV"/>
        </w:rPr>
        <w:t>E</w:t>
      </w:r>
      <w:r w:rsidR="000065D3">
        <w:rPr>
          <w:szCs w:val="26"/>
          <w:lang w:val="lv-LV"/>
        </w:rPr>
        <w:t>.</w:t>
      </w:r>
      <w:r w:rsidR="00D54773" w:rsidRPr="00716ECC">
        <w:rPr>
          <w:szCs w:val="26"/>
          <w:lang w:val="lv-LV"/>
        </w:rPr>
        <w:t>Valantis</w:t>
      </w:r>
      <w:proofErr w:type="spellEnd"/>
    </w:p>
    <w:p w14:paraId="053748BE" w14:textId="34EE5A32" w:rsidR="003E490E" w:rsidRPr="003E490E" w:rsidRDefault="003E490E" w:rsidP="008F4A99">
      <w:pPr>
        <w:rPr>
          <w:szCs w:val="26"/>
          <w:lang w:val="lv-LV"/>
        </w:rPr>
      </w:pPr>
    </w:p>
    <w:p w14:paraId="3706FA58" w14:textId="21BED511" w:rsidR="003E490E" w:rsidRPr="003E490E" w:rsidRDefault="003E490E" w:rsidP="008F4A99">
      <w:pPr>
        <w:rPr>
          <w:szCs w:val="26"/>
          <w:lang w:val="lv-LV"/>
        </w:rPr>
      </w:pPr>
    </w:p>
    <w:p w14:paraId="0D3CD17D" w14:textId="713D5DD5" w:rsidR="003E490E" w:rsidRPr="003E490E" w:rsidRDefault="003E490E" w:rsidP="008F4A99">
      <w:pPr>
        <w:rPr>
          <w:szCs w:val="26"/>
          <w:lang w:val="lv-LV"/>
        </w:rPr>
      </w:pPr>
    </w:p>
    <w:p w14:paraId="5A45A1C6" w14:textId="3C5C0A43" w:rsidR="003E490E" w:rsidRPr="003E490E" w:rsidRDefault="003E490E" w:rsidP="008F4A99">
      <w:pPr>
        <w:rPr>
          <w:szCs w:val="26"/>
          <w:lang w:val="lv-LV"/>
        </w:rPr>
      </w:pPr>
    </w:p>
    <w:p w14:paraId="3202844F" w14:textId="259A879E" w:rsidR="003E490E" w:rsidRPr="003E490E" w:rsidRDefault="003E490E" w:rsidP="008F4A99">
      <w:pPr>
        <w:rPr>
          <w:szCs w:val="26"/>
          <w:lang w:val="lv-LV"/>
        </w:rPr>
      </w:pPr>
    </w:p>
    <w:p w14:paraId="345185BA" w14:textId="3683F56E" w:rsidR="003E490E" w:rsidRPr="003E490E" w:rsidRDefault="003E490E" w:rsidP="008F4A99">
      <w:pPr>
        <w:rPr>
          <w:szCs w:val="26"/>
          <w:lang w:val="lv-LV"/>
        </w:rPr>
      </w:pPr>
    </w:p>
    <w:p w14:paraId="03C630A3" w14:textId="116937CD" w:rsidR="003E490E" w:rsidRPr="003E490E" w:rsidRDefault="003E490E" w:rsidP="008F4A99">
      <w:pPr>
        <w:tabs>
          <w:tab w:val="left" w:pos="1284"/>
        </w:tabs>
        <w:rPr>
          <w:szCs w:val="26"/>
          <w:lang w:val="lv-LV"/>
        </w:rPr>
      </w:pPr>
      <w:bookmarkStart w:id="5" w:name="_GoBack"/>
      <w:bookmarkEnd w:id="5"/>
    </w:p>
    <w:sectPr w:rsidR="003E490E" w:rsidRPr="003E490E" w:rsidSect="009E08AF">
      <w:headerReference w:type="default" r:id="rId11"/>
      <w:footerReference w:type="default" r:id="rId12"/>
      <w:footerReference w:type="first" r:id="rId13"/>
      <w:endnotePr>
        <w:numFmt w:val="decimal"/>
      </w:endnotePr>
      <w:type w:val="continuous"/>
      <w:pgSz w:w="11906" w:h="16838" w:code="9"/>
      <w:pgMar w:top="1134" w:right="1134" w:bottom="851"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5717A" w14:textId="77777777" w:rsidR="00932043" w:rsidRDefault="00932043" w:rsidP="006B2FEF">
      <w:r>
        <w:separator/>
      </w:r>
    </w:p>
  </w:endnote>
  <w:endnote w:type="continuationSeparator" w:id="0">
    <w:p w14:paraId="355E12FE" w14:textId="77777777" w:rsidR="00932043" w:rsidRDefault="00932043" w:rsidP="006B2FEF">
      <w:r>
        <w:continuationSeparator/>
      </w:r>
    </w:p>
  </w:endnote>
  <w:endnote w:type="continuationNotice" w:id="1">
    <w:p w14:paraId="517864F8" w14:textId="77777777" w:rsidR="00932043" w:rsidRDefault="00932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3C1B8714" w:rsidR="00932043" w:rsidRPr="003C26C5" w:rsidRDefault="00932043" w:rsidP="003C26C5">
    <w:pPr>
      <w:pStyle w:val="Footer"/>
    </w:pPr>
    <w:r>
      <w:rPr>
        <w:lang w:val="lv-LV"/>
      </w:rPr>
      <w:t>E</w:t>
    </w:r>
    <w:r w:rsidRPr="0055278C">
      <w:rPr>
        <w:lang w:val="lv-LV"/>
      </w:rPr>
      <w:t>MAnot_</w:t>
    </w:r>
    <w:r>
      <w:rPr>
        <w:lang w:val="lv-LV"/>
      </w:rPr>
      <w:t>2</w:t>
    </w:r>
    <w:r w:rsidR="004949AC">
      <w:rPr>
        <w:lang w:val="lv-LV"/>
      </w:rPr>
      <w:t>6</w:t>
    </w:r>
    <w:r>
      <w:rPr>
        <w:lang w:val="lv-LV"/>
      </w:rPr>
      <w:t>04</w:t>
    </w:r>
    <w:r w:rsidRPr="0055278C">
      <w:rPr>
        <w:lang w:val="lv-LV"/>
      </w:rPr>
      <w:t>21_A</w:t>
    </w:r>
    <w:r>
      <w:rPr>
        <w:lang w:val="lv-LV"/>
      </w:rPr>
      <w:t>tbalsts_sporta_centriem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20E00479" w:rsidR="00932043" w:rsidRPr="00F57481" w:rsidRDefault="00932043" w:rsidP="00F57481">
    <w:pPr>
      <w:pStyle w:val="Footer"/>
    </w:pPr>
    <w:r>
      <w:rPr>
        <w:lang w:val="lv-LV"/>
      </w:rPr>
      <w:t>E</w:t>
    </w:r>
    <w:r w:rsidRPr="0055278C">
      <w:rPr>
        <w:lang w:val="lv-LV"/>
      </w:rPr>
      <w:t>MAnot_</w:t>
    </w:r>
    <w:r>
      <w:rPr>
        <w:lang w:val="lv-LV"/>
      </w:rPr>
      <w:t>2</w:t>
    </w:r>
    <w:r w:rsidR="004949AC">
      <w:rPr>
        <w:lang w:val="lv-LV"/>
      </w:rPr>
      <w:t>6</w:t>
    </w:r>
    <w:r>
      <w:rPr>
        <w:lang w:val="lv-LV"/>
      </w:rPr>
      <w:t>04</w:t>
    </w:r>
    <w:r w:rsidRPr="0055278C">
      <w:rPr>
        <w:lang w:val="lv-LV"/>
      </w:rPr>
      <w:t>21_A</w:t>
    </w:r>
    <w:r>
      <w:rPr>
        <w:lang w:val="lv-LV"/>
      </w:rPr>
      <w:t>tbalsts_sporta_centriem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EDC0" w14:textId="77777777" w:rsidR="00932043" w:rsidRDefault="00932043" w:rsidP="006B2FEF">
      <w:r>
        <w:separator/>
      </w:r>
    </w:p>
  </w:footnote>
  <w:footnote w:type="continuationSeparator" w:id="0">
    <w:p w14:paraId="310D8062" w14:textId="77777777" w:rsidR="00932043" w:rsidRDefault="00932043" w:rsidP="006B2FEF">
      <w:r>
        <w:continuationSeparator/>
      </w:r>
    </w:p>
  </w:footnote>
  <w:footnote w:type="continuationNotice" w:id="1">
    <w:p w14:paraId="065FDC49" w14:textId="77777777" w:rsidR="00932043" w:rsidRDefault="00932043"/>
  </w:footnote>
  <w:footnote w:id="2">
    <w:p w14:paraId="01E715EC" w14:textId="77777777" w:rsidR="00932043" w:rsidRDefault="00932043" w:rsidP="00F734FE">
      <w:pPr>
        <w:pStyle w:val="FootnoteText"/>
      </w:pPr>
      <w:r>
        <w:rPr>
          <w:rStyle w:val="FootnoteReference"/>
        </w:rPr>
        <w:footnoteRef/>
      </w:r>
      <w:r>
        <w:t xml:space="preserve"> </w:t>
      </w:r>
      <w:r w:rsidRPr="00724728">
        <w:t xml:space="preserve">Sprieduma teksts latviešu valodā ir pieejams šeit: </w:t>
      </w:r>
      <w:hyperlink r:id="rId1">
        <w:r w:rsidRPr="00724728">
          <w:rPr>
            <w:rStyle w:val="Hyperlink"/>
          </w:rPr>
          <w:t>http://curia.europa.eu/juris/document/document.jsf;jsessionid=3FCFE9F9814714B6A5445FE9C58E7902?text=&amp;docid=211287&amp;pageIndex=0&amp;doclang=LV&amp;mode=lst&amp;dir=&amp;occ=first&amp;part=1&amp;cid=933595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E6D7A47" w:rsidR="00932043" w:rsidRPr="005A1518" w:rsidRDefault="00932043"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13</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8FD"/>
    <w:multiLevelType w:val="hybridMultilevel"/>
    <w:tmpl w:val="9C9A4262"/>
    <w:lvl w:ilvl="0" w:tplc="42AAEC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910639A"/>
    <w:multiLevelType w:val="hybridMultilevel"/>
    <w:tmpl w:val="CFEC2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8EA0DB2"/>
    <w:multiLevelType w:val="hybridMultilevel"/>
    <w:tmpl w:val="56BAA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35430C"/>
    <w:multiLevelType w:val="hybridMultilevel"/>
    <w:tmpl w:val="A6940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8E2352"/>
    <w:multiLevelType w:val="hybridMultilevel"/>
    <w:tmpl w:val="59FA4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454678D"/>
    <w:multiLevelType w:val="hybridMultilevel"/>
    <w:tmpl w:val="B0AA1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5C3F01"/>
    <w:multiLevelType w:val="hybridMultilevel"/>
    <w:tmpl w:val="75C0B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257756"/>
    <w:multiLevelType w:val="hybridMultilevel"/>
    <w:tmpl w:val="F912D43E"/>
    <w:lvl w:ilvl="0" w:tplc="A7E6C2A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6" w15:restartNumberingAfterBreak="0">
    <w:nsid w:val="2E8900B6"/>
    <w:multiLevelType w:val="hybridMultilevel"/>
    <w:tmpl w:val="FC4EF4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C10D4C"/>
    <w:multiLevelType w:val="hybridMultilevel"/>
    <w:tmpl w:val="C14E5262"/>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9"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AA03E16"/>
    <w:multiLevelType w:val="hybridMultilevel"/>
    <w:tmpl w:val="19729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25" w15:restartNumberingAfterBreak="0">
    <w:nsid w:val="3F270E4E"/>
    <w:multiLevelType w:val="hybridMultilevel"/>
    <w:tmpl w:val="FDAE9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7"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49EB0DC4"/>
    <w:multiLevelType w:val="hybridMultilevel"/>
    <w:tmpl w:val="9B8E4454"/>
    <w:lvl w:ilvl="0" w:tplc="79728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0"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BAE2098"/>
    <w:multiLevelType w:val="hybridMultilevel"/>
    <w:tmpl w:val="212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DE0576E"/>
    <w:multiLevelType w:val="hybridMultilevel"/>
    <w:tmpl w:val="92E4AFEA"/>
    <w:lvl w:ilvl="0" w:tplc="07906A2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7A0205"/>
    <w:multiLevelType w:val="hybridMultilevel"/>
    <w:tmpl w:val="C98EFB5E"/>
    <w:lvl w:ilvl="0" w:tplc="11F065AC">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45209C"/>
    <w:multiLevelType w:val="hybridMultilevel"/>
    <w:tmpl w:val="658054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5A4B30A1"/>
    <w:multiLevelType w:val="hybridMultilevel"/>
    <w:tmpl w:val="8BA0E3D0"/>
    <w:lvl w:ilvl="0" w:tplc="E6C805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36310BF"/>
    <w:multiLevelType w:val="hybridMultilevel"/>
    <w:tmpl w:val="712AE2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4" w15:restartNumberingAfterBreak="0">
    <w:nsid w:val="76BD1267"/>
    <w:multiLevelType w:val="hybridMultilevel"/>
    <w:tmpl w:val="717E73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0"/>
  </w:num>
  <w:num w:numId="4">
    <w:abstractNumId w:val="45"/>
  </w:num>
  <w:num w:numId="5">
    <w:abstractNumId w:val="47"/>
  </w:num>
  <w:num w:numId="6">
    <w:abstractNumId w:val="38"/>
  </w:num>
  <w:num w:numId="7">
    <w:abstractNumId w:val="40"/>
  </w:num>
  <w:num w:numId="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6"/>
  </w:num>
  <w:num w:numId="12">
    <w:abstractNumId w:val="37"/>
  </w:num>
  <w:num w:numId="13">
    <w:abstractNumId w:val="24"/>
  </w:num>
  <w:num w:numId="14">
    <w:abstractNumId w:val="42"/>
  </w:num>
  <w:num w:numId="15">
    <w:abstractNumId w:val="15"/>
  </w:num>
  <w:num w:numId="16">
    <w:abstractNumId w:val="19"/>
  </w:num>
  <w:num w:numId="17">
    <w:abstractNumId w:val="3"/>
  </w:num>
  <w:num w:numId="18">
    <w:abstractNumId w:val="15"/>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2"/>
  </w:num>
  <w:num w:numId="22">
    <w:abstractNumId w:val="27"/>
  </w:num>
  <w:num w:numId="23">
    <w:abstractNumId w:val="5"/>
  </w:num>
  <w:num w:numId="24">
    <w:abstractNumId w:val="14"/>
  </w:num>
  <w:num w:numId="25">
    <w:abstractNumId w:val="46"/>
  </w:num>
  <w:num w:numId="26">
    <w:abstractNumId w:val="17"/>
  </w:num>
  <w:num w:numId="27">
    <w:abstractNumId w:val="9"/>
  </w:num>
  <w:num w:numId="28">
    <w:abstractNumId w:val="8"/>
  </w:num>
  <w:num w:numId="29">
    <w:abstractNumId w:val="28"/>
  </w:num>
  <w:num w:numId="30">
    <w:abstractNumId w:val="0"/>
  </w:num>
  <w:num w:numId="31">
    <w:abstractNumId w:val="10"/>
  </w:num>
  <w:num w:numId="32">
    <w:abstractNumId w:val="23"/>
  </w:num>
  <w:num w:numId="33">
    <w:abstractNumId w:val="32"/>
  </w:num>
  <w:num w:numId="34">
    <w:abstractNumId w:val="7"/>
  </w:num>
  <w:num w:numId="35">
    <w:abstractNumId w:val="13"/>
  </w:num>
  <w:num w:numId="36">
    <w:abstractNumId w:val="25"/>
  </w:num>
  <w:num w:numId="37">
    <w:abstractNumId w:val="31"/>
  </w:num>
  <w:num w:numId="38">
    <w:abstractNumId w:val="2"/>
  </w:num>
  <w:num w:numId="39">
    <w:abstractNumId w:val="39"/>
  </w:num>
  <w:num w:numId="40">
    <w:abstractNumId w:val="26"/>
  </w:num>
  <w:num w:numId="41">
    <w:abstractNumId w:val="1"/>
  </w:num>
  <w:num w:numId="42">
    <w:abstractNumId w:val="12"/>
  </w:num>
  <w:num w:numId="43">
    <w:abstractNumId w:val="33"/>
  </w:num>
  <w:num w:numId="44">
    <w:abstractNumId w:val="41"/>
  </w:num>
  <w:num w:numId="45">
    <w:abstractNumId w:val="11"/>
  </w:num>
  <w:num w:numId="46">
    <w:abstractNumId w:val="35"/>
  </w:num>
  <w:num w:numId="47">
    <w:abstractNumId w:val="44"/>
  </w:num>
  <w:num w:numId="48">
    <w:abstractNumId w:val="16"/>
  </w:num>
  <w:num w:numId="4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3E3"/>
    <w:rsid w:val="000058AA"/>
    <w:rsid w:val="0000653D"/>
    <w:rsid w:val="000065D3"/>
    <w:rsid w:val="00007491"/>
    <w:rsid w:val="0001048C"/>
    <w:rsid w:val="00013B61"/>
    <w:rsid w:val="00014B9F"/>
    <w:rsid w:val="00016159"/>
    <w:rsid w:val="00017B92"/>
    <w:rsid w:val="0002003C"/>
    <w:rsid w:val="00021F28"/>
    <w:rsid w:val="000231D2"/>
    <w:rsid w:val="000240CA"/>
    <w:rsid w:val="000245DB"/>
    <w:rsid w:val="00024D9D"/>
    <w:rsid w:val="0002596F"/>
    <w:rsid w:val="00025CE9"/>
    <w:rsid w:val="00026F18"/>
    <w:rsid w:val="00027BA8"/>
    <w:rsid w:val="0003012D"/>
    <w:rsid w:val="00030B7E"/>
    <w:rsid w:val="0003245D"/>
    <w:rsid w:val="00032471"/>
    <w:rsid w:val="0003265E"/>
    <w:rsid w:val="000331CC"/>
    <w:rsid w:val="00033F5A"/>
    <w:rsid w:val="00035C7B"/>
    <w:rsid w:val="00036FBA"/>
    <w:rsid w:val="00037F4B"/>
    <w:rsid w:val="0004198E"/>
    <w:rsid w:val="000428C8"/>
    <w:rsid w:val="000430AC"/>
    <w:rsid w:val="0004380E"/>
    <w:rsid w:val="00043938"/>
    <w:rsid w:val="00044683"/>
    <w:rsid w:val="00044743"/>
    <w:rsid w:val="00047095"/>
    <w:rsid w:val="00047962"/>
    <w:rsid w:val="000511B1"/>
    <w:rsid w:val="000527A4"/>
    <w:rsid w:val="0005406E"/>
    <w:rsid w:val="00055AB3"/>
    <w:rsid w:val="00056462"/>
    <w:rsid w:val="00057959"/>
    <w:rsid w:val="000617BA"/>
    <w:rsid w:val="00066322"/>
    <w:rsid w:val="000678CD"/>
    <w:rsid w:val="00070F56"/>
    <w:rsid w:val="00071082"/>
    <w:rsid w:val="0007156D"/>
    <w:rsid w:val="00071BC9"/>
    <w:rsid w:val="00072B02"/>
    <w:rsid w:val="0007330D"/>
    <w:rsid w:val="00073914"/>
    <w:rsid w:val="00074090"/>
    <w:rsid w:val="00075EC8"/>
    <w:rsid w:val="0007666A"/>
    <w:rsid w:val="000770B0"/>
    <w:rsid w:val="0007733E"/>
    <w:rsid w:val="000773A5"/>
    <w:rsid w:val="00077712"/>
    <w:rsid w:val="00077D13"/>
    <w:rsid w:val="0008002B"/>
    <w:rsid w:val="000800A1"/>
    <w:rsid w:val="00080241"/>
    <w:rsid w:val="00080352"/>
    <w:rsid w:val="000818FB"/>
    <w:rsid w:val="00081955"/>
    <w:rsid w:val="00081EC5"/>
    <w:rsid w:val="000831EB"/>
    <w:rsid w:val="00083FF6"/>
    <w:rsid w:val="00084BED"/>
    <w:rsid w:val="0008515E"/>
    <w:rsid w:val="00085640"/>
    <w:rsid w:val="00086C06"/>
    <w:rsid w:val="0009044A"/>
    <w:rsid w:val="00091668"/>
    <w:rsid w:val="00091F4F"/>
    <w:rsid w:val="0009324B"/>
    <w:rsid w:val="00094B1E"/>
    <w:rsid w:val="00095280"/>
    <w:rsid w:val="00095742"/>
    <w:rsid w:val="00096060"/>
    <w:rsid w:val="000964C6"/>
    <w:rsid w:val="000965FC"/>
    <w:rsid w:val="00096F1F"/>
    <w:rsid w:val="000972D6"/>
    <w:rsid w:val="000A0059"/>
    <w:rsid w:val="000A06F7"/>
    <w:rsid w:val="000A0E5F"/>
    <w:rsid w:val="000A13F5"/>
    <w:rsid w:val="000A14E3"/>
    <w:rsid w:val="000A2ABB"/>
    <w:rsid w:val="000A37AF"/>
    <w:rsid w:val="000A37C3"/>
    <w:rsid w:val="000A38DA"/>
    <w:rsid w:val="000A44CE"/>
    <w:rsid w:val="000A6FCB"/>
    <w:rsid w:val="000B0748"/>
    <w:rsid w:val="000B0FC6"/>
    <w:rsid w:val="000B1248"/>
    <w:rsid w:val="000B1926"/>
    <w:rsid w:val="000B1B64"/>
    <w:rsid w:val="000B2C54"/>
    <w:rsid w:val="000B3449"/>
    <w:rsid w:val="000B3FAB"/>
    <w:rsid w:val="000B445E"/>
    <w:rsid w:val="000B4474"/>
    <w:rsid w:val="000B492B"/>
    <w:rsid w:val="000B4E50"/>
    <w:rsid w:val="000B5B68"/>
    <w:rsid w:val="000B71B4"/>
    <w:rsid w:val="000B71FB"/>
    <w:rsid w:val="000C090A"/>
    <w:rsid w:val="000C1062"/>
    <w:rsid w:val="000C2431"/>
    <w:rsid w:val="000C2723"/>
    <w:rsid w:val="000C2D7F"/>
    <w:rsid w:val="000C33C1"/>
    <w:rsid w:val="000C4418"/>
    <w:rsid w:val="000C4E81"/>
    <w:rsid w:val="000D2474"/>
    <w:rsid w:val="000D3D56"/>
    <w:rsid w:val="000D43D9"/>
    <w:rsid w:val="000D4ED0"/>
    <w:rsid w:val="000D74B9"/>
    <w:rsid w:val="000E0154"/>
    <w:rsid w:val="000E07F0"/>
    <w:rsid w:val="000E0A90"/>
    <w:rsid w:val="000E257B"/>
    <w:rsid w:val="000E27FF"/>
    <w:rsid w:val="000E3D90"/>
    <w:rsid w:val="000E53C3"/>
    <w:rsid w:val="000E56F8"/>
    <w:rsid w:val="000E5DD2"/>
    <w:rsid w:val="000E63F3"/>
    <w:rsid w:val="000E735C"/>
    <w:rsid w:val="000F0A62"/>
    <w:rsid w:val="000F0E0E"/>
    <w:rsid w:val="000F1DA6"/>
    <w:rsid w:val="000F25D2"/>
    <w:rsid w:val="000F2EA7"/>
    <w:rsid w:val="000F4230"/>
    <w:rsid w:val="001001F5"/>
    <w:rsid w:val="00102922"/>
    <w:rsid w:val="00102B0D"/>
    <w:rsid w:val="00102B1D"/>
    <w:rsid w:val="0010305A"/>
    <w:rsid w:val="00104085"/>
    <w:rsid w:val="00104CA7"/>
    <w:rsid w:val="00105D17"/>
    <w:rsid w:val="0010650F"/>
    <w:rsid w:val="00106B6E"/>
    <w:rsid w:val="00106F18"/>
    <w:rsid w:val="00107B79"/>
    <w:rsid w:val="00110128"/>
    <w:rsid w:val="001101D9"/>
    <w:rsid w:val="0011196B"/>
    <w:rsid w:val="001143FB"/>
    <w:rsid w:val="00115CE8"/>
    <w:rsid w:val="0011606F"/>
    <w:rsid w:val="00117C68"/>
    <w:rsid w:val="001225DF"/>
    <w:rsid w:val="00122D1A"/>
    <w:rsid w:val="0012442B"/>
    <w:rsid w:val="0012624C"/>
    <w:rsid w:val="00126AE9"/>
    <w:rsid w:val="00127419"/>
    <w:rsid w:val="0013024B"/>
    <w:rsid w:val="00131C9F"/>
    <w:rsid w:val="001342EF"/>
    <w:rsid w:val="0013511C"/>
    <w:rsid w:val="00136B18"/>
    <w:rsid w:val="00137388"/>
    <w:rsid w:val="00137CDB"/>
    <w:rsid w:val="00137F96"/>
    <w:rsid w:val="001411C3"/>
    <w:rsid w:val="00142032"/>
    <w:rsid w:val="00142212"/>
    <w:rsid w:val="00142342"/>
    <w:rsid w:val="00142847"/>
    <w:rsid w:val="00142C3C"/>
    <w:rsid w:val="00142EDA"/>
    <w:rsid w:val="00143BB6"/>
    <w:rsid w:val="00144CBE"/>
    <w:rsid w:val="00145366"/>
    <w:rsid w:val="00146697"/>
    <w:rsid w:val="00146D17"/>
    <w:rsid w:val="00147B9A"/>
    <w:rsid w:val="00150950"/>
    <w:rsid w:val="00151BBD"/>
    <w:rsid w:val="00152387"/>
    <w:rsid w:val="0015295F"/>
    <w:rsid w:val="00156067"/>
    <w:rsid w:val="00156B5C"/>
    <w:rsid w:val="00156C28"/>
    <w:rsid w:val="00157EC7"/>
    <w:rsid w:val="0016143E"/>
    <w:rsid w:val="00161BA7"/>
    <w:rsid w:val="001633A3"/>
    <w:rsid w:val="00164B72"/>
    <w:rsid w:val="00164E20"/>
    <w:rsid w:val="001650AC"/>
    <w:rsid w:val="001655DD"/>
    <w:rsid w:val="00165747"/>
    <w:rsid w:val="00165F5E"/>
    <w:rsid w:val="0016668A"/>
    <w:rsid w:val="00166A8B"/>
    <w:rsid w:val="0016744E"/>
    <w:rsid w:val="00167597"/>
    <w:rsid w:val="001719DD"/>
    <w:rsid w:val="00171F00"/>
    <w:rsid w:val="00172082"/>
    <w:rsid w:val="001748F9"/>
    <w:rsid w:val="0017639E"/>
    <w:rsid w:val="00176AB2"/>
    <w:rsid w:val="00177250"/>
    <w:rsid w:val="00177882"/>
    <w:rsid w:val="00177A1E"/>
    <w:rsid w:val="00177C69"/>
    <w:rsid w:val="00180E2B"/>
    <w:rsid w:val="001825C7"/>
    <w:rsid w:val="001827B1"/>
    <w:rsid w:val="001830AD"/>
    <w:rsid w:val="001830E7"/>
    <w:rsid w:val="00183A56"/>
    <w:rsid w:val="00183B65"/>
    <w:rsid w:val="00183C0A"/>
    <w:rsid w:val="00184926"/>
    <w:rsid w:val="00185401"/>
    <w:rsid w:val="001854D3"/>
    <w:rsid w:val="00186A4D"/>
    <w:rsid w:val="00187140"/>
    <w:rsid w:val="001902DC"/>
    <w:rsid w:val="00190B3D"/>
    <w:rsid w:val="001935C8"/>
    <w:rsid w:val="00193CD7"/>
    <w:rsid w:val="0019438B"/>
    <w:rsid w:val="001943B1"/>
    <w:rsid w:val="001946C8"/>
    <w:rsid w:val="00194A22"/>
    <w:rsid w:val="00194E43"/>
    <w:rsid w:val="00195D43"/>
    <w:rsid w:val="00196124"/>
    <w:rsid w:val="001A04ED"/>
    <w:rsid w:val="001A120C"/>
    <w:rsid w:val="001A1322"/>
    <w:rsid w:val="001A1368"/>
    <w:rsid w:val="001A1439"/>
    <w:rsid w:val="001A2748"/>
    <w:rsid w:val="001A38EA"/>
    <w:rsid w:val="001A3ED2"/>
    <w:rsid w:val="001A45C7"/>
    <w:rsid w:val="001A479C"/>
    <w:rsid w:val="001A5D8A"/>
    <w:rsid w:val="001A6B14"/>
    <w:rsid w:val="001A7C3A"/>
    <w:rsid w:val="001A7E1D"/>
    <w:rsid w:val="001B024D"/>
    <w:rsid w:val="001B0936"/>
    <w:rsid w:val="001B0E77"/>
    <w:rsid w:val="001B212C"/>
    <w:rsid w:val="001B3C82"/>
    <w:rsid w:val="001B54CD"/>
    <w:rsid w:val="001B64CC"/>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0F45"/>
    <w:rsid w:val="001D1DC8"/>
    <w:rsid w:val="001D2C06"/>
    <w:rsid w:val="001D3167"/>
    <w:rsid w:val="001D41F0"/>
    <w:rsid w:val="001D4AA6"/>
    <w:rsid w:val="001D4C0A"/>
    <w:rsid w:val="001D5277"/>
    <w:rsid w:val="001D6EFA"/>
    <w:rsid w:val="001D7397"/>
    <w:rsid w:val="001D7DC1"/>
    <w:rsid w:val="001E023A"/>
    <w:rsid w:val="001E0715"/>
    <w:rsid w:val="001E1B0F"/>
    <w:rsid w:val="001E307D"/>
    <w:rsid w:val="001E3588"/>
    <w:rsid w:val="001E4C2F"/>
    <w:rsid w:val="001E5FBC"/>
    <w:rsid w:val="001E6C42"/>
    <w:rsid w:val="001E76A5"/>
    <w:rsid w:val="001E76BE"/>
    <w:rsid w:val="001E79A8"/>
    <w:rsid w:val="001F2747"/>
    <w:rsid w:val="001F2BA2"/>
    <w:rsid w:val="001F37E9"/>
    <w:rsid w:val="001F500E"/>
    <w:rsid w:val="001F5AB0"/>
    <w:rsid w:val="001F6DBE"/>
    <w:rsid w:val="001F7086"/>
    <w:rsid w:val="001F7AAD"/>
    <w:rsid w:val="00200E7D"/>
    <w:rsid w:val="00201D17"/>
    <w:rsid w:val="0020468C"/>
    <w:rsid w:val="0020535E"/>
    <w:rsid w:val="002059DA"/>
    <w:rsid w:val="00206AFF"/>
    <w:rsid w:val="002107BF"/>
    <w:rsid w:val="00210E64"/>
    <w:rsid w:val="00211315"/>
    <w:rsid w:val="00211A74"/>
    <w:rsid w:val="00214E1D"/>
    <w:rsid w:val="002157CB"/>
    <w:rsid w:val="00215A5A"/>
    <w:rsid w:val="00215C6A"/>
    <w:rsid w:val="0021738A"/>
    <w:rsid w:val="002177B0"/>
    <w:rsid w:val="00217F5B"/>
    <w:rsid w:val="00220C45"/>
    <w:rsid w:val="00222D97"/>
    <w:rsid w:val="00223778"/>
    <w:rsid w:val="00223ADA"/>
    <w:rsid w:val="00224E84"/>
    <w:rsid w:val="002253C8"/>
    <w:rsid w:val="002267E7"/>
    <w:rsid w:val="00227BC3"/>
    <w:rsid w:val="00227F25"/>
    <w:rsid w:val="00231BFD"/>
    <w:rsid w:val="00232596"/>
    <w:rsid w:val="00234AA4"/>
    <w:rsid w:val="00234EDE"/>
    <w:rsid w:val="0023582E"/>
    <w:rsid w:val="00237019"/>
    <w:rsid w:val="002373EA"/>
    <w:rsid w:val="00237878"/>
    <w:rsid w:val="0024184C"/>
    <w:rsid w:val="00241ADE"/>
    <w:rsid w:val="00241C8F"/>
    <w:rsid w:val="002438ED"/>
    <w:rsid w:val="00244A9E"/>
    <w:rsid w:val="00245164"/>
    <w:rsid w:val="00246849"/>
    <w:rsid w:val="00246F11"/>
    <w:rsid w:val="00247E33"/>
    <w:rsid w:val="00250127"/>
    <w:rsid w:val="0025023B"/>
    <w:rsid w:val="002523A9"/>
    <w:rsid w:val="00252EEF"/>
    <w:rsid w:val="00252FAE"/>
    <w:rsid w:val="0025331A"/>
    <w:rsid w:val="00253B6C"/>
    <w:rsid w:val="00254651"/>
    <w:rsid w:val="00254901"/>
    <w:rsid w:val="0025543B"/>
    <w:rsid w:val="00255BAC"/>
    <w:rsid w:val="0025654B"/>
    <w:rsid w:val="00257981"/>
    <w:rsid w:val="002601C7"/>
    <w:rsid w:val="002615A3"/>
    <w:rsid w:val="00261B97"/>
    <w:rsid w:val="00263A6A"/>
    <w:rsid w:val="002651EA"/>
    <w:rsid w:val="00272DAE"/>
    <w:rsid w:val="0027332A"/>
    <w:rsid w:val="0027369F"/>
    <w:rsid w:val="00273700"/>
    <w:rsid w:val="00273B21"/>
    <w:rsid w:val="00275E03"/>
    <w:rsid w:val="00276377"/>
    <w:rsid w:val="00277D9D"/>
    <w:rsid w:val="00281C0B"/>
    <w:rsid w:val="00282251"/>
    <w:rsid w:val="002823C7"/>
    <w:rsid w:val="0028269B"/>
    <w:rsid w:val="0028288E"/>
    <w:rsid w:val="002874A5"/>
    <w:rsid w:val="00287A6F"/>
    <w:rsid w:val="00287CAE"/>
    <w:rsid w:val="00290EE2"/>
    <w:rsid w:val="0029150A"/>
    <w:rsid w:val="00292062"/>
    <w:rsid w:val="002932D2"/>
    <w:rsid w:val="002940ED"/>
    <w:rsid w:val="002948FA"/>
    <w:rsid w:val="00294DDB"/>
    <w:rsid w:val="00294DF3"/>
    <w:rsid w:val="002957B7"/>
    <w:rsid w:val="002964CC"/>
    <w:rsid w:val="00296ECE"/>
    <w:rsid w:val="002971A4"/>
    <w:rsid w:val="002A0307"/>
    <w:rsid w:val="002A0435"/>
    <w:rsid w:val="002A0BC1"/>
    <w:rsid w:val="002A1043"/>
    <w:rsid w:val="002A166A"/>
    <w:rsid w:val="002A1AA4"/>
    <w:rsid w:val="002A2934"/>
    <w:rsid w:val="002A3287"/>
    <w:rsid w:val="002A3EC2"/>
    <w:rsid w:val="002A6400"/>
    <w:rsid w:val="002A6535"/>
    <w:rsid w:val="002A669D"/>
    <w:rsid w:val="002B071C"/>
    <w:rsid w:val="002B1AD5"/>
    <w:rsid w:val="002B24D2"/>
    <w:rsid w:val="002B3EAE"/>
    <w:rsid w:val="002B425F"/>
    <w:rsid w:val="002B4900"/>
    <w:rsid w:val="002B6364"/>
    <w:rsid w:val="002B7681"/>
    <w:rsid w:val="002B7F82"/>
    <w:rsid w:val="002C00D1"/>
    <w:rsid w:val="002C15A0"/>
    <w:rsid w:val="002C22CF"/>
    <w:rsid w:val="002C3AD4"/>
    <w:rsid w:val="002C3E23"/>
    <w:rsid w:val="002C3E35"/>
    <w:rsid w:val="002C3E51"/>
    <w:rsid w:val="002C49B1"/>
    <w:rsid w:val="002C4AC6"/>
    <w:rsid w:val="002C504B"/>
    <w:rsid w:val="002C743D"/>
    <w:rsid w:val="002D339C"/>
    <w:rsid w:val="002D36AB"/>
    <w:rsid w:val="002D3B2F"/>
    <w:rsid w:val="002D3F38"/>
    <w:rsid w:val="002D43A2"/>
    <w:rsid w:val="002D6A10"/>
    <w:rsid w:val="002D6BDB"/>
    <w:rsid w:val="002D744A"/>
    <w:rsid w:val="002D7D0E"/>
    <w:rsid w:val="002D7E38"/>
    <w:rsid w:val="002E024D"/>
    <w:rsid w:val="002E054E"/>
    <w:rsid w:val="002E06CA"/>
    <w:rsid w:val="002E0DBA"/>
    <w:rsid w:val="002E1075"/>
    <w:rsid w:val="002E32BD"/>
    <w:rsid w:val="002E3B7B"/>
    <w:rsid w:val="002E42C4"/>
    <w:rsid w:val="002E4854"/>
    <w:rsid w:val="002E5019"/>
    <w:rsid w:val="002E5643"/>
    <w:rsid w:val="002E678E"/>
    <w:rsid w:val="002E708A"/>
    <w:rsid w:val="002E7635"/>
    <w:rsid w:val="002F06CE"/>
    <w:rsid w:val="002F13B9"/>
    <w:rsid w:val="002F5587"/>
    <w:rsid w:val="002F5FB0"/>
    <w:rsid w:val="002F741D"/>
    <w:rsid w:val="00300B84"/>
    <w:rsid w:val="00300E97"/>
    <w:rsid w:val="00301852"/>
    <w:rsid w:val="00301A6D"/>
    <w:rsid w:val="00301E1F"/>
    <w:rsid w:val="0030247A"/>
    <w:rsid w:val="00302FAA"/>
    <w:rsid w:val="00303955"/>
    <w:rsid w:val="00303F18"/>
    <w:rsid w:val="003041BF"/>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DE"/>
    <w:rsid w:val="0032292B"/>
    <w:rsid w:val="003238F7"/>
    <w:rsid w:val="00323C8A"/>
    <w:rsid w:val="00323DBB"/>
    <w:rsid w:val="00323F16"/>
    <w:rsid w:val="00326096"/>
    <w:rsid w:val="00326AE5"/>
    <w:rsid w:val="00330421"/>
    <w:rsid w:val="00331281"/>
    <w:rsid w:val="0033237E"/>
    <w:rsid w:val="003334FB"/>
    <w:rsid w:val="00333907"/>
    <w:rsid w:val="00333A5E"/>
    <w:rsid w:val="003344E7"/>
    <w:rsid w:val="0033592F"/>
    <w:rsid w:val="00336EB1"/>
    <w:rsid w:val="0033779C"/>
    <w:rsid w:val="00337AC6"/>
    <w:rsid w:val="00343524"/>
    <w:rsid w:val="00343A18"/>
    <w:rsid w:val="00343E0F"/>
    <w:rsid w:val="0034476B"/>
    <w:rsid w:val="00344D94"/>
    <w:rsid w:val="00345099"/>
    <w:rsid w:val="00345EE5"/>
    <w:rsid w:val="0034606E"/>
    <w:rsid w:val="00346798"/>
    <w:rsid w:val="00346913"/>
    <w:rsid w:val="003469B5"/>
    <w:rsid w:val="00346CE0"/>
    <w:rsid w:val="0035018A"/>
    <w:rsid w:val="00354ABE"/>
    <w:rsid w:val="00356492"/>
    <w:rsid w:val="00357C6C"/>
    <w:rsid w:val="00360657"/>
    <w:rsid w:val="00360A00"/>
    <w:rsid w:val="0036167C"/>
    <w:rsid w:val="00361AEC"/>
    <w:rsid w:val="00361D38"/>
    <w:rsid w:val="00362B12"/>
    <w:rsid w:val="003639A6"/>
    <w:rsid w:val="003642CF"/>
    <w:rsid w:val="0036591D"/>
    <w:rsid w:val="00366AFE"/>
    <w:rsid w:val="0036731A"/>
    <w:rsid w:val="00367B98"/>
    <w:rsid w:val="00367DBA"/>
    <w:rsid w:val="00370711"/>
    <w:rsid w:val="00371757"/>
    <w:rsid w:val="00372E81"/>
    <w:rsid w:val="00373F39"/>
    <w:rsid w:val="00374F73"/>
    <w:rsid w:val="0037530A"/>
    <w:rsid w:val="00375D4C"/>
    <w:rsid w:val="00375F30"/>
    <w:rsid w:val="00376F09"/>
    <w:rsid w:val="00376FCE"/>
    <w:rsid w:val="00380AC5"/>
    <w:rsid w:val="00380D03"/>
    <w:rsid w:val="00381115"/>
    <w:rsid w:val="00381382"/>
    <w:rsid w:val="003814A5"/>
    <w:rsid w:val="0038173F"/>
    <w:rsid w:val="00381B26"/>
    <w:rsid w:val="00381D9B"/>
    <w:rsid w:val="00381F34"/>
    <w:rsid w:val="00382488"/>
    <w:rsid w:val="00382FEC"/>
    <w:rsid w:val="00384FA0"/>
    <w:rsid w:val="00385015"/>
    <w:rsid w:val="00385772"/>
    <w:rsid w:val="00385D0B"/>
    <w:rsid w:val="00385E45"/>
    <w:rsid w:val="00387734"/>
    <w:rsid w:val="00387A69"/>
    <w:rsid w:val="0039032A"/>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18C"/>
    <w:rsid w:val="003A24AD"/>
    <w:rsid w:val="003A2C91"/>
    <w:rsid w:val="003A3623"/>
    <w:rsid w:val="003A3B51"/>
    <w:rsid w:val="003A40AD"/>
    <w:rsid w:val="003A41F7"/>
    <w:rsid w:val="003A54B9"/>
    <w:rsid w:val="003A5DC7"/>
    <w:rsid w:val="003A6163"/>
    <w:rsid w:val="003A6174"/>
    <w:rsid w:val="003A62EB"/>
    <w:rsid w:val="003A6532"/>
    <w:rsid w:val="003A66B2"/>
    <w:rsid w:val="003A6A32"/>
    <w:rsid w:val="003A6A8E"/>
    <w:rsid w:val="003A6B7C"/>
    <w:rsid w:val="003A7D7E"/>
    <w:rsid w:val="003B1693"/>
    <w:rsid w:val="003B32EC"/>
    <w:rsid w:val="003B3488"/>
    <w:rsid w:val="003B4F28"/>
    <w:rsid w:val="003B5E55"/>
    <w:rsid w:val="003B5F6A"/>
    <w:rsid w:val="003B623A"/>
    <w:rsid w:val="003B63BE"/>
    <w:rsid w:val="003B70D0"/>
    <w:rsid w:val="003B7B62"/>
    <w:rsid w:val="003C072B"/>
    <w:rsid w:val="003C0DFD"/>
    <w:rsid w:val="003C1FDB"/>
    <w:rsid w:val="003C21BC"/>
    <w:rsid w:val="003C26C5"/>
    <w:rsid w:val="003C3D3D"/>
    <w:rsid w:val="003C3F09"/>
    <w:rsid w:val="003C40D8"/>
    <w:rsid w:val="003C5836"/>
    <w:rsid w:val="003C6B54"/>
    <w:rsid w:val="003C7796"/>
    <w:rsid w:val="003D0189"/>
    <w:rsid w:val="003D0448"/>
    <w:rsid w:val="003D0D82"/>
    <w:rsid w:val="003D0FB7"/>
    <w:rsid w:val="003D1A86"/>
    <w:rsid w:val="003D3252"/>
    <w:rsid w:val="003D3CA2"/>
    <w:rsid w:val="003D3E7E"/>
    <w:rsid w:val="003D5BA4"/>
    <w:rsid w:val="003D7F0B"/>
    <w:rsid w:val="003E023F"/>
    <w:rsid w:val="003E06DF"/>
    <w:rsid w:val="003E0D6F"/>
    <w:rsid w:val="003E145E"/>
    <w:rsid w:val="003E168E"/>
    <w:rsid w:val="003E171B"/>
    <w:rsid w:val="003E275D"/>
    <w:rsid w:val="003E3100"/>
    <w:rsid w:val="003E40EF"/>
    <w:rsid w:val="003E4132"/>
    <w:rsid w:val="003E490E"/>
    <w:rsid w:val="003E5276"/>
    <w:rsid w:val="003E5850"/>
    <w:rsid w:val="003E58C7"/>
    <w:rsid w:val="003E5A6D"/>
    <w:rsid w:val="003E5B81"/>
    <w:rsid w:val="003E5D7B"/>
    <w:rsid w:val="003E637A"/>
    <w:rsid w:val="003E78C2"/>
    <w:rsid w:val="003E7A10"/>
    <w:rsid w:val="003F0341"/>
    <w:rsid w:val="003F0B47"/>
    <w:rsid w:val="003F1BF6"/>
    <w:rsid w:val="003F288B"/>
    <w:rsid w:val="003F2B20"/>
    <w:rsid w:val="003F2C34"/>
    <w:rsid w:val="003F2DF0"/>
    <w:rsid w:val="003F30FC"/>
    <w:rsid w:val="003F3221"/>
    <w:rsid w:val="003F39EC"/>
    <w:rsid w:val="003F45CD"/>
    <w:rsid w:val="003F45E3"/>
    <w:rsid w:val="003F4CC7"/>
    <w:rsid w:val="003F7C94"/>
    <w:rsid w:val="00401397"/>
    <w:rsid w:val="0040156C"/>
    <w:rsid w:val="004038BC"/>
    <w:rsid w:val="0040415A"/>
    <w:rsid w:val="00406AE2"/>
    <w:rsid w:val="0041036A"/>
    <w:rsid w:val="0041316A"/>
    <w:rsid w:val="00413794"/>
    <w:rsid w:val="004158F6"/>
    <w:rsid w:val="00415A66"/>
    <w:rsid w:val="00415C30"/>
    <w:rsid w:val="00416A31"/>
    <w:rsid w:val="00416AB8"/>
    <w:rsid w:val="00416FF5"/>
    <w:rsid w:val="00417136"/>
    <w:rsid w:val="00417240"/>
    <w:rsid w:val="0041770B"/>
    <w:rsid w:val="004205F6"/>
    <w:rsid w:val="00420760"/>
    <w:rsid w:val="00420CFF"/>
    <w:rsid w:val="004215E0"/>
    <w:rsid w:val="004224C2"/>
    <w:rsid w:val="00423B46"/>
    <w:rsid w:val="00424376"/>
    <w:rsid w:val="00425AA9"/>
    <w:rsid w:val="00426250"/>
    <w:rsid w:val="00426A69"/>
    <w:rsid w:val="00426B77"/>
    <w:rsid w:val="00430F61"/>
    <w:rsid w:val="00431019"/>
    <w:rsid w:val="00433D14"/>
    <w:rsid w:val="00433EC2"/>
    <w:rsid w:val="00434856"/>
    <w:rsid w:val="00434CD9"/>
    <w:rsid w:val="004352F7"/>
    <w:rsid w:val="0043554A"/>
    <w:rsid w:val="0043619D"/>
    <w:rsid w:val="004362D3"/>
    <w:rsid w:val="00436E4B"/>
    <w:rsid w:val="00437DC1"/>
    <w:rsid w:val="00440F95"/>
    <w:rsid w:val="00442246"/>
    <w:rsid w:val="004426EC"/>
    <w:rsid w:val="00442A8B"/>
    <w:rsid w:val="00442D1E"/>
    <w:rsid w:val="00442D92"/>
    <w:rsid w:val="00443016"/>
    <w:rsid w:val="00444344"/>
    <w:rsid w:val="00445945"/>
    <w:rsid w:val="00446485"/>
    <w:rsid w:val="00450691"/>
    <w:rsid w:val="00450D9C"/>
    <w:rsid w:val="00450DDE"/>
    <w:rsid w:val="00452140"/>
    <w:rsid w:val="004527CA"/>
    <w:rsid w:val="00453BB3"/>
    <w:rsid w:val="00453F94"/>
    <w:rsid w:val="004545A3"/>
    <w:rsid w:val="00454695"/>
    <w:rsid w:val="00454F4E"/>
    <w:rsid w:val="00455802"/>
    <w:rsid w:val="00455D5E"/>
    <w:rsid w:val="00457427"/>
    <w:rsid w:val="0045789E"/>
    <w:rsid w:val="00457C1C"/>
    <w:rsid w:val="004619FE"/>
    <w:rsid w:val="0046226B"/>
    <w:rsid w:val="00462679"/>
    <w:rsid w:val="004628E7"/>
    <w:rsid w:val="00462B45"/>
    <w:rsid w:val="00463574"/>
    <w:rsid w:val="00463A80"/>
    <w:rsid w:val="00464762"/>
    <w:rsid w:val="00466057"/>
    <w:rsid w:val="004666F3"/>
    <w:rsid w:val="00466A7F"/>
    <w:rsid w:val="00466C13"/>
    <w:rsid w:val="00467343"/>
    <w:rsid w:val="00467463"/>
    <w:rsid w:val="0047031A"/>
    <w:rsid w:val="00471A6D"/>
    <w:rsid w:val="004720AD"/>
    <w:rsid w:val="0047322E"/>
    <w:rsid w:val="004741BD"/>
    <w:rsid w:val="00474978"/>
    <w:rsid w:val="004757CE"/>
    <w:rsid w:val="00475FA3"/>
    <w:rsid w:val="00476F80"/>
    <w:rsid w:val="00480F68"/>
    <w:rsid w:val="00481296"/>
    <w:rsid w:val="00481C20"/>
    <w:rsid w:val="00483B86"/>
    <w:rsid w:val="00485293"/>
    <w:rsid w:val="00485773"/>
    <w:rsid w:val="00485E47"/>
    <w:rsid w:val="00486DB6"/>
    <w:rsid w:val="004878D5"/>
    <w:rsid w:val="00490499"/>
    <w:rsid w:val="00492273"/>
    <w:rsid w:val="00492CBE"/>
    <w:rsid w:val="00494206"/>
    <w:rsid w:val="004949AC"/>
    <w:rsid w:val="004963BC"/>
    <w:rsid w:val="00497AB8"/>
    <w:rsid w:val="004A1504"/>
    <w:rsid w:val="004A2579"/>
    <w:rsid w:val="004A2EE3"/>
    <w:rsid w:val="004A4356"/>
    <w:rsid w:val="004A5EEF"/>
    <w:rsid w:val="004A6559"/>
    <w:rsid w:val="004A7EC2"/>
    <w:rsid w:val="004B0B1D"/>
    <w:rsid w:val="004B32C2"/>
    <w:rsid w:val="004B3C41"/>
    <w:rsid w:val="004B6792"/>
    <w:rsid w:val="004C0738"/>
    <w:rsid w:val="004C0D20"/>
    <w:rsid w:val="004C0DBB"/>
    <w:rsid w:val="004C0FE6"/>
    <w:rsid w:val="004C10F5"/>
    <w:rsid w:val="004C20F1"/>
    <w:rsid w:val="004C212C"/>
    <w:rsid w:val="004C2156"/>
    <w:rsid w:val="004C253C"/>
    <w:rsid w:val="004C2FC4"/>
    <w:rsid w:val="004C30C9"/>
    <w:rsid w:val="004C4177"/>
    <w:rsid w:val="004C5C3D"/>
    <w:rsid w:val="004D055A"/>
    <w:rsid w:val="004D0B68"/>
    <w:rsid w:val="004D0F95"/>
    <w:rsid w:val="004D232B"/>
    <w:rsid w:val="004D3010"/>
    <w:rsid w:val="004D3ABB"/>
    <w:rsid w:val="004D4233"/>
    <w:rsid w:val="004D4A6B"/>
    <w:rsid w:val="004D5696"/>
    <w:rsid w:val="004D7342"/>
    <w:rsid w:val="004E1476"/>
    <w:rsid w:val="004E403D"/>
    <w:rsid w:val="004E4946"/>
    <w:rsid w:val="004E5D38"/>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06BA0"/>
    <w:rsid w:val="00507308"/>
    <w:rsid w:val="005116FB"/>
    <w:rsid w:val="00511D6F"/>
    <w:rsid w:val="00512576"/>
    <w:rsid w:val="00513596"/>
    <w:rsid w:val="00514B75"/>
    <w:rsid w:val="00515332"/>
    <w:rsid w:val="00515D44"/>
    <w:rsid w:val="00516284"/>
    <w:rsid w:val="00521D69"/>
    <w:rsid w:val="00522981"/>
    <w:rsid w:val="00523316"/>
    <w:rsid w:val="00524466"/>
    <w:rsid w:val="00524900"/>
    <w:rsid w:val="0052536E"/>
    <w:rsid w:val="005264D0"/>
    <w:rsid w:val="00526B3F"/>
    <w:rsid w:val="00531A99"/>
    <w:rsid w:val="00531AFF"/>
    <w:rsid w:val="00532875"/>
    <w:rsid w:val="00532E9D"/>
    <w:rsid w:val="005336BA"/>
    <w:rsid w:val="0053417F"/>
    <w:rsid w:val="00534305"/>
    <w:rsid w:val="0053691B"/>
    <w:rsid w:val="00536AEE"/>
    <w:rsid w:val="00536E94"/>
    <w:rsid w:val="0053759D"/>
    <w:rsid w:val="00537BA3"/>
    <w:rsid w:val="00537FF8"/>
    <w:rsid w:val="00540ED5"/>
    <w:rsid w:val="00542913"/>
    <w:rsid w:val="005430E0"/>
    <w:rsid w:val="00543516"/>
    <w:rsid w:val="005464E6"/>
    <w:rsid w:val="00546938"/>
    <w:rsid w:val="00547962"/>
    <w:rsid w:val="00547ACF"/>
    <w:rsid w:val="0055086F"/>
    <w:rsid w:val="00551C58"/>
    <w:rsid w:val="005525C7"/>
    <w:rsid w:val="00552639"/>
    <w:rsid w:val="0055278C"/>
    <w:rsid w:val="00553F2D"/>
    <w:rsid w:val="00554526"/>
    <w:rsid w:val="00554D3F"/>
    <w:rsid w:val="00555557"/>
    <w:rsid w:val="00557927"/>
    <w:rsid w:val="00557AA8"/>
    <w:rsid w:val="00557B17"/>
    <w:rsid w:val="00561126"/>
    <w:rsid w:val="00561296"/>
    <w:rsid w:val="00561C62"/>
    <w:rsid w:val="0056506B"/>
    <w:rsid w:val="0056528A"/>
    <w:rsid w:val="005666D7"/>
    <w:rsid w:val="00566916"/>
    <w:rsid w:val="00566F71"/>
    <w:rsid w:val="00567EBC"/>
    <w:rsid w:val="00567FC5"/>
    <w:rsid w:val="00571CCF"/>
    <w:rsid w:val="00572180"/>
    <w:rsid w:val="00572337"/>
    <w:rsid w:val="00572616"/>
    <w:rsid w:val="00573945"/>
    <w:rsid w:val="00573FFE"/>
    <w:rsid w:val="00574C77"/>
    <w:rsid w:val="00574F14"/>
    <w:rsid w:val="00575626"/>
    <w:rsid w:val="00575FC3"/>
    <w:rsid w:val="0057625C"/>
    <w:rsid w:val="00576743"/>
    <w:rsid w:val="005771D5"/>
    <w:rsid w:val="00577469"/>
    <w:rsid w:val="0058066B"/>
    <w:rsid w:val="0058099B"/>
    <w:rsid w:val="00580B98"/>
    <w:rsid w:val="00581784"/>
    <w:rsid w:val="005836A3"/>
    <w:rsid w:val="00583CBA"/>
    <w:rsid w:val="00584453"/>
    <w:rsid w:val="00585057"/>
    <w:rsid w:val="00586771"/>
    <w:rsid w:val="005872D5"/>
    <w:rsid w:val="00591838"/>
    <w:rsid w:val="00591C28"/>
    <w:rsid w:val="00592809"/>
    <w:rsid w:val="0059332D"/>
    <w:rsid w:val="00593343"/>
    <w:rsid w:val="00594A83"/>
    <w:rsid w:val="005960FE"/>
    <w:rsid w:val="005A067E"/>
    <w:rsid w:val="005A0C78"/>
    <w:rsid w:val="005A1518"/>
    <w:rsid w:val="005A4807"/>
    <w:rsid w:val="005A5A80"/>
    <w:rsid w:val="005A69BE"/>
    <w:rsid w:val="005A7113"/>
    <w:rsid w:val="005A73D9"/>
    <w:rsid w:val="005A782B"/>
    <w:rsid w:val="005A7DE5"/>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0D97"/>
    <w:rsid w:val="005C0E25"/>
    <w:rsid w:val="005C1764"/>
    <w:rsid w:val="005C1E9D"/>
    <w:rsid w:val="005C25E8"/>
    <w:rsid w:val="005C2A5D"/>
    <w:rsid w:val="005C34C3"/>
    <w:rsid w:val="005C3B2C"/>
    <w:rsid w:val="005C3D03"/>
    <w:rsid w:val="005C4C67"/>
    <w:rsid w:val="005C51FA"/>
    <w:rsid w:val="005C5413"/>
    <w:rsid w:val="005C59B9"/>
    <w:rsid w:val="005C5CFC"/>
    <w:rsid w:val="005C63C7"/>
    <w:rsid w:val="005C6628"/>
    <w:rsid w:val="005C6B2C"/>
    <w:rsid w:val="005C73E4"/>
    <w:rsid w:val="005C7B1F"/>
    <w:rsid w:val="005C7D4F"/>
    <w:rsid w:val="005D06E8"/>
    <w:rsid w:val="005D1195"/>
    <w:rsid w:val="005D11E7"/>
    <w:rsid w:val="005D2167"/>
    <w:rsid w:val="005D688E"/>
    <w:rsid w:val="005D6B98"/>
    <w:rsid w:val="005D6F53"/>
    <w:rsid w:val="005D794E"/>
    <w:rsid w:val="005E2FF9"/>
    <w:rsid w:val="005E30B2"/>
    <w:rsid w:val="005E39B3"/>
    <w:rsid w:val="005E4164"/>
    <w:rsid w:val="005E5452"/>
    <w:rsid w:val="005F24C4"/>
    <w:rsid w:val="005F3196"/>
    <w:rsid w:val="005F32D1"/>
    <w:rsid w:val="005F37CF"/>
    <w:rsid w:val="005F3E9D"/>
    <w:rsid w:val="005F3FC6"/>
    <w:rsid w:val="005F4CFC"/>
    <w:rsid w:val="005F4DD3"/>
    <w:rsid w:val="005F75C4"/>
    <w:rsid w:val="006002BF"/>
    <w:rsid w:val="00600301"/>
    <w:rsid w:val="006008D1"/>
    <w:rsid w:val="0060130F"/>
    <w:rsid w:val="00603CC2"/>
    <w:rsid w:val="00605293"/>
    <w:rsid w:val="006064F8"/>
    <w:rsid w:val="0060759A"/>
    <w:rsid w:val="006101CF"/>
    <w:rsid w:val="00611ADA"/>
    <w:rsid w:val="00611E18"/>
    <w:rsid w:val="00611FC0"/>
    <w:rsid w:val="00613A4A"/>
    <w:rsid w:val="00614157"/>
    <w:rsid w:val="00614A2A"/>
    <w:rsid w:val="00614ECD"/>
    <w:rsid w:val="0061767A"/>
    <w:rsid w:val="00620E52"/>
    <w:rsid w:val="00622016"/>
    <w:rsid w:val="006231D7"/>
    <w:rsid w:val="00624A71"/>
    <w:rsid w:val="00626031"/>
    <w:rsid w:val="0062652A"/>
    <w:rsid w:val="00627CFA"/>
    <w:rsid w:val="006307E8"/>
    <w:rsid w:val="00630C6C"/>
    <w:rsid w:val="00630ED2"/>
    <w:rsid w:val="00631935"/>
    <w:rsid w:val="00631BEB"/>
    <w:rsid w:val="00633332"/>
    <w:rsid w:val="0063452A"/>
    <w:rsid w:val="0063475C"/>
    <w:rsid w:val="00636A08"/>
    <w:rsid w:val="00636B91"/>
    <w:rsid w:val="006373FF"/>
    <w:rsid w:val="00637833"/>
    <w:rsid w:val="00641AC4"/>
    <w:rsid w:val="006423DF"/>
    <w:rsid w:val="0064541C"/>
    <w:rsid w:val="00646237"/>
    <w:rsid w:val="00646A6F"/>
    <w:rsid w:val="00653397"/>
    <w:rsid w:val="006535C3"/>
    <w:rsid w:val="006537CB"/>
    <w:rsid w:val="00653BA7"/>
    <w:rsid w:val="006553CD"/>
    <w:rsid w:val="006559F5"/>
    <w:rsid w:val="00656EFD"/>
    <w:rsid w:val="00656FD9"/>
    <w:rsid w:val="006571A4"/>
    <w:rsid w:val="0065752A"/>
    <w:rsid w:val="00657CE4"/>
    <w:rsid w:val="00660582"/>
    <w:rsid w:val="00660C99"/>
    <w:rsid w:val="00661782"/>
    <w:rsid w:val="006622A6"/>
    <w:rsid w:val="00662C11"/>
    <w:rsid w:val="0066570F"/>
    <w:rsid w:val="006711A1"/>
    <w:rsid w:val="006712A2"/>
    <w:rsid w:val="00672822"/>
    <w:rsid w:val="006729D2"/>
    <w:rsid w:val="00673934"/>
    <w:rsid w:val="00673B07"/>
    <w:rsid w:val="00673BC6"/>
    <w:rsid w:val="00674D70"/>
    <w:rsid w:val="00676CC3"/>
    <w:rsid w:val="006775B3"/>
    <w:rsid w:val="00680A6A"/>
    <w:rsid w:val="006829CA"/>
    <w:rsid w:val="00683FA2"/>
    <w:rsid w:val="00684808"/>
    <w:rsid w:val="0068483E"/>
    <w:rsid w:val="0068583F"/>
    <w:rsid w:val="00685B85"/>
    <w:rsid w:val="00687967"/>
    <w:rsid w:val="00687C63"/>
    <w:rsid w:val="00690F72"/>
    <w:rsid w:val="00692BFB"/>
    <w:rsid w:val="00693D9E"/>
    <w:rsid w:val="00694B7D"/>
    <w:rsid w:val="00694ECD"/>
    <w:rsid w:val="00695FE4"/>
    <w:rsid w:val="006A0F95"/>
    <w:rsid w:val="006A23BF"/>
    <w:rsid w:val="006A427F"/>
    <w:rsid w:val="006A46ED"/>
    <w:rsid w:val="006A485A"/>
    <w:rsid w:val="006A4BC9"/>
    <w:rsid w:val="006A4C69"/>
    <w:rsid w:val="006A516C"/>
    <w:rsid w:val="006A6B80"/>
    <w:rsid w:val="006A7351"/>
    <w:rsid w:val="006B0685"/>
    <w:rsid w:val="006B1301"/>
    <w:rsid w:val="006B2D92"/>
    <w:rsid w:val="006B2FEF"/>
    <w:rsid w:val="006B4B31"/>
    <w:rsid w:val="006B6581"/>
    <w:rsid w:val="006B6D6C"/>
    <w:rsid w:val="006B70DB"/>
    <w:rsid w:val="006B77B3"/>
    <w:rsid w:val="006B7E68"/>
    <w:rsid w:val="006C033D"/>
    <w:rsid w:val="006C1316"/>
    <w:rsid w:val="006C1E80"/>
    <w:rsid w:val="006C20C5"/>
    <w:rsid w:val="006C5DED"/>
    <w:rsid w:val="006C5E24"/>
    <w:rsid w:val="006C5ECD"/>
    <w:rsid w:val="006D08C5"/>
    <w:rsid w:val="006D08DC"/>
    <w:rsid w:val="006D1520"/>
    <w:rsid w:val="006D2482"/>
    <w:rsid w:val="006D2E02"/>
    <w:rsid w:val="006D2F0C"/>
    <w:rsid w:val="006D3604"/>
    <w:rsid w:val="006D416D"/>
    <w:rsid w:val="006D4C4D"/>
    <w:rsid w:val="006D536E"/>
    <w:rsid w:val="006D5570"/>
    <w:rsid w:val="006D5EB4"/>
    <w:rsid w:val="006D6E23"/>
    <w:rsid w:val="006E2082"/>
    <w:rsid w:val="006E2D72"/>
    <w:rsid w:val="006E38AA"/>
    <w:rsid w:val="006E3BE5"/>
    <w:rsid w:val="006E5D5B"/>
    <w:rsid w:val="006E67BA"/>
    <w:rsid w:val="006E6C3F"/>
    <w:rsid w:val="006F2362"/>
    <w:rsid w:val="006F44E3"/>
    <w:rsid w:val="006F47EB"/>
    <w:rsid w:val="006F4B13"/>
    <w:rsid w:val="006F4DE9"/>
    <w:rsid w:val="006F61B5"/>
    <w:rsid w:val="006F71C2"/>
    <w:rsid w:val="00700250"/>
    <w:rsid w:val="00700894"/>
    <w:rsid w:val="007008B0"/>
    <w:rsid w:val="00700AC3"/>
    <w:rsid w:val="00700AD6"/>
    <w:rsid w:val="00700E68"/>
    <w:rsid w:val="00701065"/>
    <w:rsid w:val="0070175E"/>
    <w:rsid w:val="00701947"/>
    <w:rsid w:val="00703DC5"/>
    <w:rsid w:val="007040F2"/>
    <w:rsid w:val="007044DC"/>
    <w:rsid w:val="007049DF"/>
    <w:rsid w:val="00705DAE"/>
    <w:rsid w:val="00705DFA"/>
    <w:rsid w:val="007061B6"/>
    <w:rsid w:val="007109D4"/>
    <w:rsid w:val="00710DAC"/>
    <w:rsid w:val="00711C10"/>
    <w:rsid w:val="007120EE"/>
    <w:rsid w:val="0071279F"/>
    <w:rsid w:val="00713E5A"/>
    <w:rsid w:val="007153C5"/>
    <w:rsid w:val="007161D3"/>
    <w:rsid w:val="007167BA"/>
    <w:rsid w:val="00716ECC"/>
    <w:rsid w:val="00720C35"/>
    <w:rsid w:val="00720E7B"/>
    <w:rsid w:val="007211D2"/>
    <w:rsid w:val="00721A37"/>
    <w:rsid w:val="00721A69"/>
    <w:rsid w:val="0072232C"/>
    <w:rsid w:val="00725676"/>
    <w:rsid w:val="007262F0"/>
    <w:rsid w:val="00727BE9"/>
    <w:rsid w:val="007314F1"/>
    <w:rsid w:val="00731BE9"/>
    <w:rsid w:val="00731E2B"/>
    <w:rsid w:val="00733A5E"/>
    <w:rsid w:val="00733C32"/>
    <w:rsid w:val="007359F8"/>
    <w:rsid w:val="007366D2"/>
    <w:rsid w:val="00736B34"/>
    <w:rsid w:val="00740C2F"/>
    <w:rsid w:val="007420D7"/>
    <w:rsid w:val="00745145"/>
    <w:rsid w:val="0074545C"/>
    <w:rsid w:val="00745C20"/>
    <w:rsid w:val="00745E44"/>
    <w:rsid w:val="0074742D"/>
    <w:rsid w:val="00752DBC"/>
    <w:rsid w:val="00753B2E"/>
    <w:rsid w:val="00753DC5"/>
    <w:rsid w:val="00753FF4"/>
    <w:rsid w:val="0075411D"/>
    <w:rsid w:val="007551AC"/>
    <w:rsid w:val="00755CB1"/>
    <w:rsid w:val="00756116"/>
    <w:rsid w:val="00756F8A"/>
    <w:rsid w:val="00757367"/>
    <w:rsid w:val="0075798B"/>
    <w:rsid w:val="007601AF"/>
    <w:rsid w:val="00760295"/>
    <w:rsid w:val="00760998"/>
    <w:rsid w:val="00760B97"/>
    <w:rsid w:val="00760CC2"/>
    <w:rsid w:val="007623ED"/>
    <w:rsid w:val="00762675"/>
    <w:rsid w:val="00762FC8"/>
    <w:rsid w:val="007632E7"/>
    <w:rsid w:val="00765825"/>
    <w:rsid w:val="007700D3"/>
    <w:rsid w:val="00770970"/>
    <w:rsid w:val="0077131C"/>
    <w:rsid w:val="0077138B"/>
    <w:rsid w:val="0077534E"/>
    <w:rsid w:val="00775B8D"/>
    <w:rsid w:val="00775C2B"/>
    <w:rsid w:val="00777133"/>
    <w:rsid w:val="0077733C"/>
    <w:rsid w:val="0078045E"/>
    <w:rsid w:val="00780B70"/>
    <w:rsid w:val="007818F1"/>
    <w:rsid w:val="007823FF"/>
    <w:rsid w:val="00782502"/>
    <w:rsid w:val="00782847"/>
    <w:rsid w:val="00783777"/>
    <w:rsid w:val="00783D20"/>
    <w:rsid w:val="007844FB"/>
    <w:rsid w:val="00785232"/>
    <w:rsid w:val="0078549A"/>
    <w:rsid w:val="007862D0"/>
    <w:rsid w:val="00786300"/>
    <w:rsid w:val="00786E18"/>
    <w:rsid w:val="00787100"/>
    <w:rsid w:val="0078752C"/>
    <w:rsid w:val="00787CDA"/>
    <w:rsid w:val="0079007C"/>
    <w:rsid w:val="00791047"/>
    <w:rsid w:val="007921E4"/>
    <w:rsid w:val="0079247D"/>
    <w:rsid w:val="00794F2D"/>
    <w:rsid w:val="007954D3"/>
    <w:rsid w:val="00796159"/>
    <w:rsid w:val="00796CC3"/>
    <w:rsid w:val="00797AAD"/>
    <w:rsid w:val="007A02C6"/>
    <w:rsid w:val="007A2F02"/>
    <w:rsid w:val="007A4040"/>
    <w:rsid w:val="007A5127"/>
    <w:rsid w:val="007A5754"/>
    <w:rsid w:val="007A5C51"/>
    <w:rsid w:val="007A68C0"/>
    <w:rsid w:val="007B12C5"/>
    <w:rsid w:val="007B18E8"/>
    <w:rsid w:val="007B1C32"/>
    <w:rsid w:val="007B25FF"/>
    <w:rsid w:val="007B2A03"/>
    <w:rsid w:val="007B2D5B"/>
    <w:rsid w:val="007B3B52"/>
    <w:rsid w:val="007B41D7"/>
    <w:rsid w:val="007B470C"/>
    <w:rsid w:val="007B70B5"/>
    <w:rsid w:val="007C0DB7"/>
    <w:rsid w:val="007C1A7D"/>
    <w:rsid w:val="007C1B01"/>
    <w:rsid w:val="007C1F16"/>
    <w:rsid w:val="007C1F6C"/>
    <w:rsid w:val="007C4094"/>
    <w:rsid w:val="007C45C5"/>
    <w:rsid w:val="007C608D"/>
    <w:rsid w:val="007D2317"/>
    <w:rsid w:val="007D29EC"/>
    <w:rsid w:val="007D50AE"/>
    <w:rsid w:val="007D516C"/>
    <w:rsid w:val="007E1EA6"/>
    <w:rsid w:val="007E2FDE"/>
    <w:rsid w:val="007E4C1F"/>
    <w:rsid w:val="007E50CC"/>
    <w:rsid w:val="007E6851"/>
    <w:rsid w:val="007E6943"/>
    <w:rsid w:val="007F0204"/>
    <w:rsid w:val="007F09AF"/>
    <w:rsid w:val="007F0E24"/>
    <w:rsid w:val="007F15FD"/>
    <w:rsid w:val="007F3196"/>
    <w:rsid w:val="007F3879"/>
    <w:rsid w:val="007F5C3C"/>
    <w:rsid w:val="007F5C58"/>
    <w:rsid w:val="007F6449"/>
    <w:rsid w:val="007F6674"/>
    <w:rsid w:val="007F719A"/>
    <w:rsid w:val="00800CC4"/>
    <w:rsid w:val="00801CA5"/>
    <w:rsid w:val="00805C8C"/>
    <w:rsid w:val="0080630B"/>
    <w:rsid w:val="00806AB5"/>
    <w:rsid w:val="00807142"/>
    <w:rsid w:val="008074E3"/>
    <w:rsid w:val="00807802"/>
    <w:rsid w:val="0080799C"/>
    <w:rsid w:val="0081057B"/>
    <w:rsid w:val="00810C18"/>
    <w:rsid w:val="00812264"/>
    <w:rsid w:val="00812934"/>
    <w:rsid w:val="00813ACD"/>
    <w:rsid w:val="00813DF6"/>
    <w:rsid w:val="00814421"/>
    <w:rsid w:val="00814AFC"/>
    <w:rsid w:val="00814B22"/>
    <w:rsid w:val="0081502F"/>
    <w:rsid w:val="0081590C"/>
    <w:rsid w:val="00817159"/>
    <w:rsid w:val="00817B14"/>
    <w:rsid w:val="00820058"/>
    <w:rsid w:val="0082279D"/>
    <w:rsid w:val="00822862"/>
    <w:rsid w:val="00822C92"/>
    <w:rsid w:val="0082350A"/>
    <w:rsid w:val="00823765"/>
    <w:rsid w:val="00824346"/>
    <w:rsid w:val="00824797"/>
    <w:rsid w:val="008247F1"/>
    <w:rsid w:val="0082597B"/>
    <w:rsid w:val="00826ED9"/>
    <w:rsid w:val="00830A11"/>
    <w:rsid w:val="00831653"/>
    <w:rsid w:val="0083188B"/>
    <w:rsid w:val="00831A5D"/>
    <w:rsid w:val="00831DB4"/>
    <w:rsid w:val="00834536"/>
    <w:rsid w:val="00835C08"/>
    <w:rsid w:val="008365EC"/>
    <w:rsid w:val="00836E98"/>
    <w:rsid w:val="00837390"/>
    <w:rsid w:val="00840A8F"/>
    <w:rsid w:val="00844176"/>
    <w:rsid w:val="00844A32"/>
    <w:rsid w:val="00844BF8"/>
    <w:rsid w:val="008463C1"/>
    <w:rsid w:val="008463FD"/>
    <w:rsid w:val="00846A9D"/>
    <w:rsid w:val="00847EDA"/>
    <w:rsid w:val="008503CA"/>
    <w:rsid w:val="00852BA6"/>
    <w:rsid w:val="0085308E"/>
    <w:rsid w:val="0085318D"/>
    <w:rsid w:val="008547B4"/>
    <w:rsid w:val="00855FAD"/>
    <w:rsid w:val="008560E0"/>
    <w:rsid w:val="0085630B"/>
    <w:rsid w:val="008565FB"/>
    <w:rsid w:val="008576F9"/>
    <w:rsid w:val="008577FA"/>
    <w:rsid w:val="00861168"/>
    <w:rsid w:val="00862580"/>
    <w:rsid w:val="00862745"/>
    <w:rsid w:val="00862834"/>
    <w:rsid w:val="00867FEC"/>
    <w:rsid w:val="00870E97"/>
    <w:rsid w:val="00871516"/>
    <w:rsid w:val="00871E2F"/>
    <w:rsid w:val="00874C1B"/>
    <w:rsid w:val="00876284"/>
    <w:rsid w:val="008764DD"/>
    <w:rsid w:val="00876E40"/>
    <w:rsid w:val="00877499"/>
    <w:rsid w:val="0088031D"/>
    <w:rsid w:val="008814E9"/>
    <w:rsid w:val="00882CCA"/>
    <w:rsid w:val="00883C37"/>
    <w:rsid w:val="008841EB"/>
    <w:rsid w:val="008853E1"/>
    <w:rsid w:val="0088688D"/>
    <w:rsid w:val="00886A4C"/>
    <w:rsid w:val="00887064"/>
    <w:rsid w:val="00887581"/>
    <w:rsid w:val="008910B2"/>
    <w:rsid w:val="00891622"/>
    <w:rsid w:val="00891C00"/>
    <w:rsid w:val="008921BE"/>
    <w:rsid w:val="00895BF6"/>
    <w:rsid w:val="00895E41"/>
    <w:rsid w:val="008962E3"/>
    <w:rsid w:val="0089734D"/>
    <w:rsid w:val="008A0A32"/>
    <w:rsid w:val="008A0D08"/>
    <w:rsid w:val="008A1056"/>
    <w:rsid w:val="008A1265"/>
    <w:rsid w:val="008A3637"/>
    <w:rsid w:val="008A4911"/>
    <w:rsid w:val="008A50CB"/>
    <w:rsid w:val="008A7CC5"/>
    <w:rsid w:val="008A7DEF"/>
    <w:rsid w:val="008A7E11"/>
    <w:rsid w:val="008B0720"/>
    <w:rsid w:val="008B18AF"/>
    <w:rsid w:val="008B1C5A"/>
    <w:rsid w:val="008B1CC3"/>
    <w:rsid w:val="008B1DB2"/>
    <w:rsid w:val="008B206C"/>
    <w:rsid w:val="008B34AA"/>
    <w:rsid w:val="008B4335"/>
    <w:rsid w:val="008B5413"/>
    <w:rsid w:val="008B56DF"/>
    <w:rsid w:val="008B5B2C"/>
    <w:rsid w:val="008B5EFB"/>
    <w:rsid w:val="008B6037"/>
    <w:rsid w:val="008B6988"/>
    <w:rsid w:val="008B69DC"/>
    <w:rsid w:val="008B6ADA"/>
    <w:rsid w:val="008C0628"/>
    <w:rsid w:val="008C10A8"/>
    <w:rsid w:val="008C1ABA"/>
    <w:rsid w:val="008C4552"/>
    <w:rsid w:val="008C4728"/>
    <w:rsid w:val="008C6F73"/>
    <w:rsid w:val="008C7959"/>
    <w:rsid w:val="008D3653"/>
    <w:rsid w:val="008D43A9"/>
    <w:rsid w:val="008D4F09"/>
    <w:rsid w:val="008D539E"/>
    <w:rsid w:val="008D65D5"/>
    <w:rsid w:val="008D75EB"/>
    <w:rsid w:val="008D7F23"/>
    <w:rsid w:val="008E12FB"/>
    <w:rsid w:val="008E16E9"/>
    <w:rsid w:val="008E1F57"/>
    <w:rsid w:val="008E349F"/>
    <w:rsid w:val="008E5D85"/>
    <w:rsid w:val="008E623A"/>
    <w:rsid w:val="008E751B"/>
    <w:rsid w:val="008E7C71"/>
    <w:rsid w:val="008F03BE"/>
    <w:rsid w:val="008F2921"/>
    <w:rsid w:val="008F4A99"/>
    <w:rsid w:val="008F583F"/>
    <w:rsid w:val="008F5CF9"/>
    <w:rsid w:val="00900C33"/>
    <w:rsid w:val="0090193D"/>
    <w:rsid w:val="009033F4"/>
    <w:rsid w:val="009034C7"/>
    <w:rsid w:val="00903AFA"/>
    <w:rsid w:val="00906A75"/>
    <w:rsid w:val="00906ABE"/>
    <w:rsid w:val="00907D1C"/>
    <w:rsid w:val="00907DD7"/>
    <w:rsid w:val="00910BBC"/>
    <w:rsid w:val="0091182D"/>
    <w:rsid w:val="00911DA2"/>
    <w:rsid w:val="00915081"/>
    <w:rsid w:val="009165D6"/>
    <w:rsid w:val="00916F61"/>
    <w:rsid w:val="00917D6F"/>
    <w:rsid w:val="0092003A"/>
    <w:rsid w:val="009202BB"/>
    <w:rsid w:val="00921504"/>
    <w:rsid w:val="00921E12"/>
    <w:rsid w:val="00922352"/>
    <w:rsid w:val="00924B3C"/>
    <w:rsid w:val="00924FE5"/>
    <w:rsid w:val="0092710C"/>
    <w:rsid w:val="009271F4"/>
    <w:rsid w:val="00930B77"/>
    <w:rsid w:val="0093112B"/>
    <w:rsid w:val="00931533"/>
    <w:rsid w:val="00932043"/>
    <w:rsid w:val="0093298F"/>
    <w:rsid w:val="00933C44"/>
    <w:rsid w:val="009348BF"/>
    <w:rsid w:val="009354F2"/>
    <w:rsid w:val="009370A3"/>
    <w:rsid w:val="00937BB0"/>
    <w:rsid w:val="0094022B"/>
    <w:rsid w:val="00941E05"/>
    <w:rsid w:val="00942D63"/>
    <w:rsid w:val="0094437B"/>
    <w:rsid w:val="009455DB"/>
    <w:rsid w:val="00945DB2"/>
    <w:rsid w:val="0095043C"/>
    <w:rsid w:val="009511D6"/>
    <w:rsid w:val="00951DCF"/>
    <w:rsid w:val="00951ED7"/>
    <w:rsid w:val="00954428"/>
    <w:rsid w:val="00954541"/>
    <w:rsid w:val="00954C0F"/>
    <w:rsid w:val="00955118"/>
    <w:rsid w:val="009551F0"/>
    <w:rsid w:val="009555B7"/>
    <w:rsid w:val="00956218"/>
    <w:rsid w:val="00956C4B"/>
    <w:rsid w:val="0095767C"/>
    <w:rsid w:val="00957E64"/>
    <w:rsid w:val="0096086F"/>
    <w:rsid w:val="00961605"/>
    <w:rsid w:val="009620C5"/>
    <w:rsid w:val="00963C88"/>
    <w:rsid w:val="00965995"/>
    <w:rsid w:val="00965DED"/>
    <w:rsid w:val="00966814"/>
    <w:rsid w:val="00967A53"/>
    <w:rsid w:val="00970D58"/>
    <w:rsid w:val="009714D6"/>
    <w:rsid w:val="009715A0"/>
    <w:rsid w:val="00973167"/>
    <w:rsid w:val="00975EC4"/>
    <w:rsid w:val="00976450"/>
    <w:rsid w:val="00980174"/>
    <w:rsid w:val="00981A42"/>
    <w:rsid w:val="00983042"/>
    <w:rsid w:val="00985A6C"/>
    <w:rsid w:val="0098607D"/>
    <w:rsid w:val="009870D7"/>
    <w:rsid w:val="00987834"/>
    <w:rsid w:val="0098FE89"/>
    <w:rsid w:val="00991E45"/>
    <w:rsid w:val="009921E3"/>
    <w:rsid w:val="0099282E"/>
    <w:rsid w:val="00993596"/>
    <w:rsid w:val="0099541B"/>
    <w:rsid w:val="009A00EB"/>
    <w:rsid w:val="009A01FD"/>
    <w:rsid w:val="009A0CC6"/>
    <w:rsid w:val="009A3668"/>
    <w:rsid w:val="009A56BB"/>
    <w:rsid w:val="009A6766"/>
    <w:rsid w:val="009A692C"/>
    <w:rsid w:val="009A7E10"/>
    <w:rsid w:val="009B0239"/>
    <w:rsid w:val="009B1A38"/>
    <w:rsid w:val="009B1CEB"/>
    <w:rsid w:val="009B2576"/>
    <w:rsid w:val="009B31B8"/>
    <w:rsid w:val="009B3508"/>
    <w:rsid w:val="009B38F2"/>
    <w:rsid w:val="009B39A3"/>
    <w:rsid w:val="009B3AE3"/>
    <w:rsid w:val="009B430C"/>
    <w:rsid w:val="009B43EB"/>
    <w:rsid w:val="009B584C"/>
    <w:rsid w:val="009B60F7"/>
    <w:rsid w:val="009B6613"/>
    <w:rsid w:val="009B6674"/>
    <w:rsid w:val="009B7000"/>
    <w:rsid w:val="009B73E4"/>
    <w:rsid w:val="009B75D4"/>
    <w:rsid w:val="009C0178"/>
    <w:rsid w:val="009C030C"/>
    <w:rsid w:val="009C061A"/>
    <w:rsid w:val="009C108E"/>
    <w:rsid w:val="009C1FE8"/>
    <w:rsid w:val="009C228A"/>
    <w:rsid w:val="009C282F"/>
    <w:rsid w:val="009C2E2D"/>
    <w:rsid w:val="009C3257"/>
    <w:rsid w:val="009C45DC"/>
    <w:rsid w:val="009C5640"/>
    <w:rsid w:val="009C641F"/>
    <w:rsid w:val="009C7F6E"/>
    <w:rsid w:val="009D0A96"/>
    <w:rsid w:val="009D1051"/>
    <w:rsid w:val="009D1FC1"/>
    <w:rsid w:val="009D2037"/>
    <w:rsid w:val="009D3F87"/>
    <w:rsid w:val="009D43B2"/>
    <w:rsid w:val="009D66C6"/>
    <w:rsid w:val="009E03F3"/>
    <w:rsid w:val="009E08AF"/>
    <w:rsid w:val="009E090D"/>
    <w:rsid w:val="009E401F"/>
    <w:rsid w:val="009E5C84"/>
    <w:rsid w:val="009E5FB1"/>
    <w:rsid w:val="009E696E"/>
    <w:rsid w:val="009E6BF4"/>
    <w:rsid w:val="009E7A40"/>
    <w:rsid w:val="009F0613"/>
    <w:rsid w:val="009F0FC9"/>
    <w:rsid w:val="009F1A7E"/>
    <w:rsid w:val="009F24C0"/>
    <w:rsid w:val="009F3DC0"/>
    <w:rsid w:val="009F6FF8"/>
    <w:rsid w:val="009F7FFA"/>
    <w:rsid w:val="00A01C8B"/>
    <w:rsid w:val="00A03E32"/>
    <w:rsid w:val="00A075B0"/>
    <w:rsid w:val="00A07B26"/>
    <w:rsid w:val="00A07E66"/>
    <w:rsid w:val="00A11259"/>
    <w:rsid w:val="00A12B76"/>
    <w:rsid w:val="00A134F3"/>
    <w:rsid w:val="00A13FC8"/>
    <w:rsid w:val="00A14369"/>
    <w:rsid w:val="00A154D5"/>
    <w:rsid w:val="00A15993"/>
    <w:rsid w:val="00A16546"/>
    <w:rsid w:val="00A2067E"/>
    <w:rsid w:val="00A20B99"/>
    <w:rsid w:val="00A21F19"/>
    <w:rsid w:val="00A2271B"/>
    <w:rsid w:val="00A229AC"/>
    <w:rsid w:val="00A23E8B"/>
    <w:rsid w:val="00A2429F"/>
    <w:rsid w:val="00A25225"/>
    <w:rsid w:val="00A254EE"/>
    <w:rsid w:val="00A26607"/>
    <w:rsid w:val="00A26676"/>
    <w:rsid w:val="00A267B2"/>
    <w:rsid w:val="00A27A02"/>
    <w:rsid w:val="00A27FF6"/>
    <w:rsid w:val="00A300B4"/>
    <w:rsid w:val="00A30DAB"/>
    <w:rsid w:val="00A3172A"/>
    <w:rsid w:val="00A32A3F"/>
    <w:rsid w:val="00A333BD"/>
    <w:rsid w:val="00A337C5"/>
    <w:rsid w:val="00A33B10"/>
    <w:rsid w:val="00A33C43"/>
    <w:rsid w:val="00A340FB"/>
    <w:rsid w:val="00A34C17"/>
    <w:rsid w:val="00A34EAB"/>
    <w:rsid w:val="00A37CD5"/>
    <w:rsid w:val="00A40349"/>
    <w:rsid w:val="00A40523"/>
    <w:rsid w:val="00A41560"/>
    <w:rsid w:val="00A41FB2"/>
    <w:rsid w:val="00A43105"/>
    <w:rsid w:val="00A43A02"/>
    <w:rsid w:val="00A451AE"/>
    <w:rsid w:val="00A45F58"/>
    <w:rsid w:val="00A468F1"/>
    <w:rsid w:val="00A46F10"/>
    <w:rsid w:val="00A471D7"/>
    <w:rsid w:val="00A47CEA"/>
    <w:rsid w:val="00A50500"/>
    <w:rsid w:val="00A5065C"/>
    <w:rsid w:val="00A52A4F"/>
    <w:rsid w:val="00A53A45"/>
    <w:rsid w:val="00A541ED"/>
    <w:rsid w:val="00A5551D"/>
    <w:rsid w:val="00A556E0"/>
    <w:rsid w:val="00A562DC"/>
    <w:rsid w:val="00A56E11"/>
    <w:rsid w:val="00A56E9B"/>
    <w:rsid w:val="00A56F27"/>
    <w:rsid w:val="00A57518"/>
    <w:rsid w:val="00A57E77"/>
    <w:rsid w:val="00A60BA2"/>
    <w:rsid w:val="00A60C80"/>
    <w:rsid w:val="00A61231"/>
    <w:rsid w:val="00A613FE"/>
    <w:rsid w:val="00A65C40"/>
    <w:rsid w:val="00A662C8"/>
    <w:rsid w:val="00A66F1F"/>
    <w:rsid w:val="00A71824"/>
    <w:rsid w:val="00A718EE"/>
    <w:rsid w:val="00A728F4"/>
    <w:rsid w:val="00A73448"/>
    <w:rsid w:val="00A76C0A"/>
    <w:rsid w:val="00A8289F"/>
    <w:rsid w:val="00A82EF2"/>
    <w:rsid w:val="00A84412"/>
    <w:rsid w:val="00A8518E"/>
    <w:rsid w:val="00A86F1C"/>
    <w:rsid w:val="00A9174A"/>
    <w:rsid w:val="00A92A07"/>
    <w:rsid w:val="00A93054"/>
    <w:rsid w:val="00A9317F"/>
    <w:rsid w:val="00A93A01"/>
    <w:rsid w:val="00A93A17"/>
    <w:rsid w:val="00A94B68"/>
    <w:rsid w:val="00A969CC"/>
    <w:rsid w:val="00A96C8D"/>
    <w:rsid w:val="00A9708B"/>
    <w:rsid w:val="00A9749C"/>
    <w:rsid w:val="00AA269F"/>
    <w:rsid w:val="00AA2DCA"/>
    <w:rsid w:val="00AA34A6"/>
    <w:rsid w:val="00AA3A72"/>
    <w:rsid w:val="00AA45BA"/>
    <w:rsid w:val="00AA6BD3"/>
    <w:rsid w:val="00AA75C7"/>
    <w:rsid w:val="00AB3EB4"/>
    <w:rsid w:val="00AB4677"/>
    <w:rsid w:val="00AB4FA7"/>
    <w:rsid w:val="00AB53F5"/>
    <w:rsid w:val="00AB6AE8"/>
    <w:rsid w:val="00AC16D2"/>
    <w:rsid w:val="00AC24BD"/>
    <w:rsid w:val="00AC5779"/>
    <w:rsid w:val="00AC68A4"/>
    <w:rsid w:val="00AD146F"/>
    <w:rsid w:val="00AD3391"/>
    <w:rsid w:val="00AD3789"/>
    <w:rsid w:val="00AD3D79"/>
    <w:rsid w:val="00AD43F3"/>
    <w:rsid w:val="00AD4417"/>
    <w:rsid w:val="00AD48AA"/>
    <w:rsid w:val="00AD5B91"/>
    <w:rsid w:val="00AD5C75"/>
    <w:rsid w:val="00AD6AEF"/>
    <w:rsid w:val="00AD6F45"/>
    <w:rsid w:val="00AE0055"/>
    <w:rsid w:val="00AE01F5"/>
    <w:rsid w:val="00AE091D"/>
    <w:rsid w:val="00AE2041"/>
    <w:rsid w:val="00AE3B88"/>
    <w:rsid w:val="00AE4BED"/>
    <w:rsid w:val="00AE4C8F"/>
    <w:rsid w:val="00AE4CF0"/>
    <w:rsid w:val="00AE5675"/>
    <w:rsid w:val="00AE57EC"/>
    <w:rsid w:val="00AE64F9"/>
    <w:rsid w:val="00AF1B01"/>
    <w:rsid w:val="00AF1C04"/>
    <w:rsid w:val="00AF2547"/>
    <w:rsid w:val="00AF254A"/>
    <w:rsid w:val="00AF36C9"/>
    <w:rsid w:val="00AF5053"/>
    <w:rsid w:val="00AF5DF5"/>
    <w:rsid w:val="00AF69C7"/>
    <w:rsid w:val="00AF727C"/>
    <w:rsid w:val="00AF755E"/>
    <w:rsid w:val="00B02C46"/>
    <w:rsid w:val="00B02EDD"/>
    <w:rsid w:val="00B039A0"/>
    <w:rsid w:val="00B04603"/>
    <w:rsid w:val="00B0569D"/>
    <w:rsid w:val="00B070DA"/>
    <w:rsid w:val="00B1092B"/>
    <w:rsid w:val="00B10B94"/>
    <w:rsid w:val="00B10BDA"/>
    <w:rsid w:val="00B111A5"/>
    <w:rsid w:val="00B117F2"/>
    <w:rsid w:val="00B12313"/>
    <w:rsid w:val="00B125D8"/>
    <w:rsid w:val="00B13379"/>
    <w:rsid w:val="00B13C6F"/>
    <w:rsid w:val="00B14D75"/>
    <w:rsid w:val="00B15DBA"/>
    <w:rsid w:val="00B16A95"/>
    <w:rsid w:val="00B22432"/>
    <w:rsid w:val="00B2297A"/>
    <w:rsid w:val="00B230F6"/>
    <w:rsid w:val="00B234DB"/>
    <w:rsid w:val="00B255AB"/>
    <w:rsid w:val="00B26202"/>
    <w:rsid w:val="00B300C7"/>
    <w:rsid w:val="00B30CFE"/>
    <w:rsid w:val="00B313B7"/>
    <w:rsid w:val="00B32793"/>
    <w:rsid w:val="00B339F6"/>
    <w:rsid w:val="00B33D89"/>
    <w:rsid w:val="00B34F7D"/>
    <w:rsid w:val="00B355D9"/>
    <w:rsid w:val="00B35BBD"/>
    <w:rsid w:val="00B35FBA"/>
    <w:rsid w:val="00B379BD"/>
    <w:rsid w:val="00B404B6"/>
    <w:rsid w:val="00B40525"/>
    <w:rsid w:val="00B40996"/>
    <w:rsid w:val="00B40C6E"/>
    <w:rsid w:val="00B414FF"/>
    <w:rsid w:val="00B4164D"/>
    <w:rsid w:val="00B41B41"/>
    <w:rsid w:val="00B44AB9"/>
    <w:rsid w:val="00B450C4"/>
    <w:rsid w:val="00B457C4"/>
    <w:rsid w:val="00B45CBC"/>
    <w:rsid w:val="00B462F7"/>
    <w:rsid w:val="00B4697F"/>
    <w:rsid w:val="00B46A16"/>
    <w:rsid w:val="00B47747"/>
    <w:rsid w:val="00B47E34"/>
    <w:rsid w:val="00B504BC"/>
    <w:rsid w:val="00B50638"/>
    <w:rsid w:val="00B50D88"/>
    <w:rsid w:val="00B51099"/>
    <w:rsid w:val="00B51427"/>
    <w:rsid w:val="00B5556D"/>
    <w:rsid w:val="00B5564B"/>
    <w:rsid w:val="00B55A30"/>
    <w:rsid w:val="00B5623C"/>
    <w:rsid w:val="00B56A48"/>
    <w:rsid w:val="00B56B47"/>
    <w:rsid w:val="00B607A7"/>
    <w:rsid w:val="00B6171F"/>
    <w:rsid w:val="00B618A9"/>
    <w:rsid w:val="00B621AF"/>
    <w:rsid w:val="00B6475A"/>
    <w:rsid w:val="00B64840"/>
    <w:rsid w:val="00B652FE"/>
    <w:rsid w:val="00B65A0A"/>
    <w:rsid w:val="00B65C4F"/>
    <w:rsid w:val="00B65CF6"/>
    <w:rsid w:val="00B65FCF"/>
    <w:rsid w:val="00B66C55"/>
    <w:rsid w:val="00B700CC"/>
    <w:rsid w:val="00B70D5E"/>
    <w:rsid w:val="00B719D3"/>
    <w:rsid w:val="00B7213C"/>
    <w:rsid w:val="00B7246E"/>
    <w:rsid w:val="00B7247E"/>
    <w:rsid w:val="00B74559"/>
    <w:rsid w:val="00B7475D"/>
    <w:rsid w:val="00B74B38"/>
    <w:rsid w:val="00B750F2"/>
    <w:rsid w:val="00B758FC"/>
    <w:rsid w:val="00B762A0"/>
    <w:rsid w:val="00B76FBA"/>
    <w:rsid w:val="00B77E56"/>
    <w:rsid w:val="00B80371"/>
    <w:rsid w:val="00B81B87"/>
    <w:rsid w:val="00B82410"/>
    <w:rsid w:val="00B8269F"/>
    <w:rsid w:val="00B837AE"/>
    <w:rsid w:val="00B83EED"/>
    <w:rsid w:val="00B84387"/>
    <w:rsid w:val="00B85484"/>
    <w:rsid w:val="00B85597"/>
    <w:rsid w:val="00B85A89"/>
    <w:rsid w:val="00B868AD"/>
    <w:rsid w:val="00B86DD0"/>
    <w:rsid w:val="00B87A9F"/>
    <w:rsid w:val="00B90822"/>
    <w:rsid w:val="00B908C5"/>
    <w:rsid w:val="00B90DFE"/>
    <w:rsid w:val="00B91A7D"/>
    <w:rsid w:val="00B91B04"/>
    <w:rsid w:val="00B91C8A"/>
    <w:rsid w:val="00B9203E"/>
    <w:rsid w:val="00B92276"/>
    <w:rsid w:val="00B934CF"/>
    <w:rsid w:val="00B9742D"/>
    <w:rsid w:val="00BA131A"/>
    <w:rsid w:val="00BA1B34"/>
    <w:rsid w:val="00BA2274"/>
    <w:rsid w:val="00BA549E"/>
    <w:rsid w:val="00BA7BF3"/>
    <w:rsid w:val="00BB0042"/>
    <w:rsid w:val="00BB0BAA"/>
    <w:rsid w:val="00BB1EA2"/>
    <w:rsid w:val="00BB24EC"/>
    <w:rsid w:val="00BB3437"/>
    <w:rsid w:val="00BB3F6E"/>
    <w:rsid w:val="00BB480B"/>
    <w:rsid w:val="00BB4E62"/>
    <w:rsid w:val="00BB55EA"/>
    <w:rsid w:val="00BB6326"/>
    <w:rsid w:val="00BB7389"/>
    <w:rsid w:val="00BB7C8D"/>
    <w:rsid w:val="00BB7D03"/>
    <w:rsid w:val="00BC1411"/>
    <w:rsid w:val="00BC1BB0"/>
    <w:rsid w:val="00BC230A"/>
    <w:rsid w:val="00BC2E8C"/>
    <w:rsid w:val="00BC31E7"/>
    <w:rsid w:val="00BC384D"/>
    <w:rsid w:val="00BC3E8D"/>
    <w:rsid w:val="00BC4C95"/>
    <w:rsid w:val="00BC608E"/>
    <w:rsid w:val="00BC636F"/>
    <w:rsid w:val="00BC69DC"/>
    <w:rsid w:val="00BC7045"/>
    <w:rsid w:val="00BD188A"/>
    <w:rsid w:val="00BD20AE"/>
    <w:rsid w:val="00BD48AF"/>
    <w:rsid w:val="00BD5235"/>
    <w:rsid w:val="00BD746F"/>
    <w:rsid w:val="00BD7AE1"/>
    <w:rsid w:val="00BE0E6C"/>
    <w:rsid w:val="00BE15E4"/>
    <w:rsid w:val="00BE3852"/>
    <w:rsid w:val="00BE39A9"/>
    <w:rsid w:val="00BE4F6B"/>
    <w:rsid w:val="00BE6127"/>
    <w:rsid w:val="00BE655E"/>
    <w:rsid w:val="00BE786E"/>
    <w:rsid w:val="00BF13E6"/>
    <w:rsid w:val="00BF15B9"/>
    <w:rsid w:val="00BF2036"/>
    <w:rsid w:val="00BF2A0D"/>
    <w:rsid w:val="00BF2AA4"/>
    <w:rsid w:val="00BF5BCD"/>
    <w:rsid w:val="00BF630B"/>
    <w:rsid w:val="00BF68E7"/>
    <w:rsid w:val="00BF6A38"/>
    <w:rsid w:val="00BF742F"/>
    <w:rsid w:val="00BF7AE2"/>
    <w:rsid w:val="00BF7BD9"/>
    <w:rsid w:val="00BF7D60"/>
    <w:rsid w:val="00C00B0A"/>
    <w:rsid w:val="00C017FE"/>
    <w:rsid w:val="00C01984"/>
    <w:rsid w:val="00C030EA"/>
    <w:rsid w:val="00C03273"/>
    <w:rsid w:val="00C0447C"/>
    <w:rsid w:val="00C04CAF"/>
    <w:rsid w:val="00C050AF"/>
    <w:rsid w:val="00C054A9"/>
    <w:rsid w:val="00C05DCC"/>
    <w:rsid w:val="00C05EF2"/>
    <w:rsid w:val="00C07585"/>
    <w:rsid w:val="00C10ACD"/>
    <w:rsid w:val="00C11685"/>
    <w:rsid w:val="00C1189F"/>
    <w:rsid w:val="00C12263"/>
    <w:rsid w:val="00C12421"/>
    <w:rsid w:val="00C12523"/>
    <w:rsid w:val="00C12CF8"/>
    <w:rsid w:val="00C136CD"/>
    <w:rsid w:val="00C1384D"/>
    <w:rsid w:val="00C13D67"/>
    <w:rsid w:val="00C14903"/>
    <w:rsid w:val="00C151DF"/>
    <w:rsid w:val="00C1563D"/>
    <w:rsid w:val="00C15EB7"/>
    <w:rsid w:val="00C1626D"/>
    <w:rsid w:val="00C175FA"/>
    <w:rsid w:val="00C17A3E"/>
    <w:rsid w:val="00C20FF4"/>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146C"/>
    <w:rsid w:val="00C328B0"/>
    <w:rsid w:val="00C32C97"/>
    <w:rsid w:val="00C32DF0"/>
    <w:rsid w:val="00C33A18"/>
    <w:rsid w:val="00C3507C"/>
    <w:rsid w:val="00C353F8"/>
    <w:rsid w:val="00C35A54"/>
    <w:rsid w:val="00C3732D"/>
    <w:rsid w:val="00C416DB"/>
    <w:rsid w:val="00C420F9"/>
    <w:rsid w:val="00C423B7"/>
    <w:rsid w:val="00C42887"/>
    <w:rsid w:val="00C42ACD"/>
    <w:rsid w:val="00C42C49"/>
    <w:rsid w:val="00C44178"/>
    <w:rsid w:val="00C446A5"/>
    <w:rsid w:val="00C45150"/>
    <w:rsid w:val="00C464A8"/>
    <w:rsid w:val="00C46737"/>
    <w:rsid w:val="00C52004"/>
    <w:rsid w:val="00C546C5"/>
    <w:rsid w:val="00C562D2"/>
    <w:rsid w:val="00C56C9E"/>
    <w:rsid w:val="00C62D9D"/>
    <w:rsid w:val="00C6333E"/>
    <w:rsid w:val="00C633A8"/>
    <w:rsid w:val="00C64DE5"/>
    <w:rsid w:val="00C65AAE"/>
    <w:rsid w:val="00C66A4D"/>
    <w:rsid w:val="00C67321"/>
    <w:rsid w:val="00C703A0"/>
    <w:rsid w:val="00C7141D"/>
    <w:rsid w:val="00C71A3F"/>
    <w:rsid w:val="00C72945"/>
    <w:rsid w:val="00C7336A"/>
    <w:rsid w:val="00C75E3A"/>
    <w:rsid w:val="00C77378"/>
    <w:rsid w:val="00C77469"/>
    <w:rsid w:val="00C77C68"/>
    <w:rsid w:val="00C77E1B"/>
    <w:rsid w:val="00C77FF7"/>
    <w:rsid w:val="00C81933"/>
    <w:rsid w:val="00C82E0E"/>
    <w:rsid w:val="00C82FA2"/>
    <w:rsid w:val="00C85115"/>
    <w:rsid w:val="00C858DF"/>
    <w:rsid w:val="00C86896"/>
    <w:rsid w:val="00C869FA"/>
    <w:rsid w:val="00C86A0D"/>
    <w:rsid w:val="00C86AE5"/>
    <w:rsid w:val="00C86B0C"/>
    <w:rsid w:val="00C87C40"/>
    <w:rsid w:val="00C87DE8"/>
    <w:rsid w:val="00C90148"/>
    <w:rsid w:val="00C933DE"/>
    <w:rsid w:val="00C93422"/>
    <w:rsid w:val="00C95D2F"/>
    <w:rsid w:val="00C96A7D"/>
    <w:rsid w:val="00C973D0"/>
    <w:rsid w:val="00C973F1"/>
    <w:rsid w:val="00CA082C"/>
    <w:rsid w:val="00CA0BCB"/>
    <w:rsid w:val="00CA373F"/>
    <w:rsid w:val="00CA4560"/>
    <w:rsid w:val="00CA523F"/>
    <w:rsid w:val="00CA75F1"/>
    <w:rsid w:val="00CB0F18"/>
    <w:rsid w:val="00CB237D"/>
    <w:rsid w:val="00CB2492"/>
    <w:rsid w:val="00CB2A80"/>
    <w:rsid w:val="00CB2F00"/>
    <w:rsid w:val="00CB5A26"/>
    <w:rsid w:val="00CB6AC4"/>
    <w:rsid w:val="00CC08B4"/>
    <w:rsid w:val="00CC10D3"/>
    <w:rsid w:val="00CC2DAC"/>
    <w:rsid w:val="00CC4858"/>
    <w:rsid w:val="00CC6195"/>
    <w:rsid w:val="00CC7F65"/>
    <w:rsid w:val="00CD0F55"/>
    <w:rsid w:val="00CD1C12"/>
    <w:rsid w:val="00CD1D66"/>
    <w:rsid w:val="00CD1F7F"/>
    <w:rsid w:val="00CD2774"/>
    <w:rsid w:val="00CD2B6A"/>
    <w:rsid w:val="00CD48AF"/>
    <w:rsid w:val="00CD5CA3"/>
    <w:rsid w:val="00CD5EBC"/>
    <w:rsid w:val="00CD5FCA"/>
    <w:rsid w:val="00CD6460"/>
    <w:rsid w:val="00CD7CCA"/>
    <w:rsid w:val="00CE0AC5"/>
    <w:rsid w:val="00CE1DD6"/>
    <w:rsid w:val="00CE261F"/>
    <w:rsid w:val="00CE2C9C"/>
    <w:rsid w:val="00CE35E1"/>
    <w:rsid w:val="00CE399B"/>
    <w:rsid w:val="00CE5541"/>
    <w:rsid w:val="00CE56E6"/>
    <w:rsid w:val="00CE5C53"/>
    <w:rsid w:val="00CF0573"/>
    <w:rsid w:val="00CF15E3"/>
    <w:rsid w:val="00CF24BB"/>
    <w:rsid w:val="00CF2973"/>
    <w:rsid w:val="00CF4607"/>
    <w:rsid w:val="00CF5CC7"/>
    <w:rsid w:val="00CF6767"/>
    <w:rsid w:val="00CF747C"/>
    <w:rsid w:val="00D00576"/>
    <w:rsid w:val="00D0207F"/>
    <w:rsid w:val="00D02CD4"/>
    <w:rsid w:val="00D04299"/>
    <w:rsid w:val="00D0506F"/>
    <w:rsid w:val="00D05819"/>
    <w:rsid w:val="00D05A7A"/>
    <w:rsid w:val="00D07B78"/>
    <w:rsid w:val="00D12B80"/>
    <w:rsid w:val="00D137C3"/>
    <w:rsid w:val="00D13BD0"/>
    <w:rsid w:val="00D13D6F"/>
    <w:rsid w:val="00D150D9"/>
    <w:rsid w:val="00D165F4"/>
    <w:rsid w:val="00D1668E"/>
    <w:rsid w:val="00D16C33"/>
    <w:rsid w:val="00D177EA"/>
    <w:rsid w:val="00D178D6"/>
    <w:rsid w:val="00D20CC5"/>
    <w:rsid w:val="00D217AC"/>
    <w:rsid w:val="00D2202A"/>
    <w:rsid w:val="00D262B9"/>
    <w:rsid w:val="00D265F7"/>
    <w:rsid w:val="00D27E4D"/>
    <w:rsid w:val="00D31460"/>
    <w:rsid w:val="00D31BE1"/>
    <w:rsid w:val="00D35B96"/>
    <w:rsid w:val="00D375C2"/>
    <w:rsid w:val="00D37973"/>
    <w:rsid w:val="00D40EAC"/>
    <w:rsid w:val="00D41F46"/>
    <w:rsid w:val="00D4222D"/>
    <w:rsid w:val="00D42754"/>
    <w:rsid w:val="00D42F29"/>
    <w:rsid w:val="00D455A4"/>
    <w:rsid w:val="00D45636"/>
    <w:rsid w:val="00D47188"/>
    <w:rsid w:val="00D51DD0"/>
    <w:rsid w:val="00D5265D"/>
    <w:rsid w:val="00D5268A"/>
    <w:rsid w:val="00D52842"/>
    <w:rsid w:val="00D52D6B"/>
    <w:rsid w:val="00D54773"/>
    <w:rsid w:val="00D56DD9"/>
    <w:rsid w:val="00D60415"/>
    <w:rsid w:val="00D610AA"/>
    <w:rsid w:val="00D62E09"/>
    <w:rsid w:val="00D62E8D"/>
    <w:rsid w:val="00D64101"/>
    <w:rsid w:val="00D6470A"/>
    <w:rsid w:val="00D64FFD"/>
    <w:rsid w:val="00D671F5"/>
    <w:rsid w:val="00D67CE9"/>
    <w:rsid w:val="00D70AAA"/>
    <w:rsid w:val="00D7105E"/>
    <w:rsid w:val="00D71684"/>
    <w:rsid w:val="00D72D32"/>
    <w:rsid w:val="00D73220"/>
    <w:rsid w:val="00D73F9C"/>
    <w:rsid w:val="00D74D3F"/>
    <w:rsid w:val="00D7671C"/>
    <w:rsid w:val="00D767E6"/>
    <w:rsid w:val="00D76866"/>
    <w:rsid w:val="00D76D7C"/>
    <w:rsid w:val="00D77A0C"/>
    <w:rsid w:val="00D8131B"/>
    <w:rsid w:val="00D816A2"/>
    <w:rsid w:val="00D81D94"/>
    <w:rsid w:val="00D8420C"/>
    <w:rsid w:val="00D844C8"/>
    <w:rsid w:val="00D84DE0"/>
    <w:rsid w:val="00D854E6"/>
    <w:rsid w:val="00D85E59"/>
    <w:rsid w:val="00D87FC5"/>
    <w:rsid w:val="00D90CAE"/>
    <w:rsid w:val="00D9189D"/>
    <w:rsid w:val="00D925A9"/>
    <w:rsid w:val="00D92ACE"/>
    <w:rsid w:val="00D938F6"/>
    <w:rsid w:val="00D93A48"/>
    <w:rsid w:val="00D94D28"/>
    <w:rsid w:val="00D953BF"/>
    <w:rsid w:val="00D96FBA"/>
    <w:rsid w:val="00D97622"/>
    <w:rsid w:val="00DA1B53"/>
    <w:rsid w:val="00DA1FCE"/>
    <w:rsid w:val="00DA2048"/>
    <w:rsid w:val="00DA239C"/>
    <w:rsid w:val="00DA3AFD"/>
    <w:rsid w:val="00DA433D"/>
    <w:rsid w:val="00DA4D00"/>
    <w:rsid w:val="00DA58AF"/>
    <w:rsid w:val="00DA7141"/>
    <w:rsid w:val="00DA744D"/>
    <w:rsid w:val="00DA7DEB"/>
    <w:rsid w:val="00DB14CA"/>
    <w:rsid w:val="00DB18F9"/>
    <w:rsid w:val="00DB1A84"/>
    <w:rsid w:val="00DB3228"/>
    <w:rsid w:val="00DB3721"/>
    <w:rsid w:val="00DB3D04"/>
    <w:rsid w:val="00DB57B4"/>
    <w:rsid w:val="00DB65B4"/>
    <w:rsid w:val="00DC07AE"/>
    <w:rsid w:val="00DC10A1"/>
    <w:rsid w:val="00DC11B5"/>
    <w:rsid w:val="00DC1304"/>
    <w:rsid w:val="00DC15CB"/>
    <w:rsid w:val="00DC1AC5"/>
    <w:rsid w:val="00DC3106"/>
    <w:rsid w:val="00DC3534"/>
    <w:rsid w:val="00DC499A"/>
    <w:rsid w:val="00DC5056"/>
    <w:rsid w:val="00DC64F8"/>
    <w:rsid w:val="00DC6AF5"/>
    <w:rsid w:val="00DC72F1"/>
    <w:rsid w:val="00DD00BE"/>
    <w:rsid w:val="00DD02D4"/>
    <w:rsid w:val="00DD0953"/>
    <w:rsid w:val="00DD0F2E"/>
    <w:rsid w:val="00DD1A44"/>
    <w:rsid w:val="00DD1CB9"/>
    <w:rsid w:val="00DD1F77"/>
    <w:rsid w:val="00DD23E0"/>
    <w:rsid w:val="00DD2637"/>
    <w:rsid w:val="00DD2F35"/>
    <w:rsid w:val="00DD3660"/>
    <w:rsid w:val="00DD6104"/>
    <w:rsid w:val="00DD696D"/>
    <w:rsid w:val="00DD7872"/>
    <w:rsid w:val="00DD79C8"/>
    <w:rsid w:val="00DD7C70"/>
    <w:rsid w:val="00DD7FBA"/>
    <w:rsid w:val="00DE0896"/>
    <w:rsid w:val="00DE0AD5"/>
    <w:rsid w:val="00DE6C1E"/>
    <w:rsid w:val="00DE7318"/>
    <w:rsid w:val="00DE7E62"/>
    <w:rsid w:val="00DF1A49"/>
    <w:rsid w:val="00DF1C2B"/>
    <w:rsid w:val="00DF2F6B"/>
    <w:rsid w:val="00DF3993"/>
    <w:rsid w:val="00DF5A4D"/>
    <w:rsid w:val="00DF6975"/>
    <w:rsid w:val="00DF6CB6"/>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134"/>
    <w:rsid w:val="00E20773"/>
    <w:rsid w:val="00E2107F"/>
    <w:rsid w:val="00E212EF"/>
    <w:rsid w:val="00E22628"/>
    <w:rsid w:val="00E22EA4"/>
    <w:rsid w:val="00E23059"/>
    <w:rsid w:val="00E231E0"/>
    <w:rsid w:val="00E233A4"/>
    <w:rsid w:val="00E241B0"/>
    <w:rsid w:val="00E27465"/>
    <w:rsid w:val="00E27DCB"/>
    <w:rsid w:val="00E30352"/>
    <w:rsid w:val="00E33146"/>
    <w:rsid w:val="00E374D1"/>
    <w:rsid w:val="00E37F50"/>
    <w:rsid w:val="00E40942"/>
    <w:rsid w:val="00E40AD1"/>
    <w:rsid w:val="00E41BBB"/>
    <w:rsid w:val="00E42C74"/>
    <w:rsid w:val="00E43646"/>
    <w:rsid w:val="00E44C1D"/>
    <w:rsid w:val="00E464C6"/>
    <w:rsid w:val="00E50D80"/>
    <w:rsid w:val="00E50E6F"/>
    <w:rsid w:val="00E51035"/>
    <w:rsid w:val="00E5218A"/>
    <w:rsid w:val="00E52E46"/>
    <w:rsid w:val="00E53438"/>
    <w:rsid w:val="00E539B3"/>
    <w:rsid w:val="00E552C2"/>
    <w:rsid w:val="00E55EC8"/>
    <w:rsid w:val="00E56469"/>
    <w:rsid w:val="00E56D02"/>
    <w:rsid w:val="00E56EF2"/>
    <w:rsid w:val="00E57209"/>
    <w:rsid w:val="00E5727D"/>
    <w:rsid w:val="00E57FAB"/>
    <w:rsid w:val="00E603DA"/>
    <w:rsid w:val="00E60DB1"/>
    <w:rsid w:val="00E6289C"/>
    <w:rsid w:val="00E670D3"/>
    <w:rsid w:val="00E71235"/>
    <w:rsid w:val="00E713A7"/>
    <w:rsid w:val="00E71E49"/>
    <w:rsid w:val="00E72404"/>
    <w:rsid w:val="00E72FF6"/>
    <w:rsid w:val="00E73397"/>
    <w:rsid w:val="00E73990"/>
    <w:rsid w:val="00E74A15"/>
    <w:rsid w:val="00E74E1B"/>
    <w:rsid w:val="00E7567F"/>
    <w:rsid w:val="00E7617E"/>
    <w:rsid w:val="00E8184B"/>
    <w:rsid w:val="00E81F3E"/>
    <w:rsid w:val="00E835DF"/>
    <w:rsid w:val="00E85807"/>
    <w:rsid w:val="00E86211"/>
    <w:rsid w:val="00E86ACB"/>
    <w:rsid w:val="00E86B78"/>
    <w:rsid w:val="00E900E0"/>
    <w:rsid w:val="00E90628"/>
    <w:rsid w:val="00E91074"/>
    <w:rsid w:val="00E91161"/>
    <w:rsid w:val="00E9122B"/>
    <w:rsid w:val="00E9166A"/>
    <w:rsid w:val="00E92193"/>
    <w:rsid w:val="00E93ABB"/>
    <w:rsid w:val="00E93CFE"/>
    <w:rsid w:val="00E94580"/>
    <w:rsid w:val="00E953B9"/>
    <w:rsid w:val="00E96372"/>
    <w:rsid w:val="00E968C4"/>
    <w:rsid w:val="00EA0D43"/>
    <w:rsid w:val="00EA0EBB"/>
    <w:rsid w:val="00EA1619"/>
    <w:rsid w:val="00EA1632"/>
    <w:rsid w:val="00EA2EB1"/>
    <w:rsid w:val="00EA49CE"/>
    <w:rsid w:val="00EA4BA8"/>
    <w:rsid w:val="00EA4CBA"/>
    <w:rsid w:val="00EA6CD3"/>
    <w:rsid w:val="00EA7EDF"/>
    <w:rsid w:val="00EB184B"/>
    <w:rsid w:val="00EB1B94"/>
    <w:rsid w:val="00EB27FB"/>
    <w:rsid w:val="00EB39C0"/>
    <w:rsid w:val="00EB47F3"/>
    <w:rsid w:val="00EC03E6"/>
    <w:rsid w:val="00EC1530"/>
    <w:rsid w:val="00EC15B7"/>
    <w:rsid w:val="00EC218F"/>
    <w:rsid w:val="00EC4B57"/>
    <w:rsid w:val="00EC53D6"/>
    <w:rsid w:val="00EC5E2D"/>
    <w:rsid w:val="00EC68EC"/>
    <w:rsid w:val="00ED053C"/>
    <w:rsid w:val="00ED0911"/>
    <w:rsid w:val="00ED0A46"/>
    <w:rsid w:val="00ED1105"/>
    <w:rsid w:val="00ED18C9"/>
    <w:rsid w:val="00ED2979"/>
    <w:rsid w:val="00ED29D2"/>
    <w:rsid w:val="00ED377A"/>
    <w:rsid w:val="00ED39FF"/>
    <w:rsid w:val="00ED3D84"/>
    <w:rsid w:val="00ED4255"/>
    <w:rsid w:val="00ED5CF7"/>
    <w:rsid w:val="00ED603E"/>
    <w:rsid w:val="00EE1650"/>
    <w:rsid w:val="00EE1B67"/>
    <w:rsid w:val="00EE4153"/>
    <w:rsid w:val="00EE44FE"/>
    <w:rsid w:val="00EE4A54"/>
    <w:rsid w:val="00EE4C51"/>
    <w:rsid w:val="00EE59DE"/>
    <w:rsid w:val="00EE5F2B"/>
    <w:rsid w:val="00EE61BD"/>
    <w:rsid w:val="00EE6399"/>
    <w:rsid w:val="00EE6B49"/>
    <w:rsid w:val="00EE7BA0"/>
    <w:rsid w:val="00EE7F7D"/>
    <w:rsid w:val="00EF160F"/>
    <w:rsid w:val="00EF267A"/>
    <w:rsid w:val="00EF2696"/>
    <w:rsid w:val="00EF55B6"/>
    <w:rsid w:val="00EF67AA"/>
    <w:rsid w:val="00EF6CBF"/>
    <w:rsid w:val="00EF6F48"/>
    <w:rsid w:val="00F00E88"/>
    <w:rsid w:val="00F01691"/>
    <w:rsid w:val="00F019FA"/>
    <w:rsid w:val="00F0206F"/>
    <w:rsid w:val="00F02EB7"/>
    <w:rsid w:val="00F03FAA"/>
    <w:rsid w:val="00F05303"/>
    <w:rsid w:val="00F0611D"/>
    <w:rsid w:val="00F0662E"/>
    <w:rsid w:val="00F066C5"/>
    <w:rsid w:val="00F06F21"/>
    <w:rsid w:val="00F070EA"/>
    <w:rsid w:val="00F1504D"/>
    <w:rsid w:val="00F156AA"/>
    <w:rsid w:val="00F15773"/>
    <w:rsid w:val="00F1588A"/>
    <w:rsid w:val="00F17360"/>
    <w:rsid w:val="00F21E93"/>
    <w:rsid w:val="00F23C99"/>
    <w:rsid w:val="00F23C9C"/>
    <w:rsid w:val="00F2556C"/>
    <w:rsid w:val="00F255E6"/>
    <w:rsid w:val="00F25C34"/>
    <w:rsid w:val="00F2652E"/>
    <w:rsid w:val="00F27363"/>
    <w:rsid w:val="00F30608"/>
    <w:rsid w:val="00F30A0A"/>
    <w:rsid w:val="00F32129"/>
    <w:rsid w:val="00F3224D"/>
    <w:rsid w:val="00F32822"/>
    <w:rsid w:val="00F32ADC"/>
    <w:rsid w:val="00F34AB5"/>
    <w:rsid w:val="00F34DCC"/>
    <w:rsid w:val="00F352DD"/>
    <w:rsid w:val="00F35567"/>
    <w:rsid w:val="00F3569E"/>
    <w:rsid w:val="00F36842"/>
    <w:rsid w:val="00F40716"/>
    <w:rsid w:val="00F40762"/>
    <w:rsid w:val="00F40F20"/>
    <w:rsid w:val="00F418C2"/>
    <w:rsid w:val="00F41A04"/>
    <w:rsid w:val="00F42208"/>
    <w:rsid w:val="00F42526"/>
    <w:rsid w:val="00F449A8"/>
    <w:rsid w:val="00F44B3E"/>
    <w:rsid w:val="00F46FF2"/>
    <w:rsid w:val="00F509C9"/>
    <w:rsid w:val="00F51164"/>
    <w:rsid w:val="00F526D1"/>
    <w:rsid w:val="00F5297D"/>
    <w:rsid w:val="00F53042"/>
    <w:rsid w:val="00F53080"/>
    <w:rsid w:val="00F53217"/>
    <w:rsid w:val="00F532A7"/>
    <w:rsid w:val="00F53508"/>
    <w:rsid w:val="00F53B91"/>
    <w:rsid w:val="00F542FA"/>
    <w:rsid w:val="00F544F1"/>
    <w:rsid w:val="00F54FC8"/>
    <w:rsid w:val="00F550C9"/>
    <w:rsid w:val="00F5586F"/>
    <w:rsid w:val="00F562F0"/>
    <w:rsid w:val="00F57481"/>
    <w:rsid w:val="00F64D33"/>
    <w:rsid w:val="00F652EB"/>
    <w:rsid w:val="00F65BFF"/>
    <w:rsid w:val="00F660C2"/>
    <w:rsid w:val="00F669EB"/>
    <w:rsid w:val="00F70443"/>
    <w:rsid w:val="00F7097D"/>
    <w:rsid w:val="00F716EF"/>
    <w:rsid w:val="00F734FE"/>
    <w:rsid w:val="00F74143"/>
    <w:rsid w:val="00F758A5"/>
    <w:rsid w:val="00F75B13"/>
    <w:rsid w:val="00F76044"/>
    <w:rsid w:val="00F76BCC"/>
    <w:rsid w:val="00F77248"/>
    <w:rsid w:val="00F77C73"/>
    <w:rsid w:val="00F77D50"/>
    <w:rsid w:val="00F8014B"/>
    <w:rsid w:val="00F8059E"/>
    <w:rsid w:val="00F81A0A"/>
    <w:rsid w:val="00F83761"/>
    <w:rsid w:val="00F838F0"/>
    <w:rsid w:val="00F858D1"/>
    <w:rsid w:val="00F85A24"/>
    <w:rsid w:val="00F87A26"/>
    <w:rsid w:val="00F9016C"/>
    <w:rsid w:val="00F929ED"/>
    <w:rsid w:val="00F9305D"/>
    <w:rsid w:val="00F94CC0"/>
    <w:rsid w:val="00F94D89"/>
    <w:rsid w:val="00F9522F"/>
    <w:rsid w:val="00F96902"/>
    <w:rsid w:val="00FA024A"/>
    <w:rsid w:val="00FA07BF"/>
    <w:rsid w:val="00FA0AA5"/>
    <w:rsid w:val="00FA11CD"/>
    <w:rsid w:val="00FA2346"/>
    <w:rsid w:val="00FA336D"/>
    <w:rsid w:val="00FA37DC"/>
    <w:rsid w:val="00FA3AB1"/>
    <w:rsid w:val="00FA3B62"/>
    <w:rsid w:val="00FA3DE5"/>
    <w:rsid w:val="00FA4A91"/>
    <w:rsid w:val="00FA4EC5"/>
    <w:rsid w:val="00FA5EE1"/>
    <w:rsid w:val="00FA67B0"/>
    <w:rsid w:val="00FA6BB2"/>
    <w:rsid w:val="00FA6E71"/>
    <w:rsid w:val="00FA7ED3"/>
    <w:rsid w:val="00FB1472"/>
    <w:rsid w:val="00FB1994"/>
    <w:rsid w:val="00FB3376"/>
    <w:rsid w:val="00FB4449"/>
    <w:rsid w:val="00FB4CB9"/>
    <w:rsid w:val="00FB5498"/>
    <w:rsid w:val="00FB66E5"/>
    <w:rsid w:val="00FB68FB"/>
    <w:rsid w:val="00FB6F6B"/>
    <w:rsid w:val="00FC35BA"/>
    <w:rsid w:val="00FC3C5A"/>
    <w:rsid w:val="00FC3C7A"/>
    <w:rsid w:val="00FC4BE9"/>
    <w:rsid w:val="00FC4C22"/>
    <w:rsid w:val="00FC6839"/>
    <w:rsid w:val="00FC6FCC"/>
    <w:rsid w:val="00FC745E"/>
    <w:rsid w:val="00FD01FC"/>
    <w:rsid w:val="00FD061B"/>
    <w:rsid w:val="00FD2AD2"/>
    <w:rsid w:val="00FD5F34"/>
    <w:rsid w:val="00FD5FEF"/>
    <w:rsid w:val="00FE2397"/>
    <w:rsid w:val="00FE2D33"/>
    <w:rsid w:val="00FE510B"/>
    <w:rsid w:val="00FE6FC3"/>
    <w:rsid w:val="00FE76B5"/>
    <w:rsid w:val="00FE76D2"/>
    <w:rsid w:val="00FF15B4"/>
    <w:rsid w:val="00FF22AC"/>
    <w:rsid w:val="00FF2598"/>
    <w:rsid w:val="00FF3664"/>
    <w:rsid w:val="00FF42CE"/>
    <w:rsid w:val="00FF5967"/>
    <w:rsid w:val="00FF5CB1"/>
    <w:rsid w:val="00FF5D5C"/>
    <w:rsid w:val="00FF6BE9"/>
    <w:rsid w:val="00FF7393"/>
    <w:rsid w:val="056DC011"/>
    <w:rsid w:val="0F5C4089"/>
    <w:rsid w:val="1C4EC46C"/>
    <w:rsid w:val="1FC475D5"/>
    <w:rsid w:val="2916F7D2"/>
    <w:rsid w:val="3C940BE4"/>
    <w:rsid w:val="3E289352"/>
    <w:rsid w:val="4A87A5DC"/>
    <w:rsid w:val="502D6787"/>
    <w:rsid w:val="6E84C392"/>
    <w:rsid w:val="74C66CAA"/>
    <w:rsid w:val="77922D08"/>
    <w:rsid w:val="7A3060CE"/>
    <w:rsid w:val="7E8CA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049DE3"/>
  <w15:docId w15:val="{BCC0115C-52BB-4E0F-A8DC-941627CD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26"/>
    <w:pPr>
      <w:spacing w:after="0" w:line="240" w:lineRule="auto"/>
    </w:pPr>
    <w:rPr>
      <w:rFonts w:ascii="Times New Roman" w:eastAsia="Calibri"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customStyle="1" w:styleId="UnresolvedMention4">
    <w:name w:val="Unresolved Mention4"/>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62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E0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isc">
    <w:name w:val="naisc"/>
    <w:basedOn w:val="Normal"/>
    <w:rsid w:val="0078752C"/>
    <w:pPr>
      <w:spacing w:before="75" w:after="75"/>
      <w:jc w:val="center"/>
    </w:pPr>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045">
      <w:bodyDiv w:val="1"/>
      <w:marLeft w:val="0"/>
      <w:marRight w:val="0"/>
      <w:marTop w:val="0"/>
      <w:marBottom w:val="0"/>
      <w:divBdr>
        <w:top w:val="none" w:sz="0" w:space="0" w:color="auto"/>
        <w:left w:val="none" w:sz="0" w:space="0" w:color="auto"/>
        <w:bottom w:val="none" w:sz="0" w:space="0" w:color="auto"/>
        <w:right w:val="none" w:sz="0" w:space="0" w:color="auto"/>
      </w:divBdr>
    </w:div>
    <w:div w:id="70196578">
      <w:bodyDiv w:val="1"/>
      <w:marLeft w:val="0"/>
      <w:marRight w:val="0"/>
      <w:marTop w:val="0"/>
      <w:marBottom w:val="0"/>
      <w:divBdr>
        <w:top w:val="none" w:sz="0" w:space="0" w:color="auto"/>
        <w:left w:val="none" w:sz="0" w:space="0" w:color="auto"/>
        <w:bottom w:val="none" w:sz="0" w:space="0" w:color="auto"/>
        <w:right w:val="none" w:sz="0" w:space="0" w:color="auto"/>
      </w:divBdr>
      <w:divsChild>
        <w:div w:id="1163424876">
          <w:marLeft w:val="0"/>
          <w:marRight w:val="0"/>
          <w:marTop w:val="0"/>
          <w:marBottom w:val="0"/>
          <w:divBdr>
            <w:top w:val="none" w:sz="0" w:space="0" w:color="auto"/>
            <w:left w:val="none" w:sz="0" w:space="0" w:color="auto"/>
            <w:bottom w:val="none" w:sz="0" w:space="0" w:color="auto"/>
            <w:right w:val="none" w:sz="0" w:space="0" w:color="auto"/>
          </w:divBdr>
        </w:div>
      </w:divsChild>
    </w:div>
    <w:div w:id="78797198">
      <w:bodyDiv w:val="1"/>
      <w:marLeft w:val="0"/>
      <w:marRight w:val="0"/>
      <w:marTop w:val="0"/>
      <w:marBottom w:val="0"/>
      <w:divBdr>
        <w:top w:val="none" w:sz="0" w:space="0" w:color="auto"/>
        <w:left w:val="none" w:sz="0" w:space="0" w:color="auto"/>
        <w:bottom w:val="none" w:sz="0" w:space="0" w:color="auto"/>
        <w:right w:val="none" w:sz="0" w:space="0" w:color="auto"/>
      </w:divBdr>
    </w:div>
    <w:div w:id="93088069">
      <w:bodyDiv w:val="1"/>
      <w:marLeft w:val="0"/>
      <w:marRight w:val="0"/>
      <w:marTop w:val="0"/>
      <w:marBottom w:val="0"/>
      <w:divBdr>
        <w:top w:val="none" w:sz="0" w:space="0" w:color="auto"/>
        <w:left w:val="none" w:sz="0" w:space="0" w:color="auto"/>
        <w:bottom w:val="none" w:sz="0" w:space="0" w:color="auto"/>
        <w:right w:val="none" w:sz="0" w:space="0" w:color="auto"/>
      </w:divBdr>
    </w:div>
    <w:div w:id="115950268">
      <w:bodyDiv w:val="1"/>
      <w:marLeft w:val="0"/>
      <w:marRight w:val="0"/>
      <w:marTop w:val="0"/>
      <w:marBottom w:val="0"/>
      <w:divBdr>
        <w:top w:val="none" w:sz="0" w:space="0" w:color="auto"/>
        <w:left w:val="none" w:sz="0" w:space="0" w:color="auto"/>
        <w:bottom w:val="none" w:sz="0" w:space="0" w:color="auto"/>
        <w:right w:val="none" w:sz="0" w:space="0" w:color="auto"/>
      </w:divBdr>
      <w:divsChild>
        <w:div w:id="16154314">
          <w:marLeft w:val="0"/>
          <w:marRight w:val="0"/>
          <w:marTop w:val="0"/>
          <w:marBottom w:val="0"/>
          <w:divBdr>
            <w:top w:val="none" w:sz="0" w:space="0" w:color="auto"/>
            <w:left w:val="none" w:sz="0" w:space="0" w:color="auto"/>
            <w:bottom w:val="none" w:sz="0" w:space="0" w:color="auto"/>
            <w:right w:val="none" w:sz="0" w:space="0" w:color="auto"/>
          </w:divBdr>
        </w:div>
        <w:div w:id="219905604">
          <w:marLeft w:val="0"/>
          <w:marRight w:val="0"/>
          <w:marTop w:val="0"/>
          <w:marBottom w:val="0"/>
          <w:divBdr>
            <w:top w:val="none" w:sz="0" w:space="0" w:color="auto"/>
            <w:left w:val="none" w:sz="0" w:space="0" w:color="auto"/>
            <w:bottom w:val="none" w:sz="0" w:space="0" w:color="auto"/>
            <w:right w:val="none" w:sz="0" w:space="0" w:color="auto"/>
          </w:divBdr>
        </w:div>
        <w:div w:id="376854611">
          <w:marLeft w:val="0"/>
          <w:marRight w:val="0"/>
          <w:marTop w:val="0"/>
          <w:marBottom w:val="0"/>
          <w:divBdr>
            <w:top w:val="none" w:sz="0" w:space="0" w:color="auto"/>
            <w:left w:val="none" w:sz="0" w:space="0" w:color="auto"/>
            <w:bottom w:val="none" w:sz="0" w:space="0" w:color="auto"/>
            <w:right w:val="none" w:sz="0" w:space="0" w:color="auto"/>
          </w:divBdr>
        </w:div>
        <w:div w:id="488904269">
          <w:marLeft w:val="0"/>
          <w:marRight w:val="0"/>
          <w:marTop w:val="0"/>
          <w:marBottom w:val="0"/>
          <w:divBdr>
            <w:top w:val="none" w:sz="0" w:space="0" w:color="auto"/>
            <w:left w:val="none" w:sz="0" w:space="0" w:color="auto"/>
            <w:bottom w:val="none" w:sz="0" w:space="0" w:color="auto"/>
            <w:right w:val="none" w:sz="0" w:space="0" w:color="auto"/>
          </w:divBdr>
        </w:div>
        <w:div w:id="489324096">
          <w:marLeft w:val="0"/>
          <w:marRight w:val="0"/>
          <w:marTop w:val="0"/>
          <w:marBottom w:val="0"/>
          <w:divBdr>
            <w:top w:val="none" w:sz="0" w:space="0" w:color="auto"/>
            <w:left w:val="none" w:sz="0" w:space="0" w:color="auto"/>
            <w:bottom w:val="none" w:sz="0" w:space="0" w:color="auto"/>
            <w:right w:val="none" w:sz="0" w:space="0" w:color="auto"/>
          </w:divBdr>
        </w:div>
        <w:div w:id="634988979">
          <w:marLeft w:val="0"/>
          <w:marRight w:val="0"/>
          <w:marTop w:val="0"/>
          <w:marBottom w:val="0"/>
          <w:divBdr>
            <w:top w:val="none" w:sz="0" w:space="0" w:color="auto"/>
            <w:left w:val="none" w:sz="0" w:space="0" w:color="auto"/>
            <w:bottom w:val="none" w:sz="0" w:space="0" w:color="auto"/>
            <w:right w:val="none" w:sz="0" w:space="0" w:color="auto"/>
          </w:divBdr>
        </w:div>
        <w:div w:id="735133072">
          <w:marLeft w:val="0"/>
          <w:marRight w:val="0"/>
          <w:marTop w:val="0"/>
          <w:marBottom w:val="0"/>
          <w:divBdr>
            <w:top w:val="none" w:sz="0" w:space="0" w:color="auto"/>
            <w:left w:val="none" w:sz="0" w:space="0" w:color="auto"/>
            <w:bottom w:val="none" w:sz="0" w:space="0" w:color="auto"/>
            <w:right w:val="none" w:sz="0" w:space="0" w:color="auto"/>
          </w:divBdr>
        </w:div>
        <w:div w:id="820270544">
          <w:marLeft w:val="0"/>
          <w:marRight w:val="0"/>
          <w:marTop w:val="0"/>
          <w:marBottom w:val="0"/>
          <w:divBdr>
            <w:top w:val="none" w:sz="0" w:space="0" w:color="auto"/>
            <w:left w:val="none" w:sz="0" w:space="0" w:color="auto"/>
            <w:bottom w:val="none" w:sz="0" w:space="0" w:color="auto"/>
            <w:right w:val="none" w:sz="0" w:space="0" w:color="auto"/>
          </w:divBdr>
        </w:div>
        <w:div w:id="961035758">
          <w:marLeft w:val="0"/>
          <w:marRight w:val="0"/>
          <w:marTop w:val="0"/>
          <w:marBottom w:val="0"/>
          <w:divBdr>
            <w:top w:val="none" w:sz="0" w:space="0" w:color="auto"/>
            <w:left w:val="none" w:sz="0" w:space="0" w:color="auto"/>
            <w:bottom w:val="none" w:sz="0" w:space="0" w:color="auto"/>
            <w:right w:val="none" w:sz="0" w:space="0" w:color="auto"/>
          </w:divBdr>
        </w:div>
        <w:div w:id="1156334961">
          <w:marLeft w:val="0"/>
          <w:marRight w:val="0"/>
          <w:marTop w:val="0"/>
          <w:marBottom w:val="0"/>
          <w:divBdr>
            <w:top w:val="none" w:sz="0" w:space="0" w:color="auto"/>
            <w:left w:val="none" w:sz="0" w:space="0" w:color="auto"/>
            <w:bottom w:val="none" w:sz="0" w:space="0" w:color="auto"/>
            <w:right w:val="none" w:sz="0" w:space="0" w:color="auto"/>
          </w:divBdr>
        </w:div>
        <w:div w:id="1271889402">
          <w:marLeft w:val="0"/>
          <w:marRight w:val="0"/>
          <w:marTop w:val="0"/>
          <w:marBottom w:val="0"/>
          <w:divBdr>
            <w:top w:val="none" w:sz="0" w:space="0" w:color="auto"/>
            <w:left w:val="none" w:sz="0" w:space="0" w:color="auto"/>
            <w:bottom w:val="none" w:sz="0" w:space="0" w:color="auto"/>
            <w:right w:val="none" w:sz="0" w:space="0" w:color="auto"/>
          </w:divBdr>
        </w:div>
        <w:div w:id="1334724217">
          <w:marLeft w:val="0"/>
          <w:marRight w:val="0"/>
          <w:marTop w:val="0"/>
          <w:marBottom w:val="0"/>
          <w:divBdr>
            <w:top w:val="none" w:sz="0" w:space="0" w:color="auto"/>
            <w:left w:val="none" w:sz="0" w:space="0" w:color="auto"/>
            <w:bottom w:val="none" w:sz="0" w:space="0" w:color="auto"/>
            <w:right w:val="none" w:sz="0" w:space="0" w:color="auto"/>
          </w:divBdr>
        </w:div>
        <w:div w:id="1583024638">
          <w:marLeft w:val="0"/>
          <w:marRight w:val="0"/>
          <w:marTop w:val="0"/>
          <w:marBottom w:val="0"/>
          <w:divBdr>
            <w:top w:val="none" w:sz="0" w:space="0" w:color="auto"/>
            <w:left w:val="none" w:sz="0" w:space="0" w:color="auto"/>
            <w:bottom w:val="none" w:sz="0" w:space="0" w:color="auto"/>
            <w:right w:val="none" w:sz="0" w:space="0" w:color="auto"/>
          </w:divBdr>
        </w:div>
        <w:div w:id="1589803889">
          <w:marLeft w:val="0"/>
          <w:marRight w:val="0"/>
          <w:marTop w:val="0"/>
          <w:marBottom w:val="0"/>
          <w:divBdr>
            <w:top w:val="none" w:sz="0" w:space="0" w:color="auto"/>
            <w:left w:val="none" w:sz="0" w:space="0" w:color="auto"/>
            <w:bottom w:val="none" w:sz="0" w:space="0" w:color="auto"/>
            <w:right w:val="none" w:sz="0" w:space="0" w:color="auto"/>
          </w:divBdr>
        </w:div>
        <w:div w:id="1643193077">
          <w:marLeft w:val="0"/>
          <w:marRight w:val="0"/>
          <w:marTop w:val="0"/>
          <w:marBottom w:val="0"/>
          <w:divBdr>
            <w:top w:val="none" w:sz="0" w:space="0" w:color="auto"/>
            <w:left w:val="none" w:sz="0" w:space="0" w:color="auto"/>
            <w:bottom w:val="none" w:sz="0" w:space="0" w:color="auto"/>
            <w:right w:val="none" w:sz="0" w:space="0" w:color="auto"/>
          </w:divBdr>
        </w:div>
        <w:div w:id="2126734237">
          <w:marLeft w:val="0"/>
          <w:marRight w:val="0"/>
          <w:marTop w:val="0"/>
          <w:marBottom w:val="0"/>
          <w:divBdr>
            <w:top w:val="none" w:sz="0" w:space="0" w:color="auto"/>
            <w:left w:val="none" w:sz="0" w:space="0" w:color="auto"/>
            <w:bottom w:val="none" w:sz="0" w:space="0" w:color="auto"/>
            <w:right w:val="none" w:sz="0" w:space="0" w:color="auto"/>
          </w:divBdr>
        </w:div>
      </w:divsChild>
    </w:div>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190844085">
      <w:bodyDiv w:val="1"/>
      <w:marLeft w:val="0"/>
      <w:marRight w:val="0"/>
      <w:marTop w:val="0"/>
      <w:marBottom w:val="0"/>
      <w:divBdr>
        <w:top w:val="none" w:sz="0" w:space="0" w:color="auto"/>
        <w:left w:val="none" w:sz="0" w:space="0" w:color="auto"/>
        <w:bottom w:val="none" w:sz="0" w:space="0" w:color="auto"/>
        <w:right w:val="none" w:sz="0" w:space="0" w:color="auto"/>
      </w:divBdr>
    </w:div>
    <w:div w:id="202837949">
      <w:bodyDiv w:val="1"/>
      <w:marLeft w:val="0"/>
      <w:marRight w:val="0"/>
      <w:marTop w:val="0"/>
      <w:marBottom w:val="0"/>
      <w:divBdr>
        <w:top w:val="none" w:sz="0" w:space="0" w:color="auto"/>
        <w:left w:val="none" w:sz="0" w:space="0" w:color="auto"/>
        <w:bottom w:val="none" w:sz="0" w:space="0" w:color="auto"/>
        <w:right w:val="none" w:sz="0" w:space="0" w:color="auto"/>
      </w:divBdr>
    </w:div>
    <w:div w:id="262350200">
      <w:bodyDiv w:val="1"/>
      <w:marLeft w:val="0"/>
      <w:marRight w:val="0"/>
      <w:marTop w:val="0"/>
      <w:marBottom w:val="0"/>
      <w:divBdr>
        <w:top w:val="none" w:sz="0" w:space="0" w:color="auto"/>
        <w:left w:val="none" w:sz="0" w:space="0" w:color="auto"/>
        <w:bottom w:val="none" w:sz="0" w:space="0" w:color="auto"/>
        <w:right w:val="none" w:sz="0" w:space="0" w:color="auto"/>
      </w:divBdr>
    </w:div>
    <w:div w:id="29375826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6">
          <w:marLeft w:val="0"/>
          <w:marRight w:val="0"/>
          <w:marTop w:val="0"/>
          <w:marBottom w:val="0"/>
          <w:divBdr>
            <w:top w:val="none" w:sz="0" w:space="0" w:color="auto"/>
            <w:left w:val="none" w:sz="0" w:space="0" w:color="auto"/>
            <w:bottom w:val="none" w:sz="0" w:space="0" w:color="auto"/>
            <w:right w:val="none" w:sz="0" w:space="0" w:color="auto"/>
          </w:divBdr>
        </w:div>
      </w:divsChild>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2638">
      <w:bodyDiv w:val="1"/>
      <w:marLeft w:val="0"/>
      <w:marRight w:val="0"/>
      <w:marTop w:val="0"/>
      <w:marBottom w:val="0"/>
      <w:divBdr>
        <w:top w:val="none" w:sz="0" w:space="0" w:color="auto"/>
        <w:left w:val="none" w:sz="0" w:space="0" w:color="auto"/>
        <w:bottom w:val="none" w:sz="0" w:space="0" w:color="auto"/>
        <w:right w:val="none" w:sz="0" w:space="0" w:color="auto"/>
      </w:divBdr>
      <w:divsChild>
        <w:div w:id="1724404068">
          <w:marLeft w:val="0"/>
          <w:marRight w:val="0"/>
          <w:marTop w:val="0"/>
          <w:marBottom w:val="0"/>
          <w:divBdr>
            <w:top w:val="none" w:sz="0" w:space="0" w:color="auto"/>
            <w:left w:val="none" w:sz="0" w:space="0" w:color="auto"/>
            <w:bottom w:val="none" w:sz="0" w:space="0" w:color="auto"/>
            <w:right w:val="none" w:sz="0" w:space="0" w:color="auto"/>
          </w:divBdr>
        </w:div>
      </w:divsChild>
    </w:div>
    <w:div w:id="331953510">
      <w:bodyDiv w:val="1"/>
      <w:marLeft w:val="0"/>
      <w:marRight w:val="0"/>
      <w:marTop w:val="0"/>
      <w:marBottom w:val="0"/>
      <w:divBdr>
        <w:top w:val="none" w:sz="0" w:space="0" w:color="auto"/>
        <w:left w:val="none" w:sz="0" w:space="0" w:color="auto"/>
        <w:bottom w:val="none" w:sz="0" w:space="0" w:color="auto"/>
        <w:right w:val="none" w:sz="0" w:space="0" w:color="auto"/>
      </w:divBdr>
    </w:div>
    <w:div w:id="332488921">
      <w:bodyDiv w:val="1"/>
      <w:marLeft w:val="0"/>
      <w:marRight w:val="0"/>
      <w:marTop w:val="0"/>
      <w:marBottom w:val="0"/>
      <w:divBdr>
        <w:top w:val="none" w:sz="0" w:space="0" w:color="auto"/>
        <w:left w:val="none" w:sz="0" w:space="0" w:color="auto"/>
        <w:bottom w:val="none" w:sz="0" w:space="0" w:color="auto"/>
        <w:right w:val="none" w:sz="0" w:space="0" w:color="auto"/>
      </w:divBdr>
      <w:divsChild>
        <w:div w:id="776557818">
          <w:marLeft w:val="0"/>
          <w:marRight w:val="0"/>
          <w:marTop w:val="0"/>
          <w:marBottom w:val="0"/>
          <w:divBdr>
            <w:top w:val="none" w:sz="0" w:space="0" w:color="auto"/>
            <w:left w:val="none" w:sz="0" w:space="0" w:color="auto"/>
            <w:bottom w:val="none" w:sz="0" w:space="0" w:color="auto"/>
            <w:right w:val="none" w:sz="0" w:space="0" w:color="auto"/>
          </w:divBdr>
        </w:div>
      </w:divsChild>
    </w:div>
    <w:div w:id="341012206">
      <w:bodyDiv w:val="1"/>
      <w:marLeft w:val="0"/>
      <w:marRight w:val="0"/>
      <w:marTop w:val="0"/>
      <w:marBottom w:val="0"/>
      <w:divBdr>
        <w:top w:val="none" w:sz="0" w:space="0" w:color="auto"/>
        <w:left w:val="none" w:sz="0" w:space="0" w:color="auto"/>
        <w:bottom w:val="none" w:sz="0" w:space="0" w:color="auto"/>
        <w:right w:val="none" w:sz="0" w:space="0" w:color="auto"/>
      </w:divBdr>
    </w:div>
    <w:div w:id="369113829">
      <w:bodyDiv w:val="1"/>
      <w:marLeft w:val="0"/>
      <w:marRight w:val="0"/>
      <w:marTop w:val="0"/>
      <w:marBottom w:val="0"/>
      <w:divBdr>
        <w:top w:val="none" w:sz="0" w:space="0" w:color="auto"/>
        <w:left w:val="none" w:sz="0" w:space="0" w:color="auto"/>
        <w:bottom w:val="none" w:sz="0" w:space="0" w:color="auto"/>
        <w:right w:val="none" w:sz="0" w:space="0" w:color="auto"/>
      </w:divBdr>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554373">
      <w:bodyDiv w:val="1"/>
      <w:marLeft w:val="0"/>
      <w:marRight w:val="0"/>
      <w:marTop w:val="0"/>
      <w:marBottom w:val="0"/>
      <w:divBdr>
        <w:top w:val="none" w:sz="0" w:space="0" w:color="auto"/>
        <w:left w:val="none" w:sz="0" w:space="0" w:color="auto"/>
        <w:bottom w:val="none" w:sz="0" w:space="0" w:color="auto"/>
        <w:right w:val="none" w:sz="0" w:space="0" w:color="auto"/>
      </w:divBdr>
      <w:divsChild>
        <w:div w:id="1073238976">
          <w:marLeft w:val="0"/>
          <w:marRight w:val="0"/>
          <w:marTop w:val="0"/>
          <w:marBottom w:val="0"/>
          <w:divBdr>
            <w:top w:val="none" w:sz="0" w:space="0" w:color="auto"/>
            <w:left w:val="none" w:sz="0" w:space="0" w:color="auto"/>
            <w:bottom w:val="none" w:sz="0" w:space="0" w:color="auto"/>
            <w:right w:val="none" w:sz="0" w:space="0" w:color="auto"/>
          </w:divBdr>
        </w:div>
      </w:divsChild>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8549739">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26200861">
      <w:bodyDiv w:val="1"/>
      <w:marLeft w:val="0"/>
      <w:marRight w:val="0"/>
      <w:marTop w:val="0"/>
      <w:marBottom w:val="0"/>
      <w:divBdr>
        <w:top w:val="none" w:sz="0" w:space="0" w:color="auto"/>
        <w:left w:val="none" w:sz="0" w:space="0" w:color="auto"/>
        <w:bottom w:val="none" w:sz="0" w:space="0" w:color="auto"/>
        <w:right w:val="none" w:sz="0" w:space="0" w:color="auto"/>
      </w:divBdr>
      <w:divsChild>
        <w:div w:id="2067605161">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16203815">
      <w:bodyDiv w:val="1"/>
      <w:marLeft w:val="0"/>
      <w:marRight w:val="0"/>
      <w:marTop w:val="0"/>
      <w:marBottom w:val="0"/>
      <w:divBdr>
        <w:top w:val="none" w:sz="0" w:space="0" w:color="auto"/>
        <w:left w:val="none" w:sz="0" w:space="0" w:color="auto"/>
        <w:bottom w:val="none" w:sz="0" w:space="0" w:color="auto"/>
        <w:right w:val="none" w:sz="0" w:space="0" w:color="auto"/>
      </w:divBdr>
      <w:divsChild>
        <w:div w:id="1115707436">
          <w:marLeft w:val="0"/>
          <w:marRight w:val="0"/>
          <w:marTop w:val="0"/>
          <w:marBottom w:val="0"/>
          <w:divBdr>
            <w:top w:val="none" w:sz="0" w:space="0" w:color="auto"/>
            <w:left w:val="none" w:sz="0" w:space="0" w:color="auto"/>
            <w:bottom w:val="none" w:sz="0" w:space="0" w:color="auto"/>
            <w:right w:val="none" w:sz="0" w:space="0" w:color="auto"/>
          </w:divBdr>
        </w:div>
      </w:divsChild>
    </w:div>
    <w:div w:id="725835066">
      <w:bodyDiv w:val="1"/>
      <w:marLeft w:val="0"/>
      <w:marRight w:val="0"/>
      <w:marTop w:val="0"/>
      <w:marBottom w:val="0"/>
      <w:divBdr>
        <w:top w:val="none" w:sz="0" w:space="0" w:color="auto"/>
        <w:left w:val="none" w:sz="0" w:space="0" w:color="auto"/>
        <w:bottom w:val="none" w:sz="0" w:space="0" w:color="auto"/>
        <w:right w:val="none" w:sz="0" w:space="0" w:color="auto"/>
      </w:divBdr>
    </w:div>
    <w:div w:id="726537558">
      <w:bodyDiv w:val="1"/>
      <w:marLeft w:val="0"/>
      <w:marRight w:val="0"/>
      <w:marTop w:val="0"/>
      <w:marBottom w:val="0"/>
      <w:divBdr>
        <w:top w:val="none" w:sz="0" w:space="0" w:color="auto"/>
        <w:left w:val="none" w:sz="0" w:space="0" w:color="auto"/>
        <w:bottom w:val="none" w:sz="0" w:space="0" w:color="auto"/>
        <w:right w:val="none" w:sz="0" w:space="0" w:color="auto"/>
      </w:divBdr>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61412274">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5101321">
      <w:bodyDiv w:val="1"/>
      <w:marLeft w:val="0"/>
      <w:marRight w:val="0"/>
      <w:marTop w:val="0"/>
      <w:marBottom w:val="0"/>
      <w:divBdr>
        <w:top w:val="none" w:sz="0" w:space="0" w:color="auto"/>
        <w:left w:val="none" w:sz="0" w:space="0" w:color="auto"/>
        <w:bottom w:val="none" w:sz="0" w:space="0" w:color="auto"/>
        <w:right w:val="none" w:sz="0" w:space="0" w:color="auto"/>
      </w:divBdr>
      <w:divsChild>
        <w:div w:id="1954481617">
          <w:marLeft w:val="0"/>
          <w:marRight w:val="0"/>
          <w:marTop w:val="0"/>
          <w:marBottom w:val="0"/>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36380369">
      <w:bodyDiv w:val="1"/>
      <w:marLeft w:val="0"/>
      <w:marRight w:val="0"/>
      <w:marTop w:val="0"/>
      <w:marBottom w:val="0"/>
      <w:divBdr>
        <w:top w:val="none" w:sz="0" w:space="0" w:color="auto"/>
        <w:left w:val="none" w:sz="0" w:space="0" w:color="auto"/>
        <w:bottom w:val="none" w:sz="0" w:space="0" w:color="auto"/>
        <w:right w:val="none" w:sz="0" w:space="0" w:color="auto"/>
      </w:divBdr>
    </w:div>
    <w:div w:id="838467931">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92242024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30">
          <w:marLeft w:val="0"/>
          <w:marRight w:val="0"/>
          <w:marTop w:val="0"/>
          <w:marBottom w:val="0"/>
          <w:divBdr>
            <w:top w:val="none" w:sz="0" w:space="0" w:color="auto"/>
            <w:left w:val="none" w:sz="0" w:space="0" w:color="auto"/>
            <w:bottom w:val="none" w:sz="0" w:space="0" w:color="auto"/>
            <w:right w:val="none" w:sz="0" w:space="0" w:color="auto"/>
          </w:divBdr>
        </w:div>
      </w:divsChild>
    </w:div>
    <w:div w:id="977228337">
      <w:bodyDiv w:val="1"/>
      <w:marLeft w:val="0"/>
      <w:marRight w:val="0"/>
      <w:marTop w:val="0"/>
      <w:marBottom w:val="0"/>
      <w:divBdr>
        <w:top w:val="none" w:sz="0" w:space="0" w:color="auto"/>
        <w:left w:val="none" w:sz="0" w:space="0" w:color="auto"/>
        <w:bottom w:val="none" w:sz="0" w:space="0" w:color="auto"/>
        <w:right w:val="none" w:sz="0" w:space="0" w:color="auto"/>
      </w:divBdr>
      <w:divsChild>
        <w:div w:id="1773358610">
          <w:marLeft w:val="0"/>
          <w:marRight w:val="0"/>
          <w:marTop w:val="0"/>
          <w:marBottom w:val="0"/>
          <w:divBdr>
            <w:top w:val="none" w:sz="0" w:space="0" w:color="auto"/>
            <w:left w:val="none" w:sz="0" w:space="0" w:color="auto"/>
            <w:bottom w:val="none" w:sz="0" w:space="0" w:color="auto"/>
            <w:right w:val="none" w:sz="0" w:space="0" w:color="auto"/>
          </w:divBdr>
        </w:div>
      </w:divsChild>
    </w:div>
    <w:div w:id="1048215229">
      <w:bodyDiv w:val="1"/>
      <w:marLeft w:val="0"/>
      <w:marRight w:val="0"/>
      <w:marTop w:val="0"/>
      <w:marBottom w:val="0"/>
      <w:divBdr>
        <w:top w:val="none" w:sz="0" w:space="0" w:color="auto"/>
        <w:left w:val="none" w:sz="0" w:space="0" w:color="auto"/>
        <w:bottom w:val="none" w:sz="0" w:space="0" w:color="auto"/>
        <w:right w:val="none" w:sz="0" w:space="0" w:color="auto"/>
      </w:divBdr>
      <w:divsChild>
        <w:div w:id="706758492">
          <w:marLeft w:val="0"/>
          <w:marRight w:val="0"/>
          <w:marTop w:val="0"/>
          <w:marBottom w:val="0"/>
          <w:divBdr>
            <w:top w:val="none" w:sz="0" w:space="0" w:color="auto"/>
            <w:left w:val="none" w:sz="0" w:space="0" w:color="auto"/>
            <w:bottom w:val="none" w:sz="0" w:space="0" w:color="auto"/>
            <w:right w:val="none" w:sz="0" w:space="0" w:color="auto"/>
          </w:divBdr>
        </w:div>
      </w:divsChild>
    </w:div>
    <w:div w:id="1050152060">
      <w:bodyDiv w:val="1"/>
      <w:marLeft w:val="0"/>
      <w:marRight w:val="0"/>
      <w:marTop w:val="0"/>
      <w:marBottom w:val="0"/>
      <w:divBdr>
        <w:top w:val="none" w:sz="0" w:space="0" w:color="auto"/>
        <w:left w:val="none" w:sz="0" w:space="0" w:color="auto"/>
        <w:bottom w:val="none" w:sz="0" w:space="0" w:color="auto"/>
        <w:right w:val="none" w:sz="0" w:space="0" w:color="auto"/>
      </w:divBdr>
    </w:div>
    <w:div w:id="1059864802">
      <w:bodyDiv w:val="1"/>
      <w:marLeft w:val="0"/>
      <w:marRight w:val="0"/>
      <w:marTop w:val="0"/>
      <w:marBottom w:val="0"/>
      <w:divBdr>
        <w:top w:val="none" w:sz="0" w:space="0" w:color="auto"/>
        <w:left w:val="none" w:sz="0" w:space="0" w:color="auto"/>
        <w:bottom w:val="none" w:sz="0" w:space="0" w:color="auto"/>
        <w:right w:val="none" w:sz="0" w:space="0" w:color="auto"/>
      </w:divBdr>
      <w:divsChild>
        <w:div w:id="25495099">
          <w:marLeft w:val="0"/>
          <w:marRight w:val="0"/>
          <w:marTop w:val="0"/>
          <w:marBottom w:val="0"/>
          <w:divBdr>
            <w:top w:val="none" w:sz="0" w:space="0" w:color="auto"/>
            <w:left w:val="none" w:sz="0" w:space="0" w:color="auto"/>
            <w:bottom w:val="none" w:sz="0" w:space="0" w:color="auto"/>
            <w:right w:val="none" w:sz="0" w:space="0" w:color="auto"/>
          </w:divBdr>
        </w:div>
        <w:div w:id="100077508">
          <w:marLeft w:val="0"/>
          <w:marRight w:val="0"/>
          <w:marTop w:val="0"/>
          <w:marBottom w:val="0"/>
          <w:divBdr>
            <w:top w:val="none" w:sz="0" w:space="0" w:color="auto"/>
            <w:left w:val="none" w:sz="0" w:space="0" w:color="auto"/>
            <w:bottom w:val="none" w:sz="0" w:space="0" w:color="auto"/>
            <w:right w:val="none" w:sz="0" w:space="0" w:color="auto"/>
          </w:divBdr>
        </w:div>
        <w:div w:id="252591584">
          <w:marLeft w:val="0"/>
          <w:marRight w:val="0"/>
          <w:marTop w:val="0"/>
          <w:marBottom w:val="0"/>
          <w:divBdr>
            <w:top w:val="none" w:sz="0" w:space="0" w:color="auto"/>
            <w:left w:val="none" w:sz="0" w:space="0" w:color="auto"/>
            <w:bottom w:val="none" w:sz="0" w:space="0" w:color="auto"/>
            <w:right w:val="none" w:sz="0" w:space="0" w:color="auto"/>
          </w:divBdr>
        </w:div>
        <w:div w:id="312487807">
          <w:marLeft w:val="0"/>
          <w:marRight w:val="0"/>
          <w:marTop w:val="0"/>
          <w:marBottom w:val="0"/>
          <w:divBdr>
            <w:top w:val="none" w:sz="0" w:space="0" w:color="auto"/>
            <w:left w:val="none" w:sz="0" w:space="0" w:color="auto"/>
            <w:bottom w:val="none" w:sz="0" w:space="0" w:color="auto"/>
            <w:right w:val="none" w:sz="0" w:space="0" w:color="auto"/>
          </w:divBdr>
        </w:div>
        <w:div w:id="326440292">
          <w:marLeft w:val="0"/>
          <w:marRight w:val="0"/>
          <w:marTop w:val="0"/>
          <w:marBottom w:val="0"/>
          <w:divBdr>
            <w:top w:val="none" w:sz="0" w:space="0" w:color="auto"/>
            <w:left w:val="none" w:sz="0" w:space="0" w:color="auto"/>
            <w:bottom w:val="none" w:sz="0" w:space="0" w:color="auto"/>
            <w:right w:val="none" w:sz="0" w:space="0" w:color="auto"/>
          </w:divBdr>
        </w:div>
        <w:div w:id="339746606">
          <w:marLeft w:val="0"/>
          <w:marRight w:val="0"/>
          <w:marTop w:val="0"/>
          <w:marBottom w:val="0"/>
          <w:divBdr>
            <w:top w:val="none" w:sz="0" w:space="0" w:color="auto"/>
            <w:left w:val="none" w:sz="0" w:space="0" w:color="auto"/>
            <w:bottom w:val="none" w:sz="0" w:space="0" w:color="auto"/>
            <w:right w:val="none" w:sz="0" w:space="0" w:color="auto"/>
          </w:divBdr>
        </w:div>
        <w:div w:id="341514281">
          <w:marLeft w:val="0"/>
          <w:marRight w:val="0"/>
          <w:marTop w:val="0"/>
          <w:marBottom w:val="0"/>
          <w:divBdr>
            <w:top w:val="none" w:sz="0" w:space="0" w:color="auto"/>
            <w:left w:val="none" w:sz="0" w:space="0" w:color="auto"/>
            <w:bottom w:val="none" w:sz="0" w:space="0" w:color="auto"/>
            <w:right w:val="none" w:sz="0" w:space="0" w:color="auto"/>
          </w:divBdr>
        </w:div>
        <w:div w:id="418328014">
          <w:marLeft w:val="0"/>
          <w:marRight w:val="0"/>
          <w:marTop w:val="0"/>
          <w:marBottom w:val="0"/>
          <w:divBdr>
            <w:top w:val="none" w:sz="0" w:space="0" w:color="auto"/>
            <w:left w:val="none" w:sz="0" w:space="0" w:color="auto"/>
            <w:bottom w:val="none" w:sz="0" w:space="0" w:color="auto"/>
            <w:right w:val="none" w:sz="0" w:space="0" w:color="auto"/>
          </w:divBdr>
        </w:div>
        <w:div w:id="560334987">
          <w:marLeft w:val="0"/>
          <w:marRight w:val="0"/>
          <w:marTop w:val="0"/>
          <w:marBottom w:val="0"/>
          <w:divBdr>
            <w:top w:val="none" w:sz="0" w:space="0" w:color="auto"/>
            <w:left w:val="none" w:sz="0" w:space="0" w:color="auto"/>
            <w:bottom w:val="none" w:sz="0" w:space="0" w:color="auto"/>
            <w:right w:val="none" w:sz="0" w:space="0" w:color="auto"/>
          </w:divBdr>
        </w:div>
        <w:div w:id="615020806">
          <w:marLeft w:val="0"/>
          <w:marRight w:val="0"/>
          <w:marTop w:val="0"/>
          <w:marBottom w:val="0"/>
          <w:divBdr>
            <w:top w:val="none" w:sz="0" w:space="0" w:color="auto"/>
            <w:left w:val="none" w:sz="0" w:space="0" w:color="auto"/>
            <w:bottom w:val="none" w:sz="0" w:space="0" w:color="auto"/>
            <w:right w:val="none" w:sz="0" w:space="0" w:color="auto"/>
          </w:divBdr>
        </w:div>
        <w:div w:id="623387934">
          <w:marLeft w:val="0"/>
          <w:marRight w:val="0"/>
          <w:marTop w:val="0"/>
          <w:marBottom w:val="0"/>
          <w:divBdr>
            <w:top w:val="none" w:sz="0" w:space="0" w:color="auto"/>
            <w:left w:val="none" w:sz="0" w:space="0" w:color="auto"/>
            <w:bottom w:val="none" w:sz="0" w:space="0" w:color="auto"/>
            <w:right w:val="none" w:sz="0" w:space="0" w:color="auto"/>
          </w:divBdr>
        </w:div>
        <w:div w:id="723718652">
          <w:marLeft w:val="0"/>
          <w:marRight w:val="0"/>
          <w:marTop w:val="0"/>
          <w:marBottom w:val="0"/>
          <w:divBdr>
            <w:top w:val="none" w:sz="0" w:space="0" w:color="auto"/>
            <w:left w:val="none" w:sz="0" w:space="0" w:color="auto"/>
            <w:bottom w:val="none" w:sz="0" w:space="0" w:color="auto"/>
            <w:right w:val="none" w:sz="0" w:space="0" w:color="auto"/>
          </w:divBdr>
        </w:div>
        <w:div w:id="749814513">
          <w:marLeft w:val="0"/>
          <w:marRight w:val="0"/>
          <w:marTop w:val="0"/>
          <w:marBottom w:val="0"/>
          <w:divBdr>
            <w:top w:val="none" w:sz="0" w:space="0" w:color="auto"/>
            <w:left w:val="none" w:sz="0" w:space="0" w:color="auto"/>
            <w:bottom w:val="none" w:sz="0" w:space="0" w:color="auto"/>
            <w:right w:val="none" w:sz="0" w:space="0" w:color="auto"/>
          </w:divBdr>
        </w:div>
        <w:div w:id="797534789">
          <w:marLeft w:val="0"/>
          <w:marRight w:val="0"/>
          <w:marTop w:val="0"/>
          <w:marBottom w:val="0"/>
          <w:divBdr>
            <w:top w:val="none" w:sz="0" w:space="0" w:color="auto"/>
            <w:left w:val="none" w:sz="0" w:space="0" w:color="auto"/>
            <w:bottom w:val="none" w:sz="0" w:space="0" w:color="auto"/>
            <w:right w:val="none" w:sz="0" w:space="0" w:color="auto"/>
          </w:divBdr>
        </w:div>
        <w:div w:id="854613785">
          <w:marLeft w:val="0"/>
          <w:marRight w:val="0"/>
          <w:marTop w:val="0"/>
          <w:marBottom w:val="0"/>
          <w:divBdr>
            <w:top w:val="none" w:sz="0" w:space="0" w:color="auto"/>
            <w:left w:val="none" w:sz="0" w:space="0" w:color="auto"/>
            <w:bottom w:val="none" w:sz="0" w:space="0" w:color="auto"/>
            <w:right w:val="none" w:sz="0" w:space="0" w:color="auto"/>
          </w:divBdr>
        </w:div>
        <w:div w:id="871380754">
          <w:marLeft w:val="0"/>
          <w:marRight w:val="0"/>
          <w:marTop w:val="0"/>
          <w:marBottom w:val="0"/>
          <w:divBdr>
            <w:top w:val="none" w:sz="0" w:space="0" w:color="auto"/>
            <w:left w:val="none" w:sz="0" w:space="0" w:color="auto"/>
            <w:bottom w:val="none" w:sz="0" w:space="0" w:color="auto"/>
            <w:right w:val="none" w:sz="0" w:space="0" w:color="auto"/>
          </w:divBdr>
        </w:div>
        <w:div w:id="934441118">
          <w:marLeft w:val="0"/>
          <w:marRight w:val="0"/>
          <w:marTop w:val="0"/>
          <w:marBottom w:val="0"/>
          <w:divBdr>
            <w:top w:val="none" w:sz="0" w:space="0" w:color="auto"/>
            <w:left w:val="none" w:sz="0" w:space="0" w:color="auto"/>
            <w:bottom w:val="none" w:sz="0" w:space="0" w:color="auto"/>
            <w:right w:val="none" w:sz="0" w:space="0" w:color="auto"/>
          </w:divBdr>
        </w:div>
        <w:div w:id="1026952004">
          <w:marLeft w:val="0"/>
          <w:marRight w:val="0"/>
          <w:marTop w:val="0"/>
          <w:marBottom w:val="0"/>
          <w:divBdr>
            <w:top w:val="none" w:sz="0" w:space="0" w:color="auto"/>
            <w:left w:val="none" w:sz="0" w:space="0" w:color="auto"/>
            <w:bottom w:val="none" w:sz="0" w:space="0" w:color="auto"/>
            <w:right w:val="none" w:sz="0" w:space="0" w:color="auto"/>
          </w:divBdr>
        </w:div>
        <w:div w:id="1074156708">
          <w:marLeft w:val="0"/>
          <w:marRight w:val="0"/>
          <w:marTop w:val="0"/>
          <w:marBottom w:val="0"/>
          <w:divBdr>
            <w:top w:val="none" w:sz="0" w:space="0" w:color="auto"/>
            <w:left w:val="none" w:sz="0" w:space="0" w:color="auto"/>
            <w:bottom w:val="none" w:sz="0" w:space="0" w:color="auto"/>
            <w:right w:val="none" w:sz="0" w:space="0" w:color="auto"/>
          </w:divBdr>
        </w:div>
        <w:div w:id="1136142390">
          <w:marLeft w:val="0"/>
          <w:marRight w:val="0"/>
          <w:marTop w:val="0"/>
          <w:marBottom w:val="0"/>
          <w:divBdr>
            <w:top w:val="none" w:sz="0" w:space="0" w:color="auto"/>
            <w:left w:val="none" w:sz="0" w:space="0" w:color="auto"/>
            <w:bottom w:val="none" w:sz="0" w:space="0" w:color="auto"/>
            <w:right w:val="none" w:sz="0" w:space="0" w:color="auto"/>
          </w:divBdr>
        </w:div>
        <w:div w:id="1232076894">
          <w:marLeft w:val="0"/>
          <w:marRight w:val="0"/>
          <w:marTop w:val="0"/>
          <w:marBottom w:val="0"/>
          <w:divBdr>
            <w:top w:val="none" w:sz="0" w:space="0" w:color="auto"/>
            <w:left w:val="none" w:sz="0" w:space="0" w:color="auto"/>
            <w:bottom w:val="none" w:sz="0" w:space="0" w:color="auto"/>
            <w:right w:val="none" w:sz="0" w:space="0" w:color="auto"/>
          </w:divBdr>
        </w:div>
        <w:div w:id="1568031283">
          <w:marLeft w:val="0"/>
          <w:marRight w:val="0"/>
          <w:marTop w:val="0"/>
          <w:marBottom w:val="0"/>
          <w:divBdr>
            <w:top w:val="none" w:sz="0" w:space="0" w:color="auto"/>
            <w:left w:val="none" w:sz="0" w:space="0" w:color="auto"/>
            <w:bottom w:val="none" w:sz="0" w:space="0" w:color="auto"/>
            <w:right w:val="none" w:sz="0" w:space="0" w:color="auto"/>
          </w:divBdr>
        </w:div>
        <w:div w:id="1601640340">
          <w:marLeft w:val="0"/>
          <w:marRight w:val="0"/>
          <w:marTop w:val="0"/>
          <w:marBottom w:val="0"/>
          <w:divBdr>
            <w:top w:val="none" w:sz="0" w:space="0" w:color="auto"/>
            <w:left w:val="none" w:sz="0" w:space="0" w:color="auto"/>
            <w:bottom w:val="none" w:sz="0" w:space="0" w:color="auto"/>
            <w:right w:val="none" w:sz="0" w:space="0" w:color="auto"/>
          </w:divBdr>
        </w:div>
        <w:div w:id="1715277066">
          <w:marLeft w:val="0"/>
          <w:marRight w:val="0"/>
          <w:marTop w:val="0"/>
          <w:marBottom w:val="0"/>
          <w:divBdr>
            <w:top w:val="none" w:sz="0" w:space="0" w:color="auto"/>
            <w:left w:val="none" w:sz="0" w:space="0" w:color="auto"/>
            <w:bottom w:val="none" w:sz="0" w:space="0" w:color="auto"/>
            <w:right w:val="none" w:sz="0" w:space="0" w:color="auto"/>
          </w:divBdr>
        </w:div>
        <w:div w:id="1727071038">
          <w:marLeft w:val="0"/>
          <w:marRight w:val="0"/>
          <w:marTop w:val="0"/>
          <w:marBottom w:val="0"/>
          <w:divBdr>
            <w:top w:val="none" w:sz="0" w:space="0" w:color="auto"/>
            <w:left w:val="none" w:sz="0" w:space="0" w:color="auto"/>
            <w:bottom w:val="none" w:sz="0" w:space="0" w:color="auto"/>
            <w:right w:val="none" w:sz="0" w:space="0" w:color="auto"/>
          </w:divBdr>
        </w:div>
        <w:div w:id="1740051848">
          <w:marLeft w:val="0"/>
          <w:marRight w:val="0"/>
          <w:marTop w:val="0"/>
          <w:marBottom w:val="0"/>
          <w:divBdr>
            <w:top w:val="none" w:sz="0" w:space="0" w:color="auto"/>
            <w:left w:val="none" w:sz="0" w:space="0" w:color="auto"/>
            <w:bottom w:val="none" w:sz="0" w:space="0" w:color="auto"/>
            <w:right w:val="none" w:sz="0" w:space="0" w:color="auto"/>
          </w:divBdr>
        </w:div>
        <w:div w:id="1756511536">
          <w:marLeft w:val="0"/>
          <w:marRight w:val="0"/>
          <w:marTop w:val="0"/>
          <w:marBottom w:val="0"/>
          <w:divBdr>
            <w:top w:val="none" w:sz="0" w:space="0" w:color="auto"/>
            <w:left w:val="none" w:sz="0" w:space="0" w:color="auto"/>
            <w:bottom w:val="none" w:sz="0" w:space="0" w:color="auto"/>
            <w:right w:val="none" w:sz="0" w:space="0" w:color="auto"/>
          </w:divBdr>
        </w:div>
        <w:div w:id="1834490192">
          <w:marLeft w:val="0"/>
          <w:marRight w:val="0"/>
          <w:marTop w:val="0"/>
          <w:marBottom w:val="0"/>
          <w:divBdr>
            <w:top w:val="none" w:sz="0" w:space="0" w:color="auto"/>
            <w:left w:val="none" w:sz="0" w:space="0" w:color="auto"/>
            <w:bottom w:val="none" w:sz="0" w:space="0" w:color="auto"/>
            <w:right w:val="none" w:sz="0" w:space="0" w:color="auto"/>
          </w:divBdr>
        </w:div>
        <w:div w:id="1875532466">
          <w:marLeft w:val="0"/>
          <w:marRight w:val="0"/>
          <w:marTop w:val="0"/>
          <w:marBottom w:val="0"/>
          <w:divBdr>
            <w:top w:val="none" w:sz="0" w:space="0" w:color="auto"/>
            <w:left w:val="none" w:sz="0" w:space="0" w:color="auto"/>
            <w:bottom w:val="none" w:sz="0" w:space="0" w:color="auto"/>
            <w:right w:val="none" w:sz="0" w:space="0" w:color="auto"/>
          </w:divBdr>
        </w:div>
        <w:div w:id="2002808430">
          <w:marLeft w:val="0"/>
          <w:marRight w:val="0"/>
          <w:marTop w:val="0"/>
          <w:marBottom w:val="0"/>
          <w:divBdr>
            <w:top w:val="none" w:sz="0" w:space="0" w:color="auto"/>
            <w:left w:val="none" w:sz="0" w:space="0" w:color="auto"/>
            <w:bottom w:val="none" w:sz="0" w:space="0" w:color="auto"/>
            <w:right w:val="none" w:sz="0" w:space="0" w:color="auto"/>
          </w:divBdr>
        </w:div>
        <w:div w:id="2052344890">
          <w:marLeft w:val="0"/>
          <w:marRight w:val="0"/>
          <w:marTop w:val="0"/>
          <w:marBottom w:val="0"/>
          <w:divBdr>
            <w:top w:val="none" w:sz="0" w:space="0" w:color="auto"/>
            <w:left w:val="none" w:sz="0" w:space="0" w:color="auto"/>
            <w:bottom w:val="none" w:sz="0" w:space="0" w:color="auto"/>
            <w:right w:val="none" w:sz="0" w:space="0" w:color="auto"/>
          </w:divBdr>
        </w:div>
        <w:div w:id="2138838655">
          <w:marLeft w:val="0"/>
          <w:marRight w:val="0"/>
          <w:marTop w:val="0"/>
          <w:marBottom w:val="0"/>
          <w:divBdr>
            <w:top w:val="none" w:sz="0" w:space="0" w:color="auto"/>
            <w:left w:val="none" w:sz="0" w:space="0" w:color="auto"/>
            <w:bottom w:val="none" w:sz="0" w:space="0" w:color="auto"/>
            <w:right w:val="none" w:sz="0" w:space="0" w:color="auto"/>
          </w:divBdr>
        </w:div>
      </w:divsChild>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083264578">
      <w:bodyDiv w:val="1"/>
      <w:marLeft w:val="0"/>
      <w:marRight w:val="0"/>
      <w:marTop w:val="0"/>
      <w:marBottom w:val="0"/>
      <w:divBdr>
        <w:top w:val="none" w:sz="0" w:space="0" w:color="auto"/>
        <w:left w:val="none" w:sz="0" w:space="0" w:color="auto"/>
        <w:bottom w:val="none" w:sz="0" w:space="0" w:color="auto"/>
        <w:right w:val="none" w:sz="0" w:space="0" w:color="auto"/>
      </w:divBdr>
      <w:divsChild>
        <w:div w:id="740173962">
          <w:marLeft w:val="0"/>
          <w:marRight w:val="0"/>
          <w:marTop w:val="0"/>
          <w:marBottom w:val="0"/>
          <w:divBdr>
            <w:top w:val="none" w:sz="0" w:space="0" w:color="auto"/>
            <w:left w:val="none" w:sz="0" w:space="0" w:color="auto"/>
            <w:bottom w:val="none" w:sz="0" w:space="0" w:color="auto"/>
            <w:right w:val="none" w:sz="0" w:space="0" w:color="auto"/>
          </w:divBdr>
        </w:div>
      </w:divsChild>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27771197">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46510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877">
          <w:marLeft w:val="0"/>
          <w:marRight w:val="0"/>
          <w:marTop w:val="0"/>
          <w:marBottom w:val="0"/>
          <w:divBdr>
            <w:top w:val="none" w:sz="0" w:space="0" w:color="auto"/>
            <w:left w:val="none" w:sz="0" w:space="0" w:color="auto"/>
            <w:bottom w:val="none" w:sz="0" w:space="0" w:color="auto"/>
            <w:right w:val="none" w:sz="0" w:space="0" w:color="auto"/>
          </w:divBdr>
        </w:div>
      </w:divsChild>
    </w:div>
    <w:div w:id="1163620448">
      <w:bodyDiv w:val="1"/>
      <w:marLeft w:val="0"/>
      <w:marRight w:val="0"/>
      <w:marTop w:val="0"/>
      <w:marBottom w:val="0"/>
      <w:divBdr>
        <w:top w:val="none" w:sz="0" w:space="0" w:color="auto"/>
        <w:left w:val="none" w:sz="0" w:space="0" w:color="auto"/>
        <w:bottom w:val="none" w:sz="0" w:space="0" w:color="auto"/>
        <w:right w:val="none" w:sz="0" w:space="0" w:color="auto"/>
      </w:divBdr>
      <w:divsChild>
        <w:div w:id="1240290902">
          <w:marLeft w:val="0"/>
          <w:marRight w:val="0"/>
          <w:marTop w:val="0"/>
          <w:marBottom w:val="0"/>
          <w:divBdr>
            <w:top w:val="none" w:sz="0" w:space="0" w:color="auto"/>
            <w:left w:val="none" w:sz="0" w:space="0" w:color="auto"/>
            <w:bottom w:val="none" w:sz="0" w:space="0" w:color="auto"/>
            <w:right w:val="none" w:sz="0" w:space="0" w:color="auto"/>
          </w:divBdr>
        </w:div>
      </w:divsChild>
    </w:div>
    <w:div w:id="1196695245">
      <w:bodyDiv w:val="1"/>
      <w:marLeft w:val="0"/>
      <w:marRight w:val="0"/>
      <w:marTop w:val="0"/>
      <w:marBottom w:val="0"/>
      <w:divBdr>
        <w:top w:val="none" w:sz="0" w:space="0" w:color="auto"/>
        <w:left w:val="none" w:sz="0" w:space="0" w:color="auto"/>
        <w:bottom w:val="none" w:sz="0" w:space="0" w:color="auto"/>
        <w:right w:val="none" w:sz="0" w:space="0" w:color="auto"/>
      </w:divBdr>
      <w:divsChild>
        <w:div w:id="816340320">
          <w:marLeft w:val="0"/>
          <w:marRight w:val="0"/>
          <w:marTop w:val="0"/>
          <w:marBottom w:val="0"/>
          <w:divBdr>
            <w:top w:val="none" w:sz="0" w:space="0" w:color="auto"/>
            <w:left w:val="none" w:sz="0" w:space="0" w:color="auto"/>
            <w:bottom w:val="none" w:sz="0" w:space="0" w:color="auto"/>
            <w:right w:val="none" w:sz="0" w:space="0" w:color="auto"/>
          </w:divBdr>
          <w:divsChild>
            <w:div w:id="1879313920">
              <w:marLeft w:val="0"/>
              <w:marRight w:val="0"/>
              <w:marTop w:val="0"/>
              <w:marBottom w:val="0"/>
              <w:divBdr>
                <w:top w:val="none" w:sz="0" w:space="0" w:color="auto"/>
                <w:left w:val="none" w:sz="0" w:space="0" w:color="auto"/>
                <w:bottom w:val="none" w:sz="0" w:space="0" w:color="auto"/>
                <w:right w:val="none" w:sz="0" w:space="0" w:color="auto"/>
              </w:divBdr>
              <w:divsChild>
                <w:div w:id="419103230">
                  <w:marLeft w:val="0"/>
                  <w:marRight w:val="0"/>
                  <w:marTop w:val="0"/>
                  <w:marBottom w:val="0"/>
                  <w:divBdr>
                    <w:top w:val="none" w:sz="0" w:space="0" w:color="auto"/>
                    <w:left w:val="none" w:sz="0" w:space="0" w:color="auto"/>
                    <w:bottom w:val="none" w:sz="0" w:space="0" w:color="auto"/>
                    <w:right w:val="none" w:sz="0" w:space="0" w:color="auto"/>
                  </w:divBdr>
                  <w:divsChild>
                    <w:div w:id="1723871870">
                      <w:marLeft w:val="0"/>
                      <w:marRight w:val="0"/>
                      <w:marTop w:val="0"/>
                      <w:marBottom w:val="0"/>
                      <w:divBdr>
                        <w:top w:val="none" w:sz="0" w:space="0" w:color="auto"/>
                        <w:left w:val="none" w:sz="0" w:space="0" w:color="auto"/>
                        <w:bottom w:val="none" w:sz="0" w:space="0" w:color="auto"/>
                        <w:right w:val="none" w:sz="0" w:space="0" w:color="auto"/>
                      </w:divBdr>
                      <w:divsChild>
                        <w:div w:id="1031303265">
                          <w:marLeft w:val="0"/>
                          <w:marRight w:val="0"/>
                          <w:marTop w:val="0"/>
                          <w:marBottom w:val="0"/>
                          <w:divBdr>
                            <w:top w:val="none" w:sz="0" w:space="0" w:color="auto"/>
                            <w:left w:val="none" w:sz="0" w:space="0" w:color="auto"/>
                            <w:bottom w:val="none" w:sz="0" w:space="0" w:color="auto"/>
                            <w:right w:val="none" w:sz="0" w:space="0" w:color="auto"/>
                          </w:divBdr>
                          <w:divsChild>
                            <w:div w:id="1084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74554">
      <w:bodyDiv w:val="1"/>
      <w:marLeft w:val="0"/>
      <w:marRight w:val="0"/>
      <w:marTop w:val="0"/>
      <w:marBottom w:val="0"/>
      <w:divBdr>
        <w:top w:val="none" w:sz="0" w:space="0" w:color="auto"/>
        <w:left w:val="none" w:sz="0" w:space="0" w:color="auto"/>
        <w:bottom w:val="none" w:sz="0" w:space="0" w:color="auto"/>
        <w:right w:val="none" w:sz="0" w:space="0" w:color="auto"/>
      </w:divBdr>
      <w:divsChild>
        <w:div w:id="1096633007">
          <w:marLeft w:val="0"/>
          <w:marRight w:val="0"/>
          <w:marTop w:val="0"/>
          <w:marBottom w:val="0"/>
          <w:divBdr>
            <w:top w:val="none" w:sz="0" w:space="0" w:color="auto"/>
            <w:left w:val="none" w:sz="0" w:space="0" w:color="auto"/>
            <w:bottom w:val="none" w:sz="0" w:space="0" w:color="auto"/>
            <w:right w:val="none" w:sz="0" w:space="0" w:color="auto"/>
          </w:divBdr>
        </w:div>
        <w:div w:id="2122189086">
          <w:marLeft w:val="0"/>
          <w:marRight w:val="0"/>
          <w:marTop w:val="0"/>
          <w:marBottom w:val="0"/>
          <w:divBdr>
            <w:top w:val="none" w:sz="0" w:space="0" w:color="auto"/>
            <w:left w:val="none" w:sz="0" w:space="0" w:color="auto"/>
            <w:bottom w:val="none" w:sz="0" w:space="0" w:color="auto"/>
            <w:right w:val="none" w:sz="0" w:space="0" w:color="auto"/>
          </w:divBdr>
        </w:div>
      </w:divsChild>
    </w:div>
    <w:div w:id="1246719475">
      <w:bodyDiv w:val="1"/>
      <w:marLeft w:val="0"/>
      <w:marRight w:val="0"/>
      <w:marTop w:val="0"/>
      <w:marBottom w:val="0"/>
      <w:divBdr>
        <w:top w:val="none" w:sz="0" w:space="0" w:color="auto"/>
        <w:left w:val="none" w:sz="0" w:space="0" w:color="auto"/>
        <w:bottom w:val="none" w:sz="0" w:space="0" w:color="auto"/>
        <w:right w:val="none" w:sz="0" w:space="0" w:color="auto"/>
      </w:divBdr>
    </w:div>
    <w:div w:id="1320694576">
      <w:bodyDiv w:val="1"/>
      <w:marLeft w:val="0"/>
      <w:marRight w:val="0"/>
      <w:marTop w:val="0"/>
      <w:marBottom w:val="0"/>
      <w:divBdr>
        <w:top w:val="none" w:sz="0" w:space="0" w:color="auto"/>
        <w:left w:val="none" w:sz="0" w:space="0" w:color="auto"/>
        <w:bottom w:val="none" w:sz="0" w:space="0" w:color="auto"/>
        <w:right w:val="none" w:sz="0" w:space="0" w:color="auto"/>
      </w:divBdr>
    </w:div>
    <w:div w:id="1328552811">
      <w:bodyDiv w:val="1"/>
      <w:marLeft w:val="0"/>
      <w:marRight w:val="0"/>
      <w:marTop w:val="0"/>
      <w:marBottom w:val="0"/>
      <w:divBdr>
        <w:top w:val="none" w:sz="0" w:space="0" w:color="auto"/>
        <w:left w:val="none" w:sz="0" w:space="0" w:color="auto"/>
        <w:bottom w:val="none" w:sz="0" w:space="0" w:color="auto"/>
        <w:right w:val="none" w:sz="0" w:space="0" w:color="auto"/>
      </w:divBdr>
      <w:divsChild>
        <w:div w:id="803815754">
          <w:marLeft w:val="0"/>
          <w:marRight w:val="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7290507">
      <w:bodyDiv w:val="1"/>
      <w:marLeft w:val="0"/>
      <w:marRight w:val="0"/>
      <w:marTop w:val="0"/>
      <w:marBottom w:val="0"/>
      <w:divBdr>
        <w:top w:val="none" w:sz="0" w:space="0" w:color="auto"/>
        <w:left w:val="none" w:sz="0" w:space="0" w:color="auto"/>
        <w:bottom w:val="none" w:sz="0" w:space="0" w:color="auto"/>
        <w:right w:val="none" w:sz="0" w:space="0" w:color="auto"/>
      </w:divBdr>
      <w:divsChild>
        <w:div w:id="1399128273">
          <w:marLeft w:val="0"/>
          <w:marRight w:val="0"/>
          <w:marTop w:val="0"/>
          <w:marBottom w:val="0"/>
          <w:divBdr>
            <w:top w:val="none" w:sz="0" w:space="0" w:color="auto"/>
            <w:left w:val="none" w:sz="0" w:space="0" w:color="auto"/>
            <w:bottom w:val="none" w:sz="0" w:space="0" w:color="auto"/>
            <w:right w:val="none" w:sz="0" w:space="0" w:color="auto"/>
          </w:divBdr>
        </w:div>
      </w:divsChild>
    </w:div>
    <w:div w:id="1493905711">
      <w:bodyDiv w:val="1"/>
      <w:marLeft w:val="0"/>
      <w:marRight w:val="0"/>
      <w:marTop w:val="0"/>
      <w:marBottom w:val="0"/>
      <w:divBdr>
        <w:top w:val="none" w:sz="0" w:space="0" w:color="auto"/>
        <w:left w:val="none" w:sz="0" w:space="0" w:color="auto"/>
        <w:bottom w:val="none" w:sz="0" w:space="0" w:color="auto"/>
        <w:right w:val="none" w:sz="0" w:space="0" w:color="auto"/>
      </w:divBdr>
      <w:divsChild>
        <w:div w:id="1528787094">
          <w:marLeft w:val="0"/>
          <w:marRight w:val="0"/>
          <w:marTop w:val="0"/>
          <w:marBottom w:val="0"/>
          <w:divBdr>
            <w:top w:val="none" w:sz="0" w:space="0" w:color="auto"/>
            <w:left w:val="none" w:sz="0" w:space="0" w:color="auto"/>
            <w:bottom w:val="none" w:sz="0" w:space="0" w:color="auto"/>
            <w:right w:val="none" w:sz="0" w:space="0" w:color="auto"/>
          </w:divBdr>
        </w:div>
      </w:divsChild>
    </w:div>
    <w:div w:id="1500459020">
      <w:bodyDiv w:val="1"/>
      <w:marLeft w:val="0"/>
      <w:marRight w:val="0"/>
      <w:marTop w:val="0"/>
      <w:marBottom w:val="0"/>
      <w:divBdr>
        <w:top w:val="none" w:sz="0" w:space="0" w:color="auto"/>
        <w:left w:val="none" w:sz="0" w:space="0" w:color="auto"/>
        <w:bottom w:val="none" w:sz="0" w:space="0" w:color="auto"/>
        <w:right w:val="none" w:sz="0" w:space="0" w:color="auto"/>
      </w:divBdr>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5147148">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63590205">
      <w:bodyDiv w:val="1"/>
      <w:marLeft w:val="0"/>
      <w:marRight w:val="0"/>
      <w:marTop w:val="0"/>
      <w:marBottom w:val="0"/>
      <w:divBdr>
        <w:top w:val="none" w:sz="0" w:space="0" w:color="auto"/>
        <w:left w:val="none" w:sz="0" w:space="0" w:color="auto"/>
        <w:bottom w:val="none" w:sz="0" w:space="0" w:color="auto"/>
        <w:right w:val="none" w:sz="0" w:space="0" w:color="auto"/>
      </w:divBdr>
      <w:divsChild>
        <w:div w:id="1478061553">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34562145">
      <w:bodyDiv w:val="1"/>
      <w:marLeft w:val="0"/>
      <w:marRight w:val="0"/>
      <w:marTop w:val="0"/>
      <w:marBottom w:val="0"/>
      <w:divBdr>
        <w:top w:val="none" w:sz="0" w:space="0" w:color="auto"/>
        <w:left w:val="none" w:sz="0" w:space="0" w:color="auto"/>
        <w:bottom w:val="none" w:sz="0" w:space="0" w:color="auto"/>
        <w:right w:val="none" w:sz="0" w:space="0" w:color="auto"/>
      </w:divBdr>
      <w:divsChild>
        <w:div w:id="2111581627">
          <w:marLeft w:val="0"/>
          <w:marRight w:val="0"/>
          <w:marTop w:val="0"/>
          <w:marBottom w:val="0"/>
          <w:divBdr>
            <w:top w:val="none" w:sz="0" w:space="0" w:color="auto"/>
            <w:left w:val="none" w:sz="0" w:space="0" w:color="auto"/>
            <w:bottom w:val="none" w:sz="0" w:space="0" w:color="auto"/>
            <w:right w:val="none" w:sz="0" w:space="0" w:color="auto"/>
          </w:divBdr>
        </w:div>
      </w:divsChild>
    </w:div>
    <w:div w:id="1668627419">
      <w:bodyDiv w:val="1"/>
      <w:marLeft w:val="0"/>
      <w:marRight w:val="0"/>
      <w:marTop w:val="0"/>
      <w:marBottom w:val="0"/>
      <w:divBdr>
        <w:top w:val="none" w:sz="0" w:space="0" w:color="auto"/>
        <w:left w:val="none" w:sz="0" w:space="0" w:color="auto"/>
        <w:bottom w:val="none" w:sz="0" w:space="0" w:color="auto"/>
        <w:right w:val="none" w:sz="0" w:space="0" w:color="auto"/>
      </w:divBdr>
    </w:div>
    <w:div w:id="1670711859">
      <w:bodyDiv w:val="1"/>
      <w:marLeft w:val="0"/>
      <w:marRight w:val="0"/>
      <w:marTop w:val="0"/>
      <w:marBottom w:val="0"/>
      <w:divBdr>
        <w:top w:val="none" w:sz="0" w:space="0" w:color="auto"/>
        <w:left w:val="none" w:sz="0" w:space="0" w:color="auto"/>
        <w:bottom w:val="none" w:sz="0" w:space="0" w:color="auto"/>
        <w:right w:val="none" w:sz="0" w:space="0" w:color="auto"/>
      </w:divBdr>
      <w:divsChild>
        <w:div w:id="1657957676">
          <w:marLeft w:val="0"/>
          <w:marRight w:val="0"/>
          <w:marTop w:val="0"/>
          <w:marBottom w:val="0"/>
          <w:divBdr>
            <w:top w:val="none" w:sz="0" w:space="0" w:color="auto"/>
            <w:left w:val="none" w:sz="0" w:space="0" w:color="auto"/>
            <w:bottom w:val="none" w:sz="0" w:space="0" w:color="auto"/>
            <w:right w:val="none" w:sz="0" w:space="0" w:color="auto"/>
          </w:divBdr>
        </w:div>
      </w:divsChild>
    </w:div>
    <w:div w:id="1678070948">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16351070">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764492728">
      <w:bodyDiv w:val="1"/>
      <w:marLeft w:val="0"/>
      <w:marRight w:val="0"/>
      <w:marTop w:val="0"/>
      <w:marBottom w:val="0"/>
      <w:divBdr>
        <w:top w:val="none" w:sz="0" w:space="0" w:color="auto"/>
        <w:left w:val="none" w:sz="0" w:space="0" w:color="auto"/>
        <w:bottom w:val="none" w:sz="0" w:space="0" w:color="auto"/>
        <w:right w:val="none" w:sz="0" w:space="0" w:color="auto"/>
      </w:divBdr>
    </w:div>
    <w:div w:id="1777022771">
      <w:bodyDiv w:val="1"/>
      <w:marLeft w:val="0"/>
      <w:marRight w:val="0"/>
      <w:marTop w:val="0"/>
      <w:marBottom w:val="0"/>
      <w:divBdr>
        <w:top w:val="none" w:sz="0" w:space="0" w:color="auto"/>
        <w:left w:val="none" w:sz="0" w:space="0" w:color="auto"/>
        <w:bottom w:val="none" w:sz="0" w:space="0" w:color="auto"/>
        <w:right w:val="none" w:sz="0" w:space="0" w:color="auto"/>
      </w:divBdr>
      <w:divsChild>
        <w:div w:id="1638947058">
          <w:marLeft w:val="0"/>
          <w:marRight w:val="0"/>
          <w:marTop w:val="0"/>
          <w:marBottom w:val="0"/>
          <w:divBdr>
            <w:top w:val="none" w:sz="0" w:space="0" w:color="auto"/>
            <w:left w:val="none" w:sz="0" w:space="0" w:color="auto"/>
            <w:bottom w:val="none" w:sz="0" w:space="0" w:color="auto"/>
            <w:right w:val="none" w:sz="0" w:space="0" w:color="auto"/>
          </w:divBdr>
        </w:div>
      </w:divsChild>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30055172">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1895240849">
      <w:bodyDiv w:val="1"/>
      <w:marLeft w:val="0"/>
      <w:marRight w:val="0"/>
      <w:marTop w:val="0"/>
      <w:marBottom w:val="0"/>
      <w:divBdr>
        <w:top w:val="none" w:sz="0" w:space="0" w:color="auto"/>
        <w:left w:val="none" w:sz="0" w:space="0" w:color="auto"/>
        <w:bottom w:val="none" w:sz="0" w:space="0" w:color="auto"/>
        <w:right w:val="none" w:sz="0" w:space="0" w:color="auto"/>
      </w:divBdr>
      <w:divsChild>
        <w:div w:id="457994027">
          <w:marLeft w:val="0"/>
          <w:marRight w:val="0"/>
          <w:marTop w:val="0"/>
          <w:marBottom w:val="0"/>
          <w:divBdr>
            <w:top w:val="none" w:sz="0" w:space="0" w:color="auto"/>
            <w:left w:val="none" w:sz="0" w:space="0" w:color="auto"/>
            <w:bottom w:val="none" w:sz="0" w:space="0" w:color="auto"/>
            <w:right w:val="none" w:sz="0" w:space="0" w:color="auto"/>
          </w:divBdr>
        </w:div>
        <w:div w:id="1888494354">
          <w:marLeft w:val="0"/>
          <w:marRight w:val="0"/>
          <w:marTop w:val="0"/>
          <w:marBottom w:val="0"/>
          <w:divBdr>
            <w:top w:val="none" w:sz="0" w:space="0" w:color="auto"/>
            <w:left w:val="none" w:sz="0" w:space="0" w:color="auto"/>
            <w:bottom w:val="none" w:sz="0" w:space="0" w:color="auto"/>
            <w:right w:val="none" w:sz="0" w:space="0" w:color="auto"/>
          </w:divBdr>
        </w:div>
      </w:divsChild>
    </w:div>
    <w:div w:id="2023504853">
      <w:bodyDiv w:val="1"/>
      <w:marLeft w:val="0"/>
      <w:marRight w:val="0"/>
      <w:marTop w:val="0"/>
      <w:marBottom w:val="0"/>
      <w:divBdr>
        <w:top w:val="none" w:sz="0" w:space="0" w:color="auto"/>
        <w:left w:val="none" w:sz="0" w:space="0" w:color="auto"/>
        <w:bottom w:val="none" w:sz="0" w:space="0" w:color="auto"/>
        <w:right w:val="none" w:sz="0" w:space="0" w:color="auto"/>
      </w:divBdr>
      <w:divsChild>
        <w:div w:id="1340422034">
          <w:marLeft w:val="0"/>
          <w:marRight w:val="0"/>
          <w:marTop w:val="0"/>
          <w:marBottom w:val="0"/>
          <w:divBdr>
            <w:top w:val="none" w:sz="0" w:space="0" w:color="auto"/>
            <w:left w:val="none" w:sz="0" w:space="0" w:color="auto"/>
            <w:bottom w:val="none" w:sz="0" w:space="0" w:color="auto"/>
            <w:right w:val="none" w:sz="0" w:space="0" w:color="auto"/>
          </w:divBdr>
        </w:div>
      </w:divsChild>
    </w:div>
    <w:div w:id="2040540945">
      <w:bodyDiv w:val="1"/>
      <w:marLeft w:val="0"/>
      <w:marRight w:val="0"/>
      <w:marTop w:val="0"/>
      <w:marBottom w:val="0"/>
      <w:divBdr>
        <w:top w:val="none" w:sz="0" w:space="0" w:color="auto"/>
        <w:left w:val="none" w:sz="0" w:space="0" w:color="auto"/>
        <w:bottom w:val="none" w:sz="0" w:space="0" w:color="auto"/>
        <w:right w:val="none" w:sz="0" w:space="0" w:color="auto"/>
      </w:divBdr>
      <w:divsChild>
        <w:div w:id="512230097">
          <w:marLeft w:val="0"/>
          <w:marRight w:val="0"/>
          <w:marTop w:val="0"/>
          <w:marBottom w:val="0"/>
          <w:divBdr>
            <w:top w:val="none" w:sz="0" w:space="0" w:color="auto"/>
            <w:left w:val="none" w:sz="0" w:space="0" w:color="auto"/>
            <w:bottom w:val="none" w:sz="0" w:space="0" w:color="auto"/>
            <w:right w:val="none" w:sz="0" w:space="0" w:color="auto"/>
          </w:divBdr>
        </w:div>
        <w:div w:id="632834810">
          <w:marLeft w:val="0"/>
          <w:marRight w:val="0"/>
          <w:marTop w:val="0"/>
          <w:marBottom w:val="0"/>
          <w:divBdr>
            <w:top w:val="none" w:sz="0" w:space="0" w:color="auto"/>
            <w:left w:val="none" w:sz="0" w:space="0" w:color="auto"/>
            <w:bottom w:val="none" w:sz="0" w:space="0" w:color="auto"/>
            <w:right w:val="none" w:sz="0" w:space="0" w:color="auto"/>
          </w:divBdr>
        </w:div>
      </w:divsChild>
    </w:div>
    <w:div w:id="2082947502">
      <w:bodyDiv w:val="1"/>
      <w:marLeft w:val="0"/>
      <w:marRight w:val="0"/>
      <w:marTop w:val="0"/>
      <w:marBottom w:val="0"/>
      <w:divBdr>
        <w:top w:val="none" w:sz="0" w:space="0" w:color="auto"/>
        <w:left w:val="none" w:sz="0" w:space="0" w:color="auto"/>
        <w:bottom w:val="none" w:sz="0" w:space="0" w:color="auto"/>
        <w:right w:val="none" w:sz="0" w:space="0" w:color="auto"/>
      </w:divBdr>
      <w:divsChild>
        <w:div w:id="2147045735">
          <w:marLeft w:val="0"/>
          <w:marRight w:val="0"/>
          <w:marTop w:val="0"/>
          <w:marBottom w:val="0"/>
          <w:divBdr>
            <w:top w:val="none" w:sz="0" w:space="0" w:color="auto"/>
            <w:left w:val="none" w:sz="0" w:space="0" w:color="auto"/>
            <w:bottom w:val="none" w:sz="0" w:space="0" w:color="auto"/>
            <w:right w:val="none" w:sz="0" w:space="0" w:color="auto"/>
          </w:divBdr>
        </w:div>
      </w:divsChild>
    </w:div>
    <w:div w:id="2103181974">
      <w:bodyDiv w:val="1"/>
      <w:marLeft w:val="0"/>
      <w:marRight w:val="0"/>
      <w:marTop w:val="0"/>
      <w:marBottom w:val="0"/>
      <w:divBdr>
        <w:top w:val="none" w:sz="0" w:space="0" w:color="auto"/>
        <w:left w:val="none" w:sz="0" w:space="0" w:color="auto"/>
        <w:bottom w:val="none" w:sz="0" w:space="0" w:color="auto"/>
        <w:right w:val="none" w:sz="0" w:space="0" w:color="auto"/>
      </w:divBdr>
    </w:div>
    <w:div w:id="2116823585">
      <w:bodyDiv w:val="1"/>
      <w:marLeft w:val="0"/>
      <w:marRight w:val="0"/>
      <w:marTop w:val="0"/>
      <w:marBottom w:val="0"/>
      <w:divBdr>
        <w:top w:val="none" w:sz="0" w:space="0" w:color="auto"/>
        <w:left w:val="none" w:sz="0" w:space="0" w:color="auto"/>
        <w:bottom w:val="none" w:sz="0" w:space="0" w:color="auto"/>
        <w:right w:val="none" w:sz="0" w:space="0" w:color="auto"/>
      </w:divBdr>
      <w:divsChild>
        <w:div w:id="290794702">
          <w:marLeft w:val="0"/>
          <w:marRight w:val="0"/>
          <w:marTop w:val="0"/>
          <w:marBottom w:val="0"/>
          <w:divBdr>
            <w:top w:val="none" w:sz="0" w:space="0" w:color="auto"/>
            <w:left w:val="none" w:sz="0" w:space="0" w:color="auto"/>
            <w:bottom w:val="none" w:sz="0" w:space="0" w:color="auto"/>
            <w:right w:val="none" w:sz="0" w:space="0" w:color="auto"/>
          </w:divBdr>
        </w:div>
        <w:div w:id="940184501">
          <w:marLeft w:val="0"/>
          <w:marRight w:val="0"/>
          <w:marTop w:val="0"/>
          <w:marBottom w:val="0"/>
          <w:divBdr>
            <w:top w:val="none" w:sz="0" w:space="0" w:color="auto"/>
            <w:left w:val="none" w:sz="0" w:space="0" w:color="auto"/>
            <w:bottom w:val="none" w:sz="0" w:space="0" w:color="auto"/>
            <w:right w:val="none" w:sz="0" w:space="0" w:color="auto"/>
          </w:divBdr>
        </w:div>
      </w:divsChild>
    </w:div>
    <w:div w:id="21404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uria.europa.eu/juris/document/document.jsf;jsessionid=3FCFE9F9814714B6A5445FE9C58E7902?text=&amp;docid=211287&amp;pageIndex=0&amp;doclang=LV&amp;mode=lst&amp;dir=&amp;occ=first&amp;part=1&amp;cid=933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B601-B8C2-4F67-973F-027651FA821A}">
  <ds:schemaRefs>
    <ds:schemaRef ds:uri="http://schemas.microsoft.com/sharepoint/v3/contenttype/forms"/>
  </ds:schemaRefs>
</ds:datastoreItem>
</file>

<file path=customXml/itemProps2.xml><?xml version="1.0" encoding="utf-8"?>
<ds:datastoreItem xmlns:ds="http://schemas.openxmlformats.org/officeDocument/2006/customXml" ds:itemID="{84BCEDF5-1E81-4670-82FA-33962EC8E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09CB0-AACD-4070-94BC-23E85B6C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5CE82-3216-4138-A3E3-012016A3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20092</Words>
  <Characters>11454</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31484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Elīna Pētersone</cp:lastModifiedBy>
  <cp:revision>13</cp:revision>
  <cp:lastPrinted>2020-05-15T20:54:00Z</cp:lastPrinted>
  <dcterms:created xsi:type="dcterms:W3CDTF">2021-04-22T07:46:00Z</dcterms:created>
  <dcterms:modified xsi:type="dcterms:W3CDTF">2021-04-26T07:58:00Z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