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EEA2" w14:textId="77777777" w:rsidR="00B2389A" w:rsidRPr="003F6CCC" w:rsidRDefault="004A3B4A" w:rsidP="00503935">
      <w:pPr>
        <w:ind w:left="57" w:right="57"/>
        <w:jc w:val="center"/>
        <w:rPr>
          <w:b/>
          <w:sz w:val="28"/>
          <w:szCs w:val="28"/>
        </w:rPr>
      </w:pPr>
      <w:r w:rsidRPr="003F6CCC">
        <w:rPr>
          <w:b/>
          <w:sz w:val="28"/>
          <w:szCs w:val="28"/>
        </w:rPr>
        <w:t>Ministru kabineta noteikumu projekta „</w:t>
      </w:r>
      <w:bookmarkStart w:id="0" w:name="_Hlk70273713"/>
      <w:r w:rsidRPr="003F6CCC">
        <w:rPr>
          <w:b/>
          <w:sz w:val="28"/>
          <w:szCs w:val="28"/>
        </w:rPr>
        <w:t>Grozījumi Ministru kabineta 2012.</w:t>
      </w:r>
      <w:r w:rsidR="0004769C" w:rsidRPr="003F6CCC">
        <w:rPr>
          <w:b/>
          <w:sz w:val="28"/>
          <w:szCs w:val="28"/>
        </w:rPr>
        <w:t> </w:t>
      </w:r>
      <w:r w:rsidRPr="003F6CCC">
        <w:rPr>
          <w:b/>
          <w:sz w:val="28"/>
          <w:szCs w:val="28"/>
        </w:rPr>
        <w:t>gada 11.</w:t>
      </w:r>
      <w:r w:rsidR="0004769C" w:rsidRPr="003F6CCC">
        <w:rPr>
          <w:b/>
          <w:sz w:val="28"/>
          <w:szCs w:val="28"/>
        </w:rPr>
        <w:t> </w:t>
      </w:r>
      <w:r w:rsidRPr="003F6CCC">
        <w:rPr>
          <w:b/>
          <w:sz w:val="28"/>
          <w:szCs w:val="28"/>
        </w:rPr>
        <w:t>decembra noteikumos Nr.</w:t>
      </w:r>
      <w:r w:rsidR="0004769C" w:rsidRPr="003F6CCC">
        <w:rPr>
          <w:b/>
          <w:sz w:val="28"/>
          <w:szCs w:val="28"/>
        </w:rPr>
        <w:t> </w:t>
      </w:r>
      <w:r w:rsidRPr="003F6CCC">
        <w:rPr>
          <w:b/>
          <w:sz w:val="28"/>
          <w:szCs w:val="28"/>
        </w:rPr>
        <w:t>857 „Latvijas Investīciju un attīstības aģentūras nolikums”</w:t>
      </w:r>
      <w:bookmarkEnd w:id="0"/>
      <w:r w:rsidRPr="003F6CCC">
        <w:rPr>
          <w:b/>
          <w:sz w:val="28"/>
          <w:szCs w:val="28"/>
        </w:rPr>
        <w:t>”</w:t>
      </w:r>
      <w:r w:rsidR="00A40A31" w:rsidRPr="003F6CCC">
        <w:rPr>
          <w:b/>
          <w:sz w:val="28"/>
          <w:szCs w:val="28"/>
        </w:rPr>
        <w:br/>
      </w:r>
      <w:r w:rsidR="00BF0CCA" w:rsidRPr="003F6CCC">
        <w:rPr>
          <w:b/>
          <w:sz w:val="28"/>
          <w:szCs w:val="28"/>
        </w:rPr>
        <w:t xml:space="preserve">sākotnējās ietekmes </w:t>
      </w:r>
      <w:r w:rsidR="00B2389A" w:rsidRPr="003F6CCC">
        <w:rPr>
          <w:b/>
          <w:sz w:val="28"/>
          <w:szCs w:val="28"/>
        </w:rPr>
        <w:t>novērtējuma ziņojums (anotācija)</w:t>
      </w:r>
    </w:p>
    <w:p w14:paraId="1770A5FB" w14:textId="77777777" w:rsidR="00F7296D" w:rsidRDefault="00F7296D" w:rsidP="00B2389A">
      <w:pPr>
        <w:pStyle w:val="naislab"/>
        <w:spacing w:before="0" w:after="0"/>
        <w:outlineLvl w:val="0"/>
        <w:rPr>
          <w:b/>
        </w:rPr>
      </w:pPr>
    </w:p>
    <w:tbl>
      <w:tblPr>
        <w:tblW w:w="5000" w:type="pct"/>
        <w:tblCellMar>
          <w:left w:w="10" w:type="dxa"/>
          <w:right w:w="10" w:type="dxa"/>
        </w:tblCellMar>
        <w:tblLook w:val="04A0" w:firstRow="1" w:lastRow="0" w:firstColumn="1" w:lastColumn="0" w:noHBand="0" w:noVBand="1"/>
      </w:tblPr>
      <w:tblGrid>
        <w:gridCol w:w="2635"/>
        <w:gridCol w:w="6420"/>
      </w:tblGrid>
      <w:tr w:rsidR="00244837" w:rsidRPr="00BB2FEE" w14:paraId="1FA6EC8B" w14:textId="77777777" w:rsidTr="34E7388F">
        <w:trPr>
          <w:trHeight w:val="299"/>
        </w:trPr>
        <w:tc>
          <w:tcPr>
            <w:tcW w:w="5000" w:type="pct"/>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9C3B97" w14:textId="77777777" w:rsidR="00244837" w:rsidRPr="003F6CCC" w:rsidRDefault="00244837" w:rsidP="00183B1E">
            <w:pPr>
              <w:suppressAutoHyphens/>
              <w:autoSpaceDN w:val="0"/>
              <w:spacing w:before="100" w:after="100"/>
              <w:jc w:val="center"/>
              <w:textAlignment w:val="baseline"/>
              <w:rPr>
                <w:b/>
                <w:bCs/>
              </w:rPr>
            </w:pPr>
            <w:r w:rsidRPr="003F6CCC">
              <w:rPr>
                <w:b/>
                <w:bCs/>
              </w:rPr>
              <w:t>Tiesību akta projekta anotācijas kopsavilkums</w:t>
            </w:r>
          </w:p>
        </w:tc>
      </w:tr>
      <w:tr w:rsidR="00244837" w:rsidRPr="00BB2FEE" w14:paraId="678F007F" w14:textId="77777777" w:rsidTr="34E7388F">
        <w:trPr>
          <w:trHeight w:val="2263"/>
        </w:trPr>
        <w:tc>
          <w:tcPr>
            <w:tcW w:w="1455"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CD5E6B" w14:textId="77777777" w:rsidR="00244837" w:rsidRPr="00BB2FEE" w:rsidRDefault="00244837" w:rsidP="00A81391">
            <w:pPr>
              <w:suppressAutoHyphens/>
              <w:autoSpaceDN w:val="0"/>
              <w:spacing w:before="100" w:after="100"/>
              <w:jc w:val="both"/>
              <w:textAlignment w:val="baseline"/>
            </w:pPr>
            <w:r w:rsidRPr="00BB2FEE">
              <w:t>Mērķis, risinājums un projekta spēkā stāšanās laiks (500 zīmes bez atstarpēm)</w:t>
            </w:r>
          </w:p>
        </w:tc>
        <w:tc>
          <w:tcPr>
            <w:tcW w:w="3545"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AC2B7B" w14:textId="01186992" w:rsidR="005065F0" w:rsidRDefault="00244837" w:rsidP="009A177B">
            <w:pPr>
              <w:jc w:val="both"/>
            </w:pPr>
            <w:r w:rsidRPr="00E32DBE">
              <w:t xml:space="preserve">Ministru kabineta </w:t>
            </w:r>
            <w:r w:rsidR="00173307">
              <w:t>noteikumu</w:t>
            </w:r>
            <w:r w:rsidRPr="00E32DBE">
              <w:t xml:space="preserve"> projekts sagatavots, lai</w:t>
            </w:r>
            <w:r w:rsidR="005065F0">
              <w:t>:</w:t>
            </w:r>
          </w:p>
          <w:p w14:paraId="4E0CC3C8" w14:textId="672C110B" w:rsidR="005065F0" w:rsidRPr="005065F0" w:rsidRDefault="00244837" w:rsidP="005065F0">
            <w:pPr>
              <w:numPr>
                <w:ilvl w:val="0"/>
                <w:numId w:val="27"/>
              </w:numPr>
              <w:jc w:val="both"/>
              <w:rPr>
                <w:sz w:val="22"/>
                <w:szCs w:val="22"/>
              </w:rPr>
            </w:pPr>
            <w:r>
              <w:t xml:space="preserve">Latvijas ārējā tēla stiprināšanas interesēs ārlietu ministra pārraudzībā esošo tiešās pārvaldes iestādi </w:t>
            </w:r>
            <w:r w:rsidR="006C1E70">
              <w:t>–</w:t>
            </w:r>
            <w:r>
              <w:t xml:space="preserve"> Latvijas institūtu </w:t>
            </w:r>
            <w:r w:rsidR="00220BAC">
              <w:t xml:space="preserve">(turpmāk – LI) </w:t>
            </w:r>
            <w:r w:rsidR="006C1E70">
              <w:t>–</w:t>
            </w:r>
            <w:r>
              <w:t xml:space="preserve"> pievienotu ekonomikas ministra pakļautībā esošajai tiešās pārvaldes iestādei</w:t>
            </w:r>
            <w:r w:rsidR="007A052D">
              <w:t xml:space="preserve"> </w:t>
            </w:r>
            <w:r w:rsidR="006C1E70">
              <w:t>–</w:t>
            </w:r>
            <w:r>
              <w:t xml:space="preserve"> Latvijas Investīciju un attīstības aģentūra</w:t>
            </w:r>
            <w:r w:rsidR="00173307">
              <w:t>i</w:t>
            </w:r>
            <w:r w:rsidR="009A177B">
              <w:t xml:space="preserve"> </w:t>
            </w:r>
            <w:r w:rsidR="000C28FF">
              <w:t>(turpmāk – LIAA)</w:t>
            </w:r>
            <w:r w:rsidR="005065F0">
              <w:t>;</w:t>
            </w:r>
          </w:p>
          <w:p w14:paraId="26B834C5" w14:textId="77777777" w:rsidR="006C1E70" w:rsidRPr="0066755F" w:rsidRDefault="0004769C" w:rsidP="005065F0">
            <w:pPr>
              <w:numPr>
                <w:ilvl w:val="0"/>
                <w:numId w:val="27"/>
              </w:numPr>
              <w:jc w:val="both"/>
              <w:rPr>
                <w:sz w:val="22"/>
                <w:szCs w:val="22"/>
              </w:rPr>
            </w:pPr>
            <w:r>
              <w:t xml:space="preserve">LIAA </w:t>
            </w:r>
            <w:r w:rsidR="00E7569A">
              <w:t xml:space="preserve">varētu uzsākt pakalpojumu sniegšanu </w:t>
            </w:r>
            <w:r w:rsidR="009A177B">
              <w:t>informācijas sistēm</w:t>
            </w:r>
            <w:r w:rsidR="00E7569A">
              <w:t>ā</w:t>
            </w:r>
            <w:r w:rsidR="009A177B">
              <w:t xml:space="preserve"> “</w:t>
            </w:r>
            <w:r w:rsidR="008D7301">
              <w:t>Valsts platforma biznesa attīstībai</w:t>
            </w:r>
            <w:r w:rsidR="009A177B">
              <w:t xml:space="preserve">” </w:t>
            </w:r>
            <w:hyperlink r:id="rId11">
              <w:r w:rsidR="00220BAC" w:rsidRPr="34E7388F">
                <w:rPr>
                  <w:rStyle w:val="Hyperlink"/>
                </w:rPr>
                <w:t>www.business.gov.lv</w:t>
              </w:r>
            </w:hyperlink>
            <w:r w:rsidR="006C1E70">
              <w:t>;</w:t>
            </w:r>
          </w:p>
          <w:p w14:paraId="5ABFAF0A" w14:textId="3572641A" w:rsidR="00244837" w:rsidRPr="00220BAC" w:rsidRDefault="006C1E70" w:rsidP="005065F0">
            <w:pPr>
              <w:numPr>
                <w:ilvl w:val="0"/>
                <w:numId w:val="27"/>
              </w:numPr>
              <w:jc w:val="both"/>
              <w:rPr>
                <w:sz w:val="22"/>
                <w:szCs w:val="22"/>
              </w:rPr>
            </w:pPr>
            <w:r>
              <w:t xml:space="preserve">LIAA nolikumu papildinātu un precizētu atbilstoši aktuālajiem mērķiem un prioritātēm, kas izriet no politikas plānošanas dokumentiem, tai skaitā </w:t>
            </w:r>
            <w:r w:rsidRPr="006C1E70">
              <w:t>Nacionālās industriālās politikas pamatnostādn</w:t>
            </w:r>
            <w:r>
              <w:t>ēm</w:t>
            </w:r>
            <w:r w:rsidRPr="006C1E70">
              <w:t xml:space="preserve"> 2021.</w:t>
            </w:r>
            <w:r>
              <w:t xml:space="preserve"> – </w:t>
            </w:r>
            <w:r w:rsidRPr="006C1E70">
              <w:t>2027.gadam</w:t>
            </w:r>
            <w:r>
              <w:t>.</w:t>
            </w:r>
          </w:p>
          <w:p w14:paraId="06AAF53E" w14:textId="64F083AD" w:rsidR="00244837" w:rsidRPr="003646CE" w:rsidRDefault="006948CA" w:rsidP="003646CE">
            <w:pPr>
              <w:jc w:val="both"/>
              <w:rPr>
                <w:sz w:val="22"/>
                <w:szCs w:val="22"/>
              </w:rPr>
            </w:pPr>
            <w:r>
              <w:t>Noteikumu projekta spēkā stāšanās laiks –  2021.gada 1.jūnijs.</w:t>
            </w:r>
          </w:p>
        </w:tc>
      </w:tr>
    </w:tbl>
    <w:p w14:paraId="7412F215" w14:textId="77777777" w:rsidR="00244837" w:rsidRDefault="00244837" w:rsidP="00B2389A">
      <w:pPr>
        <w:pStyle w:val="naislab"/>
        <w:spacing w:before="0" w:after="0"/>
        <w:outlineLvl w:val="0"/>
        <w:rPr>
          <w:b/>
        </w:rPr>
      </w:pPr>
    </w:p>
    <w:p w14:paraId="15DE09B1" w14:textId="77777777" w:rsidR="00244837" w:rsidRPr="006D40F0" w:rsidRDefault="00244837" w:rsidP="00B2389A">
      <w:pPr>
        <w:pStyle w:val="naislab"/>
        <w:spacing w:before="0" w:after="0"/>
        <w:outlineLvl w:val="0"/>
        <w:rPr>
          <w:b/>
        </w:rPr>
      </w:pPr>
    </w:p>
    <w:tbl>
      <w:tblPr>
        <w:tblW w:w="5000" w:type="pct"/>
        <w:tblBorders>
          <w:top w:val="outset" w:sz="6" w:space="0" w:color="000000"/>
          <w:left w:val="outset" w:sz="6" w:space="0" w:color="000000"/>
          <w:bottom w:val="outset" w:sz="6" w:space="0" w:color="000000"/>
          <w:right w:val="outset" w:sz="6" w:space="0" w:color="000000"/>
        </w:tblBorders>
        <w:tblCellMar>
          <w:top w:w="113" w:type="dxa"/>
          <w:left w:w="113" w:type="dxa"/>
          <w:bottom w:w="113" w:type="dxa"/>
          <w:right w:w="113" w:type="dxa"/>
        </w:tblCellMar>
        <w:tblLook w:val="04A0" w:firstRow="1" w:lastRow="0" w:firstColumn="1" w:lastColumn="0" w:noHBand="0" w:noVBand="1"/>
      </w:tblPr>
      <w:tblGrid>
        <w:gridCol w:w="411"/>
        <w:gridCol w:w="2322"/>
        <w:gridCol w:w="6322"/>
      </w:tblGrid>
      <w:tr w:rsidR="00F7296D" w:rsidRPr="006D40F0" w14:paraId="193F30F3" w14:textId="77777777" w:rsidTr="6B960A0A">
        <w:tc>
          <w:tcPr>
            <w:tcW w:w="0" w:type="auto"/>
            <w:gridSpan w:val="3"/>
            <w:tcBorders>
              <w:top w:val="single" w:sz="6" w:space="0" w:color="auto"/>
              <w:left w:val="single" w:sz="6" w:space="0" w:color="auto"/>
              <w:bottom w:val="outset" w:sz="6" w:space="0" w:color="000000" w:themeColor="text1"/>
              <w:right w:val="single" w:sz="6" w:space="0" w:color="auto"/>
            </w:tcBorders>
            <w:vAlign w:val="center"/>
            <w:hideMark/>
          </w:tcPr>
          <w:p w14:paraId="02267ABC" w14:textId="77777777" w:rsidR="00F7296D" w:rsidRPr="006D40F0" w:rsidRDefault="00F7296D" w:rsidP="00A35CC2">
            <w:pPr>
              <w:jc w:val="center"/>
              <w:rPr>
                <w:b/>
                <w:bCs/>
              </w:rPr>
            </w:pPr>
            <w:r w:rsidRPr="006D40F0">
              <w:rPr>
                <w:b/>
                <w:bCs/>
              </w:rPr>
              <w:t>I. Tiesību akta projekta izstrādes nepieciešamība</w:t>
            </w:r>
          </w:p>
        </w:tc>
      </w:tr>
      <w:tr w:rsidR="00F7296D" w:rsidRPr="006D40F0" w14:paraId="0EE3C886" w14:textId="77777777" w:rsidTr="6B960A0A">
        <w:tc>
          <w:tcPr>
            <w:tcW w:w="227"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845AC07" w14:textId="77777777" w:rsidR="00F7296D" w:rsidRPr="006D40F0" w:rsidRDefault="00F7296D" w:rsidP="00ED39CF">
            <w:r w:rsidRPr="006D40F0">
              <w:t>1.</w:t>
            </w:r>
          </w:p>
        </w:tc>
        <w:tc>
          <w:tcPr>
            <w:tcW w:w="1282"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13E5598B" w14:textId="77777777" w:rsidR="00F7296D" w:rsidRPr="006D40F0" w:rsidRDefault="00F7296D" w:rsidP="00ED39CF">
            <w:r w:rsidRPr="006D40F0">
              <w:t>Pamatojums</w:t>
            </w:r>
          </w:p>
        </w:tc>
        <w:tc>
          <w:tcPr>
            <w:tcW w:w="349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D7CA9AE" w14:textId="5882FC37" w:rsidR="00541DA5" w:rsidRPr="00541DA5" w:rsidRDefault="5E398D7C" w:rsidP="09495584">
            <w:pPr>
              <w:numPr>
                <w:ilvl w:val="0"/>
                <w:numId w:val="35"/>
              </w:numPr>
              <w:ind w:left="0" w:firstLine="315"/>
              <w:jc w:val="both"/>
            </w:pPr>
            <w:r w:rsidRPr="09495584">
              <w:t>Valsts pārvaldes reformu plāna 2020 27. un 29. punkts, kas paredz organizēt darbu un sniegt pakalpojumus pēc iespējas ērti un efektīvi, t.sk. pastāvīgi pārskatot funkcijas, virzot priekšlikumus procesu pilnveidei un atteikties no nebūtiskā, un pastāvīgi pārskatīt un samazināt administratīvo slogu.</w:t>
            </w:r>
          </w:p>
          <w:p w14:paraId="14CE62C5" w14:textId="77777777" w:rsidR="00541DA5" w:rsidRPr="00541DA5" w:rsidRDefault="00DE405B" w:rsidP="003646CE">
            <w:pPr>
              <w:ind w:firstLine="270"/>
              <w:jc w:val="both"/>
            </w:pPr>
            <w:r w:rsidRPr="00DE405B">
              <w:t>Valdības rīcības plān</w:t>
            </w:r>
            <w:r w:rsidR="008B78B4">
              <w:t>a</w:t>
            </w:r>
            <w:r w:rsidRPr="00DE405B">
              <w:t xml:space="preserve"> Deklarācijas par Artura Krišjāņa Kariņa vadītā Ministru kabineta iecerēto darbību īstenošanai, kas apstiprināts ar </w:t>
            </w:r>
            <w:r w:rsidRPr="00DE405B">
              <w:rPr>
                <w:shd w:val="clear" w:color="auto" w:fill="FFFFFF"/>
              </w:rPr>
              <w:t>Ministru kabineta 2019.</w:t>
            </w:r>
            <w:r>
              <w:rPr>
                <w:shd w:val="clear" w:color="auto" w:fill="FFFFFF"/>
              </w:rPr>
              <w:t> </w:t>
            </w:r>
            <w:r w:rsidRPr="008B78B4">
              <w:rPr>
                <w:shd w:val="clear" w:color="auto" w:fill="FFFFFF"/>
              </w:rPr>
              <w:t>gada 7. maija rīkojumu Nr. 210</w:t>
            </w:r>
            <w:r w:rsidR="008B78B4" w:rsidRPr="008B78B4">
              <w:rPr>
                <w:shd w:val="clear" w:color="auto" w:fill="FFFFFF"/>
              </w:rPr>
              <w:t>, 45.1.punkts, kas paredz izveidot vienotu Latvijas valsts tēlu</w:t>
            </w:r>
            <w:r w:rsidR="002B5397">
              <w:rPr>
                <w:shd w:val="clear" w:color="auto" w:fill="FFFFFF"/>
              </w:rPr>
              <w:t>.</w:t>
            </w:r>
          </w:p>
          <w:p w14:paraId="66B63C74" w14:textId="67900C26" w:rsidR="00541DA5" w:rsidRPr="00541DA5" w:rsidRDefault="00541DA5" w:rsidP="00541DA5">
            <w:pPr>
              <w:ind w:firstLine="315"/>
              <w:jc w:val="both"/>
              <w:rPr>
                <w:iCs/>
              </w:rPr>
            </w:pPr>
            <w:r w:rsidRPr="00541DA5">
              <w:rPr>
                <w:iCs/>
              </w:rPr>
              <w:t xml:space="preserve">Ministru kabineta 2020.gada 29.septembra sēdē </w:t>
            </w:r>
            <w:r>
              <w:rPr>
                <w:iCs/>
              </w:rPr>
              <w:t>izskatītais</w:t>
            </w:r>
            <w:r w:rsidRPr="00541DA5">
              <w:rPr>
                <w:iCs/>
              </w:rPr>
              <w:t xml:space="preserve"> </w:t>
            </w:r>
            <w:bookmarkStart w:id="1" w:name="_Hlk13086123"/>
            <w:r w:rsidRPr="00541DA5">
              <w:t xml:space="preserve">Informatīvais ziņojums </w:t>
            </w:r>
            <w:bookmarkStart w:id="2" w:name="_Hlk19693559"/>
            <w:r w:rsidRPr="00541DA5">
              <w:t>“Par vienota valsts tēla izstrādi”</w:t>
            </w:r>
            <w:bookmarkEnd w:id="1"/>
            <w:bookmarkEnd w:id="2"/>
            <w:r w:rsidRPr="00541DA5">
              <w:t>.</w:t>
            </w:r>
          </w:p>
          <w:p w14:paraId="181DBF97" w14:textId="02FA8E28" w:rsidR="00DE405B" w:rsidRPr="00DE405B" w:rsidRDefault="00BF0C3B" w:rsidP="00541DA5">
            <w:pPr>
              <w:ind w:firstLine="300"/>
              <w:jc w:val="both"/>
              <w:rPr>
                <w:iCs/>
              </w:rPr>
            </w:pPr>
            <w:r w:rsidRPr="00244837">
              <w:rPr>
                <w:iCs/>
              </w:rPr>
              <w:t>Ministru kabinet</w:t>
            </w:r>
            <w:r w:rsidR="00CA7D7F">
              <w:rPr>
                <w:iCs/>
              </w:rPr>
              <w:t>a</w:t>
            </w:r>
            <w:r w:rsidR="004B3F7B" w:rsidRPr="00244837">
              <w:rPr>
                <w:iCs/>
              </w:rPr>
              <w:t xml:space="preserve"> </w:t>
            </w:r>
            <w:r w:rsidR="00CA7D7F" w:rsidRPr="00244837">
              <w:rPr>
                <w:iCs/>
              </w:rPr>
              <w:t>2021.gada 21.janvār</w:t>
            </w:r>
            <w:r w:rsidR="00CA7D7F">
              <w:rPr>
                <w:iCs/>
              </w:rPr>
              <w:t>a</w:t>
            </w:r>
            <w:r w:rsidR="004B3F7B" w:rsidRPr="00244837">
              <w:rPr>
                <w:iCs/>
              </w:rPr>
              <w:t xml:space="preserve"> </w:t>
            </w:r>
            <w:r w:rsidRPr="00244837">
              <w:rPr>
                <w:iCs/>
              </w:rPr>
              <w:t>rīkojum</w:t>
            </w:r>
            <w:r w:rsidR="00142665">
              <w:rPr>
                <w:iCs/>
              </w:rPr>
              <w:t>a</w:t>
            </w:r>
            <w:r w:rsidRPr="00244837">
              <w:rPr>
                <w:iCs/>
              </w:rPr>
              <w:t xml:space="preserve"> Nr.39 </w:t>
            </w:r>
            <w:r w:rsidR="00142665">
              <w:rPr>
                <w:bCs/>
                <w:bdr w:val="none" w:sz="0" w:space="0" w:color="auto" w:frame="1"/>
                <w:shd w:val="clear" w:color="auto" w:fill="FFFFFF"/>
              </w:rPr>
              <w:t>“</w:t>
            </w:r>
            <w:r w:rsidRPr="00DA2B8E">
              <w:rPr>
                <w:bCs/>
                <w:bdr w:val="none" w:sz="0" w:space="0" w:color="auto" w:frame="1"/>
                <w:shd w:val="clear" w:color="auto" w:fill="FFFFFF"/>
              </w:rPr>
              <w:t>Par Latvijas institūta pievienošanu Latvijas Investīciju un attīstības aģentūrai</w:t>
            </w:r>
            <w:r w:rsidR="00142665">
              <w:rPr>
                <w:bCs/>
                <w:bdr w:val="none" w:sz="0" w:space="0" w:color="auto" w:frame="1"/>
                <w:shd w:val="clear" w:color="auto" w:fill="FFFFFF"/>
              </w:rPr>
              <w:t>”</w:t>
            </w:r>
            <w:r w:rsidRPr="00DA2B8E">
              <w:rPr>
                <w:bCs/>
                <w:bdr w:val="none" w:sz="0" w:space="0" w:color="auto" w:frame="1"/>
                <w:shd w:val="clear" w:color="auto" w:fill="FFFFFF"/>
              </w:rPr>
              <w:t xml:space="preserve"> (turpmāk – Rīkojums)</w:t>
            </w:r>
            <w:r w:rsidR="00142665">
              <w:rPr>
                <w:bCs/>
                <w:bdr w:val="none" w:sz="0" w:space="0" w:color="auto" w:frame="1"/>
                <w:shd w:val="clear" w:color="auto" w:fill="FFFFFF"/>
              </w:rPr>
              <w:t xml:space="preserve"> 1.punkts</w:t>
            </w:r>
            <w:r w:rsidR="00CA7D7F">
              <w:rPr>
                <w:bCs/>
                <w:bdr w:val="none" w:sz="0" w:space="0" w:color="auto" w:frame="1"/>
                <w:shd w:val="clear" w:color="auto" w:fill="FFFFFF"/>
              </w:rPr>
              <w:t>, kas</w:t>
            </w:r>
            <w:r w:rsidRPr="00244837">
              <w:rPr>
                <w:b/>
                <w:bCs/>
                <w:bdr w:val="none" w:sz="0" w:space="0" w:color="auto" w:frame="1"/>
                <w:shd w:val="clear" w:color="auto" w:fill="FFFFFF"/>
              </w:rPr>
              <w:t xml:space="preserve"> </w:t>
            </w:r>
            <w:r w:rsidR="004B3F7B" w:rsidRPr="00244837">
              <w:rPr>
                <w:iCs/>
              </w:rPr>
              <w:t xml:space="preserve">paredz </w:t>
            </w:r>
            <w:r w:rsidRPr="00244837">
              <w:rPr>
                <w:shd w:val="clear" w:color="auto" w:fill="FFFFFF"/>
              </w:rPr>
              <w:t>ar 2021. gada 1. jūniju likvidēt ārlietu ministra pārraudzībā esošo tiešās pārvaldes iestādi –</w:t>
            </w:r>
            <w:r w:rsidR="00220BAC">
              <w:rPr>
                <w:shd w:val="clear" w:color="auto" w:fill="FFFFFF"/>
              </w:rPr>
              <w:t xml:space="preserve"> </w:t>
            </w:r>
            <w:r w:rsidRPr="00244837">
              <w:rPr>
                <w:shd w:val="clear" w:color="auto" w:fill="FFFFFF"/>
              </w:rPr>
              <w:t xml:space="preserve">LI –, pievienojot to ekonomikas ministra pakļautībā esošajai tiešās pārvaldes iestādei </w:t>
            </w:r>
            <w:r w:rsidR="0004769C">
              <w:rPr>
                <w:shd w:val="clear" w:color="auto" w:fill="FFFFFF"/>
              </w:rPr>
              <w:t xml:space="preserve">- </w:t>
            </w:r>
            <w:r w:rsidRPr="00244837">
              <w:rPr>
                <w:shd w:val="clear" w:color="auto" w:fill="FFFFFF"/>
              </w:rPr>
              <w:t>LIAA, lai stiprinātu Latvijas ārējo tēlu</w:t>
            </w:r>
            <w:r w:rsidR="00142665">
              <w:rPr>
                <w:shd w:val="clear" w:color="auto" w:fill="FFFFFF"/>
              </w:rPr>
              <w:t>,</w:t>
            </w:r>
            <w:r w:rsidR="00142665">
              <w:t xml:space="preserve"> un 6. punkts, kas nosaka ekonomikas ministram l</w:t>
            </w:r>
            <w:r w:rsidR="004B3F7B" w:rsidRPr="00244837">
              <w:rPr>
                <w:iCs/>
              </w:rPr>
              <w:t>īdz 20</w:t>
            </w:r>
            <w:r w:rsidRPr="00244837">
              <w:rPr>
                <w:iCs/>
              </w:rPr>
              <w:t>21</w:t>
            </w:r>
            <w:r w:rsidR="004B3F7B" w:rsidRPr="00244837">
              <w:rPr>
                <w:iCs/>
              </w:rPr>
              <w:t>.gada 1.</w:t>
            </w:r>
            <w:r w:rsidRPr="00244837">
              <w:rPr>
                <w:iCs/>
              </w:rPr>
              <w:t xml:space="preserve">maijam </w:t>
            </w:r>
            <w:r w:rsidRPr="00244837">
              <w:t xml:space="preserve">iesniegt Ministru kabinetā Rīkojuma izpildei nepieciešamos tiesību aktu </w:t>
            </w:r>
            <w:r w:rsidRPr="00DE405B">
              <w:t>projektus</w:t>
            </w:r>
            <w:r w:rsidRPr="00DE405B">
              <w:rPr>
                <w:iCs/>
              </w:rPr>
              <w:t>.</w:t>
            </w:r>
          </w:p>
          <w:p w14:paraId="1E712AC6" w14:textId="77777777" w:rsidR="00980DE8" w:rsidRDefault="00980DE8" w:rsidP="00541DA5">
            <w:pPr>
              <w:jc w:val="both"/>
              <w:rPr>
                <w:iCs/>
              </w:rPr>
            </w:pPr>
          </w:p>
          <w:p w14:paraId="7D73395C" w14:textId="486C6A81" w:rsidR="005065F0" w:rsidRPr="0066755F" w:rsidRDefault="00E7569A" w:rsidP="09495584">
            <w:pPr>
              <w:numPr>
                <w:ilvl w:val="0"/>
                <w:numId w:val="35"/>
              </w:numPr>
              <w:ind w:left="0" w:firstLine="315"/>
              <w:jc w:val="both"/>
            </w:pPr>
            <w:r w:rsidRPr="00E7569A">
              <w:rPr>
                <w:shd w:val="clear" w:color="auto" w:fill="FFFFFF"/>
              </w:rPr>
              <w:t xml:space="preserve">LIAA 2018. gada 22. maijā ir noslēgusi vienošanos par projekta Nr. 2.2.1.1/17/I/026 “Latvijas eksporta un investīciju informācijas sistēma” īstenošanu. Projekts tiek </w:t>
            </w:r>
            <w:r w:rsidRPr="00E7569A">
              <w:rPr>
                <w:shd w:val="clear" w:color="auto" w:fill="FFFFFF"/>
              </w:rPr>
              <w:lastRenderedPageBreak/>
              <w:t>realizēts  Ministru kabineta 2015. gada 17. novembra noteikumu Nr. 653 </w:t>
            </w:r>
            <w:hyperlink r:id="rId12" w:tgtFrame="_blank" w:history="1">
              <w:r w:rsidRPr="00693B41">
                <w:rPr>
                  <w:rStyle w:val="Hyperlink"/>
                  <w:color w:val="auto"/>
                  <w:u w:val="none"/>
                  <w:shd w:val="clear" w:color="auto" w:fill="FFFFFF"/>
                </w:rPr>
                <w:t xml:space="preserve">“Darbības programmas “Izaugsme un nodarbinātība” 2.2.1. specifiskā atbalsta mērķa “Nodrošināt publisko datu </w:t>
              </w:r>
              <w:proofErr w:type="spellStart"/>
              <w:r w:rsidRPr="00693B41">
                <w:rPr>
                  <w:rStyle w:val="Hyperlink"/>
                  <w:color w:val="auto"/>
                  <w:u w:val="none"/>
                  <w:shd w:val="clear" w:color="auto" w:fill="FFFFFF"/>
                </w:rPr>
                <w:t>atkalizmantošanas</w:t>
              </w:r>
              <w:proofErr w:type="spellEnd"/>
              <w:r w:rsidRPr="00693B41">
                <w:rPr>
                  <w:rStyle w:val="Hyperlink"/>
                  <w:color w:val="auto"/>
                  <w:u w:val="none"/>
                  <w:shd w:val="clear" w:color="auto" w:fill="FFFFFF"/>
                </w:rPr>
                <w:t xml:space="preserve"> pieaugumu un efektīvu publiskās pārvaldes un privātā sektora mijiedarbību” 2.2.1.1. pasākuma “Centralizētu publiskās pārvaldes IKT platformu izveide, publiskās pārvaldes procesu optimizēšana un attīstība" īstenošanas noteikumi”</w:t>
              </w:r>
            </w:hyperlink>
            <w:r w:rsidRPr="00E7569A">
              <w:rPr>
                <w:shd w:val="clear" w:color="auto" w:fill="FFFFFF"/>
              </w:rPr>
              <w:t xml:space="preserve"> ietvaros. </w:t>
            </w:r>
            <w:r w:rsidR="0023086B">
              <w:rPr>
                <w:shd w:val="clear" w:color="auto" w:fill="FFFFFF"/>
              </w:rPr>
              <w:t xml:space="preserve">Ar Ministru kabineta 2020.gada 15.jūlija </w:t>
            </w:r>
            <w:r w:rsidR="0023086B" w:rsidRPr="0023086B">
              <w:rPr>
                <w:shd w:val="clear" w:color="auto" w:fill="FFFFFF"/>
              </w:rPr>
              <w:t xml:space="preserve">rīkojumu Nr.374 “Par darbības programmas "Izaugsme un nodarbinātība" 2.2.1. specifiskā atbalsta mērķa "Nodrošināt publisko datu </w:t>
            </w:r>
            <w:proofErr w:type="spellStart"/>
            <w:r w:rsidR="0023086B" w:rsidRPr="0023086B">
              <w:rPr>
                <w:shd w:val="clear" w:color="auto" w:fill="FFFFFF"/>
              </w:rPr>
              <w:t>atkalizmantošanas</w:t>
            </w:r>
            <w:proofErr w:type="spellEnd"/>
            <w:r w:rsidR="0023086B" w:rsidRPr="0023086B">
              <w:rPr>
                <w:shd w:val="clear" w:color="auto" w:fill="FFFFFF"/>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0023086B" w:rsidRPr="0023086B">
              <w:rPr>
                <w:shd w:val="clear" w:color="auto" w:fill="FFFFFF"/>
              </w:rPr>
              <w:t>digitalizācija</w:t>
            </w:r>
            <w:proofErr w:type="spellEnd"/>
            <w:r w:rsidR="0023086B" w:rsidRPr="0023086B">
              <w:rPr>
                <w:shd w:val="clear" w:color="auto" w:fill="FFFFFF"/>
              </w:rPr>
              <w:t>" projektu iesniegumu atlases 1. un 2. kārtas projektu sarakstu Eiropas Savienības fondu 2014.–2020. gada plānošanas periodam”</w:t>
            </w:r>
            <w:r w:rsidR="0023086B">
              <w:rPr>
                <w:shd w:val="clear" w:color="auto" w:fill="FFFFFF"/>
              </w:rPr>
              <w:t xml:space="preserve"> </w:t>
            </w:r>
            <w:r w:rsidR="0023086B" w:rsidRPr="0023086B">
              <w:rPr>
                <w:shd w:val="clear" w:color="auto" w:fill="FFFFFF"/>
              </w:rPr>
              <w:t>ir apstiprināts</w:t>
            </w:r>
            <w:r w:rsidR="0023086B">
              <w:rPr>
                <w:shd w:val="clear" w:color="auto" w:fill="FFFFFF"/>
              </w:rPr>
              <w:t xml:space="preserve"> LIAA projekts.</w:t>
            </w:r>
            <w:r w:rsidR="00D02091">
              <w:rPr>
                <w:shd w:val="clear" w:color="auto" w:fill="FFFFFF"/>
              </w:rPr>
              <w:br/>
            </w:r>
          </w:p>
          <w:p w14:paraId="7682B196" w14:textId="70C484DD" w:rsidR="00D02091" w:rsidRPr="00E7569A" w:rsidRDefault="00D02091" w:rsidP="0066755F">
            <w:pPr>
              <w:numPr>
                <w:ilvl w:val="0"/>
                <w:numId w:val="35"/>
              </w:numPr>
              <w:ind w:left="0" w:firstLine="315"/>
              <w:jc w:val="both"/>
            </w:pPr>
            <w:r>
              <w:t xml:space="preserve">2020. gada 2. jūlijā Saeimā apstiprināts </w:t>
            </w:r>
            <w:r w:rsidR="00FC0361" w:rsidRPr="00FC0361">
              <w:t>Latvijas Nacionāl</w:t>
            </w:r>
            <w:r w:rsidR="00FC0361">
              <w:t>ais</w:t>
            </w:r>
            <w:r w:rsidR="00FC0361" w:rsidRPr="00FC0361">
              <w:t xml:space="preserve"> attīstības plān</w:t>
            </w:r>
            <w:r w:rsidR="00FC0361">
              <w:t>s</w:t>
            </w:r>
            <w:r w:rsidR="00FC0361" w:rsidRPr="00FC0361">
              <w:t xml:space="preserve"> 2021.</w:t>
            </w:r>
            <w:r w:rsidR="00FC0361">
              <w:t>–</w:t>
            </w:r>
            <w:r w:rsidR="00FC0361" w:rsidRPr="00FC0361">
              <w:t>2027. gadam</w:t>
            </w:r>
            <w:r w:rsidR="00FC0361">
              <w:t>, kurā kā viens no stratēģiskajiem mērķiem ir izvirzīta p</w:t>
            </w:r>
            <w:r w:rsidR="00FC0361" w:rsidRPr="00FC0361">
              <w:t>roduktivitātes  paaugstināšana</w:t>
            </w:r>
            <w:r w:rsidR="00FC0361">
              <w:t xml:space="preserve">, kas </w:t>
            </w:r>
            <w:r w:rsidR="00FC0361" w:rsidRPr="00FC0361">
              <w:t>panākama  ar  mērķtiecīgu  resursu  ieguldīšanu augstākas  pievienotās  vērtības  radīšanai  un  pārdošanai  globālajā  tirgū</w:t>
            </w:r>
            <w:r w:rsidR="00FC0361">
              <w:t xml:space="preserve">, </w:t>
            </w:r>
            <w:r w:rsidR="00FC0361" w:rsidRPr="00FC0361">
              <w:t>inovatīv</w:t>
            </w:r>
            <w:r w:rsidR="00FC0361">
              <w:t>u</w:t>
            </w:r>
            <w:r w:rsidR="00FC0361" w:rsidRPr="00FC0361">
              <w:t>,  jaun</w:t>
            </w:r>
            <w:r w:rsidR="00A57437">
              <w:t>u</w:t>
            </w:r>
            <w:r w:rsidR="00FC0361" w:rsidRPr="00FC0361">
              <w:t xml:space="preserve">  tehnoloģij</w:t>
            </w:r>
            <w:r w:rsidR="00FC0361">
              <w:t>u</w:t>
            </w:r>
            <w:r w:rsidR="00FC0361" w:rsidRPr="00FC0361">
              <w:t>,  efektīvāku</w:t>
            </w:r>
            <w:r w:rsidR="00FC0361">
              <w:t xml:space="preserve"> </w:t>
            </w:r>
            <w:r w:rsidR="00FC0361" w:rsidRPr="00FC0361">
              <w:t>darba procesu</w:t>
            </w:r>
            <w:r w:rsidR="00FC0361">
              <w:t xml:space="preserve"> ieviešanu</w:t>
            </w:r>
            <w:r w:rsidR="00FC0361" w:rsidRPr="00FC0361">
              <w:t xml:space="preserve">  un  nodarbināto  kompetenču  pilnveidošanu</w:t>
            </w:r>
            <w:r w:rsidR="00FC0361">
              <w:t>, t</w:t>
            </w:r>
            <w:r w:rsidR="00FC0361" w:rsidRPr="00FC0361">
              <w:t>ā  rezultātā  veidojot  uz zināšanām un inovācij</w:t>
            </w:r>
            <w:r w:rsidR="00A57437">
              <w:t>ām</w:t>
            </w:r>
            <w:r w:rsidR="00FC0361" w:rsidRPr="00FC0361">
              <w:t xml:space="preserve"> balstītas Latvijas konkurētspējas priekšrocības</w:t>
            </w:r>
            <w:r w:rsidR="00FC0361">
              <w:t xml:space="preserve">. Savukārt </w:t>
            </w:r>
            <w:r>
              <w:t xml:space="preserve">2021. gada 11. februārī Ministru kabinetā izskatītas </w:t>
            </w:r>
            <w:r w:rsidRPr="00D02091">
              <w:t>Nacionālās industriālās politikas pamatnostādnes 2021.-2027.gadam</w:t>
            </w:r>
            <w:r>
              <w:t xml:space="preserve">, kas paredz panākt produktivitātes pieaugumā balstītas ekonomikas strukturālās izmaiņas par labu zināšanu ietilpīga preču un pakalpojumu eksporta attīstībai, tai skaitā Viedās specializācijas (turpmāk – RIS3) stratēģijas ieviešanu un RIS3 vērtību ķēžu ekosistēmu veidošanu un attīstību. Šie darbības virzieni ietilpst </w:t>
            </w:r>
            <w:r w:rsidR="00FC0361">
              <w:t>LIAA kompetencē, tādēļ nepieciešams attiecīgi papildināt un precizēt LIAA nolikumu.</w:t>
            </w:r>
          </w:p>
        </w:tc>
      </w:tr>
      <w:tr w:rsidR="00F7296D" w:rsidRPr="006D40F0" w14:paraId="33F54D08" w14:textId="77777777" w:rsidTr="6B960A0A">
        <w:trPr>
          <w:trHeight w:val="596"/>
        </w:trPr>
        <w:tc>
          <w:tcPr>
            <w:tcW w:w="227"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3906810" w14:textId="77777777" w:rsidR="00F7296D" w:rsidRPr="006D40F0" w:rsidRDefault="00F7296D" w:rsidP="00ED39CF">
            <w:r w:rsidRPr="006D40F0">
              <w:lastRenderedPageBreak/>
              <w:t>2.</w:t>
            </w:r>
          </w:p>
        </w:tc>
        <w:tc>
          <w:tcPr>
            <w:tcW w:w="1282"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5F50E2B" w14:textId="77777777" w:rsidR="00CB423E" w:rsidRPr="006D40F0" w:rsidRDefault="00F7296D" w:rsidP="00ED39CF">
            <w:bookmarkStart w:id="3" w:name="_Hlk66105543"/>
            <w:r w:rsidRPr="006D40F0">
              <w:t>Pašreizējā situācija un problēmas, kuru risināšanai tiesību akta projekts izstrādāts, tiesiskā regulējuma mērķis un būtība</w:t>
            </w:r>
          </w:p>
          <w:bookmarkEnd w:id="3"/>
          <w:p w14:paraId="052D7818" w14:textId="77777777" w:rsidR="00CB423E" w:rsidRPr="006D40F0" w:rsidRDefault="00CB423E" w:rsidP="00CB423E"/>
          <w:p w14:paraId="3C64D67C" w14:textId="77777777" w:rsidR="00CB423E" w:rsidRPr="006D40F0" w:rsidRDefault="00CB423E" w:rsidP="00CB423E"/>
          <w:p w14:paraId="03851B82" w14:textId="77777777" w:rsidR="00CB423E" w:rsidRPr="006D40F0" w:rsidRDefault="00CB423E" w:rsidP="00CB423E"/>
          <w:p w14:paraId="247CF024" w14:textId="77777777" w:rsidR="00CB423E" w:rsidRPr="006D40F0" w:rsidRDefault="00CB423E" w:rsidP="00CB423E"/>
          <w:p w14:paraId="68156B78" w14:textId="77777777" w:rsidR="00CB423E" w:rsidRPr="006D40F0" w:rsidRDefault="00CB423E" w:rsidP="00CB423E"/>
          <w:p w14:paraId="18C8C4FF" w14:textId="77777777" w:rsidR="00CB423E" w:rsidRPr="006D40F0" w:rsidRDefault="00CB423E" w:rsidP="00CB423E"/>
          <w:p w14:paraId="693A1B6A" w14:textId="77777777" w:rsidR="00F7296D" w:rsidRPr="006D40F0" w:rsidRDefault="00F7296D" w:rsidP="00CB423E">
            <w:pPr>
              <w:ind w:firstLine="720"/>
            </w:pPr>
          </w:p>
        </w:tc>
        <w:tc>
          <w:tcPr>
            <w:tcW w:w="349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753A94DC" w14:textId="4736EF49" w:rsidR="00173947" w:rsidRPr="00F84008" w:rsidRDefault="00173947" w:rsidP="00F84008">
            <w:pPr>
              <w:pStyle w:val="NormalWeb"/>
              <w:jc w:val="both"/>
              <w:rPr>
                <w:rFonts w:ascii="Times New Roman" w:hAnsi="Times New Roman"/>
                <w:iCs/>
                <w:sz w:val="24"/>
                <w:szCs w:val="24"/>
                <w:lang w:val="lv-LV"/>
              </w:rPr>
            </w:pPr>
            <w:r w:rsidRPr="00F84008">
              <w:rPr>
                <w:rFonts w:ascii="Times New Roman" w:hAnsi="Times New Roman"/>
                <w:sz w:val="24"/>
                <w:szCs w:val="24"/>
                <w:shd w:val="clear" w:color="auto" w:fill="FFFFFF"/>
                <w:lang w:val="lv-LV"/>
              </w:rPr>
              <w:t xml:space="preserve">Anotācija aizpildīta par </w:t>
            </w:r>
            <w:r w:rsidR="00FC0361">
              <w:rPr>
                <w:rFonts w:ascii="Times New Roman" w:hAnsi="Times New Roman"/>
                <w:sz w:val="24"/>
                <w:szCs w:val="24"/>
                <w:shd w:val="clear" w:color="auto" w:fill="FFFFFF"/>
                <w:lang w:val="lv-LV"/>
              </w:rPr>
              <w:t>trim</w:t>
            </w:r>
            <w:r w:rsidR="00FC0361" w:rsidRPr="00F84008">
              <w:rPr>
                <w:rFonts w:ascii="Times New Roman" w:hAnsi="Times New Roman"/>
                <w:sz w:val="24"/>
                <w:szCs w:val="24"/>
                <w:shd w:val="clear" w:color="auto" w:fill="FFFFFF"/>
                <w:lang w:val="lv-LV"/>
              </w:rPr>
              <w:t xml:space="preserve"> </w:t>
            </w:r>
            <w:r w:rsidR="006948CA" w:rsidRPr="00F84008">
              <w:rPr>
                <w:rFonts w:ascii="Times New Roman" w:hAnsi="Times New Roman"/>
                <w:iCs/>
                <w:sz w:val="24"/>
                <w:szCs w:val="24"/>
                <w:lang w:val="lv-LV"/>
              </w:rPr>
              <w:t>Ministru kabineta noteikumu projekt</w:t>
            </w:r>
            <w:r w:rsidR="006948CA">
              <w:rPr>
                <w:rFonts w:ascii="Times New Roman" w:hAnsi="Times New Roman"/>
                <w:iCs/>
                <w:sz w:val="24"/>
                <w:szCs w:val="24"/>
                <w:lang w:val="lv-LV"/>
              </w:rPr>
              <w:t>ā</w:t>
            </w:r>
            <w:r w:rsidR="006948CA" w:rsidRPr="00F84008">
              <w:rPr>
                <w:rFonts w:ascii="Times New Roman" w:hAnsi="Times New Roman"/>
                <w:iCs/>
                <w:sz w:val="24"/>
                <w:szCs w:val="24"/>
                <w:lang w:val="lv-LV"/>
              </w:rPr>
              <w:t xml:space="preserve"> “Grozījumi Ministru kabineta 2012. gada 11. decembra noteikumos Nr. 857 “Latvijas Investīciju un attīstības aģentūras nolikums”” (turpmāk – noteikumu projekts)</w:t>
            </w:r>
            <w:r w:rsidR="006948CA">
              <w:rPr>
                <w:rFonts w:ascii="Times New Roman" w:hAnsi="Times New Roman"/>
                <w:iCs/>
                <w:sz w:val="24"/>
                <w:szCs w:val="24"/>
                <w:lang w:val="lv-LV"/>
              </w:rPr>
              <w:t xml:space="preserve"> </w:t>
            </w:r>
            <w:r w:rsidRPr="00F84008">
              <w:rPr>
                <w:rFonts w:ascii="Times New Roman" w:hAnsi="Times New Roman"/>
                <w:sz w:val="24"/>
                <w:szCs w:val="24"/>
                <w:shd w:val="clear" w:color="auto" w:fill="FFFFFF"/>
                <w:lang w:val="lv-LV"/>
              </w:rPr>
              <w:t>skarto jautājumu blokiem</w:t>
            </w:r>
            <w:r w:rsidR="00220BAC" w:rsidRPr="00F84008">
              <w:rPr>
                <w:rFonts w:ascii="Times New Roman" w:hAnsi="Times New Roman"/>
                <w:sz w:val="24"/>
                <w:szCs w:val="24"/>
                <w:shd w:val="clear" w:color="auto" w:fill="FFFFFF"/>
                <w:lang w:val="lv-LV"/>
              </w:rPr>
              <w:t xml:space="preserve"> – </w:t>
            </w:r>
            <w:r w:rsidR="006948CA">
              <w:rPr>
                <w:rFonts w:ascii="Times New Roman" w:hAnsi="Times New Roman"/>
                <w:sz w:val="24"/>
                <w:szCs w:val="24"/>
                <w:shd w:val="clear" w:color="auto" w:fill="FFFFFF"/>
                <w:lang w:val="lv-LV"/>
              </w:rPr>
              <w:t xml:space="preserve">1) </w:t>
            </w:r>
            <w:r w:rsidR="00220BAC" w:rsidRPr="00F84008">
              <w:rPr>
                <w:rFonts w:ascii="Times New Roman" w:hAnsi="Times New Roman"/>
                <w:sz w:val="24"/>
                <w:szCs w:val="24"/>
                <w:shd w:val="clear" w:color="auto" w:fill="FFFFFF"/>
                <w:lang w:val="lv-LV"/>
              </w:rPr>
              <w:t>LI pievienošanu LIAA</w:t>
            </w:r>
            <w:r w:rsidR="00FC0361">
              <w:rPr>
                <w:rFonts w:ascii="Times New Roman" w:hAnsi="Times New Roman"/>
                <w:sz w:val="24"/>
                <w:szCs w:val="24"/>
                <w:shd w:val="clear" w:color="auto" w:fill="FFFFFF"/>
                <w:lang w:val="lv-LV"/>
              </w:rPr>
              <w:t>,</w:t>
            </w:r>
            <w:r w:rsidR="00220BAC" w:rsidRPr="00F84008">
              <w:rPr>
                <w:rFonts w:ascii="Times New Roman" w:hAnsi="Times New Roman"/>
                <w:sz w:val="24"/>
                <w:szCs w:val="24"/>
                <w:shd w:val="clear" w:color="auto" w:fill="FFFFFF"/>
                <w:lang w:val="lv-LV"/>
              </w:rPr>
              <w:t xml:space="preserve"> </w:t>
            </w:r>
            <w:r w:rsidR="006948CA">
              <w:rPr>
                <w:rFonts w:ascii="Times New Roman" w:hAnsi="Times New Roman"/>
                <w:sz w:val="24"/>
                <w:szCs w:val="24"/>
                <w:shd w:val="clear" w:color="auto" w:fill="FFFFFF"/>
                <w:lang w:val="lv-LV"/>
              </w:rPr>
              <w:t xml:space="preserve">2) </w:t>
            </w:r>
            <w:r w:rsidR="00220BAC" w:rsidRPr="00F84008">
              <w:rPr>
                <w:rFonts w:ascii="Times New Roman" w:hAnsi="Times New Roman"/>
                <w:sz w:val="24"/>
                <w:szCs w:val="24"/>
                <w:shd w:val="clear" w:color="auto" w:fill="FFFFFF"/>
                <w:lang w:val="lv-LV"/>
              </w:rPr>
              <w:t>informācijas sistēmas “Valsts platforma biznesa attīstībai” izveidi</w:t>
            </w:r>
            <w:r w:rsidR="00BE3B5F">
              <w:rPr>
                <w:rFonts w:ascii="Times New Roman" w:hAnsi="Times New Roman"/>
                <w:sz w:val="24"/>
                <w:szCs w:val="24"/>
                <w:shd w:val="clear" w:color="auto" w:fill="FFFFFF"/>
                <w:lang w:val="lv-LV"/>
              </w:rPr>
              <w:t xml:space="preserve"> un pakalpojumu sniegšanu minētajā sistēmā</w:t>
            </w:r>
            <w:r w:rsidR="00FC0361">
              <w:rPr>
                <w:rFonts w:ascii="Times New Roman" w:hAnsi="Times New Roman"/>
                <w:sz w:val="24"/>
                <w:szCs w:val="24"/>
                <w:shd w:val="clear" w:color="auto" w:fill="FFFFFF"/>
                <w:lang w:val="lv-LV"/>
              </w:rPr>
              <w:t xml:space="preserve"> un 3) </w:t>
            </w:r>
            <w:r w:rsidR="00FC0361" w:rsidRPr="00FC0361">
              <w:rPr>
                <w:rFonts w:ascii="Times New Roman" w:hAnsi="Times New Roman"/>
                <w:sz w:val="24"/>
                <w:szCs w:val="24"/>
                <w:shd w:val="clear" w:color="auto" w:fill="FFFFFF"/>
                <w:lang w:val="lv-LV"/>
              </w:rPr>
              <w:t>aktuāl</w:t>
            </w:r>
            <w:r w:rsidR="00FC0361">
              <w:rPr>
                <w:rFonts w:ascii="Times New Roman" w:hAnsi="Times New Roman"/>
                <w:sz w:val="24"/>
                <w:szCs w:val="24"/>
                <w:shd w:val="clear" w:color="auto" w:fill="FFFFFF"/>
                <w:lang w:val="lv-LV"/>
              </w:rPr>
              <w:t>o</w:t>
            </w:r>
            <w:r w:rsidR="00FC0361" w:rsidRPr="00FC0361">
              <w:rPr>
                <w:rFonts w:ascii="Times New Roman" w:hAnsi="Times New Roman"/>
                <w:sz w:val="24"/>
                <w:szCs w:val="24"/>
                <w:shd w:val="clear" w:color="auto" w:fill="FFFFFF"/>
                <w:lang w:val="lv-LV"/>
              </w:rPr>
              <w:t xml:space="preserve"> </w:t>
            </w:r>
            <w:r w:rsidR="00FC0361">
              <w:rPr>
                <w:rFonts w:ascii="Times New Roman" w:hAnsi="Times New Roman"/>
                <w:sz w:val="24"/>
                <w:szCs w:val="24"/>
                <w:shd w:val="clear" w:color="auto" w:fill="FFFFFF"/>
                <w:lang w:val="lv-LV"/>
              </w:rPr>
              <w:t>funkciju un uzdevumu iekļaušanu atbilstoši politikas plānošanas dokumentu mērķiem</w:t>
            </w:r>
            <w:r w:rsidR="00220BAC" w:rsidRPr="00F84008">
              <w:rPr>
                <w:rFonts w:ascii="Times New Roman" w:hAnsi="Times New Roman"/>
                <w:sz w:val="24"/>
                <w:szCs w:val="24"/>
                <w:shd w:val="clear" w:color="auto" w:fill="FFFFFF"/>
                <w:lang w:val="lv-LV"/>
              </w:rPr>
              <w:t>.</w:t>
            </w:r>
          </w:p>
          <w:p w14:paraId="6D7931A4" w14:textId="6A28D27D" w:rsidR="00142665" w:rsidRPr="00F84008" w:rsidRDefault="00142665" w:rsidP="00F84008">
            <w:pPr>
              <w:pStyle w:val="NormalWeb"/>
              <w:numPr>
                <w:ilvl w:val="0"/>
                <w:numId w:val="29"/>
              </w:numPr>
              <w:ind w:left="31" w:hanging="31"/>
              <w:jc w:val="both"/>
              <w:rPr>
                <w:rFonts w:ascii="Times New Roman" w:hAnsi="Times New Roman"/>
                <w:iCs/>
                <w:sz w:val="24"/>
                <w:szCs w:val="24"/>
                <w:lang w:val="lv-LV"/>
              </w:rPr>
            </w:pPr>
            <w:r w:rsidRPr="00F84008">
              <w:rPr>
                <w:rFonts w:ascii="Times New Roman" w:hAnsi="Times New Roman"/>
                <w:sz w:val="24"/>
                <w:szCs w:val="24"/>
                <w:lang w:val="lv-LV"/>
              </w:rPr>
              <w:t xml:space="preserve">Pamatojoties uz Ministru kabinetā izskatīto 2020. gada 29. septembra Ekonomikas ministrijas informatīvo ziņojumu “Par vienota valsts tēla izstrādi” un Latvijas ārējā tēla politikas koordinācijas padomes 2020. gada 29. septembra lēmumu </w:t>
            </w:r>
            <w:r w:rsidRPr="00F84008">
              <w:rPr>
                <w:rFonts w:ascii="Times New Roman" w:hAnsi="Times New Roman"/>
                <w:sz w:val="24"/>
                <w:szCs w:val="24"/>
                <w:lang w:val="lv-LV"/>
              </w:rPr>
              <w:lastRenderedPageBreak/>
              <w:t>atbalstīt Ārlietu ministrijas un Ekonomikas ministrijas priekšlikumu par LIAA un LI apvienošanu, tika pieņemts Rīkojums, kura 1. punkts noteic LI likvidāciju, to pievienojot LIAA. Rīkojuma 2.punkts uzliek LIAA pienākumu ar 2021. gada 1. jūniju pārņemt visas LI tiesības, saistības, finanšu līdzekļus, mantas un lietvedību. Savukārt, Rīkojuma 6. punkts paredz līdz 2021. gada 1. maijam iesniegt rīkojuma izpildei nepieciešamos tiesību aktu projektus.</w:t>
            </w:r>
          </w:p>
          <w:p w14:paraId="636DB694" w14:textId="11EDAF28" w:rsidR="004B3F7B" w:rsidRPr="00F84008" w:rsidRDefault="004B3F7B" w:rsidP="00F84008">
            <w:pPr>
              <w:pStyle w:val="NormalWeb"/>
              <w:ind w:left="31"/>
              <w:jc w:val="both"/>
              <w:rPr>
                <w:rFonts w:ascii="Times New Roman" w:hAnsi="Times New Roman"/>
                <w:iCs/>
                <w:sz w:val="24"/>
                <w:szCs w:val="24"/>
                <w:lang w:val="lv-LV"/>
              </w:rPr>
            </w:pPr>
            <w:r w:rsidRPr="00F84008">
              <w:rPr>
                <w:rFonts w:ascii="Times New Roman" w:hAnsi="Times New Roman"/>
                <w:iCs/>
                <w:sz w:val="24"/>
                <w:szCs w:val="24"/>
                <w:lang w:val="lv-LV"/>
              </w:rPr>
              <w:t xml:space="preserve">Lai izpildītu </w:t>
            </w:r>
            <w:r w:rsidR="00FA5964" w:rsidRPr="00F84008">
              <w:rPr>
                <w:rFonts w:ascii="Times New Roman" w:hAnsi="Times New Roman"/>
                <w:iCs/>
                <w:sz w:val="24"/>
                <w:szCs w:val="24"/>
                <w:lang w:val="lv-LV"/>
              </w:rPr>
              <w:t>R</w:t>
            </w:r>
            <w:r w:rsidR="000C0C04" w:rsidRPr="00F84008">
              <w:rPr>
                <w:rFonts w:ascii="Times New Roman" w:hAnsi="Times New Roman"/>
                <w:iCs/>
                <w:sz w:val="24"/>
                <w:szCs w:val="24"/>
                <w:lang w:val="lv-LV"/>
              </w:rPr>
              <w:t xml:space="preserve">īkojuma </w:t>
            </w:r>
            <w:r w:rsidRPr="00F84008">
              <w:rPr>
                <w:rFonts w:ascii="Times New Roman" w:hAnsi="Times New Roman"/>
                <w:iCs/>
                <w:sz w:val="24"/>
                <w:szCs w:val="24"/>
                <w:lang w:val="lv-LV"/>
              </w:rPr>
              <w:t>prasības, ir izstrādā</w:t>
            </w:r>
            <w:r w:rsidR="009D436D" w:rsidRPr="00F84008">
              <w:rPr>
                <w:rFonts w:ascii="Times New Roman" w:hAnsi="Times New Roman"/>
                <w:iCs/>
                <w:sz w:val="24"/>
                <w:szCs w:val="24"/>
                <w:lang w:val="lv-LV"/>
              </w:rPr>
              <w:t>ts</w:t>
            </w:r>
            <w:r w:rsidRPr="00F84008">
              <w:rPr>
                <w:rFonts w:ascii="Times New Roman" w:hAnsi="Times New Roman"/>
                <w:iCs/>
                <w:sz w:val="24"/>
                <w:szCs w:val="24"/>
                <w:lang w:val="lv-LV"/>
              </w:rPr>
              <w:t xml:space="preserve"> noteikumu projekts.</w:t>
            </w:r>
          </w:p>
          <w:p w14:paraId="030232F2" w14:textId="77777777" w:rsidR="000C0C04" w:rsidRPr="00F84008" w:rsidRDefault="00857352" w:rsidP="00F84008">
            <w:pPr>
              <w:pStyle w:val="NormalWeb"/>
              <w:jc w:val="both"/>
              <w:rPr>
                <w:rFonts w:ascii="Times New Roman" w:hAnsi="Times New Roman"/>
                <w:iCs/>
                <w:sz w:val="24"/>
                <w:szCs w:val="24"/>
                <w:lang w:val="lv-LV"/>
              </w:rPr>
            </w:pPr>
            <w:r w:rsidRPr="00F84008">
              <w:rPr>
                <w:rFonts w:ascii="Times New Roman" w:hAnsi="Times New Roman"/>
                <w:iCs/>
                <w:sz w:val="24"/>
                <w:szCs w:val="24"/>
                <w:lang w:val="lv-LV"/>
              </w:rPr>
              <w:t>LI</w:t>
            </w:r>
            <w:r w:rsidR="009B071C" w:rsidRPr="00F84008">
              <w:rPr>
                <w:rFonts w:ascii="Times New Roman" w:hAnsi="Times New Roman"/>
                <w:iCs/>
                <w:sz w:val="24"/>
                <w:szCs w:val="24"/>
                <w:lang w:val="lv-LV"/>
              </w:rPr>
              <w:t xml:space="preserve"> pievienošanas LIAA mērķis ir </w:t>
            </w:r>
            <w:r w:rsidR="000C0C04" w:rsidRPr="00F84008">
              <w:rPr>
                <w:rFonts w:ascii="Times New Roman" w:hAnsi="Times New Roman"/>
                <w:sz w:val="24"/>
                <w:szCs w:val="24"/>
                <w:lang w:val="lv-LV"/>
              </w:rPr>
              <w:t>stiprināt vienotu Latvijas ārējo tēlu un panākt efektīvāku valsts budžeta līdzekļu izlietošanu un valsts pārvaldes funkcionēšanu valsts tēla veidošanā</w:t>
            </w:r>
            <w:r w:rsidR="009B071C" w:rsidRPr="00F84008">
              <w:rPr>
                <w:rFonts w:ascii="Times New Roman" w:hAnsi="Times New Roman"/>
                <w:iCs/>
                <w:sz w:val="24"/>
                <w:szCs w:val="24"/>
                <w:lang w:val="lv-LV"/>
              </w:rPr>
              <w:t xml:space="preserve">. </w:t>
            </w:r>
          </w:p>
          <w:p w14:paraId="066925F7" w14:textId="77777777" w:rsidR="001E2AAC" w:rsidRPr="00F84008" w:rsidRDefault="001E2AAC" w:rsidP="00F84008">
            <w:pPr>
              <w:spacing w:before="240"/>
              <w:jc w:val="both"/>
              <w:rPr>
                <w:iCs/>
              </w:rPr>
            </w:pPr>
            <w:r w:rsidRPr="00F84008">
              <w:rPr>
                <w:iCs/>
              </w:rPr>
              <w:t xml:space="preserve">Ar šo noteikumu projektu LIAA kļūst par </w:t>
            </w:r>
            <w:r w:rsidR="000C0C04" w:rsidRPr="00F84008">
              <w:rPr>
                <w:iCs/>
              </w:rPr>
              <w:t>LI</w:t>
            </w:r>
            <w:r w:rsidRPr="00F84008">
              <w:rPr>
                <w:iCs/>
              </w:rPr>
              <w:t xml:space="preserve"> funkciju, </w:t>
            </w:r>
            <w:r w:rsidR="000C0C04" w:rsidRPr="00F84008">
              <w:rPr>
                <w:bCs/>
              </w:rPr>
              <w:t>saistību, prasību, informācijas sistēmu, mantas, finanšu līdzekļu, krājumu un ilgtermiņa ieguldījumu, materiālo un nemateriālo vērtību un arhīva</w:t>
            </w:r>
            <w:r w:rsidR="000C0C04" w:rsidRPr="00F84008">
              <w:rPr>
                <w:iCs/>
              </w:rPr>
              <w:t xml:space="preserve"> </w:t>
            </w:r>
            <w:r w:rsidRPr="00F84008">
              <w:rPr>
                <w:iCs/>
              </w:rPr>
              <w:t>pārņēmēju.</w:t>
            </w:r>
          </w:p>
          <w:p w14:paraId="0AE2231E" w14:textId="1DCCD108" w:rsidR="00D9132F" w:rsidRPr="00F84008" w:rsidRDefault="008665DE" w:rsidP="00F84008">
            <w:pPr>
              <w:spacing w:before="240"/>
              <w:jc w:val="both"/>
            </w:pPr>
            <w:r w:rsidRPr="34E7388F">
              <w:t xml:space="preserve">Attiecīgi, noteikumu projekts nodrošina, ka </w:t>
            </w:r>
            <w:r w:rsidR="00886351" w:rsidRPr="34E7388F">
              <w:t>LI</w:t>
            </w:r>
            <w:r w:rsidRPr="00F84008">
              <w:rPr>
                <w:iCs/>
              </w:rPr>
              <w:t xml:space="preserve"> </w:t>
            </w:r>
            <w:r w:rsidR="008B78B4" w:rsidRPr="34E7388F">
              <w:t xml:space="preserve">darbības mērķis, </w:t>
            </w:r>
            <w:r w:rsidRPr="34E7388F">
              <w:t>funkcijas un uzdevumi tiek integrēti LIAA nolikumā</w:t>
            </w:r>
            <w:r w:rsidRPr="00F84008">
              <w:rPr>
                <w:iCs/>
              </w:rPr>
              <w:t xml:space="preserve">. </w:t>
            </w:r>
            <w:r w:rsidR="000C0C04" w:rsidRPr="00F84008">
              <w:rPr>
                <w:rFonts w:eastAsia="Calibri"/>
                <w:color w:val="000000"/>
                <w:shd w:val="clear" w:color="auto" w:fill="FFFFFF"/>
              </w:rPr>
              <w:t>LI pievienošanas LIAA rezultātā ietekme uz valsts budžetu ir neitrāla, savukārt, ar Latvijas tēla veidošanu un uzturēšanu saistīto funkciju izpilde tiks nodrošināta vienoti un optimāli.</w:t>
            </w:r>
          </w:p>
          <w:p w14:paraId="2069EAB7" w14:textId="6F60009F" w:rsidR="0077222A" w:rsidRPr="00F84008" w:rsidRDefault="0077222A" w:rsidP="6B960A0A">
            <w:pPr>
              <w:spacing w:before="240"/>
              <w:jc w:val="both"/>
            </w:pPr>
            <w:r w:rsidRPr="6B960A0A">
              <w:t xml:space="preserve">Pārņemot </w:t>
            </w:r>
            <w:r w:rsidR="00C74D1A" w:rsidRPr="6B960A0A">
              <w:t>LI</w:t>
            </w:r>
            <w:r w:rsidRPr="6B960A0A">
              <w:t xml:space="preserve"> funkcijas, LIAA nolikumā netiek iekļauta funkcija</w:t>
            </w:r>
            <w:r w:rsidR="008665DE" w:rsidRPr="6B960A0A">
              <w:t xml:space="preserve"> “organizēt Latvijas tēla popularizēšanas pasākumus ārvalstīs un Latvijā”, bet tā tiek </w:t>
            </w:r>
            <w:r w:rsidR="00E60A04">
              <w:t xml:space="preserve">precizēta un </w:t>
            </w:r>
            <w:r w:rsidR="008665DE" w:rsidRPr="6B960A0A">
              <w:t>norādīta kā uzdevums</w:t>
            </w:r>
            <w:r w:rsidR="00E60A04">
              <w:t xml:space="preserve"> - “īstenot pasākumus vienotā valsts tēla ieviešanai Latvijā un ārvalstīs”</w:t>
            </w:r>
            <w:r w:rsidRPr="00F84008">
              <w:rPr>
                <w:bCs/>
                <w:iCs/>
              </w:rPr>
              <w:t xml:space="preserve">. </w:t>
            </w:r>
            <w:r w:rsidR="00886351" w:rsidRPr="6B960A0A">
              <w:t>LIAA nolikumā netiek iekļauti LI uzdevumi, kas pārklājas ar LIAA nolikum</w:t>
            </w:r>
            <w:r w:rsidR="00E60A04">
              <w:t>ā</w:t>
            </w:r>
            <w:r w:rsidR="00886351" w:rsidRPr="00F84008">
              <w:rPr>
                <w:bCs/>
                <w:iCs/>
              </w:rPr>
              <w:t xml:space="preserve"> </w:t>
            </w:r>
            <w:r w:rsidR="00886351" w:rsidRPr="6B960A0A">
              <w:t xml:space="preserve">definētajiem uzdevumiem: 1) </w:t>
            </w:r>
            <w:r w:rsidR="00886351" w:rsidRPr="00F84008">
              <w:t>sniedz informāciju un konsultācijas par institūta kompetencē esošajiem jautājumiem</w:t>
            </w:r>
            <w:r w:rsidR="00E60A04">
              <w:t xml:space="preserve"> (pārklājas ar LIAA nolikuma 4.7.apakšpunktā noteikto uzdevumu)</w:t>
            </w:r>
            <w:r w:rsidR="00886351" w:rsidRPr="00F84008">
              <w:t xml:space="preserve">; 2) </w:t>
            </w:r>
            <w:r w:rsidR="00886351" w:rsidRPr="00F84008">
              <w:rPr>
                <w:shd w:val="clear" w:color="auto" w:fill="FFFFFF"/>
              </w:rPr>
              <w:t>atbilstoši kompetencei sadarbojas ar valsts un pašvaldību institūcijām, nevalstiskajām organizācijām, fiziskajām un juridiskajām personām</w:t>
            </w:r>
            <w:r w:rsidR="00E60A04">
              <w:rPr>
                <w:shd w:val="clear" w:color="auto" w:fill="FFFFFF"/>
              </w:rPr>
              <w:t xml:space="preserve"> (pārklājas ar LIAA nolikuma 6.3. un 6.8.apakšpunktā noteiktajām tiesībām)</w:t>
            </w:r>
            <w:r w:rsidR="00886351" w:rsidRPr="00F84008">
              <w:rPr>
                <w:shd w:val="clear" w:color="auto" w:fill="FFFFFF"/>
              </w:rPr>
              <w:t>; 3) veic citus normatīvajos aktos noteiktos uzdevumus</w:t>
            </w:r>
            <w:r w:rsidR="00E60A04">
              <w:rPr>
                <w:shd w:val="clear" w:color="auto" w:fill="FFFFFF"/>
              </w:rPr>
              <w:t xml:space="preserve"> (pārklājas ar LIAA nolikuma 2.8.apakšpunktā noteikto uzdevumu)</w:t>
            </w:r>
            <w:r w:rsidR="00886351" w:rsidRPr="00F84008">
              <w:rPr>
                <w:shd w:val="clear" w:color="auto" w:fill="FFFFFF"/>
              </w:rPr>
              <w:t>.</w:t>
            </w:r>
            <w:r w:rsidR="00C76D73">
              <w:t xml:space="preserve"> LI nolikuma 4.2.apakšpunktā noteiktais uzdevums </w:t>
            </w:r>
            <w:r w:rsidR="001D772D">
              <w:t xml:space="preserve">“atbilstoši kompetencei īsteno nacionālus un starptautiskus projektus” </w:t>
            </w:r>
            <w:r w:rsidR="00C76D73">
              <w:t>iekļauts LIAA nolikumā kā viena no LIAA tiesībām, precizējot LIAA nolikuma 6.7.apakšpunktu.</w:t>
            </w:r>
            <w:r w:rsidR="008B5A21">
              <w:t xml:space="preserve"> LIAA nolikumā netiek iekļautas LI nolikum</w:t>
            </w:r>
            <w:r w:rsidR="001D772D">
              <w:t>ā</w:t>
            </w:r>
            <w:r w:rsidR="00743777">
              <w:t xml:space="preserve"> </w:t>
            </w:r>
            <w:r w:rsidR="00891B0D">
              <w:t>noteiktās</w:t>
            </w:r>
            <w:r w:rsidR="00743777">
              <w:t xml:space="preserve"> </w:t>
            </w:r>
            <w:r w:rsidR="00891B0D">
              <w:t xml:space="preserve">tiesības, jo </w:t>
            </w:r>
            <w:r w:rsidR="001D772D">
              <w:t>LI nolikuma 5.1., 5.2., 5.3., 5.5., 5.6. un 5.7.apakšpunktā noteiktās tiesības</w:t>
            </w:r>
            <w:r w:rsidR="00891B0D">
              <w:t xml:space="preserve"> pārklājas ar </w:t>
            </w:r>
            <w:r w:rsidR="00743777">
              <w:t>LIAA nolikuma 6.</w:t>
            </w:r>
            <w:r w:rsidR="001D772D">
              <w:t>8</w:t>
            </w:r>
            <w:r w:rsidR="00743777">
              <w:t>., 6.3., 6.4., 6.5., 6.</w:t>
            </w:r>
            <w:r w:rsidR="001D772D">
              <w:t>1</w:t>
            </w:r>
            <w:r w:rsidR="00743777">
              <w:t>. un 6.</w:t>
            </w:r>
            <w:r w:rsidR="001D772D">
              <w:t>6</w:t>
            </w:r>
            <w:r w:rsidR="00743777">
              <w:t>.apakšpunktā noteiktajām tiesībām.</w:t>
            </w:r>
            <w:r w:rsidR="1DF5F810">
              <w:t xml:space="preserve"> </w:t>
            </w:r>
            <w:r w:rsidR="001D772D">
              <w:t xml:space="preserve">Savukārt LI nolikuma 5.4.apakšpunktā noteiktās tiesības organizēt un vadīt seminārus un konferences netiek atsevišķi iekļautas LIAA nolikumā, jo </w:t>
            </w:r>
            <w:r w:rsidR="001D772D">
              <w:lastRenderedPageBreak/>
              <w:t>LIAA nolikuma 4.7.</w:t>
            </w:r>
            <w:r w:rsidR="001D772D" w:rsidRPr="00ED013A">
              <w:rPr>
                <w:vertAlign w:val="superscript"/>
              </w:rPr>
              <w:t>6</w:t>
            </w:r>
            <w:r w:rsidR="001D772D">
              <w:rPr>
                <w:vertAlign w:val="superscript"/>
              </w:rPr>
              <w:t> </w:t>
            </w:r>
            <w:r w:rsidR="001D772D">
              <w:t>apakšpunkt</w:t>
            </w:r>
            <w:r w:rsidR="00ED013A">
              <w:t>ā noteiktā uzdevuma īstenošana</w:t>
            </w:r>
            <w:r w:rsidR="001D772D">
              <w:t xml:space="preserve"> aptver šāda veida tiesības, kā arī citu LIAA uzdevumu ietvaros saistībā ar uzņēmējdarbību, eksportu un tūrismu, ja tas ir nepieciešams uzdevumu kvalitatīvai izpildei, iestāde var organizēt un vadīt seminārus un konferences. </w:t>
            </w:r>
          </w:p>
          <w:p w14:paraId="1CABD49F" w14:textId="77777777" w:rsidR="00886351" w:rsidRPr="00F84008" w:rsidRDefault="00886351" w:rsidP="00F84008">
            <w:pPr>
              <w:spacing w:after="120"/>
              <w:jc w:val="both"/>
              <w:rPr>
                <w:rFonts w:eastAsia="Calibri"/>
              </w:rPr>
            </w:pPr>
          </w:p>
          <w:p w14:paraId="1A5E3B3D" w14:textId="29CB7D18" w:rsidR="00C95A4E" w:rsidRPr="00F84008" w:rsidRDefault="00C95A4E" w:rsidP="00F84008">
            <w:pPr>
              <w:spacing w:after="120"/>
              <w:jc w:val="both"/>
              <w:rPr>
                <w:rFonts w:eastAsia="Calibri"/>
                <w:color w:val="000000"/>
                <w:shd w:val="clear" w:color="auto" w:fill="FFFFFF"/>
              </w:rPr>
            </w:pPr>
            <w:r w:rsidRPr="00F84008">
              <w:rPr>
                <w:rFonts w:eastAsia="Calibri"/>
              </w:rPr>
              <w:t xml:space="preserve">LI noteiktās četras amatu vietas plānots pārcelt uz LIAA </w:t>
            </w:r>
            <w:r w:rsidRPr="00F84008">
              <w:rPr>
                <w:rFonts w:eastAsia="Calibri"/>
                <w:color w:val="000000"/>
                <w:shd w:val="clear" w:color="auto" w:fill="FFFFFF"/>
              </w:rPr>
              <w:t>Valsts tēla un komunikācijas departamentu</w:t>
            </w:r>
            <w:r w:rsidRPr="00F84008">
              <w:rPr>
                <w:rFonts w:eastAsia="Calibri"/>
                <w:i/>
                <w:iCs/>
                <w:color w:val="000000"/>
                <w:shd w:val="clear" w:color="auto" w:fill="FFFFFF"/>
              </w:rPr>
              <w:t xml:space="preserve"> </w:t>
            </w:r>
            <w:r w:rsidRPr="00F84008">
              <w:rPr>
                <w:rFonts w:eastAsia="Calibri"/>
                <w:color w:val="000000"/>
                <w:shd w:val="clear" w:color="auto" w:fill="FFFFFF"/>
              </w:rPr>
              <w:t>(turpmāk – VTKD, struktūrvienības nosaukums var tikt precizēts)</w:t>
            </w:r>
            <w:r w:rsidRPr="00F84008">
              <w:rPr>
                <w:rFonts w:eastAsia="Calibri"/>
              </w:rPr>
              <w:t>, kas tiks izveidots, reorganizējot LIAA Komunikācijas un informācijas departamentu (turpmāk – KID), kas nodrošina</w:t>
            </w:r>
            <w:r w:rsidRPr="00F84008">
              <w:rPr>
                <w:rFonts w:eastAsia="Calibri"/>
                <w:color w:val="000000"/>
                <w:shd w:val="clear" w:color="auto" w:fill="FFFFFF"/>
              </w:rPr>
              <w:t xml:space="preserve"> komunikāciju un mārketinga funkciju koordināciju, kā arī strādā pie Latvijas valsts tēla izpētes un procesa koordinēšanas</w:t>
            </w:r>
            <w:r w:rsidR="00CB7F3C">
              <w:rPr>
                <w:rFonts w:eastAsia="Calibri"/>
                <w:color w:val="000000"/>
                <w:shd w:val="clear" w:color="auto" w:fill="FFFFFF"/>
              </w:rPr>
              <w:t xml:space="preserve">. VTKD būs </w:t>
            </w:r>
            <w:r w:rsidRPr="00F84008">
              <w:rPr>
                <w:rFonts w:eastAsia="Calibri"/>
                <w:color w:val="000000"/>
                <w:shd w:val="clear" w:color="auto" w:fill="FFFFFF"/>
              </w:rPr>
              <w:t xml:space="preserve">tiešā </w:t>
            </w:r>
            <w:r w:rsidR="00CB7F3C" w:rsidRPr="00F84008">
              <w:rPr>
                <w:rFonts w:eastAsia="Calibri"/>
                <w:color w:val="000000"/>
                <w:shd w:val="clear" w:color="auto" w:fill="FFFFFF"/>
              </w:rPr>
              <w:t>pakļautīb</w:t>
            </w:r>
            <w:r w:rsidR="00CB7F3C">
              <w:rPr>
                <w:rFonts w:eastAsia="Calibri"/>
                <w:color w:val="000000"/>
                <w:shd w:val="clear" w:color="auto" w:fill="FFFFFF"/>
              </w:rPr>
              <w:t>ā</w:t>
            </w:r>
            <w:r w:rsidR="00CB7F3C" w:rsidRPr="00F84008">
              <w:rPr>
                <w:rFonts w:eastAsia="Calibri"/>
                <w:color w:val="000000"/>
                <w:shd w:val="clear" w:color="auto" w:fill="FFFFFF"/>
              </w:rPr>
              <w:t xml:space="preserve"> </w:t>
            </w:r>
            <w:r w:rsidRPr="00F84008">
              <w:rPr>
                <w:rFonts w:eastAsia="Calibri"/>
                <w:color w:val="000000"/>
                <w:shd w:val="clear" w:color="auto" w:fill="FFFFFF"/>
              </w:rPr>
              <w:t xml:space="preserve">LIAA direktoram. Reorganizācijas rezultātā tiks nodrošināta VTKD funkciju izpilde ar KID resursiem, kas savukārt ļaus nodrošināt nepieciešamās projektu vadības, satura izstrādes, komunikācijas un vadības kompetences. </w:t>
            </w:r>
            <w:bookmarkStart w:id="4" w:name="_Hlk51749263"/>
            <w:r w:rsidRPr="00F84008">
              <w:rPr>
                <w:rFonts w:eastAsia="Calibri"/>
                <w:color w:val="000000"/>
                <w:shd w:val="clear" w:color="auto" w:fill="FFFFFF"/>
              </w:rPr>
              <w:t>Atbalsta funkcijas (finanšu, personāla vadības, juridiskos, lietvedības un saimnieciskajos jautājumos) tiks realizētas caur LIAA atbildīgajām atbalsta struktūrvienībām</w:t>
            </w:r>
            <w:bookmarkEnd w:id="4"/>
            <w:r w:rsidRPr="00F84008">
              <w:rPr>
                <w:rFonts w:eastAsia="Calibri"/>
                <w:color w:val="000000"/>
                <w:shd w:val="clear" w:color="auto" w:fill="FFFFFF"/>
              </w:rPr>
              <w:t>. VTKD darbinieku darba izpildes vieta būs Pērses ielā 2, Rīgā.</w:t>
            </w:r>
          </w:p>
          <w:p w14:paraId="2C134E0E" w14:textId="6933480D" w:rsidR="008665DE" w:rsidRPr="00F84008" w:rsidRDefault="008665DE" w:rsidP="00F84008">
            <w:pPr>
              <w:spacing w:after="120"/>
              <w:jc w:val="both"/>
              <w:rPr>
                <w:rFonts w:eastAsia="Calibri"/>
                <w:color w:val="000000"/>
                <w:shd w:val="clear" w:color="auto" w:fill="FFFFFF"/>
              </w:rPr>
            </w:pPr>
            <w:r w:rsidRPr="00F84008">
              <w:rPr>
                <w:rFonts w:eastAsia="Calibri"/>
                <w:color w:val="000000"/>
                <w:shd w:val="clear" w:color="auto" w:fill="FFFFFF"/>
              </w:rPr>
              <w:t xml:space="preserve">Noteikumu projektā nav paredzēts iekļaut </w:t>
            </w:r>
            <w:r w:rsidR="00D435C0" w:rsidRPr="00F84008">
              <w:rPr>
                <w:rFonts w:eastAsia="Calibri"/>
                <w:color w:val="000000"/>
                <w:shd w:val="clear" w:color="auto" w:fill="FFFFFF"/>
              </w:rPr>
              <w:t>sadaļu par LI konsultatīvo padomi</w:t>
            </w:r>
            <w:r w:rsidR="7EEC9D07" w:rsidRPr="00F84008">
              <w:rPr>
                <w:rFonts w:eastAsia="Calibri"/>
                <w:color w:val="000000"/>
                <w:shd w:val="clear" w:color="auto" w:fill="FFFFFF"/>
              </w:rPr>
              <w:t xml:space="preserve">, jo kopš 2015.gada </w:t>
            </w:r>
            <w:r w:rsidR="1C8657EC" w:rsidRPr="00F84008">
              <w:rPr>
                <w:rFonts w:eastAsia="Calibri"/>
                <w:color w:val="000000"/>
                <w:shd w:val="clear" w:color="auto" w:fill="FFFFFF"/>
              </w:rPr>
              <w:t xml:space="preserve">nav sasauktas </w:t>
            </w:r>
            <w:r w:rsidR="07209145" w:rsidRPr="00F84008">
              <w:rPr>
                <w:rFonts w:eastAsia="Calibri"/>
                <w:color w:val="000000"/>
                <w:shd w:val="clear" w:color="auto" w:fill="FFFFFF"/>
              </w:rPr>
              <w:t xml:space="preserve">LI konsultatīvās padomes </w:t>
            </w:r>
            <w:r w:rsidR="1C8657EC" w:rsidRPr="00F84008">
              <w:rPr>
                <w:rFonts w:eastAsia="Calibri"/>
                <w:color w:val="000000"/>
                <w:shd w:val="clear" w:color="auto" w:fill="FFFFFF"/>
              </w:rPr>
              <w:t>sēdes</w:t>
            </w:r>
            <w:r w:rsidR="349B4B74" w:rsidRPr="00F84008">
              <w:rPr>
                <w:rFonts w:eastAsia="Calibri"/>
                <w:color w:val="000000"/>
                <w:shd w:val="clear" w:color="auto" w:fill="FFFFFF"/>
              </w:rPr>
              <w:t>. Ievērojot minēto un to</w:t>
            </w:r>
            <w:r w:rsidR="1C8657EC" w:rsidRPr="00F84008">
              <w:rPr>
                <w:rFonts w:eastAsia="Calibri"/>
                <w:color w:val="000000"/>
                <w:shd w:val="clear" w:color="auto" w:fill="FFFFFF"/>
              </w:rPr>
              <w:t xml:space="preserve">, </w:t>
            </w:r>
            <w:r w:rsidR="520E711C" w:rsidRPr="00F84008">
              <w:rPr>
                <w:rFonts w:eastAsia="Calibri"/>
                <w:color w:val="000000"/>
                <w:shd w:val="clear" w:color="auto" w:fill="FFFFFF"/>
              </w:rPr>
              <w:t>ka</w:t>
            </w:r>
            <w:r w:rsidR="1C8657EC" w:rsidRPr="00F84008">
              <w:rPr>
                <w:rFonts w:eastAsia="Calibri"/>
                <w:color w:val="000000"/>
                <w:shd w:val="clear" w:color="auto" w:fill="FFFFFF"/>
              </w:rPr>
              <w:t xml:space="preserve"> ir</w:t>
            </w:r>
            <w:r w:rsidR="014D78FD" w:rsidRPr="00F84008">
              <w:rPr>
                <w:rFonts w:eastAsia="Calibri"/>
                <w:color w:val="000000"/>
                <w:shd w:val="clear" w:color="auto" w:fill="FFFFFF"/>
              </w:rPr>
              <w:t xml:space="preserve"> izveidota </w:t>
            </w:r>
            <w:r w:rsidR="6458BE7A" w:rsidRPr="00F84008">
              <w:rPr>
                <w:rFonts w:eastAsia="Calibri"/>
                <w:color w:val="000000"/>
                <w:shd w:val="clear" w:color="auto" w:fill="FFFFFF"/>
              </w:rPr>
              <w:t>L</w:t>
            </w:r>
            <w:r w:rsidR="4F3CF404" w:rsidRPr="00F84008">
              <w:rPr>
                <w:rFonts w:eastAsia="Calibri"/>
                <w:color w:val="000000"/>
                <w:shd w:val="clear" w:color="auto" w:fill="FFFFFF"/>
              </w:rPr>
              <w:t>atvijas</w:t>
            </w:r>
            <w:r w:rsidR="6458BE7A" w:rsidRPr="00F84008">
              <w:rPr>
                <w:rFonts w:eastAsia="Calibri"/>
                <w:color w:val="000000"/>
                <w:shd w:val="clear" w:color="auto" w:fill="FFFFFF"/>
              </w:rPr>
              <w:t xml:space="preserve"> ārējā tēla politikas </w:t>
            </w:r>
            <w:r w:rsidR="469D29C7" w:rsidRPr="00F84008">
              <w:rPr>
                <w:rFonts w:eastAsia="Calibri"/>
                <w:color w:val="000000"/>
                <w:shd w:val="clear" w:color="auto" w:fill="FFFFFF"/>
              </w:rPr>
              <w:t xml:space="preserve">koordinācijas </w:t>
            </w:r>
            <w:r w:rsidR="6458BE7A" w:rsidRPr="00F84008">
              <w:rPr>
                <w:rFonts w:eastAsia="Calibri"/>
                <w:color w:val="000000"/>
                <w:shd w:val="clear" w:color="auto" w:fill="FFFFFF"/>
              </w:rPr>
              <w:t>padome</w:t>
            </w:r>
            <w:r w:rsidR="33287E74" w:rsidRPr="00F84008">
              <w:rPr>
                <w:rFonts w:eastAsia="Calibri"/>
                <w:color w:val="000000"/>
                <w:shd w:val="clear" w:color="auto" w:fill="FFFFFF"/>
              </w:rPr>
              <w:t xml:space="preserve">, </w:t>
            </w:r>
            <w:r w:rsidR="2DB082EE" w:rsidRPr="00F84008">
              <w:rPr>
                <w:rFonts w:eastAsia="Calibri"/>
                <w:color w:val="000000"/>
                <w:shd w:val="clear" w:color="auto" w:fill="FFFFFF"/>
              </w:rPr>
              <w:t>kurā tiek pārstāvēt</w:t>
            </w:r>
            <w:r w:rsidR="60DA9BCC" w:rsidRPr="00F84008">
              <w:rPr>
                <w:rFonts w:eastAsia="Calibri"/>
                <w:color w:val="000000"/>
                <w:shd w:val="clear" w:color="auto" w:fill="FFFFFF"/>
              </w:rPr>
              <w:t>a</w:t>
            </w:r>
            <w:r w:rsidR="2DB082EE" w:rsidRPr="00F84008">
              <w:rPr>
                <w:rFonts w:eastAsia="Calibri"/>
                <w:color w:val="000000"/>
                <w:shd w:val="clear" w:color="auto" w:fill="FFFFFF"/>
              </w:rPr>
              <w:t>s nevalstisk</w:t>
            </w:r>
            <w:r w:rsidR="419A2BF0" w:rsidRPr="00F84008">
              <w:rPr>
                <w:rFonts w:eastAsia="Calibri"/>
                <w:color w:val="000000"/>
                <w:shd w:val="clear" w:color="auto" w:fill="FFFFFF"/>
              </w:rPr>
              <w:t>ās</w:t>
            </w:r>
            <w:r w:rsidR="2DB082EE" w:rsidRPr="00F84008">
              <w:rPr>
                <w:rFonts w:eastAsia="Calibri"/>
                <w:color w:val="000000"/>
                <w:shd w:val="clear" w:color="auto" w:fill="FFFFFF"/>
              </w:rPr>
              <w:t xml:space="preserve"> </w:t>
            </w:r>
            <w:r w:rsidR="5C37A952" w:rsidRPr="00F84008">
              <w:rPr>
                <w:rFonts w:eastAsia="Calibri"/>
                <w:color w:val="000000"/>
                <w:shd w:val="clear" w:color="auto" w:fill="FFFFFF"/>
              </w:rPr>
              <w:t xml:space="preserve">organizācijas </w:t>
            </w:r>
            <w:r w:rsidR="2DB082EE" w:rsidRPr="00F84008">
              <w:rPr>
                <w:rFonts w:eastAsia="Calibri"/>
                <w:color w:val="000000"/>
                <w:shd w:val="clear" w:color="auto" w:fill="FFFFFF"/>
              </w:rPr>
              <w:t>valsts ārējā tēla veidošanā</w:t>
            </w:r>
            <w:r w:rsidR="0AC78828" w:rsidRPr="00F84008">
              <w:rPr>
                <w:rFonts w:eastAsia="Calibri"/>
                <w:color w:val="000000"/>
                <w:shd w:val="clear" w:color="auto" w:fill="FFFFFF"/>
              </w:rPr>
              <w:t>, k</w:t>
            </w:r>
            <w:r w:rsidR="6562E1CD" w:rsidRPr="00F84008">
              <w:rPr>
                <w:rFonts w:eastAsia="Calibri"/>
                <w:color w:val="000000"/>
                <w:shd w:val="clear" w:color="auto" w:fill="FFFFFF"/>
              </w:rPr>
              <w:t>ā</w:t>
            </w:r>
            <w:r w:rsidR="0AC78828" w:rsidRPr="00F84008">
              <w:rPr>
                <w:rFonts w:eastAsia="Calibri"/>
                <w:color w:val="000000"/>
                <w:shd w:val="clear" w:color="auto" w:fill="FFFFFF"/>
              </w:rPr>
              <w:t xml:space="preserve"> arī </w:t>
            </w:r>
            <w:r w:rsidR="58832840" w:rsidRPr="6B960A0A">
              <w:rPr>
                <w:rFonts w:eastAsia="Calibri"/>
                <w:color w:val="000000" w:themeColor="text1"/>
              </w:rPr>
              <w:t>valsts tēla izstrādāšanas procesā notiek komunikācija ar dažādu jomu speciālistiem, LI konsultatīvās padomes pārņemšana nav lietderīga.</w:t>
            </w:r>
          </w:p>
          <w:p w14:paraId="0074BC01" w14:textId="6CB9A991" w:rsidR="00B7650F" w:rsidRPr="00F84008" w:rsidRDefault="00626FE2" w:rsidP="00F84008">
            <w:pPr>
              <w:numPr>
                <w:ilvl w:val="0"/>
                <w:numId w:val="29"/>
              </w:numPr>
              <w:spacing w:before="240"/>
              <w:ind w:left="0" w:firstLine="360"/>
              <w:jc w:val="both"/>
            </w:pPr>
            <w:r>
              <w:t xml:space="preserve">Lai </w:t>
            </w:r>
            <w:r w:rsidR="00DE4EA7">
              <w:t>uzsāktu elektronisko pakalpojumu sniegšanu</w:t>
            </w:r>
            <w:r>
              <w:t xml:space="preserve"> </w:t>
            </w:r>
            <w:r w:rsidR="009D436D">
              <w:t>informācijas sistēm</w:t>
            </w:r>
            <w:r w:rsidR="00DE4EA7">
              <w:t>ā</w:t>
            </w:r>
            <w:r w:rsidR="009D436D">
              <w:t xml:space="preserve"> “Valsts platforma biznesa attīstībai”</w:t>
            </w:r>
            <w:r w:rsidR="00B7650F">
              <w:t xml:space="preserve"> (turpmāk – Sistēma)</w:t>
            </w:r>
            <w:r>
              <w:t>, ir izstrādā</w:t>
            </w:r>
            <w:r w:rsidR="009D436D">
              <w:t>ts</w:t>
            </w:r>
            <w:r>
              <w:t xml:space="preserve"> noteikumu projekt</w:t>
            </w:r>
            <w:r w:rsidR="009D436D">
              <w:t>s</w:t>
            </w:r>
            <w:r>
              <w:t>.</w:t>
            </w:r>
            <w:r w:rsidR="00705FD5">
              <w:t xml:space="preserve"> </w:t>
            </w:r>
            <w:r w:rsidR="007821CC">
              <w:t xml:space="preserve">Noteikumu </w:t>
            </w:r>
            <w:r w:rsidR="00CF4D71">
              <w:t xml:space="preserve">projektā LIAA nolikums papildināts ar </w:t>
            </w:r>
            <w:r w:rsidR="00CF4D71" w:rsidRPr="00CF4D71">
              <w:t>5.</w:t>
            </w:r>
            <w:r w:rsidR="00CF4D71" w:rsidRPr="00CF4D71">
              <w:rPr>
                <w:vertAlign w:val="superscript"/>
              </w:rPr>
              <w:t>1</w:t>
            </w:r>
            <w:r w:rsidR="00CF4D71" w:rsidRPr="00CF4D71">
              <w:t xml:space="preserve"> </w:t>
            </w:r>
            <w:r w:rsidR="00CF4D71">
              <w:t xml:space="preserve">apakšpunktu, </w:t>
            </w:r>
            <w:r w:rsidR="00705FD5">
              <w:t xml:space="preserve">nosakot, ka LIAA </w:t>
            </w:r>
            <w:r w:rsidR="00CF10E1">
              <w:t xml:space="preserve">izmanto Sistēmu </w:t>
            </w:r>
            <w:r w:rsidR="00F84008">
              <w:t xml:space="preserve">LIAA </w:t>
            </w:r>
            <w:r w:rsidR="00CF10E1">
              <w:t>funkciju un uzdevumu izpildei, un ir Sistēmas pārzinis.</w:t>
            </w:r>
            <w:r w:rsidR="000A19F7">
              <w:t xml:space="preserve"> </w:t>
            </w:r>
            <w:bookmarkStart w:id="5" w:name="_Hlk70425035"/>
            <w:r w:rsidR="000A19F7">
              <w:t>Noteikumu projekts nerada izmaiņas d</w:t>
            </w:r>
            <w:r w:rsidR="000A19F7" w:rsidRPr="000A19F7">
              <w:t xml:space="preserve">arbības programmas “Izaugsme un nodarbinātība” 2.2.1. specifiskā atbalsta mērķa “Nodrošināt publisko datu </w:t>
            </w:r>
            <w:proofErr w:type="spellStart"/>
            <w:r w:rsidR="000A19F7" w:rsidRPr="000A19F7">
              <w:t>atkalizmantošanas</w:t>
            </w:r>
            <w:proofErr w:type="spellEnd"/>
            <w:r w:rsidR="000A19F7" w:rsidRPr="000A19F7">
              <w:t xml:space="preserve"> pieaugumu un efektīvu publiskās pārvaldes un privātā sektora mijiedarbību” 2.2.1.1. pasākuma “Centralizētu publiskās pārvaldes IKT platformu izveide, publiskās pārvaldes procesu optimizēšana un attīstība" īstenošanas noteikumi” ietvaros</w:t>
            </w:r>
            <w:r w:rsidR="000A19F7">
              <w:t xml:space="preserve"> īstenotajā LIAA projektā</w:t>
            </w:r>
            <w:r w:rsidR="000A19F7" w:rsidRPr="000A19F7">
              <w:t>.</w:t>
            </w:r>
            <w:bookmarkEnd w:id="5"/>
          </w:p>
          <w:p w14:paraId="33C00F6A" w14:textId="3E64478B" w:rsidR="00B7650F" w:rsidRPr="00F84008" w:rsidRDefault="00B7650F" w:rsidP="00F84008">
            <w:pPr>
              <w:pStyle w:val="VPBody"/>
              <w:rPr>
                <w:sz w:val="24"/>
                <w:szCs w:val="24"/>
              </w:rPr>
            </w:pPr>
            <w:r w:rsidRPr="00F84008">
              <w:rPr>
                <w:sz w:val="24"/>
                <w:szCs w:val="24"/>
              </w:rPr>
              <w:t xml:space="preserve">Sistēmas </w:t>
            </w:r>
            <w:proofErr w:type="spellStart"/>
            <w:r w:rsidRPr="00F84008">
              <w:rPr>
                <w:sz w:val="24"/>
                <w:szCs w:val="24"/>
              </w:rPr>
              <w:t>virsmērķis</w:t>
            </w:r>
            <w:proofErr w:type="spellEnd"/>
            <w:r w:rsidRPr="00F84008">
              <w:rPr>
                <w:sz w:val="24"/>
                <w:szCs w:val="24"/>
              </w:rPr>
              <w:t xml:space="preserve"> ir veicināt Latvijas konkurētspēju ārvalstu tirgos un piesaistīt gan ārvalstu tiešās investīcijas Latvijai, gan vietējās investīcijas, palielinot potenciālo un esošo uzņēmēju un investoru informētību par iespējām biznesa attīstības, eksporta un investīciju jomā.</w:t>
            </w:r>
          </w:p>
          <w:p w14:paraId="6A1C1B44" w14:textId="590410DC" w:rsidR="00B7650F" w:rsidRPr="00F84008" w:rsidRDefault="00B7650F" w:rsidP="00F84008">
            <w:pPr>
              <w:overflowPunct w:val="0"/>
              <w:autoSpaceDE w:val="0"/>
              <w:autoSpaceDN w:val="0"/>
              <w:spacing w:before="120" w:after="120"/>
              <w:jc w:val="both"/>
              <w:textAlignment w:val="baseline"/>
            </w:pPr>
            <w:r w:rsidRPr="00F84008">
              <w:lastRenderedPageBreak/>
              <w:t>Sistēm</w:t>
            </w:r>
            <w:r w:rsidR="00F84008" w:rsidRPr="00F84008">
              <w:t>a</w:t>
            </w:r>
            <w:r w:rsidRPr="00F84008">
              <w:t xml:space="preserve"> būs pieejama atbilstoši katra uzņēmēja individuālajām interesēm, tas ir, tiks nodrošināta  klienta vajadzībām mērķēta, personalizēta pakalpojuma saņemšana. Tā būs uzņēmēju pašapkalpošanās sistēma, tādejādi tiks nodrošināta  ātrāka pakalpojuma saņemšana. Sistēmas ietvaros notiks datu integrācija ar citām valsts uzņēmējdarbības atbalsta informācijas sistēmām. Tā uzlabos uzņēmēju, eksportētāju un investoru informētību par biznesa attīstības, eksporta un investīciju jomas aktualitātēm, palielinās LIAA darbinieku produktivitāti un pilnveidos klientu apkalpošanas procesu, kā arī samazinās administratīvo slogu informācijas iegūšanas procesā un saziņā ar LIAA.</w:t>
            </w:r>
          </w:p>
          <w:p w14:paraId="534EDDAA" w14:textId="7A5A65E5" w:rsidR="00B7650F" w:rsidRPr="00F84008" w:rsidRDefault="00B7650F" w:rsidP="00F84008">
            <w:pPr>
              <w:overflowPunct w:val="0"/>
              <w:autoSpaceDE w:val="0"/>
              <w:autoSpaceDN w:val="0"/>
              <w:spacing w:before="120" w:after="120"/>
              <w:jc w:val="both"/>
              <w:textAlignment w:val="baseline"/>
            </w:pPr>
            <w:r w:rsidRPr="00F84008">
              <w:t>Sistēmu izmantos potenciālie un esošie uzņēmēji, eksportētāji un investori, augstskolas, zinātniskās institūcijas, pašvaldības LIAA darbinieki, ministriju darbinieki.</w:t>
            </w:r>
          </w:p>
          <w:p w14:paraId="1ADE9EAE" w14:textId="47F4823A" w:rsidR="00B7650F" w:rsidRPr="00F84008" w:rsidRDefault="00B7650F" w:rsidP="00F84008">
            <w:pPr>
              <w:pStyle w:val="VPBody"/>
              <w:rPr>
                <w:sz w:val="24"/>
                <w:szCs w:val="24"/>
              </w:rPr>
            </w:pPr>
            <w:r w:rsidRPr="00F84008">
              <w:rPr>
                <w:sz w:val="24"/>
                <w:szCs w:val="24"/>
              </w:rPr>
              <w:t>Sistēma</w:t>
            </w:r>
            <w:r w:rsidR="005863DF">
              <w:rPr>
                <w:sz w:val="24"/>
                <w:szCs w:val="24"/>
              </w:rPr>
              <w:t>s ieviešana</w:t>
            </w:r>
            <w:r w:rsidR="006948CA">
              <w:rPr>
                <w:sz w:val="24"/>
                <w:szCs w:val="24"/>
              </w:rPr>
              <w:t xml:space="preserve"> un pakalpojumu sniegšana tajā</w:t>
            </w:r>
            <w:r w:rsidRPr="00F84008">
              <w:rPr>
                <w:sz w:val="24"/>
                <w:szCs w:val="24"/>
              </w:rPr>
              <w:t xml:space="preserve"> risinās </w:t>
            </w:r>
            <w:r w:rsidR="00F63827" w:rsidRPr="00F84008">
              <w:rPr>
                <w:sz w:val="24"/>
                <w:szCs w:val="24"/>
              </w:rPr>
              <w:t xml:space="preserve">vairākas </w:t>
            </w:r>
            <w:r w:rsidRPr="00F84008">
              <w:rPr>
                <w:sz w:val="24"/>
                <w:szCs w:val="24"/>
              </w:rPr>
              <w:t>problēmas:</w:t>
            </w:r>
          </w:p>
          <w:p w14:paraId="697A3DEB" w14:textId="1756564A" w:rsidR="00B7650F" w:rsidRPr="00F84008" w:rsidRDefault="00B7650F" w:rsidP="00F84008">
            <w:pPr>
              <w:pStyle w:val="VPMessage"/>
              <w:jc w:val="both"/>
              <w:rPr>
                <w:b w:val="0"/>
                <w:bCs w:val="0"/>
                <w:color w:val="000000"/>
                <w:sz w:val="24"/>
                <w:szCs w:val="24"/>
              </w:rPr>
            </w:pPr>
            <w:r w:rsidRPr="00F84008">
              <w:rPr>
                <w:b w:val="0"/>
                <w:bCs w:val="0"/>
                <w:color w:val="000000"/>
                <w:sz w:val="24"/>
                <w:szCs w:val="24"/>
              </w:rPr>
              <w:t>1. Nepietiekama potenciālo un esošo uzņēmēju un investoru informētība par aktuāliem notikumiem un jaunumiem biznesa atbalsta, eksporta un investīciju jomā</w:t>
            </w:r>
          </w:p>
          <w:p w14:paraId="11A64FDE" w14:textId="77777777" w:rsidR="00B7650F" w:rsidRPr="00F84008" w:rsidRDefault="00B7650F" w:rsidP="00F84008">
            <w:pPr>
              <w:pStyle w:val="VPBody"/>
              <w:rPr>
                <w:color w:val="000000"/>
                <w:sz w:val="24"/>
                <w:szCs w:val="24"/>
              </w:rPr>
            </w:pPr>
            <w:r w:rsidRPr="00F84008">
              <w:rPr>
                <w:color w:val="000000"/>
                <w:sz w:val="24"/>
                <w:szCs w:val="24"/>
              </w:rPr>
              <w:t>LIAA pašlaik uztur dažādus informācijas resursus (</w:t>
            </w:r>
            <w:hyperlink r:id="rId13" w:history="1">
              <w:r w:rsidRPr="00F84008">
                <w:rPr>
                  <w:rStyle w:val="Hyperlink"/>
                  <w:sz w:val="24"/>
                  <w:szCs w:val="24"/>
                </w:rPr>
                <w:t>http://eksports.liaa.gov.lv/</w:t>
              </w:r>
            </w:hyperlink>
            <w:r w:rsidRPr="00F84008">
              <w:rPr>
                <w:color w:val="000000"/>
                <w:sz w:val="24"/>
                <w:szCs w:val="24"/>
              </w:rPr>
              <w:t xml:space="preserve">, </w:t>
            </w:r>
            <w:hyperlink r:id="rId14" w:history="1">
              <w:r w:rsidRPr="00F84008">
                <w:rPr>
                  <w:rStyle w:val="Hyperlink"/>
                  <w:sz w:val="24"/>
                  <w:szCs w:val="24"/>
                </w:rPr>
                <w:t>http://www.liaa.gov.lv/en/invest-latvia</w:t>
              </w:r>
            </w:hyperlink>
            <w:r w:rsidRPr="00F84008">
              <w:rPr>
                <w:color w:val="000000"/>
                <w:sz w:val="24"/>
                <w:szCs w:val="24"/>
              </w:rPr>
              <w:t xml:space="preserve">, </w:t>
            </w:r>
            <w:hyperlink r:id="rId15" w:history="1">
              <w:r w:rsidRPr="00F84008">
                <w:rPr>
                  <w:rStyle w:val="Hyperlink"/>
                  <w:sz w:val="24"/>
                  <w:szCs w:val="24"/>
                </w:rPr>
                <w:t>http://www.exim.lv/</w:t>
              </w:r>
            </w:hyperlink>
            <w:r w:rsidRPr="00F84008">
              <w:rPr>
                <w:color w:val="000000"/>
                <w:sz w:val="24"/>
                <w:szCs w:val="24"/>
              </w:rPr>
              <w:t xml:space="preserve">, </w:t>
            </w:r>
            <w:hyperlink r:id="rId16" w:history="1">
              <w:r w:rsidRPr="00F84008">
                <w:rPr>
                  <w:rStyle w:val="Hyperlink"/>
                  <w:sz w:val="24"/>
                  <w:szCs w:val="24"/>
                </w:rPr>
                <w:t>http://www.liaa.gov.lv</w:t>
              </w:r>
            </w:hyperlink>
            <w:r w:rsidRPr="00F84008">
              <w:rPr>
                <w:color w:val="000000"/>
                <w:sz w:val="24"/>
                <w:szCs w:val="24"/>
              </w:rPr>
              <w:t xml:space="preserve">, </w:t>
            </w:r>
            <w:hyperlink r:id="rId17" w:history="1">
              <w:r w:rsidRPr="00F84008">
                <w:rPr>
                  <w:rStyle w:val="Hyperlink"/>
                  <w:sz w:val="24"/>
                  <w:szCs w:val="24"/>
                </w:rPr>
                <w:t>https://labsoflatvia.com/</w:t>
              </w:r>
            </w:hyperlink>
            <w:r w:rsidRPr="00F84008">
              <w:rPr>
                <w:color w:val="000000"/>
                <w:sz w:val="24"/>
                <w:szCs w:val="24"/>
              </w:rPr>
              <w:t xml:space="preserve">, </w:t>
            </w:r>
            <w:hyperlink r:id="rId18" w:history="1">
              <w:r w:rsidRPr="00F84008">
                <w:rPr>
                  <w:rStyle w:val="Hyperlink"/>
                  <w:sz w:val="24"/>
                  <w:szCs w:val="24"/>
                </w:rPr>
                <w:t>https://startuplatvia.eu/</w:t>
              </w:r>
            </w:hyperlink>
            <w:r w:rsidRPr="00F84008">
              <w:rPr>
                <w:sz w:val="24"/>
                <w:szCs w:val="24"/>
              </w:rPr>
              <w:t xml:space="preserve">, </w:t>
            </w:r>
            <w:hyperlink r:id="rId19" w:history="1">
              <w:r w:rsidRPr="00F84008">
                <w:rPr>
                  <w:rStyle w:val="Hyperlink"/>
                  <w:sz w:val="24"/>
                  <w:szCs w:val="24"/>
                </w:rPr>
                <w:t>https://inkubatori.magneticlatvia.lv/</w:t>
              </w:r>
            </w:hyperlink>
            <w:r w:rsidRPr="00F84008">
              <w:rPr>
                <w:sz w:val="24"/>
                <w:szCs w:val="24"/>
              </w:rPr>
              <w:t xml:space="preserve">, </w:t>
            </w:r>
            <w:hyperlink r:id="rId20" w:history="1">
              <w:r w:rsidRPr="00F84008">
                <w:rPr>
                  <w:rStyle w:val="Hyperlink"/>
                  <w:sz w:val="24"/>
                  <w:szCs w:val="24"/>
                </w:rPr>
                <w:t>https://www.latvia.travel/lv</w:t>
              </w:r>
            </w:hyperlink>
            <w:r w:rsidRPr="00F84008">
              <w:rPr>
                <w:color w:val="000000"/>
                <w:sz w:val="24"/>
                <w:szCs w:val="24"/>
              </w:rPr>
              <w:t xml:space="preserve"> u.c.), kas paredzēti potenciālajiem un esošajiem eksportētājiem un ārvalstu un vietējiem investoriem (kopā turpmāk – uzņēmēji) informācijas iegūšanai par LIAA organizētiem notikumiem, nozaru aktualitātēm un piedāvājumiem eksporta un investīciju jomās. </w:t>
            </w:r>
            <w:bookmarkStart w:id="6" w:name="_Hlk53029179"/>
            <w:r w:rsidRPr="00F84008">
              <w:rPr>
                <w:color w:val="000000"/>
                <w:sz w:val="24"/>
                <w:szCs w:val="24"/>
              </w:rPr>
              <w:t>Šobrīd pieejamā informācija netiek strukturizēta pa mērķauditoriju grupām, kā arī resursu lietotājiem nav pieejama funkcionalitāte pieteikties sev interesējošo jaunumu saņemšanai e-pastā vai citos saziņas līdzekļos</w:t>
            </w:r>
            <w:bookmarkEnd w:id="6"/>
            <w:r w:rsidRPr="00F84008">
              <w:rPr>
                <w:color w:val="000000"/>
                <w:sz w:val="24"/>
                <w:szCs w:val="24"/>
              </w:rPr>
              <w:t>. LIAA darbinieki izmanto dažādus komunikācijas kanālus (e-pasts, tālrunis, klātienes konsultācijas u.c.), lai informētu uzņēmējus par jomā notiekošajiem pasākumiem un aktualitātēm.</w:t>
            </w:r>
          </w:p>
          <w:p w14:paraId="3452B5EA" w14:textId="649EA70B" w:rsidR="00B7650F" w:rsidRPr="00F84008" w:rsidRDefault="00B7650F" w:rsidP="00F84008">
            <w:pPr>
              <w:pStyle w:val="VPBody"/>
              <w:rPr>
                <w:color w:val="000000"/>
                <w:sz w:val="24"/>
                <w:szCs w:val="24"/>
              </w:rPr>
            </w:pPr>
            <w:r w:rsidRPr="00F84008">
              <w:rPr>
                <w:color w:val="000000"/>
                <w:sz w:val="24"/>
                <w:szCs w:val="24"/>
              </w:rPr>
              <w:t xml:space="preserve">Viens no sistēmas uzdevumiem ir informēt uzņēmējus par jaunumiem un pasākumiem biznesa attīstības, eksporta un investīciju jomā, sniedzot uzņēmējiem personalizētu informāciju un apziņojot uzņēmējus par jaunumiem ar automatizētu apziņošanas rīku, nodrošinot informācijas saņemšanu tās rašanās brīdī. </w:t>
            </w:r>
          </w:p>
          <w:p w14:paraId="478F1941" w14:textId="35597923" w:rsidR="00B7650F" w:rsidRPr="00F84008" w:rsidRDefault="00B7650F" w:rsidP="00F84008">
            <w:pPr>
              <w:pStyle w:val="VPMessage"/>
              <w:jc w:val="both"/>
              <w:rPr>
                <w:b w:val="0"/>
                <w:bCs w:val="0"/>
                <w:color w:val="000000"/>
                <w:sz w:val="24"/>
                <w:szCs w:val="24"/>
              </w:rPr>
            </w:pPr>
            <w:r w:rsidRPr="00F84008">
              <w:rPr>
                <w:b w:val="0"/>
                <w:bCs w:val="0"/>
                <w:color w:val="000000"/>
                <w:sz w:val="24"/>
                <w:szCs w:val="24"/>
              </w:rPr>
              <w:t>2. Uzņēmējiem nepieciešamās informācijas sadrumstalotība pa dažādiem informācijas resursiem</w:t>
            </w:r>
          </w:p>
          <w:p w14:paraId="57C8B06C" w14:textId="4A158414" w:rsidR="00B7650F" w:rsidRPr="00F84008" w:rsidRDefault="00B7650F" w:rsidP="00F84008">
            <w:pPr>
              <w:pStyle w:val="VPBody"/>
              <w:rPr>
                <w:color w:val="000000"/>
                <w:sz w:val="24"/>
                <w:szCs w:val="24"/>
              </w:rPr>
            </w:pPr>
            <w:r w:rsidRPr="00F84008">
              <w:rPr>
                <w:color w:val="000000"/>
                <w:sz w:val="24"/>
                <w:szCs w:val="24"/>
              </w:rPr>
              <w:t xml:space="preserve">Uzņēmējiem interesējošā informācija tiek uzturēta dažādos valsts iestāžu informācijas resursos. Piemēram, Ārlietu </w:t>
            </w:r>
            <w:r w:rsidRPr="00F84008">
              <w:rPr>
                <w:color w:val="000000"/>
                <w:sz w:val="24"/>
                <w:szCs w:val="24"/>
              </w:rPr>
              <w:lastRenderedPageBreak/>
              <w:t xml:space="preserve">ministrijai ir pieejama informācija par eksporta tirgiem, Ekonomikas ministrija veicina Latvijas komersantu konkurētspēju ārvalstu tirgos, </w:t>
            </w:r>
            <w:r w:rsidRPr="00F84008">
              <w:rPr>
                <w:sz w:val="24"/>
                <w:szCs w:val="24"/>
              </w:rPr>
              <w:t xml:space="preserve">Centrālajai statistikas pārvaldei ir pieejama informācija par statistikas datiem, Valsts ieņēmumu dienestam ir pieejama informācija par muitu un ar to saistīto formalitāšu kārtošanu, ALTUM un Centrālā finanšu un līgumu aģentūra uztur informāciju par atbalsta iespējām, pašvaldību piedāvājumi uzņēmējiem un investoriem pieejami katras pašvaldības mājaslapā internetā individuāli, LIAA piedāvā uzņēmējiem saistošu informāciju eksporta un investīciju jomās. Interesējošās informācijas apkopošanai un atrašanai ir nepieciešami būtiski resursi, kas kavē lēmumu pieņemšanu un neveicina </w:t>
            </w:r>
            <w:r w:rsidRPr="00F84008">
              <w:rPr>
                <w:color w:val="000000"/>
                <w:sz w:val="24"/>
                <w:szCs w:val="24"/>
              </w:rPr>
              <w:t>ārējo tirgu apgūšanu un investīciju piesaisti.</w:t>
            </w:r>
          </w:p>
          <w:p w14:paraId="492508F5" w14:textId="4DFB01BA" w:rsidR="00B7650F" w:rsidRPr="00F84008" w:rsidRDefault="00B7650F" w:rsidP="00F84008">
            <w:pPr>
              <w:pStyle w:val="VPBody"/>
              <w:rPr>
                <w:color w:val="000000"/>
                <w:sz w:val="24"/>
                <w:szCs w:val="24"/>
              </w:rPr>
            </w:pPr>
            <w:r w:rsidRPr="00F84008">
              <w:rPr>
                <w:color w:val="000000"/>
                <w:sz w:val="24"/>
                <w:szCs w:val="24"/>
              </w:rPr>
              <w:t xml:space="preserve">Uzņēmēji norāda, ka nav informēti un nezina, kur meklēt sev interesējošo informāciju, ja tiem nepalīdz, jo informācijas resursu ir daudz, bet tiešo saišu trūkums starp informācijas resursiem nepalīdz orientēties un nesamazina patērēto laiku, kas ir jāvelta </w:t>
            </w:r>
            <w:proofErr w:type="spellStart"/>
            <w:r w:rsidRPr="00F84008">
              <w:rPr>
                <w:color w:val="000000"/>
                <w:sz w:val="24"/>
                <w:szCs w:val="24"/>
              </w:rPr>
              <w:t>priekšizpētei</w:t>
            </w:r>
            <w:proofErr w:type="spellEnd"/>
            <w:r w:rsidRPr="00F84008">
              <w:rPr>
                <w:color w:val="000000"/>
                <w:sz w:val="24"/>
                <w:szCs w:val="24"/>
              </w:rPr>
              <w:t xml:space="preserve">, izpētei un analīzei pirms eksporta uzsākšanas vai investīciju veikšanas lēmumu pieņemšanas. </w:t>
            </w:r>
            <w:r w:rsidR="00FD1081">
              <w:rPr>
                <w:color w:val="000000"/>
                <w:sz w:val="24"/>
                <w:szCs w:val="24"/>
              </w:rPr>
              <w:t>T</w:t>
            </w:r>
            <w:r w:rsidRPr="00F84008">
              <w:rPr>
                <w:color w:val="000000"/>
                <w:sz w:val="24"/>
                <w:szCs w:val="24"/>
              </w:rPr>
              <w:t xml:space="preserve">ā rezultātā investori izvēlas investēt citās valstīs vai eksportētāji izvēlas eksportēt pakalpojumus uz valstīm, par kurām detalizēta un lēmumu pieņemšanā interesējošā informācija ir pieejama vai arī tā tiek operatīvi sagatavota. </w:t>
            </w:r>
          </w:p>
          <w:p w14:paraId="2CD58429" w14:textId="675AFB8F" w:rsidR="00B7650F" w:rsidRPr="00F84008" w:rsidRDefault="00B7650F" w:rsidP="00F84008">
            <w:pPr>
              <w:pStyle w:val="VPBody"/>
              <w:rPr>
                <w:color w:val="000000"/>
                <w:sz w:val="24"/>
                <w:szCs w:val="24"/>
              </w:rPr>
            </w:pPr>
            <w:r w:rsidRPr="00F84008">
              <w:rPr>
                <w:color w:val="000000"/>
                <w:sz w:val="24"/>
                <w:szCs w:val="24"/>
              </w:rPr>
              <w:t xml:space="preserve">Lai veicinātu eksportu uz ārējiem tirgiem un investīciju piesaisti, </w:t>
            </w:r>
            <w:r w:rsidR="0095140C">
              <w:rPr>
                <w:color w:val="000000"/>
                <w:sz w:val="24"/>
                <w:szCs w:val="24"/>
              </w:rPr>
              <w:t>S</w:t>
            </w:r>
            <w:r w:rsidRPr="00F84008">
              <w:rPr>
                <w:color w:val="000000"/>
                <w:sz w:val="24"/>
                <w:szCs w:val="24"/>
              </w:rPr>
              <w:t>istē</w:t>
            </w:r>
            <w:r w:rsidR="0095140C">
              <w:rPr>
                <w:color w:val="000000"/>
                <w:sz w:val="24"/>
                <w:szCs w:val="24"/>
              </w:rPr>
              <w:t>m</w:t>
            </w:r>
            <w:r w:rsidRPr="00F84008">
              <w:rPr>
                <w:color w:val="000000"/>
                <w:sz w:val="24"/>
                <w:szCs w:val="24"/>
              </w:rPr>
              <w:t>ā tiktu apvienota uzņēmējiem interesējošā informācija no dažādiem avotiem. Sistēmas publiskajā daļā informācija no vairākiem resursiem (Ā</w:t>
            </w:r>
            <w:r w:rsidR="00F84008">
              <w:rPr>
                <w:color w:val="000000"/>
                <w:sz w:val="24"/>
                <w:szCs w:val="24"/>
              </w:rPr>
              <w:t>rlietu ministrijas</w:t>
            </w:r>
            <w:r w:rsidRPr="00F84008">
              <w:rPr>
                <w:color w:val="000000"/>
                <w:sz w:val="24"/>
                <w:szCs w:val="24"/>
              </w:rPr>
              <w:t>, ALTUM, E</w:t>
            </w:r>
            <w:r w:rsidR="00F84008">
              <w:rPr>
                <w:color w:val="000000"/>
                <w:sz w:val="24"/>
                <w:szCs w:val="24"/>
              </w:rPr>
              <w:t>konomikas ministrijas</w:t>
            </w:r>
            <w:r w:rsidRPr="00F84008">
              <w:rPr>
                <w:color w:val="000000"/>
                <w:sz w:val="24"/>
                <w:szCs w:val="24"/>
              </w:rPr>
              <w:t xml:space="preserve">, </w:t>
            </w:r>
            <w:r w:rsidR="00F84008">
              <w:rPr>
                <w:color w:val="000000"/>
                <w:sz w:val="24"/>
                <w:szCs w:val="24"/>
              </w:rPr>
              <w:t>Centrālās finanšu un līgumu aģentūras</w:t>
            </w:r>
            <w:r w:rsidRPr="00F84008">
              <w:rPr>
                <w:color w:val="000000"/>
                <w:sz w:val="24"/>
                <w:szCs w:val="24"/>
              </w:rPr>
              <w:t xml:space="preserve">, </w:t>
            </w:r>
            <w:r w:rsidR="00F84008">
              <w:rPr>
                <w:color w:val="000000"/>
                <w:sz w:val="24"/>
                <w:szCs w:val="24"/>
              </w:rPr>
              <w:t>Valsts ieņēmumu dienesta</w:t>
            </w:r>
            <w:r w:rsidRPr="00F84008">
              <w:rPr>
                <w:color w:val="000000"/>
                <w:sz w:val="24"/>
                <w:szCs w:val="24"/>
              </w:rPr>
              <w:t xml:space="preserve"> u.c.) lietotājiem (topošiem uzņēmējiem, uzņēmējiem, kas attīsta biznesu, eksportētājiem un investoriem) saprotamā strukturētā veidā būs pieejama par tirgiem, nozarēm, atbalsta iespējām u.c. Reģistrētajiem lietotājiem sistēma piedāvās lietotāju profilam atbilstošu informāciju</w:t>
            </w:r>
            <w:r w:rsidR="001E30AA">
              <w:rPr>
                <w:color w:val="000000"/>
                <w:sz w:val="24"/>
                <w:szCs w:val="24"/>
              </w:rPr>
              <w:t xml:space="preserve">, proti, </w:t>
            </w:r>
            <w:bookmarkStart w:id="7" w:name="_Hlk70442396"/>
            <w:r w:rsidR="001E30AA">
              <w:rPr>
                <w:color w:val="000000"/>
                <w:sz w:val="24"/>
                <w:szCs w:val="24"/>
              </w:rPr>
              <w:t>uzņēmējus visbiežāk interesē atbalsta iespējas, un šī sistēma lietotājam piedāvās tieši tādus atbalsta veidus, k</w:t>
            </w:r>
            <w:r w:rsidR="00D46235">
              <w:rPr>
                <w:color w:val="000000"/>
                <w:sz w:val="24"/>
                <w:szCs w:val="24"/>
              </w:rPr>
              <w:t xml:space="preserve">uriem </w:t>
            </w:r>
            <w:r w:rsidR="001E30AA">
              <w:rPr>
                <w:color w:val="000000"/>
                <w:sz w:val="24"/>
                <w:szCs w:val="24"/>
              </w:rPr>
              <w:t>komersants kvalificējas</w:t>
            </w:r>
            <w:r w:rsidRPr="00F84008">
              <w:rPr>
                <w:color w:val="000000"/>
                <w:sz w:val="24"/>
                <w:szCs w:val="24"/>
              </w:rPr>
              <w:t xml:space="preserve">. Tiek paredzēts, ka sistēma </w:t>
            </w:r>
            <w:r w:rsidRPr="00F84008">
              <w:rPr>
                <w:sz w:val="24"/>
                <w:szCs w:val="24"/>
              </w:rPr>
              <w:t xml:space="preserve">automātiski iegūs </w:t>
            </w:r>
            <w:r w:rsidRPr="00F84008">
              <w:rPr>
                <w:color w:val="000000"/>
                <w:sz w:val="24"/>
                <w:szCs w:val="24"/>
              </w:rPr>
              <w:t>informāciju no citiem informācijas resursiem.</w:t>
            </w:r>
            <w:r w:rsidR="001E30AA">
              <w:t xml:space="preserve"> </w:t>
            </w:r>
            <w:r w:rsidR="001E30AA">
              <w:rPr>
                <w:color w:val="000000"/>
                <w:sz w:val="24"/>
                <w:szCs w:val="24"/>
              </w:rPr>
              <w:t xml:space="preserve">Informācijas iegūšana ir paredzēta </w:t>
            </w:r>
            <w:r w:rsidR="001E30AA" w:rsidRPr="001E30AA">
              <w:rPr>
                <w:color w:val="000000"/>
                <w:sz w:val="24"/>
                <w:szCs w:val="24"/>
              </w:rPr>
              <w:t>no iest</w:t>
            </w:r>
            <w:r w:rsidR="00D46235">
              <w:rPr>
                <w:color w:val="000000"/>
                <w:sz w:val="24"/>
                <w:szCs w:val="24"/>
              </w:rPr>
              <w:t>āžu tīmekļa vietnēm, kā arī, ja nepieciešams, vienošanās ceļā par datu iegūšanu no iestāžu informācijas sistēmām, vienlaikus pēc iespējas samazinot resursu patēriņu datu apmaiņā visām iesaistītajām pusēm.</w:t>
            </w:r>
            <w:bookmarkEnd w:id="7"/>
            <w:r w:rsidR="0081167F">
              <w:rPr>
                <w:color w:val="000000"/>
                <w:sz w:val="24"/>
                <w:szCs w:val="24"/>
              </w:rPr>
              <w:t xml:space="preserve"> </w:t>
            </w:r>
            <w:r w:rsidR="001D0501">
              <w:rPr>
                <w:color w:val="000000"/>
                <w:sz w:val="24"/>
                <w:szCs w:val="24"/>
              </w:rPr>
              <w:t>D</w:t>
            </w:r>
            <w:r w:rsidR="001D0501" w:rsidRPr="001D0501">
              <w:rPr>
                <w:color w:val="000000"/>
                <w:sz w:val="24"/>
                <w:szCs w:val="24"/>
              </w:rPr>
              <w:t xml:space="preserve">atu apmaiņa starp Valsts ieņēmumu dienestu un </w:t>
            </w:r>
            <w:r w:rsidR="001D0501">
              <w:rPr>
                <w:color w:val="000000"/>
                <w:sz w:val="24"/>
                <w:szCs w:val="24"/>
              </w:rPr>
              <w:t>LIAA</w:t>
            </w:r>
            <w:r w:rsidR="001D0501" w:rsidRPr="001D0501">
              <w:rPr>
                <w:color w:val="000000"/>
                <w:sz w:val="24"/>
                <w:szCs w:val="24"/>
              </w:rPr>
              <w:t xml:space="preserve"> tiks nodrošināta 202</w:t>
            </w:r>
            <w:r w:rsidR="000A19F7">
              <w:rPr>
                <w:color w:val="000000"/>
                <w:sz w:val="24"/>
                <w:szCs w:val="24"/>
              </w:rPr>
              <w:t>1</w:t>
            </w:r>
            <w:r w:rsidR="001D0501" w:rsidRPr="001D0501">
              <w:rPr>
                <w:color w:val="000000"/>
                <w:sz w:val="24"/>
                <w:szCs w:val="24"/>
              </w:rPr>
              <w:t xml:space="preserve">.gada 10.martā noslēgtās starpresoru vienošanās “Par informācijas sniegšanu tiešsaistes režīmā, izmantojot Valsts reģionālās attīstības aģentūras Valsts informācijas sistēmu </w:t>
            </w:r>
            <w:proofErr w:type="spellStart"/>
            <w:r w:rsidR="001D0501" w:rsidRPr="001D0501">
              <w:rPr>
                <w:color w:val="000000"/>
                <w:sz w:val="24"/>
                <w:szCs w:val="24"/>
              </w:rPr>
              <w:t>savietotāja</w:t>
            </w:r>
            <w:proofErr w:type="spellEnd"/>
            <w:r w:rsidR="001D0501" w:rsidRPr="001D0501">
              <w:rPr>
                <w:color w:val="000000"/>
                <w:sz w:val="24"/>
                <w:szCs w:val="24"/>
              </w:rPr>
              <w:t xml:space="preserve"> (E-pakalpojumu) infrastruktūru” ietvaros.</w:t>
            </w:r>
            <w:r w:rsidR="003949B5">
              <w:t xml:space="preserve"> </w:t>
            </w:r>
          </w:p>
          <w:p w14:paraId="10585BF6" w14:textId="4488F235" w:rsidR="00B7650F" w:rsidRPr="00F84008" w:rsidRDefault="00B7650F" w:rsidP="00F84008">
            <w:pPr>
              <w:pStyle w:val="VPMessage"/>
              <w:jc w:val="both"/>
              <w:rPr>
                <w:b w:val="0"/>
                <w:bCs w:val="0"/>
                <w:color w:val="000000"/>
                <w:sz w:val="24"/>
                <w:szCs w:val="24"/>
              </w:rPr>
            </w:pPr>
            <w:r w:rsidRPr="00F84008">
              <w:rPr>
                <w:b w:val="0"/>
                <w:bCs w:val="0"/>
                <w:color w:val="000000"/>
                <w:sz w:val="24"/>
                <w:szCs w:val="24"/>
              </w:rPr>
              <w:t>3. Uzņēmēju savstarpējās sadarbības vietnes trūkums informācijas izplatīšanai un iegūšanai</w:t>
            </w:r>
          </w:p>
          <w:p w14:paraId="28CCA670" w14:textId="77777777" w:rsidR="00B7650F" w:rsidRPr="00F84008" w:rsidRDefault="00B7650F" w:rsidP="00F84008">
            <w:pPr>
              <w:pStyle w:val="VPBody"/>
              <w:rPr>
                <w:color w:val="000000"/>
                <w:sz w:val="24"/>
                <w:szCs w:val="24"/>
              </w:rPr>
            </w:pPr>
            <w:r w:rsidRPr="00F84008">
              <w:rPr>
                <w:color w:val="000000"/>
                <w:sz w:val="24"/>
                <w:szCs w:val="24"/>
              </w:rPr>
              <w:lastRenderedPageBreak/>
              <w:t xml:space="preserve">Uzņēmējiem trūkst sadarbības vietne, kurā varētu dalīties ar veiksmes stāstiem, pieredzi, sniegt padomus un konsultēties ar citiem līdzīgiem uzņēmējiem vai valsts iestāžu pārstāvjiem, nodrošinot iespēju piedalīties diskusijās un publicēt rakstus sev interesējošajās jomās. </w:t>
            </w:r>
          </w:p>
          <w:p w14:paraId="4E19E7C2" w14:textId="77777777" w:rsidR="00B7650F" w:rsidRPr="00F84008" w:rsidRDefault="00B7650F" w:rsidP="00F84008">
            <w:pPr>
              <w:pStyle w:val="VPBody"/>
              <w:rPr>
                <w:color w:val="000000"/>
                <w:sz w:val="24"/>
                <w:szCs w:val="24"/>
              </w:rPr>
            </w:pPr>
            <w:r w:rsidRPr="00F84008">
              <w:rPr>
                <w:color w:val="000000"/>
                <w:sz w:val="24"/>
                <w:szCs w:val="24"/>
              </w:rPr>
              <w:t xml:space="preserve">Sadarbības vietnes trūkums neveicina uzņēmēju savstarpēju sadarbību, piemēram, ārējo tirgu apgūšanā, jo problēmu risināšanai, iespēju izvērtēšanai, domubiedru, investoru un partneru atrašanai ir nepieciešama vietne, kur paust viedokli un dalīties ar informāciju ar nozaru pārstāvjiem. </w:t>
            </w:r>
          </w:p>
          <w:p w14:paraId="52DCEBD8" w14:textId="07515235" w:rsidR="00B7650F" w:rsidRPr="00F84008" w:rsidRDefault="00B7650F" w:rsidP="00F84008">
            <w:pPr>
              <w:pStyle w:val="VPBody"/>
              <w:rPr>
                <w:color w:val="000000"/>
                <w:sz w:val="24"/>
                <w:szCs w:val="24"/>
              </w:rPr>
            </w:pPr>
            <w:r w:rsidRPr="00F84008">
              <w:rPr>
                <w:color w:val="000000"/>
                <w:sz w:val="24"/>
                <w:szCs w:val="24"/>
              </w:rPr>
              <w:t xml:space="preserve">Lai veicinātu uzņēmēju un nozaru ekspertu savstarpēju sadarbību, </w:t>
            </w:r>
            <w:r w:rsidR="00CC64C0">
              <w:rPr>
                <w:color w:val="000000"/>
                <w:sz w:val="24"/>
                <w:szCs w:val="24"/>
              </w:rPr>
              <w:t>S</w:t>
            </w:r>
            <w:r w:rsidRPr="00F84008">
              <w:rPr>
                <w:color w:val="000000"/>
                <w:sz w:val="24"/>
                <w:szCs w:val="24"/>
              </w:rPr>
              <w:t xml:space="preserve">istēmā </w:t>
            </w:r>
            <w:r w:rsidR="00CC64C0">
              <w:rPr>
                <w:color w:val="000000"/>
                <w:sz w:val="24"/>
                <w:szCs w:val="24"/>
              </w:rPr>
              <w:t>paredzēta</w:t>
            </w:r>
            <w:r w:rsidRPr="00F84008">
              <w:rPr>
                <w:color w:val="000000"/>
                <w:sz w:val="24"/>
                <w:szCs w:val="24"/>
              </w:rPr>
              <w:t xml:space="preserve"> saziņas vietne (forums, </w:t>
            </w:r>
            <w:proofErr w:type="spellStart"/>
            <w:r w:rsidRPr="00F84008">
              <w:rPr>
                <w:color w:val="000000"/>
                <w:sz w:val="24"/>
                <w:szCs w:val="24"/>
              </w:rPr>
              <w:t>tērzētava</w:t>
            </w:r>
            <w:proofErr w:type="spellEnd"/>
            <w:r w:rsidRPr="00F84008">
              <w:rPr>
                <w:color w:val="000000"/>
                <w:sz w:val="24"/>
                <w:szCs w:val="24"/>
              </w:rPr>
              <w:t>), kurā radīt un dalīties ar informāciju, iesaistot valsts iestāžu darbiniekus, nozaru pārstāvjus un ekspertus.</w:t>
            </w:r>
          </w:p>
          <w:p w14:paraId="31FCBE84" w14:textId="535575F2" w:rsidR="00B7650F" w:rsidRPr="00F84008" w:rsidRDefault="00B7650F" w:rsidP="00F84008">
            <w:pPr>
              <w:pStyle w:val="VPMessage"/>
              <w:jc w:val="both"/>
              <w:rPr>
                <w:b w:val="0"/>
                <w:bCs w:val="0"/>
                <w:color w:val="000000"/>
                <w:sz w:val="24"/>
                <w:szCs w:val="24"/>
              </w:rPr>
            </w:pPr>
            <w:r w:rsidRPr="00F84008">
              <w:rPr>
                <w:b w:val="0"/>
                <w:bCs w:val="0"/>
                <w:color w:val="000000"/>
                <w:sz w:val="24"/>
                <w:szCs w:val="24"/>
              </w:rPr>
              <w:t>4. LIAA sniegtie pakalpojumi uzņēmējiem nav pieejami elektroniski tiešsaistē</w:t>
            </w:r>
          </w:p>
          <w:p w14:paraId="48258FBE" w14:textId="77777777" w:rsidR="00B7650F" w:rsidRPr="00F84008" w:rsidRDefault="00B7650F" w:rsidP="00F84008">
            <w:pPr>
              <w:pStyle w:val="VPBody"/>
              <w:rPr>
                <w:color w:val="000000"/>
                <w:sz w:val="24"/>
                <w:szCs w:val="24"/>
              </w:rPr>
            </w:pPr>
            <w:r w:rsidRPr="00F84008">
              <w:rPr>
                <w:color w:val="000000"/>
                <w:sz w:val="24"/>
                <w:szCs w:val="24"/>
              </w:rPr>
              <w:t xml:space="preserve">LIAA sniedz dažāda veida pakalpojumus uzņēmējiem, tomēr daļu no tiem nav iespējams vai ir apgrūtinoši veikt elektroniski tiešsaistē. Viens no galvenajiem komunikācijas veidiem LIAA ar uzņēmējiem ir e-pasta un klātienes konsultācijas. Visbiežāk konsultāciju ietvaros sagatavotā informācija uzņēmējiem tiek nosūtīta e-pastā. Piemēram, uzņēmēju pieteikšanās pasākumiem un dažādu apliecinājumu iesniegšana notiek klātienē vai izmantojot e-pastus, kas neveicina lietderīgu resursu izmantošanu gan LIAA, gan uzņēmēju pusē. </w:t>
            </w:r>
          </w:p>
          <w:p w14:paraId="64084051" w14:textId="77777777" w:rsidR="00B7650F" w:rsidRPr="00F84008" w:rsidRDefault="00B7650F" w:rsidP="00F84008">
            <w:pPr>
              <w:pStyle w:val="VPBody"/>
              <w:rPr>
                <w:color w:val="000000"/>
                <w:sz w:val="24"/>
                <w:szCs w:val="24"/>
              </w:rPr>
            </w:pPr>
            <w:r w:rsidRPr="00F84008">
              <w:rPr>
                <w:color w:val="000000"/>
                <w:sz w:val="24"/>
                <w:szCs w:val="24"/>
              </w:rPr>
              <w:t>Sniegto pakalpojumu nepieejamība tiešsaistē sašaurina uzņēmēju loku, kas būtu ieinteresēti pakalpojumu izmantošanā, patērē nelietderīgi uzņēmēju laiku un resursus, kā arī paaugstina LIAA darbinieku noslogotību, veicot klientu apkalpošanu klātienē. Arī klientu apkalpošana e-pasta konsultācijās nav efektīva, jo ir apgrūtināta procesa izsekojamība un pārskatāmība no LIAA puses.</w:t>
            </w:r>
          </w:p>
          <w:p w14:paraId="2B984A87" w14:textId="366E0159" w:rsidR="00B7650F" w:rsidRPr="00F84008" w:rsidRDefault="00B7650F" w:rsidP="00F84008">
            <w:pPr>
              <w:pStyle w:val="VPBody"/>
              <w:rPr>
                <w:color w:val="000000"/>
                <w:sz w:val="24"/>
                <w:szCs w:val="24"/>
              </w:rPr>
            </w:pPr>
            <w:r w:rsidRPr="00F84008">
              <w:rPr>
                <w:color w:val="000000"/>
                <w:sz w:val="24"/>
                <w:szCs w:val="24"/>
              </w:rPr>
              <w:t xml:space="preserve">Lai mazinātu LIAA darbinieku administratīvo slogu, tiks elektronizēti LIAA sniegtie pakalpojumi (~70 LIAA pakalpojumi), nodrošinot iespēju pieteikties pakalpojumam, sniegt papildus informāciju LIAA, noslēgt līgumu, saņemt brīdinājumus un paziņojumus saistībā ar pakalpojuma saņemšanu, kā arī veikt citas darbības pakalpojuma saņemšanas ietvaros. Lai vienkāršotu konsultācijas saņemšanu uzņēmējiem, </w:t>
            </w:r>
            <w:r w:rsidR="00CC64C0">
              <w:rPr>
                <w:color w:val="000000"/>
                <w:sz w:val="24"/>
                <w:szCs w:val="24"/>
              </w:rPr>
              <w:t>S</w:t>
            </w:r>
            <w:r w:rsidRPr="00F84008">
              <w:rPr>
                <w:color w:val="000000"/>
                <w:sz w:val="24"/>
                <w:szCs w:val="24"/>
              </w:rPr>
              <w:t>istēm</w:t>
            </w:r>
            <w:r w:rsidR="00CC64C0">
              <w:rPr>
                <w:color w:val="000000"/>
                <w:sz w:val="24"/>
                <w:szCs w:val="24"/>
              </w:rPr>
              <w:t>ā paredzēts</w:t>
            </w:r>
            <w:r w:rsidRPr="00F84008">
              <w:rPr>
                <w:color w:val="000000"/>
                <w:sz w:val="24"/>
                <w:szCs w:val="24"/>
              </w:rPr>
              <w:t xml:space="preserve"> čata risinājums, kurā uzņēmēji varēs uzdot interesējošos jautājumus.</w:t>
            </w:r>
          </w:p>
          <w:p w14:paraId="3E0311EA" w14:textId="681691A0" w:rsidR="00B7650F" w:rsidRPr="00F84008" w:rsidRDefault="00B7650F" w:rsidP="00F84008">
            <w:pPr>
              <w:pStyle w:val="VPMessage"/>
              <w:jc w:val="both"/>
              <w:rPr>
                <w:b w:val="0"/>
                <w:bCs w:val="0"/>
                <w:color w:val="000000"/>
                <w:sz w:val="24"/>
                <w:szCs w:val="24"/>
              </w:rPr>
            </w:pPr>
            <w:r w:rsidRPr="00F84008">
              <w:rPr>
                <w:b w:val="0"/>
                <w:bCs w:val="0"/>
                <w:color w:val="000000"/>
                <w:sz w:val="24"/>
                <w:szCs w:val="24"/>
              </w:rPr>
              <w:t>5. LIAA darbinieku nelietderīgā laika patēriņš uzņēmēju apkalpošanā</w:t>
            </w:r>
          </w:p>
          <w:p w14:paraId="16D301D2" w14:textId="77777777" w:rsidR="00B7650F" w:rsidRPr="00F84008" w:rsidRDefault="00B7650F" w:rsidP="00F84008">
            <w:pPr>
              <w:pStyle w:val="VPBody"/>
              <w:rPr>
                <w:color w:val="000000"/>
                <w:sz w:val="24"/>
                <w:szCs w:val="24"/>
              </w:rPr>
            </w:pPr>
            <w:r w:rsidRPr="00F84008">
              <w:rPr>
                <w:color w:val="000000"/>
                <w:sz w:val="24"/>
                <w:szCs w:val="24"/>
              </w:rPr>
              <w:t xml:space="preserve">LIAA darbinieki tiek noslogoti, apkalpojot uzņēmējus rutīnas darbu izpildē – pieteikumu reģistrēšana, informācijas pieprasījumu apstrāde, e-pastu pārvaldība u.c., kas traucē LIAA darbiniekiem veikt padziļinātu problēmu izpēti un analīzi. </w:t>
            </w:r>
          </w:p>
          <w:p w14:paraId="37F99787" w14:textId="77777777" w:rsidR="00B7650F" w:rsidRPr="00F84008" w:rsidRDefault="00B7650F" w:rsidP="00F84008">
            <w:pPr>
              <w:pStyle w:val="VPBody"/>
              <w:rPr>
                <w:color w:val="000000"/>
                <w:sz w:val="24"/>
                <w:szCs w:val="24"/>
              </w:rPr>
            </w:pPr>
            <w:r w:rsidRPr="00F84008">
              <w:rPr>
                <w:color w:val="000000"/>
                <w:sz w:val="24"/>
                <w:szCs w:val="24"/>
              </w:rPr>
              <w:lastRenderedPageBreak/>
              <w:t xml:space="preserve">LIAA sniegto pakalpojumu klāsts varētu tikt papildināts un to kvalitāte pieaugtu, ja LIAA darbiniekiem nevajadzētu tērēt laiku darbībām, kuras varētu elektronizēt tā, lai uzņēmēji varētu </w:t>
            </w:r>
            <w:proofErr w:type="spellStart"/>
            <w:r w:rsidRPr="00F84008">
              <w:rPr>
                <w:color w:val="000000"/>
                <w:sz w:val="24"/>
                <w:szCs w:val="24"/>
              </w:rPr>
              <w:t>pašapkalpoties</w:t>
            </w:r>
            <w:proofErr w:type="spellEnd"/>
            <w:r w:rsidRPr="00F84008">
              <w:rPr>
                <w:color w:val="000000"/>
                <w:sz w:val="24"/>
                <w:szCs w:val="24"/>
              </w:rPr>
              <w:t>. Papildus tam, sistēma nodrošinās arī LIAA iekšējo procesu elektronizāciju, t.sk. integrējoties ar  dokumentu vadības sistēmu Namejs.</w:t>
            </w:r>
          </w:p>
          <w:p w14:paraId="3D251F3A" w14:textId="7491F54A" w:rsidR="00B7650F" w:rsidRPr="00F84008" w:rsidRDefault="00B7650F" w:rsidP="00F84008">
            <w:pPr>
              <w:pStyle w:val="VPMessage"/>
              <w:jc w:val="both"/>
              <w:rPr>
                <w:b w:val="0"/>
                <w:bCs w:val="0"/>
                <w:color w:val="000000"/>
                <w:sz w:val="24"/>
                <w:szCs w:val="24"/>
              </w:rPr>
            </w:pPr>
            <w:r w:rsidRPr="00F84008">
              <w:rPr>
                <w:b w:val="0"/>
                <w:bCs w:val="0"/>
                <w:color w:val="000000"/>
                <w:sz w:val="24"/>
                <w:szCs w:val="24"/>
              </w:rPr>
              <w:t>6. Nepietiekami pieejama ārvalstu uzņēmējiem un investoriem nepieciešamā informācija svešvalodās</w:t>
            </w:r>
          </w:p>
          <w:p w14:paraId="542BBF86" w14:textId="77777777" w:rsidR="00B7650F" w:rsidRPr="00F84008" w:rsidRDefault="00B7650F" w:rsidP="00F84008">
            <w:pPr>
              <w:pStyle w:val="VPBody"/>
              <w:rPr>
                <w:color w:val="000000"/>
                <w:sz w:val="24"/>
                <w:szCs w:val="24"/>
              </w:rPr>
            </w:pPr>
            <w:r w:rsidRPr="00F84008">
              <w:rPr>
                <w:color w:val="000000"/>
                <w:sz w:val="24"/>
                <w:szCs w:val="24"/>
              </w:rPr>
              <w:t xml:space="preserve">LIAA darbinieki velta laiku sagatavotās informācijas tulkošanai, lai uzņēmējiem tā tiktu nogādātā saprotamā valodā. Ne visās valsts iestāžu mājaslapās un informācijas sistēmās informācija tiek publicēta svešvalodās vai arī tā nav kvalitatīva. </w:t>
            </w:r>
          </w:p>
          <w:p w14:paraId="34D7C22F" w14:textId="77777777" w:rsidR="00B7650F" w:rsidRDefault="00B7650F" w:rsidP="00CC64C0">
            <w:pPr>
              <w:pStyle w:val="VPBody"/>
              <w:rPr>
                <w:color w:val="000000"/>
                <w:sz w:val="24"/>
                <w:szCs w:val="24"/>
              </w:rPr>
            </w:pPr>
            <w:r w:rsidRPr="00F84008">
              <w:rPr>
                <w:color w:val="000000"/>
                <w:sz w:val="24"/>
                <w:szCs w:val="24"/>
              </w:rPr>
              <w:t xml:space="preserve">Lai veicinātu uzņēmējiem un investoriem nepieciešamas informācijas pieejamību, sistēmas saturs tiks veidots latviešu valodā un automātiski tulkots angļu valodā, izmantojot hugo.lv </w:t>
            </w:r>
            <w:proofErr w:type="spellStart"/>
            <w:r w:rsidRPr="00F84008">
              <w:rPr>
                <w:color w:val="000000"/>
                <w:sz w:val="24"/>
                <w:szCs w:val="24"/>
              </w:rPr>
              <w:t>mašīntulku</w:t>
            </w:r>
            <w:proofErr w:type="spellEnd"/>
            <w:r w:rsidRPr="00F84008">
              <w:rPr>
                <w:color w:val="000000"/>
                <w:sz w:val="24"/>
                <w:szCs w:val="24"/>
              </w:rPr>
              <w:t>. Pēc nepieciešamības LIAA darbinieki varēs rediģēt tulkojumu.</w:t>
            </w:r>
          </w:p>
          <w:p w14:paraId="67429273" w14:textId="77777777" w:rsidR="00FC0361" w:rsidRDefault="00FC0361" w:rsidP="00CC64C0">
            <w:pPr>
              <w:pStyle w:val="VPBody"/>
              <w:rPr>
                <w:color w:val="000000"/>
                <w:sz w:val="24"/>
                <w:szCs w:val="24"/>
              </w:rPr>
            </w:pPr>
          </w:p>
          <w:p w14:paraId="7BA64015" w14:textId="3D6D8707" w:rsidR="00FC0361" w:rsidRPr="00CC64C0" w:rsidRDefault="00FC0361" w:rsidP="0066755F">
            <w:pPr>
              <w:pStyle w:val="VPBody"/>
              <w:numPr>
                <w:ilvl w:val="0"/>
                <w:numId w:val="29"/>
              </w:numPr>
              <w:ind w:left="0" w:firstLine="411"/>
              <w:rPr>
                <w:color w:val="000000"/>
                <w:sz w:val="24"/>
                <w:szCs w:val="24"/>
              </w:rPr>
            </w:pPr>
            <w:r>
              <w:rPr>
                <w:color w:val="000000"/>
                <w:sz w:val="24"/>
                <w:szCs w:val="24"/>
              </w:rPr>
              <w:t xml:space="preserve">Atbilstoši </w:t>
            </w:r>
            <w:r w:rsidRPr="00FC0361">
              <w:rPr>
                <w:color w:val="000000"/>
                <w:sz w:val="24"/>
                <w:szCs w:val="24"/>
              </w:rPr>
              <w:t>Latvijas Nacionāl</w:t>
            </w:r>
            <w:r w:rsidR="008F2FF8">
              <w:rPr>
                <w:color w:val="000000"/>
                <w:sz w:val="24"/>
                <w:szCs w:val="24"/>
              </w:rPr>
              <w:t>ā</w:t>
            </w:r>
            <w:r w:rsidRPr="00FC0361">
              <w:rPr>
                <w:color w:val="000000"/>
                <w:sz w:val="24"/>
                <w:szCs w:val="24"/>
              </w:rPr>
              <w:t xml:space="preserve"> attīstības plān</w:t>
            </w:r>
            <w:r>
              <w:rPr>
                <w:color w:val="000000"/>
                <w:sz w:val="24"/>
                <w:szCs w:val="24"/>
              </w:rPr>
              <w:t>a</w:t>
            </w:r>
            <w:r w:rsidRPr="00FC0361">
              <w:rPr>
                <w:color w:val="000000"/>
                <w:sz w:val="24"/>
                <w:szCs w:val="24"/>
              </w:rPr>
              <w:t xml:space="preserve"> 2021.–2027. gadam</w:t>
            </w:r>
            <w:r w:rsidR="008A2863">
              <w:rPr>
                <w:color w:val="000000"/>
                <w:sz w:val="24"/>
                <w:szCs w:val="24"/>
              </w:rPr>
              <w:t xml:space="preserve"> un </w:t>
            </w:r>
            <w:r w:rsidRPr="00FC0361">
              <w:rPr>
                <w:color w:val="000000"/>
                <w:sz w:val="24"/>
                <w:szCs w:val="24"/>
              </w:rPr>
              <w:t>Nacionālās industriālās politikas pamatnostād</w:t>
            </w:r>
            <w:r w:rsidR="008A2863">
              <w:rPr>
                <w:color w:val="000000"/>
                <w:sz w:val="24"/>
                <w:szCs w:val="24"/>
              </w:rPr>
              <w:t>ņu</w:t>
            </w:r>
            <w:r w:rsidRPr="00FC0361">
              <w:rPr>
                <w:color w:val="000000"/>
                <w:sz w:val="24"/>
                <w:szCs w:val="24"/>
              </w:rPr>
              <w:t xml:space="preserve"> 2021.-2027.gadam</w:t>
            </w:r>
            <w:r w:rsidR="008A2863">
              <w:rPr>
                <w:color w:val="000000"/>
                <w:sz w:val="24"/>
                <w:szCs w:val="24"/>
              </w:rPr>
              <w:t xml:space="preserve"> noteiktajiem mērķiem un prioritātēm uzņēmējdarbības veicināšanas aktivitātēs LIAA funkciju ietvaros tiek likts uzsvars uz augstas pievienotās vērtības produktu un pakalpojumu un to eksporta veicināšanu, Latvijas RIS3 stratēģijas ieviešanu, RIS3 </w:t>
            </w:r>
            <w:r w:rsidR="008A2863" w:rsidRPr="008A2863">
              <w:rPr>
                <w:color w:val="000000"/>
                <w:sz w:val="24"/>
                <w:szCs w:val="24"/>
              </w:rPr>
              <w:t xml:space="preserve"> </w:t>
            </w:r>
            <w:r w:rsidR="008A2863">
              <w:rPr>
                <w:color w:val="000000"/>
                <w:sz w:val="24"/>
                <w:szCs w:val="24"/>
              </w:rPr>
              <w:t>vērtību ķēžu ekosistēmu attīstību</w:t>
            </w:r>
            <w:r w:rsidR="008A2863" w:rsidRPr="008A2863">
              <w:rPr>
                <w:color w:val="000000"/>
                <w:sz w:val="24"/>
                <w:szCs w:val="24"/>
              </w:rPr>
              <w:t xml:space="preserve">, </w:t>
            </w:r>
            <w:r w:rsidR="008A2863">
              <w:rPr>
                <w:color w:val="000000"/>
                <w:sz w:val="24"/>
                <w:szCs w:val="24"/>
              </w:rPr>
              <w:t>inovāciju un jaunu tehnoloģiju ieviešanu,</w:t>
            </w:r>
            <w:r w:rsidR="00CF3FE3">
              <w:rPr>
                <w:color w:val="000000"/>
                <w:sz w:val="24"/>
                <w:szCs w:val="24"/>
              </w:rPr>
              <w:t xml:space="preserve"> kā arī</w:t>
            </w:r>
            <w:r w:rsidR="008A2863" w:rsidRPr="008A2863">
              <w:rPr>
                <w:color w:val="000000"/>
                <w:sz w:val="24"/>
                <w:szCs w:val="24"/>
              </w:rPr>
              <w:t xml:space="preserve"> uz zināšanām un inovācij</w:t>
            </w:r>
            <w:r w:rsidR="008A2863">
              <w:rPr>
                <w:color w:val="000000"/>
                <w:sz w:val="24"/>
                <w:szCs w:val="24"/>
              </w:rPr>
              <w:t xml:space="preserve">ām </w:t>
            </w:r>
            <w:r w:rsidR="008A2863" w:rsidRPr="008A2863">
              <w:rPr>
                <w:color w:val="000000"/>
                <w:sz w:val="24"/>
                <w:szCs w:val="24"/>
              </w:rPr>
              <w:t>balstīt</w:t>
            </w:r>
            <w:r w:rsidR="008A2863">
              <w:rPr>
                <w:color w:val="000000"/>
                <w:sz w:val="24"/>
                <w:szCs w:val="24"/>
              </w:rPr>
              <w:t>u</w:t>
            </w:r>
            <w:r w:rsidR="008A2863" w:rsidRPr="008A2863">
              <w:rPr>
                <w:color w:val="000000"/>
                <w:sz w:val="24"/>
                <w:szCs w:val="24"/>
              </w:rPr>
              <w:t xml:space="preserve"> Latvijas konkurētspējas priekšrocīb</w:t>
            </w:r>
            <w:r w:rsidR="008A2863">
              <w:rPr>
                <w:color w:val="000000"/>
                <w:sz w:val="24"/>
                <w:szCs w:val="24"/>
              </w:rPr>
              <w:t>u izmantošanu globālajā tirgū</w:t>
            </w:r>
            <w:r w:rsidR="008A2863" w:rsidRPr="008A2863">
              <w:rPr>
                <w:color w:val="000000"/>
                <w:sz w:val="24"/>
                <w:szCs w:val="24"/>
              </w:rPr>
              <w:t>.</w:t>
            </w:r>
            <w:r w:rsidR="00CF3FE3">
              <w:rPr>
                <w:color w:val="000000"/>
                <w:sz w:val="24"/>
                <w:szCs w:val="24"/>
              </w:rPr>
              <w:t xml:space="preserve"> Līdz ar to ar noteikumu projektu papildināts 3.4. apakšpunkts un vienlaikus novērsta dublēšanās 3.3. apakšpunktā, noteikumi papildināti ar </w:t>
            </w:r>
            <w:r w:rsidR="00CF3FE3" w:rsidRPr="00CF3FE3">
              <w:rPr>
                <w:color w:val="000000"/>
                <w:sz w:val="24"/>
                <w:szCs w:val="24"/>
              </w:rPr>
              <w:t>3.4.</w:t>
            </w:r>
            <w:r w:rsidR="00CF3FE3" w:rsidRPr="00CF3FE3">
              <w:rPr>
                <w:color w:val="000000"/>
                <w:sz w:val="24"/>
                <w:szCs w:val="24"/>
                <w:vertAlign w:val="superscript"/>
              </w:rPr>
              <w:t>1</w:t>
            </w:r>
            <w:r w:rsidR="00CF3FE3">
              <w:rPr>
                <w:color w:val="000000"/>
                <w:sz w:val="24"/>
                <w:szCs w:val="24"/>
              </w:rPr>
              <w:t xml:space="preserve">, </w:t>
            </w:r>
            <w:r w:rsidR="00CF3FE3" w:rsidRPr="00CF3FE3">
              <w:rPr>
                <w:color w:val="000000"/>
                <w:sz w:val="24"/>
                <w:szCs w:val="24"/>
              </w:rPr>
              <w:t>4.5.</w:t>
            </w:r>
            <w:r w:rsidR="00CF3FE3" w:rsidRPr="00CF3FE3">
              <w:rPr>
                <w:color w:val="000000"/>
                <w:sz w:val="24"/>
                <w:szCs w:val="24"/>
                <w:vertAlign w:val="superscript"/>
              </w:rPr>
              <w:t>1</w:t>
            </w:r>
            <w:r w:rsidR="00CF3FE3" w:rsidRPr="00CF3FE3">
              <w:rPr>
                <w:color w:val="000000"/>
                <w:sz w:val="24"/>
                <w:szCs w:val="24"/>
              </w:rPr>
              <w:t xml:space="preserve"> un 4.5.</w:t>
            </w:r>
            <w:r w:rsidR="00CF3FE3" w:rsidRPr="00CF3FE3">
              <w:rPr>
                <w:color w:val="000000"/>
                <w:sz w:val="24"/>
                <w:szCs w:val="24"/>
                <w:vertAlign w:val="superscript"/>
              </w:rPr>
              <w:t>2</w:t>
            </w:r>
            <w:r w:rsidR="00CF3FE3" w:rsidRPr="00CF3FE3">
              <w:rPr>
                <w:color w:val="000000"/>
                <w:sz w:val="24"/>
                <w:szCs w:val="24"/>
              </w:rPr>
              <w:t xml:space="preserve"> apakšpunktu</w:t>
            </w:r>
            <w:r w:rsidR="00CF3FE3">
              <w:rPr>
                <w:color w:val="000000"/>
                <w:sz w:val="24"/>
                <w:szCs w:val="24"/>
              </w:rPr>
              <w:t xml:space="preserve">, papildināts 4.5. apakšpunkts. </w:t>
            </w:r>
            <w:r w:rsidR="00CF3FE3" w:rsidRPr="00CF3FE3">
              <w:rPr>
                <w:color w:val="000000"/>
                <w:sz w:val="24"/>
                <w:szCs w:val="24"/>
              </w:rPr>
              <w:t xml:space="preserve">Savukārt 3.10. </w:t>
            </w:r>
            <w:r w:rsidR="009127F7">
              <w:rPr>
                <w:color w:val="000000"/>
                <w:sz w:val="24"/>
                <w:szCs w:val="24"/>
              </w:rPr>
              <w:t>apakš</w:t>
            </w:r>
            <w:r w:rsidR="00CF3FE3" w:rsidRPr="00CF3FE3">
              <w:rPr>
                <w:color w:val="000000"/>
                <w:sz w:val="24"/>
                <w:szCs w:val="24"/>
              </w:rPr>
              <w:t>punkt</w:t>
            </w:r>
            <w:r w:rsidR="009127F7">
              <w:rPr>
                <w:color w:val="000000"/>
                <w:sz w:val="24"/>
                <w:szCs w:val="24"/>
              </w:rPr>
              <w:t>s</w:t>
            </w:r>
            <w:r w:rsidR="009127F7">
              <w:t xml:space="preserve"> </w:t>
            </w:r>
            <w:r w:rsidR="009127F7">
              <w:rPr>
                <w:color w:val="000000"/>
                <w:sz w:val="24"/>
                <w:szCs w:val="24"/>
              </w:rPr>
              <w:t>iekļauts, ņ</w:t>
            </w:r>
            <w:r w:rsidR="009127F7" w:rsidRPr="009127F7">
              <w:rPr>
                <w:color w:val="000000"/>
                <w:sz w:val="24"/>
                <w:szCs w:val="24"/>
              </w:rPr>
              <w:t>emot vērā, ka LIAA veic Vienotā pakalpojumu kontaktpunkta gala lietotāju konsultācijas un kopš 2020.</w:t>
            </w:r>
            <w:r w:rsidR="009127F7">
              <w:rPr>
                <w:color w:val="000000"/>
                <w:sz w:val="24"/>
                <w:szCs w:val="24"/>
              </w:rPr>
              <w:t xml:space="preserve"> </w:t>
            </w:r>
            <w:r w:rsidR="009127F7" w:rsidRPr="009127F7">
              <w:rPr>
                <w:color w:val="000000"/>
                <w:sz w:val="24"/>
                <w:szCs w:val="24"/>
              </w:rPr>
              <w:t>gada 12.</w:t>
            </w:r>
            <w:r w:rsidR="009127F7">
              <w:rPr>
                <w:color w:val="000000"/>
                <w:sz w:val="24"/>
                <w:szCs w:val="24"/>
              </w:rPr>
              <w:t xml:space="preserve"> </w:t>
            </w:r>
            <w:r w:rsidR="009127F7" w:rsidRPr="009127F7">
              <w:rPr>
                <w:color w:val="000000"/>
                <w:sz w:val="24"/>
                <w:szCs w:val="24"/>
              </w:rPr>
              <w:t>decembra nodrošina fiziskā nacionālā Vienotā produktu kontaktpunkta funkcijas.</w:t>
            </w:r>
            <w:r w:rsidR="00CF3FE3" w:rsidRPr="00CF3FE3">
              <w:rPr>
                <w:color w:val="000000"/>
                <w:sz w:val="24"/>
                <w:szCs w:val="24"/>
              </w:rPr>
              <w:t xml:space="preserve"> </w:t>
            </w:r>
            <w:r w:rsidR="00CF3FE3">
              <w:rPr>
                <w:color w:val="000000"/>
                <w:sz w:val="24"/>
                <w:szCs w:val="24"/>
              </w:rPr>
              <w:t xml:space="preserve">Noteikumu 4.4. apakšpunktā iekļauts uzsvars uz jaunuzņēmumiem labvēlīgas vides veidošanu, jo atbilstoši </w:t>
            </w:r>
            <w:r w:rsidR="00CF3FE3" w:rsidRPr="00CF3FE3">
              <w:rPr>
                <w:color w:val="000000"/>
                <w:sz w:val="24"/>
                <w:szCs w:val="24"/>
              </w:rPr>
              <w:t>Nacionālās industriālās politikas pamatnostād</w:t>
            </w:r>
            <w:r w:rsidR="00CF3FE3">
              <w:rPr>
                <w:color w:val="000000"/>
                <w:sz w:val="24"/>
                <w:szCs w:val="24"/>
              </w:rPr>
              <w:t>nēm</w:t>
            </w:r>
            <w:r w:rsidR="00CF3FE3" w:rsidRPr="00CF3FE3">
              <w:rPr>
                <w:color w:val="000000"/>
                <w:sz w:val="24"/>
                <w:szCs w:val="24"/>
              </w:rPr>
              <w:t xml:space="preserve"> 2021.-2027.gadam</w:t>
            </w:r>
            <w:r w:rsidR="00CF3FE3">
              <w:rPr>
                <w:color w:val="000000"/>
                <w:sz w:val="24"/>
                <w:szCs w:val="24"/>
              </w:rPr>
              <w:t xml:space="preserve"> tiem ir ļoti būtiska loma k</w:t>
            </w:r>
            <w:r w:rsidR="00CF3FE3" w:rsidRPr="00CF3FE3">
              <w:rPr>
                <w:color w:val="000000"/>
                <w:sz w:val="24"/>
                <w:szCs w:val="24"/>
              </w:rPr>
              <w:t>opējā inovācijas ekosistēmā</w:t>
            </w:r>
            <w:r w:rsidR="009127F7">
              <w:rPr>
                <w:color w:val="000000"/>
                <w:sz w:val="24"/>
                <w:szCs w:val="24"/>
              </w:rPr>
              <w:t>, tādēļ ir nepieciešams izskatīt iespējas uzlabot vidi šādai uzņēmējdarbībai</w:t>
            </w:r>
            <w:r w:rsidR="00CF3FE3">
              <w:rPr>
                <w:color w:val="000000"/>
                <w:sz w:val="24"/>
                <w:szCs w:val="24"/>
              </w:rPr>
              <w:t>.</w:t>
            </w:r>
            <w:r w:rsidR="00CF3FE3" w:rsidRPr="00CF3FE3">
              <w:rPr>
                <w:color w:val="000000"/>
                <w:sz w:val="24"/>
                <w:szCs w:val="24"/>
              </w:rPr>
              <w:t xml:space="preserve"> </w:t>
            </w:r>
          </w:p>
        </w:tc>
      </w:tr>
      <w:tr w:rsidR="00F7296D" w:rsidRPr="006D40F0" w14:paraId="52CEAD74" w14:textId="77777777" w:rsidTr="6B960A0A">
        <w:trPr>
          <w:trHeight w:val="920"/>
        </w:trPr>
        <w:tc>
          <w:tcPr>
            <w:tcW w:w="227"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6498F8DB" w14:textId="77777777" w:rsidR="00F7296D" w:rsidRPr="006D40F0" w:rsidRDefault="00F7296D" w:rsidP="00ED39CF">
            <w:r w:rsidRPr="006D40F0">
              <w:lastRenderedPageBreak/>
              <w:t>3.</w:t>
            </w:r>
          </w:p>
        </w:tc>
        <w:tc>
          <w:tcPr>
            <w:tcW w:w="1282"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B8FD84D" w14:textId="77777777" w:rsidR="00F7296D" w:rsidRPr="00A35CC2" w:rsidRDefault="00F7296D" w:rsidP="00ED39CF">
            <w:r w:rsidRPr="00A35CC2">
              <w:t>Projekta izstrādē iesaistītās institūcijas</w:t>
            </w:r>
            <w:r w:rsidR="00A35CC2" w:rsidRPr="00A35CC2">
              <w:t xml:space="preserve"> </w:t>
            </w:r>
            <w:r w:rsidR="00A35CC2" w:rsidRPr="00A35CC2">
              <w:rPr>
                <w:shd w:val="clear" w:color="auto" w:fill="FFFFFF"/>
              </w:rPr>
              <w:t>un publiskas personas kapitālsabiedrības</w:t>
            </w:r>
          </w:p>
        </w:tc>
        <w:tc>
          <w:tcPr>
            <w:tcW w:w="349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3869EDA5" w14:textId="12E2C5AD" w:rsidR="009D436D" w:rsidRPr="006D40F0" w:rsidRDefault="008B78B4" w:rsidP="008B78B4">
            <w:pPr>
              <w:pStyle w:val="naiskr"/>
              <w:spacing w:before="0" w:after="0"/>
            </w:pPr>
            <w:r>
              <w:t>Latvijas Investīciju un attīstības aģentūra</w:t>
            </w:r>
            <w:r w:rsidR="00857352">
              <w:t>, Ekonomikas ministrija</w:t>
            </w:r>
            <w:r w:rsidR="009D436D">
              <w:t>.</w:t>
            </w:r>
          </w:p>
        </w:tc>
      </w:tr>
      <w:tr w:rsidR="00F7296D" w:rsidRPr="006D40F0" w14:paraId="5B3B684C" w14:textId="77777777" w:rsidTr="6B960A0A">
        <w:trPr>
          <w:trHeight w:val="110"/>
        </w:trPr>
        <w:tc>
          <w:tcPr>
            <w:tcW w:w="227"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DE1252A" w14:textId="77777777" w:rsidR="00F7296D" w:rsidRPr="006D40F0" w:rsidRDefault="00F7296D" w:rsidP="00ED39CF">
            <w:r w:rsidRPr="006D40F0">
              <w:t>4.</w:t>
            </w:r>
          </w:p>
        </w:tc>
        <w:tc>
          <w:tcPr>
            <w:tcW w:w="1282"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215B96EC" w14:textId="77777777" w:rsidR="00F7296D" w:rsidRPr="006D40F0" w:rsidRDefault="00F7296D" w:rsidP="00ED39CF">
            <w:r w:rsidRPr="006D40F0">
              <w:t>Cita informācija</w:t>
            </w:r>
          </w:p>
        </w:tc>
        <w:tc>
          <w:tcPr>
            <w:tcW w:w="3490"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14:paraId="51B9AD55" w14:textId="77777777" w:rsidR="00F7296D" w:rsidRPr="006D40F0" w:rsidRDefault="00F7296D" w:rsidP="00ED39CF">
            <w:pPr>
              <w:jc w:val="both"/>
            </w:pPr>
            <w:r w:rsidRPr="006D40F0">
              <w:t>Nav</w:t>
            </w:r>
          </w:p>
        </w:tc>
      </w:tr>
    </w:tbl>
    <w:p w14:paraId="111D2452" w14:textId="77777777" w:rsidR="00F7296D" w:rsidRDefault="00F7296D" w:rsidP="00F7296D">
      <w:r w:rsidRPr="006D40F0">
        <w:lastRenderedPageBreak/>
        <w:t> </w:t>
      </w:r>
    </w:p>
    <w:p w14:paraId="2607292B" w14:textId="77777777" w:rsidR="00BD64FD" w:rsidRPr="006D40F0" w:rsidRDefault="00BD64FD" w:rsidP="00F7296D"/>
    <w:tbl>
      <w:tblPr>
        <w:tblW w:w="4940" w:type="pct"/>
        <w:tblBorders>
          <w:top w:val="outset" w:sz="6" w:space="0" w:color="000000"/>
          <w:left w:val="outset" w:sz="6" w:space="0" w:color="000000"/>
          <w:bottom w:val="outset" w:sz="6" w:space="0" w:color="000000"/>
          <w:right w:val="outset" w:sz="6" w:space="0" w:color="000000"/>
        </w:tblBorders>
        <w:tblLayout w:type="fixed"/>
        <w:tblCellMar>
          <w:top w:w="113" w:type="dxa"/>
          <w:left w:w="113" w:type="dxa"/>
          <w:bottom w:w="113" w:type="dxa"/>
          <w:right w:w="113" w:type="dxa"/>
        </w:tblCellMar>
        <w:tblLook w:val="04A0" w:firstRow="1" w:lastRow="0" w:firstColumn="1" w:lastColumn="0" w:noHBand="0" w:noVBand="1"/>
      </w:tblPr>
      <w:tblGrid>
        <w:gridCol w:w="436"/>
        <w:gridCol w:w="2305"/>
        <w:gridCol w:w="6205"/>
      </w:tblGrid>
      <w:tr w:rsidR="00F7296D" w:rsidRPr="006D40F0" w14:paraId="089A4264" w14:textId="77777777" w:rsidTr="006D40F0">
        <w:tc>
          <w:tcPr>
            <w:tcW w:w="9185" w:type="dxa"/>
            <w:gridSpan w:val="3"/>
            <w:tcBorders>
              <w:top w:val="single" w:sz="6" w:space="0" w:color="auto"/>
              <w:left w:val="single" w:sz="6" w:space="0" w:color="auto"/>
              <w:bottom w:val="outset" w:sz="6" w:space="0" w:color="000000"/>
              <w:right w:val="single" w:sz="6" w:space="0" w:color="auto"/>
            </w:tcBorders>
            <w:vAlign w:val="center"/>
            <w:hideMark/>
          </w:tcPr>
          <w:p w14:paraId="7BC3261E" w14:textId="77777777" w:rsidR="00F7296D" w:rsidRPr="006D40F0" w:rsidRDefault="00F7296D" w:rsidP="00A35CC2">
            <w:pPr>
              <w:jc w:val="center"/>
              <w:rPr>
                <w:b/>
                <w:bCs/>
              </w:rPr>
            </w:pPr>
            <w:r w:rsidRPr="006D40F0">
              <w:rPr>
                <w:b/>
                <w:bCs/>
              </w:rPr>
              <w:t>II. Tiesību akta projekta ietekme uz sabiedrību</w:t>
            </w:r>
            <w:r w:rsidR="0014294F" w:rsidRPr="006D40F0">
              <w:rPr>
                <w:b/>
                <w:bCs/>
              </w:rPr>
              <w:t>, tautsaimniecības attīstību un administratīvo slogu</w:t>
            </w:r>
          </w:p>
        </w:tc>
      </w:tr>
      <w:tr w:rsidR="00F7296D" w:rsidRPr="006D40F0" w14:paraId="27BA693C" w14:textId="77777777" w:rsidTr="000D3987">
        <w:tc>
          <w:tcPr>
            <w:tcW w:w="442" w:type="dxa"/>
            <w:tcBorders>
              <w:top w:val="outset" w:sz="6" w:space="0" w:color="000000"/>
              <w:left w:val="outset" w:sz="6" w:space="0" w:color="000000"/>
              <w:bottom w:val="outset" w:sz="6" w:space="0" w:color="000000"/>
              <w:right w:val="outset" w:sz="6" w:space="0" w:color="000000"/>
            </w:tcBorders>
            <w:hideMark/>
          </w:tcPr>
          <w:p w14:paraId="20F1A29D" w14:textId="77777777" w:rsidR="00F7296D" w:rsidRPr="006D40F0" w:rsidRDefault="00F7296D" w:rsidP="00ED39CF">
            <w:r w:rsidRPr="006D40F0">
              <w:t>1.</w:t>
            </w:r>
          </w:p>
        </w:tc>
        <w:tc>
          <w:tcPr>
            <w:tcW w:w="2365" w:type="dxa"/>
            <w:tcBorders>
              <w:top w:val="outset" w:sz="6" w:space="0" w:color="000000"/>
              <w:left w:val="outset" w:sz="6" w:space="0" w:color="000000"/>
              <w:bottom w:val="outset" w:sz="6" w:space="0" w:color="000000"/>
              <w:right w:val="outset" w:sz="6" w:space="0" w:color="000000"/>
            </w:tcBorders>
            <w:hideMark/>
          </w:tcPr>
          <w:p w14:paraId="70F821EC" w14:textId="77777777" w:rsidR="00F7296D" w:rsidRPr="006D40F0" w:rsidRDefault="00F7296D" w:rsidP="00ED39CF">
            <w:r w:rsidRPr="006D40F0">
              <w:t xml:space="preserve">Sabiedrības </w:t>
            </w:r>
            <w:proofErr w:type="spellStart"/>
            <w:r w:rsidRPr="006D40F0">
              <w:t>mērķgrupa</w:t>
            </w:r>
            <w:r w:rsidR="00A35CC2">
              <w:t>s</w:t>
            </w:r>
            <w:proofErr w:type="spellEnd"/>
            <w:r w:rsidRPr="006D40F0">
              <w:t>, kuras tiesiskais regulējums ietekmē vai varētu ietekmēt</w:t>
            </w:r>
          </w:p>
        </w:tc>
        <w:tc>
          <w:tcPr>
            <w:tcW w:w="6378" w:type="dxa"/>
            <w:tcBorders>
              <w:top w:val="outset" w:sz="6" w:space="0" w:color="000000"/>
              <w:left w:val="outset" w:sz="6" w:space="0" w:color="000000"/>
              <w:bottom w:val="outset" w:sz="6" w:space="0" w:color="000000"/>
              <w:right w:val="outset" w:sz="6" w:space="0" w:color="000000"/>
            </w:tcBorders>
          </w:tcPr>
          <w:p w14:paraId="147A3B1E" w14:textId="19EE242C" w:rsidR="009D436D" w:rsidRPr="00FD1081" w:rsidRDefault="007E64AA" w:rsidP="009D436D">
            <w:pPr>
              <w:pStyle w:val="naiskr"/>
              <w:numPr>
                <w:ilvl w:val="0"/>
                <w:numId w:val="31"/>
              </w:numPr>
              <w:spacing w:before="0" w:after="120"/>
              <w:ind w:right="57"/>
              <w:jc w:val="both"/>
              <w:rPr>
                <w:iCs/>
              </w:rPr>
            </w:pPr>
            <w:r w:rsidRPr="00FD1081">
              <w:t xml:space="preserve">LI un LIAA Komunikācijas un informācijas departamentā nodarbinātie, ņemot vērā, ka ar LI pievienošanu LIAA, LIAA Komunikācijas un informācijas departaments tiks pārveidots par </w:t>
            </w:r>
            <w:r w:rsidRPr="00FD1081">
              <w:rPr>
                <w:color w:val="000000"/>
                <w:shd w:val="clear" w:color="auto" w:fill="FFFFFF"/>
              </w:rPr>
              <w:t>Valsts tēla un komunikācijas departamentu</w:t>
            </w:r>
            <w:r w:rsidR="009D436D" w:rsidRPr="00FD1081">
              <w:t>.</w:t>
            </w:r>
          </w:p>
          <w:p w14:paraId="033D8F0D" w14:textId="77777777" w:rsidR="003B5454" w:rsidRPr="00CF4D71" w:rsidRDefault="00F84008" w:rsidP="009D436D">
            <w:pPr>
              <w:pStyle w:val="naiskr"/>
              <w:numPr>
                <w:ilvl w:val="0"/>
                <w:numId w:val="31"/>
              </w:numPr>
              <w:spacing w:before="0" w:after="120"/>
              <w:ind w:right="57"/>
              <w:jc w:val="both"/>
              <w:rPr>
                <w:iCs/>
              </w:rPr>
            </w:pPr>
            <w:r>
              <w:t>P</w:t>
            </w:r>
            <w:r w:rsidRPr="00F84008">
              <w:t>otenciālie un esošie uzņēmēji, eksportētāji un investori, augstskolas, zinātniskās institūcijas, pašvaldības</w:t>
            </w:r>
            <w:r>
              <w:t>,</w:t>
            </w:r>
            <w:r w:rsidRPr="00F84008">
              <w:t xml:space="preserve"> LIAA darbinieki, ministriju darbinieki</w:t>
            </w:r>
            <w:r>
              <w:t>.</w:t>
            </w:r>
          </w:p>
          <w:p w14:paraId="7A3A401C" w14:textId="531CDE70" w:rsidR="009127F7" w:rsidRPr="006D40F0" w:rsidRDefault="009127F7" w:rsidP="009D436D">
            <w:pPr>
              <w:pStyle w:val="naiskr"/>
              <w:numPr>
                <w:ilvl w:val="0"/>
                <w:numId w:val="31"/>
              </w:numPr>
              <w:spacing w:before="0" w:after="120"/>
              <w:ind w:right="57"/>
              <w:jc w:val="both"/>
              <w:rPr>
                <w:iCs/>
              </w:rPr>
            </w:pPr>
            <w:r>
              <w:t>P</w:t>
            </w:r>
            <w:r w:rsidRPr="00F84008">
              <w:t>otenciālie un esošie uzņēmēji, eksportētāji un investori, augstskolas, zinātniskās institūcijas, pašvaldības</w:t>
            </w:r>
            <w:r>
              <w:t>,</w:t>
            </w:r>
            <w:r w:rsidRPr="00F84008">
              <w:t xml:space="preserve"> LIAA darbinieki, ministriju darbinieki</w:t>
            </w:r>
            <w:r>
              <w:t>.</w:t>
            </w:r>
          </w:p>
        </w:tc>
      </w:tr>
      <w:tr w:rsidR="00F7296D" w:rsidRPr="006D40F0" w14:paraId="6A35FC42" w14:textId="77777777" w:rsidTr="000D3987">
        <w:trPr>
          <w:trHeight w:val="596"/>
        </w:trPr>
        <w:tc>
          <w:tcPr>
            <w:tcW w:w="442" w:type="dxa"/>
            <w:tcBorders>
              <w:top w:val="outset" w:sz="6" w:space="0" w:color="000000"/>
              <w:left w:val="outset" w:sz="6" w:space="0" w:color="000000"/>
              <w:bottom w:val="outset" w:sz="6" w:space="0" w:color="000000"/>
              <w:right w:val="outset" w:sz="6" w:space="0" w:color="000000"/>
            </w:tcBorders>
            <w:hideMark/>
          </w:tcPr>
          <w:p w14:paraId="3563EE67" w14:textId="77777777" w:rsidR="00F7296D" w:rsidRPr="006D40F0" w:rsidRDefault="00F7296D" w:rsidP="00ED39CF">
            <w:r w:rsidRPr="006D40F0">
              <w:t>2.</w:t>
            </w:r>
          </w:p>
        </w:tc>
        <w:tc>
          <w:tcPr>
            <w:tcW w:w="2365" w:type="dxa"/>
            <w:tcBorders>
              <w:top w:val="outset" w:sz="6" w:space="0" w:color="000000"/>
              <w:left w:val="outset" w:sz="6" w:space="0" w:color="000000"/>
              <w:bottom w:val="outset" w:sz="6" w:space="0" w:color="000000"/>
              <w:right w:val="outset" w:sz="6" w:space="0" w:color="000000"/>
            </w:tcBorders>
            <w:hideMark/>
          </w:tcPr>
          <w:p w14:paraId="55BDA375" w14:textId="77777777" w:rsidR="00F7296D" w:rsidRPr="006D40F0" w:rsidRDefault="00F7296D" w:rsidP="0014294F">
            <w:r w:rsidRPr="006D40F0">
              <w:t>Tiesiskā regulējuma ietekme uz tautsaimniecību un administratīvo slogu</w:t>
            </w:r>
          </w:p>
        </w:tc>
        <w:tc>
          <w:tcPr>
            <w:tcW w:w="6378" w:type="dxa"/>
            <w:tcBorders>
              <w:top w:val="outset" w:sz="6" w:space="0" w:color="000000"/>
              <w:left w:val="outset" w:sz="6" w:space="0" w:color="000000"/>
              <w:bottom w:val="outset" w:sz="6" w:space="0" w:color="000000"/>
              <w:right w:val="outset" w:sz="6" w:space="0" w:color="000000"/>
            </w:tcBorders>
            <w:hideMark/>
          </w:tcPr>
          <w:p w14:paraId="7B025A18" w14:textId="77777777" w:rsidR="00F7296D" w:rsidRDefault="002B5397" w:rsidP="00F56AE5">
            <w:pPr>
              <w:numPr>
                <w:ilvl w:val="0"/>
                <w:numId w:val="38"/>
              </w:numPr>
              <w:ind w:left="457" w:hanging="426"/>
              <w:jc w:val="both"/>
            </w:pPr>
            <w:r>
              <w:t>LI</w:t>
            </w:r>
            <w:r w:rsidR="007E64AA">
              <w:t xml:space="preserve"> pievienošana </w:t>
            </w:r>
            <w:r w:rsidR="007E64AA" w:rsidRPr="00CD3FCA">
              <w:t xml:space="preserve">LIAA </w:t>
            </w:r>
            <w:r w:rsidR="007E64AA">
              <w:t xml:space="preserve">veikta, ievērojot </w:t>
            </w:r>
            <w:r w:rsidR="007E64AA" w:rsidRPr="00CD3FCA">
              <w:t xml:space="preserve"> nepieciešamību panākt efektīvāku valsts budžeta līdzekļu izlietošanu un valsts pārva</w:t>
            </w:r>
            <w:r w:rsidR="007E64AA">
              <w:t>ldes funkcionēšanu valsts tēla veidošanā</w:t>
            </w:r>
            <w:r w:rsidR="007E64AA" w:rsidRPr="00CD3FCA">
              <w:t xml:space="preserve">. </w:t>
            </w:r>
            <w:r w:rsidR="007E64AA">
              <w:t xml:space="preserve">Ārlietu ministrija un Ekonomikas ministrija ir apvienojušas resursus, lai turpinātu </w:t>
            </w:r>
            <w:r>
              <w:t>LI</w:t>
            </w:r>
            <w:r w:rsidR="007E64AA">
              <w:t xml:space="preserve"> funkciju </w:t>
            </w:r>
            <w:r w:rsidR="007E64AA" w:rsidRPr="00CD3FCA">
              <w:t>valsts ārējā tēla jomā</w:t>
            </w:r>
            <w:r w:rsidR="007E64AA">
              <w:t>.</w:t>
            </w:r>
          </w:p>
          <w:p w14:paraId="0DA99E6B" w14:textId="77777777" w:rsidR="00F56AE5" w:rsidRPr="0066755F" w:rsidRDefault="00F84008" w:rsidP="00F56AE5">
            <w:pPr>
              <w:numPr>
                <w:ilvl w:val="0"/>
                <w:numId w:val="38"/>
              </w:numPr>
              <w:ind w:left="457" w:hanging="426"/>
              <w:jc w:val="both"/>
            </w:pPr>
            <w:r>
              <w:rPr>
                <w:color w:val="000000"/>
              </w:rPr>
              <w:t>Sistēma</w:t>
            </w:r>
            <w:r w:rsidR="002D0381">
              <w:rPr>
                <w:color w:val="000000"/>
              </w:rPr>
              <w:t>s ieviešana</w:t>
            </w:r>
            <w:r>
              <w:rPr>
                <w:color w:val="000000"/>
              </w:rPr>
              <w:t xml:space="preserve"> </w:t>
            </w:r>
            <w:r w:rsidRPr="00F84008">
              <w:t>uzlabos uzņēmēju, eksportētāju un investoru informētību par biznesa attīstības, eksporta un investīciju jomas aktualitātēm, kā arī samazinās administratīvo slogu informācijas iegūšanas procesā un saziņā ar LIAA</w:t>
            </w:r>
            <w:r>
              <w:t xml:space="preserve">. </w:t>
            </w:r>
            <w:r w:rsidRPr="00F84008">
              <w:rPr>
                <w:color w:val="000000"/>
              </w:rPr>
              <w:t>Lai mazinātu LIAA darbinieku administratīvo slogu, tiks elektronizēti LIAA sniegtie pakalpojumi</w:t>
            </w:r>
            <w:r>
              <w:rPr>
                <w:color w:val="000000"/>
              </w:rPr>
              <w:t>, kuri būs pieejami Sistēmā.</w:t>
            </w:r>
          </w:p>
          <w:p w14:paraId="6734A8A0" w14:textId="7491BA94" w:rsidR="009127F7" w:rsidRPr="006D40F0" w:rsidRDefault="009127F7" w:rsidP="00F56AE5">
            <w:pPr>
              <w:numPr>
                <w:ilvl w:val="0"/>
                <w:numId w:val="38"/>
              </w:numPr>
              <w:ind w:left="457" w:hanging="426"/>
              <w:jc w:val="both"/>
            </w:pPr>
            <w:r>
              <w:t xml:space="preserve">Tiks veicināts </w:t>
            </w:r>
            <w:proofErr w:type="spellStart"/>
            <w:r>
              <w:t>taustaimniecības</w:t>
            </w:r>
            <w:proofErr w:type="spellEnd"/>
            <w:r>
              <w:t xml:space="preserve"> produktivitātes kāpums, augstas pievienotās vērtības preču un pakalpojumu ieviešana un eksports, iekļaušanās globālajās vērtību ķēdēs. Tā kā tiek paredzētas tematiskas (prioritāro jomu) izmaiņas, LIAA darbinieku administratīvā sloga pieaugums netiek paredzēts.</w:t>
            </w:r>
          </w:p>
        </w:tc>
      </w:tr>
      <w:tr w:rsidR="00F7296D" w:rsidRPr="006D40F0" w14:paraId="4CF7DC63" w14:textId="77777777" w:rsidTr="007B1C5D">
        <w:trPr>
          <w:trHeight w:val="716"/>
        </w:trPr>
        <w:tc>
          <w:tcPr>
            <w:tcW w:w="442" w:type="dxa"/>
            <w:tcBorders>
              <w:top w:val="outset" w:sz="6" w:space="0" w:color="000000"/>
              <w:left w:val="outset" w:sz="6" w:space="0" w:color="000000"/>
              <w:bottom w:val="outset" w:sz="6" w:space="0" w:color="000000"/>
              <w:right w:val="outset" w:sz="6" w:space="0" w:color="000000"/>
            </w:tcBorders>
            <w:hideMark/>
          </w:tcPr>
          <w:p w14:paraId="341B4CAA" w14:textId="77777777" w:rsidR="00F7296D" w:rsidRPr="006D40F0" w:rsidRDefault="00F7296D" w:rsidP="00ED39CF">
            <w:r w:rsidRPr="006D40F0">
              <w:t>3.</w:t>
            </w:r>
          </w:p>
        </w:tc>
        <w:tc>
          <w:tcPr>
            <w:tcW w:w="2365" w:type="dxa"/>
            <w:tcBorders>
              <w:top w:val="outset" w:sz="6" w:space="0" w:color="000000"/>
              <w:left w:val="outset" w:sz="6" w:space="0" w:color="000000"/>
              <w:bottom w:val="outset" w:sz="6" w:space="0" w:color="000000"/>
              <w:right w:val="outset" w:sz="6" w:space="0" w:color="000000"/>
            </w:tcBorders>
            <w:hideMark/>
          </w:tcPr>
          <w:p w14:paraId="1658E3B0" w14:textId="77777777" w:rsidR="00F7296D" w:rsidRPr="006D40F0" w:rsidRDefault="00F7296D" w:rsidP="00ED39CF">
            <w:r w:rsidRPr="006D40F0">
              <w:t>Administratīvo izmaksu monetārs novērtējums</w:t>
            </w:r>
          </w:p>
        </w:tc>
        <w:tc>
          <w:tcPr>
            <w:tcW w:w="6378" w:type="dxa"/>
            <w:tcBorders>
              <w:top w:val="outset" w:sz="6" w:space="0" w:color="000000"/>
              <w:left w:val="outset" w:sz="6" w:space="0" w:color="000000"/>
              <w:bottom w:val="outset" w:sz="6" w:space="0" w:color="000000"/>
              <w:right w:val="outset" w:sz="6" w:space="0" w:color="000000"/>
            </w:tcBorders>
          </w:tcPr>
          <w:p w14:paraId="6B2386D0" w14:textId="004B3178" w:rsidR="00F7296D" w:rsidRPr="006D40F0" w:rsidRDefault="0024739D" w:rsidP="0024739D">
            <w:pPr>
              <w:jc w:val="both"/>
            </w:pPr>
            <w:r>
              <w:t xml:space="preserve">Līdz ar noteikumu projektā minēto </w:t>
            </w:r>
            <w:r w:rsidRPr="0024739D">
              <w:t xml:space="preserve">informācijas sistēmas “Valsts platforma biznesa attīstībai” www.business.gov.lv darbības uzsākšanu un 70 LIAA sniegto pakalpojumu digitalizāciju, </w:t>
            </w:r>
            <w:r>
              <w:t>tiks</w:t>
            </w:r>
            <w:r w:rsidRPr="0024739D">
              <w:t xml:space="preserve"> samazinā</w:t>
            </w:r>
            <w:r>
              <w:t>ts</w:t>
            </w:r>
            <w:r w:rsidRPr="0024739D">
              <w:t xml:space="preserve"> </w:t>
            </w:r>
            <w:r>
              <w:t xml:space="preserve">gan </w:t>
            </w:r>
            <w:r w:rsidRPr="0024739D">
              <w:t>komersantu administratīv</w:t>
            </w:r>
            <w:r>
              <w:t>ais</w:t>
            </w:r>
            <w:r w:rsidRPr="0024739D">
              <w:t xml:space="preserve"> slog</w:t>
            </w:r>
            <w:r>
              <w:t>s</w:t>
            </w:r>
            <w:r w:rsidRPr="0024739D">
              <w:t xml:space="preserve"> informācijas iegūšanas procesā un saziņā ar LIAA, </w:t>
            </w:r>
            <w:r>
              <w:t>gan LIAA administratīvais slogs</w:t>
            </w:r>
            <w:r w:rsidRPr="0024739D">
              <w:t>, nodrošinot šo pakalpojumu apstrādi un sniegšanu</w:t>
            </w:r>
            <w:r>
              <w:t>. N</w:t>
            </w:r>
            <w:r w:rsidRPr="0024739D">
              <w:t>oteikumu projektam ir pozitīva ietekme uz administratīvo izmaksu samazinājumu</w:t>
            </w:r>
            <w:r>
              <w:t xml:space="preserve">: tiks ietaupīti </w:t>
            </w:r>
            <w:r w:rsidRPr="0024739D">
              <w:t xml:space="preserve">izdevumi papīra iegādei, drukai, pasta pakalpojumiem, tāpat arī </w:t>
            </w:r>
            <w:r>
              <w:t xml:space="preserve">transporta izmaksas un </w:t>
            </w:r>
            <w:r w:rsidRPr="0024739D">
              <w:t xml:space="preserve">laika </w:t>
            </w:r>
            <w:r>
              <w:t>resursi</w:t>
            </w:r>
            <w:r w:rsidRPr="0024739D">
              <w:t xml:space="preserve">, jo </w:t>
            </w:r>
            <w:r>
              <w:t xml:space="preserve">minētā </w:t>
            </w:r>
            <w:r w:rsidRPr="0024739D">
              <w:t>sistēma atvieglo</w:t>
            </w:r>
            <w:r>
              <w:t>s</w:t>
            </w:r>
            <w:r w:rsidRPr="0024739D">
              <w:t xml:space="preserve"> datu ievadi elektronisko pakalpojumu saņemšanai</w:t>
            </w:r>
            <w:r>
              <w:t>.</w:t>
            </w:r>
            <w:r w:rsidRPr="0024739D">
              <w:t xml:space="preserve"> </w:t>
            </w:r>
            <w:r>
              <w:t>Ņemot</w:t>
            </w:r>
            <w:r w:rsidRPr="0024739D">
              <w:t xml:space="preserve"> vērā pakalpojumu apjomu</w:t>
            </w:r>
            <w:r>
              <w:t>, ietaupījuma atšķirības starp dažādiem komersantiem</w:t>
            </w:r>
            <w:r w:rsidRPr="0024739D">
              <w:t xml:space="preserve"> un </w:t>
            </w:r>
            <w:r w:rsidRPr="0024739D">
              <w:lastRenderedPageBreak/>
              <w:t xml:space="preserve">aprēķina veikšanas sarežģītību, </w:t>
            </w:r>
            <w:r>
              <w:t xml:space="preserve">detalizēts administratīvo izmaksu aprēķins </w:t>
            </w:r>
            <w:r w:rsidRPr="0024739D">
              <w:t xml:space="preserve">monetārā izteiksmē </w:t>
            </w:r>
            <w:r>
              <w:t>nav pieejams.</w:t>
            </w:r>
          </w:p>
        </w:tc>
      </w:tr>
      <w:tr w:rsidR="00244837" w:rsidRPr="006D40F0" w14:paraId="18610609" w14:textId="77777777" w:rsidTr="000D3987">
        <w:trPr>
          <w:trHeight w:val="716"/>
        </w:trPr>
        <w:tc>
          <w:tcPr>
            <w:tcW w:w="442" w:type="dxa"/>
            <w:tcBorders>
              <w:top w:val="outset" w:sz="6" w:space="0" w:color="000000"/>
              <w:left w:val="outset" w:sz="6" w:space="0" w:color="000000"/>
              <w:bottom w:val="outset" w:sz="6" w:space="0" w:color="000000"/>
              <w:right w:val="outset" w:sz="6" w:space="0" w:color="000000"/>
            </w:tcBorders>
          </w:tcPr>
          <w:p w14:paraId="5BCEA17F" w14:textId="77777777" w:rsidR="00244837" w:rsidRPr="006D40F0" w:rsidRDefault="00244837" w:rsidP="00ED39CF">
            <w:r>
              <w:lastRenderedPageBreak/>
              <w:t>4.</w:t>
            </w:r>
          </w:p>
        </w:tc>
        <w:tc>
          <w:tcPr>
            <w:tcW w:w="2365" w:type="dxa"/>
            <w:tcBorders>
              <w:top w:val="outset" w:sz="6" w:space="0" w:color="000000"/>
              <w:left w:val="outset" w:sz="6" w:space="0" w:color="000000"/>
              <w:bottom w:val="outset" w:sz="6" w:space="0" w:color="000000"/>
              <w:right w:val="outset" w:sz="6" w:space="0" w:color="000000"/>
            </w:tcBorders>
          </w:tcPr>
          <w:p w14:paraId="211675AE" w14:textId="77777777" w:rsidR="00244837" w:rsidRPr="00244837" w:rsidRDefault="00244837" w:rsidP="00ED39CF">
            <w:r w:rsidRPr="00244837">
              <w:t>Atbilstības izmaksu monetārs novērtējums</w:t>
            </w:r>
          </w:p>
        </w:tc>
        <w:tc>
          <w:tcPr>
            <w:tcW w:w="6378" w:type="dxa"/>
            <w:tcBorders>
              <w:top w:val="outset" w:sz="6" w:space="0" w:color="000000"/>
              <w:left w:val="outset" w:sz="6" w:space="0" w:color="000000"/>
              <w:bottom w:val="outset" w:sz="6" w:space="0" w:color="000000"/>
              <w:right w:val="outset" w:sz="6" w:space="0" w:color="000000"/>
            </w:tcBorders>
          </w:tcPr>
          <w:p w14:paraId="75AD674E" w14:textId="77777777" w:rsidR="00244837" w:rsidRPr="00BB2FEE" w:rsidRDefault="0033367B" w:rsidP="007514A9">
            <w:r>
              <w:t>Projekts šo jomu neskar.</w:t>
            </w:r>
          </w:p>
        </w:tc>
      </w:tr>
      <w:tr w:rsidR="00F7296D" w:rsidRPr="006D40F0" w14:paraId="519EDD76" w14:textId="77777777" w:rsidTr="000D3987">
        <w:trPr>
          <w:trHeight w:val="277"/>
        </w:trPr>
        <w:tc>
          <w:tcPr>
            <w:tcW w:w="442" w:type="dxa"/>
            <w:tcBorders>
              <w:top w:val="outset" w:sz="6" w:space="0" w:color="000000"/>
              <w:left w:val="outset" w:sz="6" w:space="0" w:color="000000"/>
              <w:bottom w:val="outset" w:sz="6" w:space="0" w:color="000000"/>
              <w:right w:val="outset" w:sz="6" w:space="0" w:color="000000"/>
            </w:tcBorders>
            <w:hideMark/>
          </w:tcPr>
          <w:p w14:paraId="5D3153EB" w14:textId="77777777" w:rsidR="00F7296D" w:rsidRPr="006D40F0" w:rsidRDefault="00244837" w:rsidP="00ED39CF">
            <w:r>
              <w:t>5</w:t>
            </w:r>
            <w:r w:rsidR="00F7296D" w:rsidRPr="006D40F0">
              <w:t>.</w:t>
            </w:r>
          </w:p>
        </w:tc>
        <w:tc>
          <w:tcPr>
            <w:tcW w:w="2365" w:type="dxa"/>
            <w:tcBorders>
              <w:top w:val="outset" w:sz="6" w:space="0" w:color="000000"/>
              <w:left w:val="outset" w:sz="6" w:space="0" w:color="000000"/>
              <w:bottom w:val="outset" w:sz="6" w:space="0" w:color="000000"/>
              <w:right w:val="outset" w:sz="6" w:space="0" w:color="000000"/>
            </w:tcBorders>
            <w:hideMark/>
          </w:tcPr>
          <w:p w14:paraId="486D579B" w14:textId="77777777" w:rsidR="00F7296D" w:rsidRPr="006D40F0" w:rsidRDefault="00F7296D" w:rsidP="00ED39CF">
            <w:r w:rsidRPr="006D40F0">
              <w:t>Cita informācija</w:t>
            </w:r>
          </w:p>
        </w:tc>
        <w:tc>
          <w:tcPr>
            <w:tcW w:w="6378" w:type="dxa"/>
            <w:tcBorders>
              <w:top w:val="outset" w:sz="6" w:space="0" w:color="000000"/>
              <w:left w:val="outset" w:sz="6" w:space="0" w:color="000000"/>
              <w:bottom w:val="outset" w:sz="6" w:space="0" w:color="000000"/>
              <w:right w:val="outset" w:sz="6" w:space="0" w:color="000000"/>
            </w:tcBorders>
            <w:hideMark/>
          </w:tcPr>
          <w:p w14:paraId="25C6AB1A" w14:textId="77777777" w:rsidR="00F7296D" w:rsidRPr="006D40F0" w:rsidRDefault="00F7296D" w:rsidP="00ED39CF">
            <w:r w:rsidRPr="006D40F0">
              <w:rPr>
                <w:bCs/>
              </w:rPr>
              <w:t>Nav</w:t>
            </w:r>
          </w:p>
        </w:tc>
      </w:tr>
    </w:tbl>
    <w:p w14:paraId="56A2C99D" w14:textId="77777777" w:rsidR="00665DA9" w:rsidRDefault="00665DA9"/>
    <w:p w14:paraId="3E1D6C65" w14:textId="77777777" w:rsidR="000D3987" w:rsidRDefault="000D3987"/>
    <w:p w14:paraId="09D428CD" w14:textId="77777777" w:rsidR="00244837" w:rsidRDefault="00244837" w:rsidP="00244837">
      <w:pPr>
        <w:suppressAutoHyphens/>
        <w:autoSpaceDN w:val="0"/>
        <w:jc w:val="center"/>
        <w:textAlignment w:val="baseline"/>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598"/>
        <w:gridCol w:w="930"/>
        <w:gridCol w:w="1024"/>
        <w:gridCol w:w="837"/>
        <w:gridCol w:w="1024"/>
        <w:gridCol w:w="837"/>
        <w:gridCol w:w="1024"/>
        <w:gridCol w:w="1798"/>
      </w:tblGrid>
      <w:tr w:rsidR="00244837" w:rsidRPr="00BB2FEE" w14:paraId="1AE67A9E" w14:textId="77777777" w:rsidTr="00A81391">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2B2DE63D" w14:textId="77777777" w:rsidR="00244837" w:rsidRPr="00BB2FEE" w:rsidRDefault="00244837" w:rsidP="00A35CC2">
            <w:pPr>
              <w:shd w:val="clear" w:color="auto" w:fill="FFFFFF"/>
              <w:jc w:val="center"/>
              <w:rPr>
                <w:b/>
                <w:bCs/>
              </w:rPr>
            </w:pPr>
            <w:r w:rsidRPr="00BB2FEE">
              <w:rPr>
                <w:b/>
                <w:bCs/>
              </w:rPr>
              <w:t>III. Tiesību akta projekta ietekme uz valsts budžetu un pašvaldību budžetiem</w:t>
            </w:r>
          </w:p>
        </w:tc>
      </w:tr>
      <w:tr w:rsidR="00244837" w:rsidRPr="00BB2FEE" w14:paraId="571D6D17" w14:textId="77777777" w:rsidTr="0033367B">
        <w:trPr>
          <w:tblCellSpacing w:w="15" w:type="dxa"/>
        </w:trPr>
        <w:tc>
          <w:tcPr>
            <w:tcW w:w="844" w:type="pct"/>
            <w:vMerge w:val="restart"/>
            <w:tcBorders>
              <w:top w:val="single" w:sz="4" w:space="0" w:color="auto"/>
              <w:left w:val="single" w:sz="4" w:space="0" w:color="auto"/>
              <w:bottom w:val="single" w:sz="4" w:space="0" w:color="auto"/>
              <w:right w:val="single" w:sz="4" w:space="0" w:color="auto"/>
            </w:tcBorders>
            <w:vAlign w:val="center"/>
            <w:hideMark/>
          </w:tcPr>
          <w:p w14:paraId="16FACBAE" w14:textId="77777777" w:rsidR="00244837" w:rsidRPr="00BB2FEE" w:rsidRDefault="00244837" w:rsidP="00A81391">
            <w:pPr>
              <w:shd w:val="clear" w:color="auto" w:fill="FFFFFF"/>
            </w:pPr>
            <w:r w:rsidRPr="00BB2FEE">
              <w:t>Rādītāji</w:t>
            </w:r>
          </w:p>
        </w:tc>
        <w:tc>
          <w:tcPr>
            <w:tcW w:w="104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E64823E" w14:textId="77777777" w:rsidR="00244837" w:rsidRPr="00BB2FEE" w:rsidRDefault="00244837" w:rsidP="00A81391">
            <w:pPr>
              <w:shd w:val="clear" w:color="auto" w:fill="FFFFFF"/>
              <w:jc w:val="center"/>
            </w:pPr>
            <w:r w:rsidRPr="00BB2FEE">
              <w:t>20</w:t>
            </w:r>
            <w:r>
              <w:t>2</w:t>
            </w:r>
            <w:r w:rsidR="00626FE2">
              <w:t>1</w:t>
            </w:r>
            <w:r w:rsidRPr="00BB2FEE">
              <w:t>.</w:t>
            </w:r>
          </w:p>
        </w:tc>
        <w:tc>
          <w:tcPr>
            <w:tcW w:w="3046" w:type="pct"/>
            <w:gridSpan w:val="5"/>
            <w:tcBorders>
              <w:top w:val="single" w:sz="4" w:space="0" w:color="auto"/>
              <w:left w:val="single" w:sz="4" w:space="0" w:color="auto"/>
              <w:bottom w:val="single" w:sz="4" w:space="0" w:color="auto"/>
              <w:right w:val="single" w:sz="4" w:space="0" w:color="auto"/>
            </w:tcBorders>
            <w:vAlign w:val="center"/>
            <w:hideMark/>
          </w:tcPr>
          <w:p w14:paraId="60E5488F" w14:textId="77777777" w:rsidR="00244837" w:rsidRPr="00BB2FEE" w:rsidRDefault="00244837" w:rsidP="00A81391">
            <w:pPr>
              <w:shd w:val="clear" w:color="auto" w:fill="FFFFFF"/>
            </w:pPr>
            <w:r w:rsidRPr="00BB2FEE">
              <w:t>Turpmākie trīs gadi (</w:t>
            </w:r>
            <w:r w:rsidRPr="00BB2FEE">
              <w:rPr>
                <w:i/>
                <w:iCs/>
              </w:rPr>
              <w:t>euro</w:t>
            </w:r>
            <w:r w:rsidRPr="00BB2FEE">
              <w:t>)</w:t>
            </w:r>
          </w:p>
        </w:tc>
      </w:tr>
      <w:tr w:rsidR="00244837" w:rsidRPr="00BB2FEE" w14:paraId="558E0D8F" w14:textId="77777777" w:rsidTr="0033367B">
        <w:trPr>
          <w:tblCellSpacing w:w="15" w:type="dxa"/>
        </w:trPr>
        <w:tc>
          <w:tcPr>
            <w:tcW w:w="844" w:type="pct"/>
            <w:vMerge/>
            <w:tcBorders>
              <w:top w:val="single" w:sz="4" w:space="0" w:color="auto"/>
              <w:left w:val="single" w:sz="4" w:space="0" w:color="auto"/>
              <w:bottom w:val="single" w:sz="4" w:space="0" w:color="auto"/>
              <w:right w:val="single" w:sz="4" w:space="0" w:color="auto"/>
            </w:tcBorders>
            <w:vAlign w:val="center"/>
            <w:hideMark/>
          </w:tcPr>
          <w:p w14:paraId="1EEEEEB6" w14:textId="77777777" w:rsidR="00244837" w:rsidRPr="00BB2FEE" w:rsidRDefault="00244837" w:rsidP="00A81391">
            <w:pPr>
              <w:shd w:val="clear" w:color="auto" w:fill="FFFFFF"/>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489069" w14:textId="77777777" w:rsidR="00244837" w:rsidRPr="00BB2FEE" w:rsidRDefault="00244837" w:rsidP="00A81391">
            <w:pPr>
              <w:shd w:val="clear" w:color="auto" w:fill="FFFFFF"/>
            </w:pP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14:paraId="2DD8F33F" w14:textId="77777777" w:rsidR="00244837" w:rsidRPr="00BB2FEE" w:rsidRDefault="00244837" w:rsidP="00A81391">
            <w:pPr>
              <w:shd w:val="clear" w:color="auto" w:fill="FFFFFF"/>
              <w:jc w:val="center"/>
            </w:pPr>
            <w:r w:rsidRPr="00BB2FEE">
              <w:t>202</w:t>
            </w:r>
            <w:r w:rsidR="00626FE2">
              <w:t>2</w:t>
            </w:r>
            <w:r w:rsidRPr="00BB2FEE">
              <w:t>.</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14:paraId="76F88F53" w14:textId="77777777" w:rsidR="00244837" w:rsidRPr="00BB2FEE" w:rsidRDefault="00244837" w:rsidP="00A81391">
            <w:pPr>
              <w:shd w:val="clear" w:color="auto" w:fill="FFFFFF"/>
              <w:jc w:val="center"/>
            </w:pPr>
            <w:r w:rsidRPr="00BB2FEE">
              <w:t>202</w:t>
            </w:r>
            <w:r w:rsidR="00626FE2">
              <w:t>3</w:t>
            </w:r>
            <w:r w:rsidRPr="00BB2FEE">
              <w:t>.</w:t>
            </w:r>
          </w:p>
        </w:tc>
        <w:tc>
          <w:tcPr>
            <w:tcW w:w="1023" w:type="pct"/>
            <w:tcBorders>
              <w:top w:val="single" w:sz="4" w:space="0" w:color="auto"/>
              <w:left w:val="single" w:sz="4" w:space="0" w:color="auto"/>
              <w:bottom w:val="single" w:sz="4" w:space="0" w:color="auto"/>
              <w:right w:val="single" w:sz="4" w:space="0" w:color="auto"/>
            </w:tcBorders>
            <w:vAlign w:val="center"/>
            <w:hideMark/>
          </w:tcPr>
          <w:p w14:paraId="389F6262" w14:textId="77777777" w:rsidR="00244837" w:rsidRPr="00BB2FEE" w:rsidRDefault="00244837" w:rsidP="00A81391">
            <w:pPr>
              <w:shd w:val="clear" w:color="auto" w:fill="FFFFFF"/>
              <w:jc w:val="center"/>
            </w:pPr>
            <w:r w:rsidRPr="00BB2FEE">
              <w:t>202</w:t>
            </w:r>
            <w:r w:rsidR="00626FE2">
              <w:t>4</w:t>
            </w:r>
            <w:r w:rsidRPr="00BB2FEE">
              <w:t>.</w:t>
            </w:r>
          </w:p>
        </w:tc>
      </w:tr>
      <w:tr w:rsidR="0033367B" w:rsidRPr="00BB2FEE" w14:paraId="3676801C" w14:textId="77777777" w:rsidTr="0033367B">
        <w:trPr>
          <w:tblCellSpacing w:w="15" w:type="dxa"/>
        </w:trPr>
        <w:tc>
          <w:tcPr>
            <w:tcW w:w="844" w:type="pct"/>
            <w:vMerge/>
            <w:tcBorders>
              <w:top w:val="single" w:sz="4" w:space="0" w:color="auto"/>
              <w:left w:val="single" w:sz="4" w:space="0" w:color="auto"/>
              <w:bottom w:val="single" w:sz="4" w:space="0" w:color="auto"/>
              <w:right w:val="single" w:sz="4" w:space="0" w:color="auto"/>
            </w:tcBorders>
            <w:vAlign w:val="center"/>
            <w:hideMark/>
          </w:tcPr>
          <w:p w14:paraId="45AB1D7C" w14:textId="77777777" w:rsidR="00244837" w:rsidRPr="00BB2FEE" w:rsidRDefault="00244837" w:rsidP="00A81391">
            <w:pPr>
              <w:shd w:val="clear" w:color="auto" w:fill="FFFFFF"/>
            </w:pPr>
          </w:p>
        </w:tc>
        <w:tc>
          <w:tcPr>
            <w:tcW w:w="489" w:type="pct"/>
            <w:tcBorders>
              <w:top w:val="single" w:sz="4" w:space="0" w:color="auto"/>
              <w:left w:val="single" w:sz="4" w:space="0" w:color="auto"/>
              <w:bottom w:val="single" w:sz="4" w:space="0" w:color="auto"/>
              <w:right w:val="single" w:sz="4" w:space="0" w:color="auto"/>
            </w:tcBorders>
            <w:vAlign w:val="center"/>
            <w:hideMark/>
          </w:tcPr>
          <w:p w14:paraId="50970586" w14:textId="77777777" w:rsidR="00244837" w:rsidRPr="00BB2FEE" w:rsidRDefault="00244837" w:rsidP="00A81391">
            <w:pPr>
              <w:shd w:val="clear" w:color="auto" w:fill="FFFFFF"/>
            </w:pPr>
            <w:r w:rsidRPr="00BB2FEE">
              <w:t>saskaņā ar valsts budžetu kārtējam gadam</w:t>
            </w:r>
          </w:p>
        </w:tc>
        <w:tc>
          <w:tcPr>
            <w:tcW w:w="540" w:type="pct"/>
            <w:tcBorders>
              <w:top w:val="single" w:sz="4" w:space="0" w:color="auto"/>
              <w:left w:val="single" w:sz="4" w:space="0" w:color="auto"/>
              <w:bottom w:val="single" w:sz="4" w:space="0" w:color="auto"/>
              <w:right w:val="single" w:sz="4" w:space="0" w:color="auto"/>
            </w:tcBorders>
            <w:vAlign w:val="center"/>
            <w:hideMark/>
          </w:tcPr>
          <w:p w14:paraId="4CBBB999" w14:textId="77777777" w:rsidR="00244837" w:rsidRPr="00BB2FEE" w:rsidRDefault="00244837" w:rsidP="00A81391">
            <w:pPr>
              <w:shd w:val="clear" w:color="auto" w:fill="FFFFFF"/>
            </w:pPr>
            <w:r w:rsidRPr="00BB2FEE">
              <w:t>izmaiņas kārtējā gadā, salīdzinot ar valsts budžetu kārtējam gadam</w:t>
            </w:r>
          </w:p>
        </w:tc>
        <w:tc>
          <w:tcPr>
            <w:tcW w:w="438" w:type="pct"/>
            <w:tcBorders>
              <w:top w:val="single" w:sz="4" w:space="0" w:color="auto"/>
              <w:left w:val="single" w:sz="4" w:space="0" w:color="auto"/>
              <w:bottom w:val="single" w:sz="4" w:space="0" w:color="auto"/>
              <w:right w:val="single" w:sz="4" w:space="0" w:color="auto"/>
            </w:tcBorders>
            <w:vAlign w:val="center"/>
            <w:hideMark/>
          </w:tcPr>
          <w:p w14:paraId="58CC0D34" w14:textId="77777777" w:rsidR="00244837" w:rsidRPr="00BB2FEE" w:rsidRDefault="00244837" w:rsidP="00A81391">
            <w:pPr>
              <w:shd w:val="clear" w:color="auto" w:fill="FFFFFF"/>
            </w:pPr>
            <w:r w:rsidRPr="00BB2FEE">
              <w:t>saskaņā ar vidēja termiņa budžeta ietvaru</w:t>
            </w:r>
          </w:p>
        </w:tc>
        <w:tc>
          <w:tcPr>
            <w:tcW w:w="540" w:type="pct"/>
            <w:tcBorders>
              <w:top w:val="single" w:sz="4" w:space="0" w:color="auto"/>
              <w:left w:val="single" w:sz="4" w:space="0" w:color="auto"/>
              <w:bottom w:val="single" w:sz="4" w:space="0" w:color="auto"/>
              <w:right w:val="single" w:sz="4" w:space="0" w:color="auto"/>
            </w:tcBorders>
            <w:vAlign w:val="center"/>
            <w:hideMark/>
          </w:tcPr>
          <w:p w14:paraId="27236FF0" w14:textId="77777777" w:rsidR="00244837" w:rsidRPr="00BB2FEE" w:rsidRDefault="00244837" w:rsidP="00A81391">
            <w:pPr>
              <w:shd w:val="clear" w:color="auto" w:fill="FFFFFF"/>
            </w:pPr>
            <w:r w:rsidRPr="00BB2FEE">
              <w:t>izmaiņas, salīdzinot ar vidēja termiņa budžeta ietvaru 202</w:t>
            </w:r>
            <w:r w:rsidR="00A35CC2">
              <w:t>2</w:t>
            </w:r>
            <w:r w:rsidRPr="00BB2FEE">
              <w:t>. gadam</w:t>
            </w:r>
          </w:p>
        </w:tc>
        <w:tc>
          <w:tcPr>
            <w:tcW w:w="438" w:type="pct"/>
            <w:tcBorders>
              <w:top w:val="single" w:sz="4" w:space="0" w:color="auto"/>
              <w:left w:val="single" w:sz="4" w:space="0" w:color="auto"/>
              <w:bottom w:val="single" w:sz="4" w:space="0" w:color="auto"/>
              <w:right w:val="single" w:sz="4" w:space="0" w:color="auto"/>
            </w:tcBorders>
            <w:vAlign w:val="center"/>
            <w:hideMark/>
          </w:tcPr>
          <w:p w14:paraId="158A212F" w14:textId="77777777" w:rsidR="00244837" w:rsidRPr="00BB2FEE" w:rsidRDefault="00244837" w:rsidP="00A81391">
            <w:pPr>
              <w:shd w:val="clear" w:color="auto" w:fill="FFFFFF"/>
            </w:pPr>
            <w:r w:rsidRPr="00BB2FEE">
              <w:t>saskaņā ar vidēja termiņa budžeta ietvaru</w:t>
            </w:r>
          </w:p>
        </w:tc>
        <w:tc>
          <w:tcPr>
            <w:tcW w:w="540" w:type="pct"/>
            <w:tcBorders>
              <w:top w:val="single" w:sz="4" w:space="0" w:color="auto"/>
              <w:left w:val="single" w:sz="4" w:space="0" w:color="auto"/>
              <w:bottom w:val="single" w:sz="4" w:space="0" w:color="auto"/>
              <w:right w:val="single" w:sz="4" w:space="0" w:color="auto"/>
            </w:tcBorders>
            <w:vAlign w:val="center"/>
            <w:hideMark/>
          </w:tcPr>
          <w:p w14:paraId="6F27B720" w14:textId="77777777" w:rsidR="00244837" w:rsidRPr="00BB2FEE" w:rsidRDefault="00244837" w:rsidP="00A81391">
            <w:pPr>
              <w:shd w:val="clear" w:color="auto" w:fill="FFFFFF"/>
            </w:pPr>
            <w:r w:rsidRPr="00BB2FEE">
              <w:t>izmaiņas, salīdzinot ar vidēja termiņa budžeta ietvaru 202</w:t>
            </w:r>
            <w:r w:rsidR="00A35CC2">
              <w:t>3</w:t>
            </w:r>
            <w:r w:rsidRPr="00BB2FEE">
              <w:t>. gadam</w:t>
            </w:r>
          </w:p>
        </w:tc>
        <w:tc>
          <w:tcPr>
            <w:tcW w:w="1023" w:type="pct"/>
            <w:tcBorders>
              <w:top w:val="single" w:sz="4" w:space="0" w:color="auto"/>
              <w:left w:val="single" w:sz="4" w:space="0" w:color="auto"/>
              <w:bottom w:val="single" w:sz="4" w:space="0" w:color="auto"/>
              <w:right w:val="single" w:sz="4" w:space="0" w:color="auto"/>
            </w:tcBorders>
            <w:vAlign w:val="center"/>
            <w:hideMark/>
          </w:tcPr>
          <w:p w14:paraId="61A94986" w14:textId="77777777" w:rsidR="00244837" w:rsidRPr="00BB2FEE" w:rsidRDefault="00244837" w:rsidP="00A81391">
            <w:pPr>
              <w:shd w:val="clear" w:color="auto" w:fill="FFFFFF"/>
            </w:pPr>
            <w:r w:rsidRPr="00BB2FEE">
              <w:t>izmaiņas, salīdzinot ar vidēja termiņa budžeta ietvaru 202</w:t>
            </w:r>
            <w:r w:rsidR="00A35CC2">
              <w:t>4</w:t>
            </w:r>
            <w:r w:rsidRPr="00BB2FEE">
              <w:t>. gadam</w:t>
            </w:r>
          </w:p>
        </w:tc>
      </w:tr>
      <w:tr w:rsidR="0033367B" w:rsidRPr="00BB2FEE" w14:paraId="570EB2D2"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vAlign w:val="center"/>
            <w:hideMark/>
          </w:tcPr>
          <w:p w14:paraId="7B1D7142" w14:textId="77777777" w:rsidR="00244837" w:rsidRPr="00BB2FEE" w:rsidRDefault="00244837" w:rsidP="00A81391">
            <w:pPr>
              <w:shd w:val="clear" w:color="auto" w:fill="FFFFFF"/>
            </w:pPr>
            <w:r w:rsidRPr="00BB2FEE">
              <w:t>1</w:t>
            </w:r>
          </w:p>
        </w:tc>
        <w:tc>
          <w:tcPr>
            <w:tcW w:w="489" w:type="pct"/>
            <w:tcBorders>
              <w:top w:val="single" w:sz="4" w:space="0" w:color="auto"/>
              <w:left w:val="single" w:sz="4" w:space="0" w:color="auto"/>
              <w:bottom w:val="single" w:sz="4" w:space="0" w:color="auto"/>
              <w:right w:val="single" w:sz="4" w:space="0" w:color="auto"/>
            </w:tcBorders>
            <w:vAlign w:val="center"/>
            <w:hideMark/>
          </w:tcPr>
          <w:p w14:paraId="338EEEEF" w14:textId="77777777" w:rsidR="00244837" w:rsidRPr="00BB2FEE" w:rsidRDefault="00244837" w:rsidP="00A81391">
            <w:pPr>
              <w:shd w:val="clear" w:color="auto" w:fill="FFFFFF"/>
            </w:pPr>
            <w:r w:rsidRPr="00BB2FEE">
              <w:t>2</w:t>
            </w:r>
          </w:p>
        </w:tc>
        <w:tc>
          <w:tcPr>
            <w:tcW w:w="540" w:type="pct"/>
            <w:tcBorders>
              <w:top w:val="single" w:sz="4" w:space="0" w:color="auto"/>
              <w:left w:val="single" w:sz="4" w:space="0" w:color="auto"/>
              <w:bottom w:val="single" w:sz="4" w:space="0" w:color="auto"/>
              <w:right w:val="single" w:sz="4" w:space="0" w:color="auto"/>
            </w:tcBorders>
            <w:vAlign w:val="center"/>
            <w:hideMark/>
          </w:tcPr>
          <w:p w14:paraId="0D710757" w14:textId="77777777" w:rsidR="00244837" w:rsidRPr="00BB2FEE" w:rsidRDefault="00244837" w:rsidP="00A81391">
            <w:pPr>
              <w:shd w:val="clear" w:color="auto" w:fill="FFFFFF"/>
            </w:pPr>
            <w:r w:rsidRPr="00BB2FEE">
              <w:t>3</w:t>
            </w:r>
          </w:p>
        </w:tc>
        <w:tc>
          <w:tcPr>
            <w:tcW w:w="438" w:type="pct"/>
            <w:tcBorders>
              <w:top w:val="single" w:sz="4" w:space="0" w:color="auto"/>
              <w:left w:val="single" w:sz="4" w:space="0" w:color="auto"/>
              <w:bottom w:val="single" w:sz="4" w:space="0" w:color="auto"/>
              <w:right w:val="single" w:sz="4" w:space="0" w:color="auto"/>
            </w:tcBorders>
            <w:vAlign w:val="center"/>
            <w:hideMark/>
          </w:tcPr>
          <w:p w14:paraId="44335724" w14:textId="77777777" w:rsidR="00244837" w:rsidRPr="00BB2FEE" w:rsidRDefault="00244837" w:rsidP="00A81391">
            <w:pPr>
              <w:shd w:val="clear" w:color="auto" w:fill="FFFFFF"/>
            </w:pPr>
            <w:r w:rsidRPr="00BB2FEE">
              <w:t>4</w:t>
            </w:r>
          </w:p>
        </w:tc>
        <w:tc>
          <w:tcPr>
            <w:tcW w:w="540" w:type="pct"/>
            <w:tcBorders>
              <w:top w:val="single" w:sz="4" w:space="0" w:color="auto"/>
              <w:left w:val="single" w:sz="4" w:space="0" w:color="auto"/>
              <w:bottom w:val="single" w:sz="4" w:space="0" w:color="auto"/>
              <w:right w:val="single" w:sz="4" w:space="0" w:color="auto"/>
            </w:tcBorders>
            <w:vAlign w:val="center"/>
            <w:hideMark/>
          </w:tcPr>
          <w:p w14:paraId="00A2E54F" w14:textId="77777777" w:rsidR="00244837" w:rsidRPr="00BB2FEE" w:rsidRDefault="00244837" w:rsidP="00A81391">
            <w:pPr>
              <w:shd w:val="clear" w:color="auto" w:fill="FFFFFF"/>
            </w:pPr>
            <w:r w:rsidRPr="00BB2FEE">
              <w:t>5</w:t>
            </w:r>
          </w:p>
        </w:tc>
        <w:tc>
          <w:tcPr>
            <w:tcW w:w="438" w:type="pct"/>
            <w:tcBorders>
              <w:top w:val="single" w:sz="4" w:space="0" w:color="auto"/>
              <w:left w:val="single" w:sz="4" w:space="0" w:color="auto"/>
              <w:bottom w:val="single" w:sz="4" w:space="0" w:color="auto"/>
              <w:right w:val="single" w:sz="4" w:space="0" w:color="auto"/>
            </w:tcBorders>
            <w:vAlign w:val="center"/>
            <w:hideMark/>
          </w:tcPr>
          <w:p w14:paraId="0443CA64" w14:textId="77777777" w:rsidR="00244837" w:rsidRPr="00BB2FEE" w:rsidRDefault="00244837" w:rsidP="00A81391">
            <w:pPr>
              <w:shd w:val="clear" w:color="auto" w:fill="FFFFFF"/>
            </w:pPr>
            <w:r w:rsidRPr="00BB2FEE">
              <w:t>6</w:t>
            </w:r>
          </w:p>
        </w:tc>
        <w:tc>
          <w:tcPr>
            <w:tcW w:w="540" w:type="pct"/>
            <w:tcBorders>
              <w:top w:val="single" w:sz="4" w:space="0" w:color="auto"/>
              <w:left w:val="single" w:sz="4" w:space="0" w:color="auto"/>
              <w:bottom w:val="single" w:sz="4" w:space="0" w:color="auto"/>
              <w:right w:val="single" w:sz="4" w:space="0" w:color="auto"/>
            </w:tcBorders>
            <w:vAlign w:val="center"/>
            <w:hideMark/>
          </w:tcPr>
          <w:p w14:paraId="37B804C5" w14:textId="77777777" w:rsidR="00244837" w:rsidRPr="00BB2FEE" w:rsidRDefault="00244837" w:rsidP="00A81391">
            <w:pPr>
              <w:shd w:val="clear" w:color="auto" w:fill="FFFFFF"/>
            </w:pPr>
            <w:r w:rsidRPr="00BB2FEE">
              <w:t>7</w:t>
            </w:r>
          </w:p>
        </w:tc>
        <w:tc>
          <w:tcPr>
            <w:tcW w:w="1023" w:type="pct"/>
            <w:tcBorders>
              <w:top w:val="single" w:sz="4" w:space="0" w:color="auto"/>
              <w:left w:val="single" w:sz="4" w:space="0" w:color="auto"/>
              <w:bottom w:val="single" w:sz="4" w:space="0" w:color="auto"/>
              <w:right w:val="single" w:sz="4" w:space="0" w:color="auto"/>
            </w:tcBorders>
            <w:vAlign w:val="center"/>
            <w:hideMark/>
          </w:tcPr>
          <w:p w14:paraId="299BBF82" w14:textId="77777777" w:rsidR="00244837" w:rsidRPr="00BB2FEE" w:rsidRDefault="00244837" w:rsidP="00A81391">
            <w:pPr>
              <w:shd w:val="clear" w:color="auto" w:fill="FFFFFF"/>
            </w:pPr>
            <w:r w:rsidRPr="00BB2FEE">
              <w:t>8</w:t>
            </w:r>
          </w:p>
        </w:tc>
      </w:tr>
      <w:tr w:rsidR="0033367B" w:rsidRPr="00BB2FEE" w14:paraId="5DF963B2"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69EEFEE6" w14:textId="77777777" w:rsidR="0033367B" w:rsidRPr="00BB2FEE" w:rsidRDefault="0033367B" w:rsidP="0033367B">
            <w:pPr>
              <w:shd w:val="clear" w:color="auto" w:fill="FFFFFF"/>
            </w:pPr>
            <w:r w:rsidRPr="00BB2FEE">
              <w:t>1. Budžeta ieņēmumi</w:t>
            </w:r>
          </w:p>
        </w:tc>
        <w:tc>
          <w:tcPr>
            <w:tcW w:w="489" w:type="pct"/>
            <w:tcBorders>
              <w:top w:val="single" w:sz="4" w:space="0" w:color="auto"/>
              <w:left w:val="single" w:sz="4" w:space="0" w:color="auto"/>
              <w:bottom w:val="single" w:sz="4" w:space="0" w:color="auto"/>
              <w:right w:val="single" w:sz="4" w:space="0" w:color="auto"/>
            </w:tcBorders>
            <w:vAlign w:val="center"/>
          </w:tcPr>
          <w:p w14:paraId="10B5AAE1"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24692DBE"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720C87BF"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65C08D4A"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26F94718"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44293D2F"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7D1D0944" w14:textId="77777777" w:rsidR="0033367B" w:rsidRPr="00BB2FEE" w:rsidRDefault="0033367B" w:rsidP="0033367B">
            <w:pPr>
              <w:shd w:val="clear" w:color="auto" w:fill="FFFFFF"/>
            </w:pPr>
            <w:r w:rsidRPr="00BB2FEE">
              <w:t> 0</w:t>
            </w:r>
          </w:p>
        </w:tc>
      </w:tr>
      <w:tr w:rsidR="0033367B" w:rsidRPr="00BB2FEE" w14:paraId="4C438F6F"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43729661" w14:textId="77777777" w:rsidR="0033367B" w:rsidRPr="00BB2FEE" w:rsidRDefault="0033367B" w:rsidP="0033367B">
            <w:pPr>
              <w:shd w:val="clear" w:color="auto" w:fill="FFFFFF"/>
            </w:pPr>
            <w:r w:rsidRPr="00BB2FEE">
              <w:t>1.1. valsts pamatbudžets, tai skaitā ieņēmumi no maksas pakalpojumiem un citi pašu ieņēmumi</w:t>
            </w:r>
          </w:p>
        </w:tc>
        <w:tc>
          <w:tcPr>
            <w:tcW w:w="489" w:type="pct"/>
            <w:tcBorders>
              <w:top w:val="single" w:sz="4" w:space="0" w:color="auto"/>
              <w:left w:val="single" w:sz="4" w:space="0" w:color="auto"/>
              <w:bottom w:val="single" w:sz="4" w:space="0" w:color="auto"/>
              <w:right w:val="single" w:sz="4" w:space="0" w:color="auto"/>
            </w:tcBorders>
            <w:vAlign w:val="center"/>
          </w:tcPr>
          <w:p w14:paraId="1DFFE49A"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7CF1A7DB"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5DC17A70"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6282FA85"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55D1A65E"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66E84D1F"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78E38A74" w14:textId="77777777" w:rsidR="0033367B" w:rsidRPr="00BB2FEE" w:rsidRDefault="0033367B" w:rsidP="0033367B">
            <w:pPr>
              <w:shd w:val="clear" w:color="auto" w:fill="FFFFFF"/>
            </w:pPr>
            <w:r w:rsidRPr="00BB2FEE">
              <w:t> 0</w:t>
            </w:r>
          </w:p>
        </w:tc>
      </w:tr>
      <w:tr w:rsidR="0033367B" w:rsidRPr="00BB2FEE" w14:paraId="5EE14FCD"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56E26293" w14:textId="77777777" w:rsidR="0033367B" w:rsidRPr="00BB2FEE" w:rsidRDefault="0033367B" w:rsidP="0033367B">
            <w:pPr>
              <w:shd w:val="clear" w:color="auto" w:fill="FFFFFF"/>
            </w:pPr>
            <w:r w:rsidRPr="00BB2FEE">
              <w:t>1.2. valsts speciālais budžets</w:t>
            </w:r>
          </w:p>
        </w:tc>
        <w:tc>
          <w:tcPr>
            <w:tcW w:w="489" w:type="pct"/>
            <w:tcBorders>
              <w:top w:val="single" w:sz="4" w:space="0" w:color="auto"/>
              <w:left w:val="single" w:sz="4" w:space="0" w:color="auto"/>
              <w:bottom w:val="single" w:sz="4" w:space="0" w:color="auto"/>
              <w:right w:val="single" w:sz="4" w:space="0" w:color="auto"/>
            </w:tcBorders>
            <w:vAlign w:val="center"/>
          </w:tcPr>
          <w:p w14:paraId="45EC85A8"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1DD05939"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5CFB955B"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3A9D9FFF"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4C0FCE9B"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1575E967"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6787C6C5" w14:textId="77777777" w:rsidR="0033367B" w:rsidRPr="00BB2FEE" w:rsidRDefault="0033367B" w:rsidP="0033367B">
            <w:pPr>
              <w:shd w:val="clear" w:color="auto" w:fill="FFFFFF"/>
            </w:pPr>
            <w:r w:rsidRPr="00BB2FEE">
              <w:t> 0</w:t>
            </w:r>
          </w:p>
        </w:tc>
      </w:tr>
      <w:tr w:rsidR="0033367B" w:rsidRPr="00BB2FEE" w14:paraId="4D086FAB"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04BF5C52" w14:textId="77777777" w:rsidR="0033367B" w:rsidRPr="00BB2FEE" w:rsidRDefault="0033367B" w:rsidP="0033367B">
            <w:pPr>
              <w:shd w:val="clear" w:color="auto" w:fill="FFFFFF"/>
            </w:pPr>
            <w:r w:rsidRPr="00BB2FEE">
              <w:t>1.3. pašvaldību budžets</w:t>
            </w:r>
          </w:p>
        </w:tc>
        <w:tc>
          <w:tcPr>
            <w:tcW w:w="489" w:type="pct"/>
            <w:tcBorders>
              <w:top w:val="single" w:sz="4" w:space="0" w:color="auto"/>
              <w:left w:val="single" w:sz="4" w:space="0" w:color="auto"/>
              <w:bottom w:val="single" w:sz="4" w:space="0" w:color="auto"/>
              <w:right w:val="single" w:sz="4" w:space="0" w:color="auto"/>
            </w:tcBorders>
            <w:vAlign w:val="center"/>
          </w:tcPr>
          <w:p w14:paraId="3C455808"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4B4F051F"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3184446A"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3A415B4B"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78581C57"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67443C79"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3FD0EC5D" w14:textId="77777777" w:rsidR="0033367B" w:rsidRPr="00BB2FEE" w:rsidRDefault="0033367B" w:rsidP="0033367B">
            <w:pPr>
              <w:shd w:val="clear" w:color="auto" w:fill="FFFFFF"/>
            </w:pPr>
            <w:r w:rsidRPr="00BB2FEE">
              <w:t> 0</w:t>
            </w:r>
          </w:p>
        </w:tc>
      </w:tr>
      <w:tr w:rsidR="0033367B" w:rsidRPr="00BB2FEE" w14:paraId="65ED8C81"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57B0E2B0" w14:textId="77777777" w:rsidR="0033367B" w:rsidRPr="00BB2FEE" w:rsidRDefault="0033367B" w:rsidP="0033367B">
            <w:pPr>
              <w:shd w:val="clear" w:color="auto" w:fill="FFFFFF"/>
            </w:pPr>
            <w:r w:rsidRPr="00BB2FEE">
              <w:t>2. Budžeta izdevumi</w:t>
            </w:r>
          </w:p>
        </w:tc>
        <w:tc>
          <w:tcPr>
            <w:tcW w:w="489" w:type="pct"/>
            <w:tcBorders>
              <w:top w:val="single" w:sz="4" w:space="0" w:color="auto"/>
              <w:left w:val="single" w:sz="4" w:space="0" w:color="auto"/>
              <w:bottom w:val="single" w:sz="4" w:space="0" w:color="auto"/>
              <w:right w:val="single" w:sz="4" w:space="0" w:color="auto"/>
            </w:tcBorders>
            <w:vAlign w:val="center"/>
          </w:tcPr>
          <w:p w14:paraId="37F56589"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5C450C50"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5FF64735"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0616968C"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2B9A279E"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53EE9910"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0372CB4A" w14:textId="77777777" w:rsidR="0033367B" w:rsidRPr="00BB2FEE" w:rsidRDefault="0033367B" w:rsidP="0033367B">
            <w:pPr>
              <w:shd w:val="clear" w:color="auto" w:fill="FFFFFF"/>
            </w:pPr>
            <w:r w:rsidRPr="00BB2FEE">
              <w:t> 0</w:t>
            </w:r>
          </w:p>
        </w:tc>
      </w:tr>
      <w:tr w:rsidR="0033367B" w:rsidRPr="00BB2FEE" w14:paraId="5099BA23"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65341AA9" w14:textId="77777777" w:rsidR="0033367B" w:rsidRPr="00BB2FEE" w:rsidRDefault="0033367B" w:rsidP="0033367B">
            <w:pPr>
              <w:shd w:val="clear" w:color="auto" w:fill="FFFFFF"/>
            </w:pPr>
            <w:r w:rsidRPr="00BB2FEE">
              <w:t>2.1. valsts pamatbudžets</w:t>
            </w:r>
          </w:p>
        </w:tc>
        <w:tc>
          <w:tcPr>
            <w:tcW w:w="489" w:type="pct"/>
            <w:tcBorders>
              <w:top w:val="single" w:sz="4" w:space="0" w:color="auto"/>
              <w:left w:val="single" w:sz="4" w:space="0" w:color="auto"/>
              <w:bottom w:val="single" w:sz="4" w:space="0" w:color="auto"/>
              <w:right w:val="single" w:sz="4" w:space="0" w:color="auto"/>
            </w:tcBorders>
            <w:vAlign w:val="center"/>
          </w:tcPr>
          <w:p w14:paraId="1AEFB185"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7879F2E9"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7968CC4D"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4472A952"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7DD698A9"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2CAB7E7C"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4A2034E3" w14:textId="77777777" w:rsidR="0033367B" w:rsidRPr="00BB2FEE" w:rsidRDefault="0033367B" w:rsidP="0033367B">
            <w:pPr>
              <w:shd w:val="clear" w:color="auto" w:fill="FFFFFF"/>
            </w:pPr>
            <w:r w:rsidRPr="00BB2FEE">
              <w:t> 0</w:t>
            </w:r>
          </w:p>
        </w:tc>
      </w:tr>
      <w:tr w:rsidR="0033367B" w:rsidRPr="00BB2FEE" w14:paraId="6BA2F79C"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3486AA1B" w14:textId="77777777" w:rsidR="0033367B" w:rsidRPr="00BB2FEE" w:rsidRDefault="0033367B" w:rsidP="0033367B">
            <w:pPr>
              <w:shd w:val="clear" w:color="auto" w:fill="FFFFFF"/>
            </w:pPr>
            <w:r w:rsidRPr="00BB2FEE">
              <w:t>2.2. valsts speciālais budžets</w:t>
            </w:r>
          </w:p>
        </w:tc>
        <w:tc>
          <w:tcPr>
            <w:tcW w:w="489" w:type="pct"/>
            <w:tcBorders>
              <w:top w:val="single" w:sz="4" w:space="0" w:color="auto"/>
              <w:left w:val="single" w:sz="4" w:space="0" w:color="auto"/>
              <w:bottom w:val="single" w:sz="4" w:space="0" w:color="auto"/>
              <w:right w:val="single" w:sz="4" w:space="0" w:color="auto"/>
            </w:tcBorders>
            <w:vAlign w:val="center"/>
          </w:tcPr>
          <w:p w14:paraId="2D389C09"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6FC6D105"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394D9F28"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71DFA290"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2B6C50C5"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7563631D"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00DE4FAB" w14:textId="77777777" w:rsidR="0033367B" w:rsidRPr="00BB2FEE" w:rsidRDefault="0033367B" w:rsidP="0033367B">
            <w:pPr>
              <w:shd w:val="clear" w:color="auto" w:fill="FFFFFF"/>
            </w:pPr>
            <w:r w:rsidRPr="00BB2FEE">
              <w:t> 0</w:t>
            </w:r>
          </w:p>
        </w:tc>
      </w:tr>
      <w:tr w:rsidR="0033367B" w:rsidRPr="00BB2FEE" w14:paraId="77BF9C29"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6602071E" w14:textId="77777777" w:rsidR="0033367B" w:rsidRPr="00BB2FEE" w:rsidRDefault="0033367B" w:rsidP="0033367B">
            <w:pPr>
              <w:shd w:val="clear" w:color="auto" w:fill="FFFFFF"/>
            </w:pPr>
            <w:r w:rsidRPr="00BB2FEE">
              <w:lastRenderedPageBreak/>
              <w:t>2.3. pašvaldību budžets</w:t>
            </w:r>
          </w:p>
        </w:tc>
        <w:tc>
          <w:tcPr>
            <w:tcW w:w="489" w:type="pct"/>
            <w:tcBorders>
              <w:top w:val="single" w:sz="4" w:space="0" w:color="auto"/>
              <w:left w:val="single" w:sz="4" w:space="0" w:color="auto"/>
              <w:bottom w:val="single" w:sz="4" w:space="0" w:color="auto"/>
              <w:right w:val="single" w:sz="4" w:space="0" w:color="auto"/>
            </w:tcBorders>
            <w:vAlign w:val="center"/>
          </w:tcPr>
          <w:p w14:paraId="76D80168"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57BAE81E"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3867B21F"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7D292653"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2EB040E7"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3AB6B669"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0E80A17B" w14:textId="77777777" w:rsidR="0033367B" w:rsidRPr="00BB2FEE" w:rsidRDefault="0033367B" w:rsidP="0033367B">
            <w:pPr>
              <w:shd w:val="clear" w:color="auto" w:fill="FFFFFF"/>
            </w:pPr>
            <w:r w:rsidRPr="00BB2FEE">
              <w:t> 0</w:t>
            </w:r>
          </w:p>
        </w:tc>
      </w:tr>
      <w:tr w:rsidR="0033367B" w:rsidRPr="00BB2FEE" w14:paraId="461AA1E5"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0CD6BEBE" w14:textId="77777777" w:rsidR="0033367B" w:rsidRPr="00BB2FEE" w:rsidRDefault="0033367B" w:rsidP="0033367B">
            <w:pPr>
              <w:shd w:val="clear" w:color="auto" w:fill="FFFFFF"/>
            </w:pPr>
            <w:r w:rsidRPr="00BB2FEE">
              <w:t>3. Finansiālā ietekme</w:t>
            </w:r>
          </w:p>
        </w:tc>
        <w:tc>
          <w:tcPr>
            <w:tcW w:w="489" w:type="pct"/>
            <w:tcBorders>
              <w:top w:val="single" w:sz="4" w:space="0" w:color="auto"/>
              <w:left w:val="single" w:sz="4" w:space="0" w:color="auto"/>
              <w:bottom w:val="single" w:sz="4" w:space="0" w:color="auto"/>
              <w:right w:val="single" w:sz="4" w:space="0" w:color="auto"/>
            </w:tcBorders>
            <w:vAlign w:val="center"/>
          </w:tcPr>
          <w:p w14:paraId="25603D97"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78279707"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21D9EB32"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4020962F"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3D2E6BAE"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38E5CD8D"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630B5DCE" w14:textId="77777777" w:rsidR="0033367B" w:rsidRPr="00BB2FEE" w:rsidRDefault="0033367B" w:rsidP="0033367B">
            <w:pPr>
              <w:shd w:val="clear" w:color="auto" w:fill="FFFFFF"/>
            </w:pPr>
            <w:r w:rsidRPr="00BB2FEE">
              <w:t> 0</w:t>
            </w:r>
          </w:p>
        </w:tc>
      </w:tr>
      <w:tr w:rsidR="0033367B" w:rsidRPr="00BB2FEE" w14:paraId="445BFA26"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06C1A3EA" w14:textId="77777777" w:rsidR="0033367B" w:rsidRPr="00BB2FEE" w:rsidRDefault="0033367B" w:rsidP="0033367B">
            <w:pPr>
              <w:shd w:val="clear" w:color="auto" w:fill="FFFFFF"/>
            </w:pPr>
            <w:r w:rsidRPr="00BB2FEE">
              <w:t>3.1. valsts pamatbudžets</w:t>
            </w:r>
          </w:p>
        </w:tc>
        <w:tc>
          <w:tcPr>
            <w:tcW w:w="489" w:type="pct"/>
            <w:tcBorders>
              <w:top w:val="single" w:sz="4" w:space="0" w:color="auto"/>
              <w:left w:val="single" w:sz="4" w:space="0" w:color="auto"/>
              <w:bottom w:val="single" w:sz="4" w:space="0" w:color="auto"/>
              <w:right w:val="single" w:sz="4" w:space="0" w:color="auto"/>
            </w:tcBorders>
            <w:vAlign w:val="center"/>
          </w:tcPr>
          <w:p w14:paraId="4DB9F3B1"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71C6A32A"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6C6E889A"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677B7002"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0584E482"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563EF24B"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47E20162" w14:textId="77777777" w:rsidR="0033367B" w:rsidRPr="00BB2FEE" w:rsidRDefault="0033367B" w:rsidP="0033367B">
            <w:pPr>
              <w:shd w:val="clear" w:color="auto" w:fill="FFFFFF"/>
            </w:pPr>
            <w:r w:rsidRPr="00BB2FEE">
              <w:t> 0</w:t>
            </w:r>
          </w:p>
        </w:tc>
      </w:tr>
      <w:tr w:rsidR="0033367B" w:rsidRPr="00BB2FEE" w14:paraId="5B3B02E2"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17984CB6" w14:textId="77777777" w:rsidR="0033367B" w:rsidRPr="00BB2FEE" w:rsidRDefault="0033367B" w:rsidP="0033367B">
            <w:pPr>
              <w:shd w:val="clear" w:color="auto" w:fill="FFFFFF"/>
            </w:pPr>
            <w:r w:rsidRPr="00BB2FEE">
              <w:t>3.2. speciālais budžets</w:t>
            </w:r>
          </w:p>
        </w:tc>
        <w:tc>
          <w:tcPr>
            <w:tcW w:w="489" w:type="pct"/>
            <w:tcBorders>
              <w:top w:val="single" w:sz="4" w:space="0" w:color="auto"/>
              <w:left w:val="single" w:sz="4" w:space="0" w:color="auto"/>
              <w:bottom w:val="single" w:sz="4" w:space="0" w:color="auto"/>
              <w:right w:val="single" w:sz="4" w:space="0" w:color="auto"/>
            </w:tcBorders>
            <w:vAlign w:val="center"/>
          </w:tcPr>
          <w:p w14:paraId="48C3B1D7"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168A6923"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56F029FF"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56880403"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3B0EC1E7"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40319A74"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49FF1E52" w14:textId="77777777" w:rsidR="0033367B" w:rsidRPr="00BB2FEE" w:rsidRDefault="0033367B" w:rsidP="0033367B">
            <w:pPr>
              <w:shd w:val="clear" w:color="auto" w:fill="FFFFFF"/>
            </w:pPr>
            <w:r w:rsidRPr="00BB2FEE">
              <w:t> 0</w:t>
            </w:r>
          </w:p>
        </w:tc>
      </w:tr>
      <w:tr w:rsidR="0033367B" w:rsidRPr="00BB2FEE" w14:paraId="7AB0F9C7"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01EA82CE" w14:textId="77777777" w:rsidR="0033367B" w:rsidRPr="00BB2FEE" w:rsidRDefault="0033367B" w:rsidP="0033367B">
            <w:pPr>
              <w:shd w:val="clear" w:color="auto" w:fill="FFFFFF"/>
            </w:pPr>
            <w:r w:rsidRPr="00BB2FEE">
              <w:t>3.3. pašvaldību budžets</w:t>
            </w:r>
          </w:p>
        </w:tc>
        <w:tc>
          <w:tcPr>
            <w:tcW w:w="489" w:type="pct"/>
            <w:tcBorders>
              <w:top w:val="single" w:sz="4" w:space="0" w:color="auto"/>
              <w:left w:val="single" w:sz="4" w:space="0" w:color="auto"/>
              <w:bottom w:val="single" w:sz="4" w:space="0" w:color="auto"/>
              <w:right w:val="single" w:sz="4" w:space="0" w:color="auto"/>
            </w:tcBorders>
            <w:vAlign w:val="center"/>
          </w:tcPr>
          <w:p w14:paraId="1CA8BF20"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10B90180"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247B51EF"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2A030DC6"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52343780"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384209C9"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587E2727" w14:textId="77777777" w:rsidR="0033367B" w:rsidRPr="00BB2FEE" w:rsidRDefault="0033367B" w:rsidP="0033367B">
            <w:pPr>
              <w:shd w:val="clear" w:color="auto" w:fill="FFFFFF"/>
            </w:pPr>
            <w:r w:rsidRPr="00BB2FEE">
              <w:t> 0</w:t>
            </w:r>
          </w:p>
        </w:tc>
      </w:tr>
      <w:tr w:rsidR="0033367B" w:rsidRPr="00BB2FEE" w14:paraId="27331F16"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726B35BC" w14:textId="77777777" w:rsidR="0033367B" w:rsidRPr="00BB2FEE" w:rsidRDefault="0033367B" w:rsidP="0033367B">
            <w:pPr>
              <w:shd w:val="clear" w:color="auto" w:fill="FFFFFF"/>
            </w:pPr>
            <w:r w:rsidRPr="00BB2FEE">
              <w:t>4. Finanšu līdzekļi papildu izdevumu finansēšanai (kompensējošu izdevumu samazinājumu norāda ar "+" zīmi)</w:t>
            </w:r>
          </w:p>
        </w:tc>
        <w:tc>
          <w:tcPr>
            <w:tcW w:w="489" w:type="pct"/>
            <w:tcBorders>
              <w:top w:val="single" w:sz="4" w:space="0" w:color="auto"/>
              <w:left w:val="single" w:sz="4" w:space="0" w:color="auto"/>
              <w:bottom w:val="single" w:sz="4" w:space="0" w:color="auto"/>
              <w:right w:val="single" w:sz="4" w:space="0" w:color="auto"/>
            </w:tcBorders>
            <w:vAlign w:val="center"/>
          </w:tcPr>
          <w:p w14:paraId="15F9639D"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1B6F2A52"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12B74CAE"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1D056E3A" w14:textId="77777777" w:rsidR="0033367B" w:rsidRPr="00BB2FEE" w:rsidRDefault="0033367B" w:rsidP="0033367B">
            <w:pPr>
              <w:shd w:val="clear" w:color="auto" w:fill="FFFFFF"/>
            </w:pPr>
            <w:r w:rsidRPr="00BB2FEE">
              <w:t> 0</w:t>
            </w:r>
          </w:p>
        </w:tc>
        <w:tc>
          <w:tcPr>
            <w:tcW w:w="438" w:type="pct"/>
            <w:tcBorders>
              <w:top w:val="single" w:sz="4" w:space="0" w:color="auto"/>
              <w:left w:val="single" w:sz="4" w:space="0" w:color="auto"/>
              <w:bottom w:val="single" w:sz="4" w:space="0" w:color="auto"/>
              <w:right w:val="single" w:sz="4" w:space="0" w:color="auto"/>
            </w:tcBorders>
            <w:vAlign w:val="center"/>
          </w:tcPr>
          <w:p w14:paraId="746277B1" w14:textId="77777777" w:rsidR="0033367B" w:rsidRPr="00BB2FEE" w:rsidRDefault="0033367B" w:rsidP="0033367B">
            <w:pPr>
              <w:shd w:val="clear" w:color="auto" w:fill="FFFFFF"/>
            </w:pPr>
            <w:r w:rsidRPr="00BB2FEE">
              <w:t> 0</w:t>
            </w:r>
          </w:p>
        </w:tc>
        <w:tc>
          <w:tcPr>
            <w:tcW w:w="540" w:type="pct"/>
            <w:tcBorders>
              <w:top w:val="single" w:sz="4" w:space="0" w:color="auto"/>
              <w:left w:val="single" w:sz="4" w:space="0" w:color="auto"/>
              <w:bottom w:val="single" w:sz="4" w:space="0" w:color="auto"/>
              <w:right w:val="single" w:sz="4" w:space="0" w:color="auto"/>
            </w:tcBorders>
            <w:vAlign w:val="center"/>
          </w:tcPr>
          <w:p w14:paraId="0096AC3A"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2F59E857" w14:textId="77777777" w:rsidR="0033367B" w:rsidRPr="00BB2FEE" w:rsidRDefault="0033367B" w:rsidP="0033367B">
            <w:pPr>
              <w:shd w:val="clear" w:color="auto" w:fill="FFFFFF"/>
            </w:pPr>
            <w:r w:rsidRPr="00BB2FEE">
              <w:t> 0</w:t>
            </w:r>
          </w:p>
        </w:tc>
      </w:tr>
      <w:tr w:rsidR="0033367B" w:rsidRPr="00BB2FEE" w14:paraId="0E45DDDA"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6F3C46EC" w14:textId="77777777" w:rsidR="0033367B" w:rsidRPr="00BB2FEE" w:rsidRDefault="0033367B" w:rsidP="0033367B">
            <w:pPr>
              <w:shd w:val="clear" w:color="auto" w:fill="FFFFFF"/>
            </w:pPr>
            <w:r w:rsidRPr="00BB2FEE">
              <w:t>5. Precizēta finansiālā ietekme</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14:paraId="7679CF91" w14:textId="77777777" w:rsidR="0033367B" w:rsidRPr="00BB2FEE" w:rsidRDefault="0033367B" w:rsidP="0033367B">
            <w:pPr>
              <w:shd w:val="clear" w:color="auto" w:fill="FFFFFF"/>
            </w:pPr>
            <w:r>
              <w:t>x</w:t>
            </w:r>
          </w:p>
        </w:tc>
        <w:tc>
          <w:tcPr>
            <w:tcW w:w="540" w:type="pct"/>
            <w:tcBorders>
              <w:top w:val="single" w:sz="4" w:space="0" w:color="auto"/>
              <w:left w:val="single" w:sz="4" w:space="0" w:color="auto"/>
              <w:bottom w:val="single" w:sz="4" w:space="0" w:color="auto"/>
              <w:right w:val="single" w:sz="4" w:space="0" w:color="auto"/>
            </w:tcBorders>
            <w:vAlign w:val="center"/>
          </w:tcPr>
          <w:p w14:paraId="3A1CF1A0" w14:textId="77777777" w:rsidR="0033367B" w:rsidRPr="00BB2FEE" w:rsidRDefault="0033367B" w:rsidP="0033367B">
            <w:pPr>
              <w:shd w:val="clear" w:color="auto" w:fill="FFFFFF"/>
            </w:pPr>
            <w:r w:rsidRPr="00BB2FEE">
              <w:t> 0</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14:paraId="036E5C06" w14:textId="77777777" w:rsidR="0033367B" w:rsidRPr="00BB2FEE" w:rsidRDefault="0033367B" w:rsidP="0033367B">
            <w:pPr>
              <w:shd w:val="clear" w:color="auto" w:fill="FFFFFF"/>
            </w:pPr>
            <w:r>
              <w:t>x</w:t>
            </w:r>
          </w:p>
        </w:tc>
        <w:tc>
          <w:tcPr>
            <w:tcW w:w="540" w:type="pct"/>
            <w:tcBorders>
              <w:top w:val="single" w:sz="4" w:space="0" w:color="auto"/>
              <w:left w:val="single" w:sz="4" w:space="0" w:color="auto"/>
              <w:bottom w:val="single" w:sz="4" w:space="0" w:color="auto"/>
              <w:right w:val="single" w:sz="4" w:space="0" w:color="auto"/>
            </w:tcBorders>
            <w:vAlign w:val="center"/>
          </w:tcPr>
          <w:p w14:paraId="3BCCFDF0" w14:textId="77777777" w:rsidR="0033367B" w:rsidRPr="00BB2FEE" w:rsidRDefault="0033367B" w:rsidP="0033367B">
            <w:pPr>
              <w:shd w:val="clear" w:color="auto" w:fill="FFFFFF"/>
            </w:pPr>
            <w:r w:rsidRPr="00BB2FEE">
              <w:t> 0</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14:paraId="4236BD06" w14:textId="77777777" w:rsidR="0033367B" w:rsidRPr="00BB2FEE" w:rsidRDefault="0033367B" w:rsidP="0033367B">
            <w:pPr>
              <w:shd w:val="clear" w:color="auto" w:fill="FFFFFF"/>
            </w:pPr>
            <w:r>
              <w:t>x</w:t>
            </w:r>
          </w:p>
        </w:tc>
        <w:tc>
          <w:tcPr>
            <w:tcW w:w="540" w:type="pct"/>
            <w:tcBorders>
              <w:top w:val="single" w:sz="4" w:space="0" w:color="auto"/>
              <w:left w:val="single" w:sz="4" w:space="0" w:color="auto"/>
              <w:bottom w:val="single" w:sz="4" w:space="0" w:color="auto"/>
              <w:right w:val="single" w:sz="4" w:space="0" w:color="auto"/>
            </w:tcBorders>
            <w:vAlign w:val="center"/>
          </w:tcPr>
          <w:p w14:paraId="48FE6B0B"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635D52FF" w14:textId="77777777" w:rsidR="0033367B" w:rsidRPr="00BB2FEE" w:rsidRDefault="0033367B" w:rsidP="0033367B">
            <w:pPr>
              <w:shd w:val="clear" w:color="auto" w:fill="FFFFFF"/>
            </w:pPr>
            <w:r w:rsidRPr="00BB2FEE">
              <w:t> 0</w:t>
            </w:r>
          </w:p>
        </w:tc>
      </w:tr>
      <w:tr w:rsidR="0033367B" w:rsidRPr="00BB2FEE" w14:paraId="565363A3"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295CA62D" w14:textId="77777777" w:rsidR="0033367B" w:rsidRPr="00BB2FEE" w:rsidRDefault="0033367B" w:rsidP="0033367B">
            <w:pPr>
              <w:shd w:val="clear" w:color="auto" w:fill="FFFFFF"/>
            </w:pPr>
            <w:r w:rsidRPr="00BB2FEE">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tcPr>
          <w:p w14:paraId="625FC5BE" w14:textId="77777777" w:rsidR="0033367B" w:rsidRPr="00BB2FEE" w:rsidRDefault="0033367B" w:rsidP="0033367B">
            <w:pPr>
              <w:shd w:val="clear" w:color="auto" w:fill="FFFFFF"/>
            </w:pPr>
          </w:p>
        </w:tc>
        <w:tc>
          <w:tcPr>
            <w:tcW w:w="540" w:type="pct"/>
            <w:tcBorders>
              <w:top w:val="single" w:sz="4" w:space="0" w:color="auto"/>
              <w:left w:val="single" w:sz="4" w:space="0" w:color="auto"/>
              <w:bottom w:val="single" w:sz="4" w:space="0" w:color="auto"/>
              <w:right w:val="single" w:sz="4" w:space="0" w:color="auto"/>
            </w:tcBorders>
            <w:vAlign w:val="center"/>
          </w:tcPr>
          <w:p w14:paraId="0F31E91C" w14:textId="77777777" w:rsidR="0033367B" w:rsidRPr="00BB2FEE" w:rsidRDefault="0033367B" w:rsidP="0033367B">
            <w:pPr>
              <w:shd w:val="clear" w:color="auto" w:fill="FFFFFF"/>
            </w:pPr>
            <w:r w:rsidRPr="00BB2FEE">
              <w:t> 0</w:t>
            </w:r>
          </w:p>
        </w:tc>
        <w:tc>
          <w:tcPr>
            <w:tcW w:w="0" w:type="auto"/>
            <w:vMerge/>
            <w:tcBorders>
              <w:top w:val="single" w:sz="4" w:space="0" w:color="auto"/>
              <w:left w:val="single" w:sz="4" w:space="0" w:color="auto"/>
              <w:bottom w:val="single" w:sz="4" w:space="0" w:color="auto"/>
              <w:right w:val="single" w:sz="4" w:space="0" w:color="auto"/>
            </w:tcBorders>
            <w:vAlign w:val="center"/>
          </w:tcPr>
          <w:p w14:paraId="08C89DE8" w14:textId="77777777" w:rsidR="0033367B" w:rsidRPr="00BB2FEE" w:rsidRDefault="0033367B" w:rsidP="0033367B">
            <w:pPr>
              <w:shd w:val="clear" w:color="auto" w:fill="FFFFFF"/>
            </w:pPr>
          </w:p>
        </w:tc>
        <w:tc>
          <w:tcPr>
            <w:tcW w:w="540" w:type="pct"/>
            <w:tcBorders>
              <w:top w:val="single" w:sz="4" w:space="0" w:color="auto"/>
              <w:left w:val="single" w:sz="4" w:space="0" w:color="auto"/>
              <w:bottom w:val="single" w:sz="4" w:space="0" w:color="auto"/>
              <w:right w:val="single" w:sz="4" w:space="0" w:color="auto"/>
            </w:tcBorders>
            <w:vAlign w:val="center"/>
          </w:tcPr>
          <w:p w14:paraId="135E92BE" w14:textId="77777777" w:rsidR="0033367B" w:rsidRPr="00BB2FEE" w:rsidRDefault="0033367B" w:rsidP="0033367B">
            <w:pPr>
              <w:shd w:val="clear" w:color="auto" w:fill="FFFFFF"/>
            </w:pPr>
            <w:r w:rsidRPr="00BB2FEE">
              <w:t> 0</w:t>
            </w:r>
          </w:p>
        </w:tc>
        <w:tc>
          <w:tcPr>
            <w:tcW w:w="0" w:type="auto"/>
            <w:vMerge/>
            <w:tcBorders>
              <w:top w:val="single" w:sz="4" w:space="0" w:color="auto"/>
              <w:left w:val="single" w:sz="4" w:space="0" w:color="auto"/>
              <w:bottom w:val="single" w:sz="4" w:space="0" w:color="auto"/>
              <w:right w:val="single" w:sz="4" w:space="0" w:color="auto"/>
            </w:tcBorders>
            <w:vAlign w:val="center"/>
          </w:tcPr>
          <w:p w14:paraId="2E30451D" w14:textId="77777777" w:rsidR="0033367B" w:rsidRPr="00BB2FEE" w:rsidRDefault="0033367B" w:rsidP="0033367B">
            <w:pPr>
              <w:shd w:val="clear" w:color="auto" w:fill="FFFFFF"/>
            </w:pPr>
          </w:p>
        </w:tc>
        <w:tc>
          <w:tcPr>
            <w:tcW w:w="540" w:type="pct"/>
            <w:tcBorders>
              <w:top w:val="single" w:sz="4" w:space="0" w:color="auto"/>
              <w:left w:val="single" w:sz="4" w:space="0" w:color="auto"/>
              <w:bottom w:val="single" w:sz="4" w:space="0" w:color="auto"/>
              <w:right w:val="single" w:sz="4" w:space="0" w:color="auto"/>
            </w:tcBorders>
            <w:vAlign w:val="center"/>
          </w:tcPr>
          <w:p w14:paraId="0CD824F5"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5B0E800D" w14:textId="77777777" w:rsidR="0033367B" w:rsidRPr="00BB2FEE" w:rsidRDefault="0033367B" w:rsidP="0033367B">
            <w:pPr>
              <w:shd w:val="clear" w:color="auto" w:fill="FFFFFF"/>
            </w:pPr>
            <w:r w:rsidRPr="00BB2FEE">
              <w:t> 0</w:t>
            </w:r>
          </w:p>
        </w:tc>
      </w:tr>
      <w:tr w:rsidR="0033367B" w:rsidRPr="00BB2FEE" w14:paraId="3ECF60FD"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58225A27" w14:textId="77777777" w:rsidR="0033367B" w:rsidRPr="00BB2FEE" w:rsidRDefault="0033367B" w:rsidP="0033367B">
            <w:pPr>
              <w:shd w:val="clear" w:color="auto" w:fill="FFFFFF"/>
            </w:pPr>
            <w:r w:rsidRPr="00BB2FEE">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tcPr>
          <w:p w14:paraId="38E96043" w14:textId="77777777" w:rsidR="0033367B" w:rsidRPr="00BB2FEE" w:rsidRDefault="0033367B" w:rsidP="0033367B">
            <w:pPr>
              <w:shd w:val="clear" w:color="auto" w:fill="FFFFFF"/>
            </w:pPr>
          </w:p>
        </w:tc>
        <w:tc>
          <w:tcPr>
            <w:tcW w:w="540" w:type="pct"/>
            <w:tcBorders>
              <w:top w:val="single" w:sz="4" w:space="0" w:color="auto"/>
              <w:left w:val="single" w:sz="4" w:space="0" w:color="auto"/>
              <w:bottom w:val="single" w:sz="4" w:space="0" w:color="auto"/>
              <w:right w:val="single" w:sz="4" w:space="0" w:color="auto"/>
            </w:tcBorders>
            <w:vAlign w:val="center"/>
          </w:tcPr>
          <w:p w14:paraId="6C1EB8DD" w14:textId="77777777" w:rsidR="0033367B" w:rsidRPr="00BB2FEE" w:rsidRDefault="0033367B" w:rsidP="0033367B">
            <w:pPr>
              <w:shd w:val="clear" w:color="auto" w:fill="FFFFFF"/>
            </w:pPr>
            <w:r w:rsidRPr="00BB2FEE">
              <w:t> 0</w:t>
            </w:r>
          </w:p>
        </w:tc>
        <w:tc>
          <w:tcPr>
            <w:tcW w:w="0" w:type="auto"/>
            <w:vMerge/>
            <w:tcBorders>
              <w:top w:val="single" w:sz="4" w:space="0" w:color="auto"/>
              <w:left w:val="single" w:sz="4" w:space="0" w:color="auto"/>
              <w:bottom w:val="single" w:sz="4" w:space="0" w:color="auto"/>
              <w:right w:val="single" w:sz="4" w:space="0" w:color="auto"/>
            </w:tcBorders>
            <w:vAlign w:val="center"/>
          </w:tcPr>
          <w:p w14:paraId="71A6DDE9" w14:textId="77777777" w:rsidR="0033367B" w:rsidRPr="00BB2FEE" w:rsidRDefault="0033367B" w:rsidP="0033367B">
            <w:pPr>
              <w:shd w:val="clear" w:color="auto" w:fill="FFFFFF"/>
            </w:pPr>
          </w:p>
        </w:tc>
        <w:tc>
          <w:tcPr>
            <w:tcW w:w="540" w:type="pct"/>
            <w:tcBorders>
              <w:top w:val="single" w:sz="4" w:space="0" w:color="auto"/>
              <w:left w:val="single" w:sz="4" w:space="0" w:color="auto"/>
              <w:bottom w:val="single" w:sz="4" w:space="0" w:color="auto"/>
              <w:right w:val="single" w:sz="4" w:space="0" w:color="auto"/>
            </w:tcBorders>
            <w:vAlign w:val="center"/>
          </w:tcPr>
          <w:p w14:paraId="299C1594" w14:textId="77777777" w:rsidR="0033367B" w:rsidRPr="00BB2FEE" w:rsidRDefault="0033367B" w:rsidP="0033367B">
            <w:pPr>
              <w:shd w:val="clear" w:color="auto" w:fill="FFFFFF"/>
            </w:pPr>
            <w:r w:rsidRPr="00BB2FEE">
              <w:t> 0</w:t>
            </w:r>
          </w:p>
        </w:tc>
        <w:tc>
          <w:tcPr>
            <w:tcW w:w="0" w:type="auto"/>
            <w:vMerge/>
            <w:tcBorders>
              <w:top w:val="single" w:sz="4" w:space="0" w:color="auto"/>
              <w:left w:val="single" w:sz="4" w:space="0" w:color="auto"/>
              <w:bottom w:val="single" w:sz="4" w:space="0" w:color="auto"/>
              <w:right w:val="single" w:sz="4" w:space="0" w:color="auto"/>
            </w:tcBorders>
            <w:vAlign w:val="center"/>
          </w:tcPr>
          <w:p w14:paraId="63F491D3" w14:textId="77777777" w:rsidR="0033367B" w:rsidRPr="00BB2FEE" w:rsidRDefault="0033367B" w:rsidP="0033367B">
            <w:pPr>
              <w:shd w:val="clear" w:color="auto" w:fill="FFFFFF"/>
            </w:pPr>
          </w:p>
        </w:tc>
        <w:tc>
          <w:tcPr>
            <w:tcW w:w="540" w:type="pct"/>
            <w:tcBorders>
              <w:top w:val="single" w:sz="4" w:space="0" w:color="auto"/>
              <w:left w:val="single" w:sz="4" w:space="0" w:color="auto"/>
              <w:bottom w:val="single" w:sz="4" w:space="0" w:color="auto"/>
              <w:right w:val="single" w:sz="4" w:space="0" w:color="auto"/>
            </w:tcBorders>
            <w:vAlign w:val="center"/>
          </w:tcPr>
          <w:p w14:paraId="388B3B4C"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506E9ED0" w14:textId="77777777" w:rsidR="0033367B" w:rsidRPr="00BB2FEE" w:rsidRDefault="0033367B" w:rsidP="0033367B">
            <w:pPr>
              <w:shd w:val="clear" w:color="auto" w:fill="FFFFFF"/>
            </w:pPr>
            <w:r w:rsidRPr="00BB2FEE">
              <w:t> 0</w:t>
            </w:r>
          </w:p>
        </w:tc>
      </w:tr>
      <w:tr w:rsidR="0033367B" w:rsidRPr="00BB2FEE" w14:paraId="227FE7E4"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34C89211" w14:textId="77777777" w:rsidR="0033367B" w:rsidRPr="00BB2FEE" w:rsidRDefault="0033367B" w:rsidP="0033367B">
            <w:pPr>
              <w:shd w:val="clear" w:color="auto" w:fill="FFFFFF"/>
            </w:pPr>
            <w:r w:rsidRPr="00BB2FEE">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tcPr>
          <w:p w14:paraId="0D986CF2" w14:textId="77777777" w:rsidR="0033367B" w:rsidRPr="00BB2FEE" w:rsidRDefault="0033367B" w:rsidP="0033367B">
            <w:pPr>
              <w:shd w:val="clear" w:color="auto" w:fill="FFFFFF"/>
            </w:pPr>
          </w:p>
        </w:tc>
        <w:tc>
          <w:tcPr>
            <w:tcW w:w="540" w:type="pct"/>
            <w:tcBorders>
              <w:top w:val="single" w:sz="4" w:space="0" w:color="auto"/>
              <w:left w:val="single" w:sz="4" w:space="0" w:color="auto"/>
              <w:bottom w:val="single" w:sz="4" w:space="0" w:color="auto"/>
              <w:right w:val="single" w:sz="4" w:space="0" w:color="auto"/>
            </w:tcBorders>
            <w:vAlign w:val="center"/>
          </w:tcPr>
          <w:p w14:paraId="2B98406E" w14:textId="77777777" w:rsidR="0033367B" w:rsidRPr="00BB2FEE" w:rsidRDefault="0033367B" w:rsidP="0033367B">
            <w:pPr>
              <w:shd w:val="clear" w:color="auto" w:fill="FFFFFF"/>
            </w:pPr>
            <w:r w:rsidRPr="00BB2FEE">
              <w:t> 0</w:t>
            </w:r>
          </w:p>
        </w:tc>
        <w:tc>
          <w:tcPr>
            <w:tcW w:w="0" w:type="auto"/>
            <w:vMerge/>
            <w:tcBorders>
              <w:top w:val="single" w:sz="4" w:space="0" w:color="auto"/>
              <w:left w:val="single" w:sz="4" w:space="0" w:color="auto"/>
              <w:bottom w:val="single" w:sz="4" w:space="0" w:color="auto"/>
              <w:right w:val="single" w:sz="4" w:space="0" w:color="auto"/>
            </w:tcBorders>
            <w:vAlign w:val="center"/>
          </w:tcPr>
          <w:p w14:paraId="0AEC7E80" w14:textId="77777777" w:rsidR="0033367B" w:rsidRPr="00BB2FEE" w:rsidRDefault="0033367B" w:rsidP="0033367B">
            <w:pPr>
              <w:shd w:val="clear" w:color="auto" w:fill="FFFFFF"/>
            </w:pPr>
          </w:p>
        </w:tc>
        <w:tc>
          <w:tcPr>
            <w:tcW w:w="540" w:type="pct"/>
            <w:tcBorders>
              <w:top w:val="single" w:sz="4" w:space="0" w:color="auto"/>
              <w:left w:val="single" w:sz="4" w:space="0" w:color="auto"/>
              <w:bottom w:val="single" w:sz="4" w:space="0" w:color="auto"/>
              <w:right w:val="single" w:sz="4" w:space="0" w:color="auto"/>
            </w:tcBorders>
            <w:vAlign w:val="center"/>
          </w:tcPr>
          <w:p w14:paraId="2DBDB35E" w14:textId="77777777" w:rsidR="0033367B" w:rsidRPr="00BB2FEE" w:rsidRDefault="0033367B" w:rsidP="0033367B">
            <w:pPr>
              <w:shd w:val="clear" w:color="auto" w:fill="FFFFFF"/>
            </w:pPr>
            <w:r w:rsidRPr="00BB2FEE">
              <w:t> 0</w:t>
            </w:r>
          </w:p>
        </w:tc>
        <w:tc>
          <w:tcPr>
            <w:tcW w:w="0" w:type="auto"/>
            <w:vMerge/>
            <w:tcBorders>
              <w:top w:val="single" w:sz="4" w:space="0" w:color="auto"/>
              <w:left w:val="single" w:sz="4" w:space="0" w:color="auto"/>
              <w:bottom w:val="single" w:sz="4" w:space="0" w:color="auto"/>
              <w:right w:val="single" w:sz="4" w:space="0" w:color="auto"/>
            </w:tcBorders>
            <w:vAlign w:val="center"/>
          </w:tcPr>
          <w:p w14:paraId="6196DFD5" w14:textId="77777777" w:rsidR="0033367B" w:rsidRPr="00BB2FEE" w:rsidRDefault="0033367B" w:rsidP="0033367B">
            <w:pPr>
              <w:shd w:val="clear" w:color="auto" w:fill="FFFFFF"/>
            </w:pPr>
          </w:p>
        </w:tc>
        <w:tc>
          <w:tcPr>
            <w:tcW w:w="540" w:type="pct"/>
            <w:tcBorders>
              <w:top w:val="single" w:sz="4" w:space="0" w:color="auto"/>
              <w:left w:val="single" w:sz="4" w:space="0" w:color="auto"/>
              <w:bottom w:val="single" w:sz="4" w:space="0" w:color="auto"/>
              <w:right w:val="single" w:sz="4" w:space="0" w:color="auto"/>
            </w:tcBorders>
            <w:vAlign w:val="center"/>
          </w:tcPr>
          <w:p w14:paraId="7415E18A" w14:textId="77777777" w:rsidR="0033367B" w:rsidRPr="00BB2FEE" w:rsidRDefault="0033367B" w:rsidP="0033367B">
            <w:pPr>
              <w:shd w:val="clear" w:color="auto" w:fill="FFFFFF"/>
            </w:pPr>
            <w:r w:rsidRPr="00BB2FEE">
              <w:t> 0</w:t>
            </w:r>
          </w:p>
        </w:tc>
        <w:tc>
          <w:tcPr>
            <w:tcW w:w="1023" w:type="pct"/>
            <w:tcBorders>
              <w:top w:val="single" w:sz="4" w:space="0" w:color="auto"/>
              <w:left w:val="single" w:sz="4" w:space="0" w:color="auto"/>
              <w:bottom w:val="single" w:sz="4" w:space="0" w:color="auto"/>
              <w:right w:val="single" w:sz="4" w:space="0" w:color="auto"/>
            </w:tcBorders>
            <w:vAlign w:val="center"/>
          </w:tcPr>
          <w:p w14:paraId="067A724F" w14:textId="77777777" w:rsidR="0033367B" w:rsidRPr="00BB2FEE" w:rsidRDefault="0033367B" w:rsidP="0033367B">
            <w:pPr>
              <w:shd w:val="clear" w:color="auto" w:fill="FFFFFF"/>
            </w:pPr>
            <w:r w:rsidRPr="00BB2FEE">
              <w:t> 0</w:t>
            </w:r>
          </w:p>
        </w:tc>
      </w:tr>
      <w:tr w:rsidR="00244837" w:rsidRPr="00BB2FEE" w14:paraId="39A3C73A"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1FEFC93B" w14:textId="77777777" w:rsidR="00244837" w:rsidRPr="00BB2FEE" w:rsidRDefault="00244837" w:rsidP="00A81391">
            <w:pPr>
              <w:shd w:val="clear" w:color="auto" w:fill="FFFFFF"/>
            </w:pPr>
            <w:r w:rsidRPr="00BB2FEE">
              <w:t>6. Detalizēts ieņēmumu un izdevumu aprēķins (ja nepieciešams, detalizētu ieņēmumu un izdevumu aprēķinu var pievienot anotācijas pielikumā)</w:t>
            </w:r>
          </w:p>
        </w:tc>
        <w:tc>
          <w:tcPr>
            <w:tcW w:w="4107"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4D07A723" w14:textId="77777777" w:rsidR="00244837" w:rsidRPr="00BB2FEE" w:rsidRDefault="00244837" w:rsidP="00A81391">
            <w:pPr>
              <w:shd w:val="clear" w:color="auto" w:fill="FFFFFF"/>
            </w:pPr>
            <w:r w:rsidRPr="00BB2FEE">
              <w:t> </w:t>
            </w:r>
            <w:r w:rsidR="0033367B">
              <w:t>0</w:t>
            </w:r>
          </w:p>
        </w:tc>
      </w:tr>
      <w:tr w:rsidR="00244837" w:rsidRPr="00BB2FEE" w14:paraId="5ECC574F"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5B1EC9EB" w14:textId="77777777" w:rsidR="00244837" w:rsidRPr="00BB2FEE" w:rsidRDefault="00244837" w:rsidP="00A81391">
            <w:pPr>
              <w:shd w:val="clear" w:color="auto" w:fill="FFFFFF"/>
            </w:pPr>
            <w:r w:rsidRPr="00BB2FEE">
              <w:t>6.1. detalizēts ieņēmumu aprēķins</w:t>
            </w:r>
          </w:p>
        </w:tc>
        <w:tc>
          <w:tcPr>
            <w:tcW w:w="4107" w:type="pct"/>
            <w:gridSpan w:val="7"/>
            <w:vMerge/>
            <w:tcBorders>
              <w:top w:val="single" w:sz="4" w:space="0" w:color="auto"/>
              <w:left w:val="single" w:sz="4" w:space="0" w:color="auto"/>
              <w:bottom w:val="single" w:sz="4" w:space="0" w:color="auto"/>
              <w:right w:val="single" w:sz="4" w:space="0" w:color="auto"/>
            </w:tcBorders>
            <w:vAlign w:val="center"/>
            <w:hideMark/>
          </w:tcPr>
          <w:p w14:paraId="47353202" w14:textId="77777777" w:rsidR="00244837" w:rsidRPr="00BB2FEE" w:rsidRDefault="00244837" w:rsidP="00A81391">
            <w:pPr>
              <w:shd w:val="clear" w:color="auto" w:fill="FFFFFF"/>
            </w:pPr>
          </w:p>
        </w:tc>
      </w:tr>
      <w:tr w:rsidR="00244837" w:rsidRPr="00BB2FEE" w14:paraId="2B7348AF"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603E50B5" w14:textId="77777777" w:rsidR="00244837" w:rsidRPr="00BB2FEE" w:rsidRDefault="00244837" w:rsidP="00A81391">
            <w:pPr>
              <w:shd w:val="clear" w:color="auto" w:fill="FFFFFF"/>
            </w:pPr>
            <w:r w:rsidRPr="00BB2FEE">
              <w:t>6.2. detalizēts izdevumu aprēķins</w:t>
            </w:r>
          </w:p>
        </w:tc>
        <w:tc>
          <w:tcPr>
            <w:tcW w:w="4107" w:type="pct"/>
            <w:gridSpan w:val="7"/>
            <w:vMerge/>
            <w:tcBorders>
              <w:top w:val="single" w:sz="4" w:space="0" w:color="auto"/>
              <w:left w:val="single" w:sz="4" w:space="0" w:color="auto"/>
              <w:bottom w:val="single" w:sz="4" w:space="0" w:color="auto"/>
              <w:right w:val="single" w:sz="4" w:space="0" w:color="auto"/>
            </w:tcBorders>
            <w:vAlign w:val="center"/>
            <w:hideMark/>
          </w:tcPr>
          <w:p w14:paraId="51AB15E1" w14:textId="77777777" w:rsidR="00244837" w:rsidRPr="00BB2FEE" w:rsidRDefault="00244837" w:rsidP="00A81391">
            <w:pPr>
              <w:shd w:val="clear" w:color="auto" w:fill="FFFFFF"/>
            </w:pPr>
          </w:p>
        </w:tc>
      </w:tr>
      <w:tr w:rsidR="00244837" w:rsidRPr="00BB2FEE" w14:paraId="1BDD4450"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00B8234A" w14:textId="77777777" w:rsidR="00244837" w:rsidRPr="00BB2FEE" w:rsidRDefault="00244837" w:rsidP="00A81391">
            <w:pPr>
              <w:shd w:val="clear" w:color="auto" w:fill="FFFFFF"/>
            </w:pPr>
            <w:r w:rsidRPr="00BB2FEE">
              <w:lastRenderedPageBreak/>
              <w:t>7. Amata vietu skaita izmaiņas</w:t>
            </w:r>
          </w:p>
        </w:tc>
        <w:tc>
          <w:tcPr>
            <w:tcW w:w="4107" w:type="pct"/>
            <w:gridSpan w:val="7"/>
            <w:tcBorders>
              <w:top w:val="single" w:sz="4" w:space="0" w:color="auto"/>
              <w:left w:val="single" w:sz="4" w:space="0" w:color="auto"/>
              <w:bottom w:val="single" w:sz="4" w:space="0" w:color="auto"/>
              <w:right w:val="single" w:sz="4" w:space="0" w:color="auto"/>
            </w:tcBorders>
            <w:hideMark/>
          </w:tcPr>
          <w:p w14:paraId="332E8CD3" w14:textId="77777777" w:rsidR="00244837" w:rsidRPr="00BB2FEE" w:rsidRDefault="00102398" w:rsidP="00A81391">
            <w:pPr>
              <w:shd w:val="clear" w:color="auto" w:fill="FFFFFF"/>
            </w:pPr>
            <w:r>
              <w:t>Projekts šo jomu neskar.</w:t>
            </w:r>
          </w:p>
        </w:tc>
      </w:tr>
      <w:tr w:rsidR="00244837" w:rsidRPr="00BB2FEE" w14:paraId="2E515AFD" w14:textId="77777777" w:rsidTr="0033367B">
        <w:trPr>
          <w:tblCellSpacing w:w="15" w:type="dxa"/>
        </w:trPr>
        <w:tc>
          <w:tcPr>
            <w:tcW w:w="844" w:type="pct"/>
            <w:tcBorders>
              <w:top w:val="single" w:sz="4" w:space="0" w:color="auto"/>
              <w:left w:val="single" w:sz="4" w:space="0" w:color="auto"/>
              <w:bottom w:val="single" w:sz="4" w:space="0" w:color="auto"/>
              <w:right w:val="single" w:sz="4" w:space="0" w:color="auto"/>
            </w:tcBorders>
            <w:hideMark/>
          </w:tcPr>
          <w:p w14:paraId="12925EE2" w14:textId="77777777" w:rsidR="00244837" w:rsidRPr="00BB2FEE" w:rsidRDefault="00244837" w:rsidP="00A81391">
            <w:pPr>
              <w:shd w:val="clear" w:color="auto" w:fill="FFFFFF"/>
            </w:pPr>
            <w:r w:rsidRPr="00BB2FEE">
              <w:t>8. Cita informācija</w:t>
            </w:r>
          </w:p>
        </w:tc>
        <w:tc>
          <w:tcPr>
            <w:tcW w:w="4107" w:type="pct"/>
            <w:gridSpan w:val="7"/>
            <w:tcBorders>
              <w:top w:val="single" w:sz="4" w:space="0" w:color="auto"/>
              <w:left w:val="single" w:sz="4" w:space="0" w:color="auto"/>
              <w:bottom w:val="single" w:sz="4" w:space="0" w:color="auto"/>
              <w:right w:val="single" w:sz="4" w:space="0" w:color="auto"/>
            </w:tcBorders>
            <w:hideMark/>
          </w:tcPr>
          <w:p w14:paraId="424855ED" w14:textId="58C3AA1D" w:rsidR="00460FAA" w:rsidRPr="001E30AA" w:rsidRDefault="00460FAA" w:rsidP="00A81391">
            <w:pPr>
              <w:shd w:val="clear" w:color="auto" w:fill="FFFFFF"/>
              <w:jc w:val="both"/>
            </w:pPr>
            <w:r w:rsidRPr="00392042">
              <w:rPr>
                <w:bCs/>
              </w:rPr>
              <w:t>1)Informācija par ietekmi uz Ārlietu ministrijas un Ekonomikas ministrijas budžetu (tajā skaitā četru amata vietu pārdali) 2021.gadā un turpmākajos gados ir norādīta Ekonomikas ministrijas sagatavotajā un vienlaikus ar šo noteikumu projektu virzāmajā Ministru kabineta rīkojuma projektā par apropriācijas pārdali.</w:t>
            </w:r>
          </w:p>
          <w:p w14:paraId="100B99F3" w14:textId="77777777" w:rsidR="00A47650" w:rsidRDefault="009D436D" w:rsidP="00A81391">
            <w:pPr>
              <w:shd w:val="clear" w:color="auto" w:fill="FFFFFF"/>
              <w:jc w:val="both"/>
            </w:pPr>
            <w:r>
              <w:t xml:space="preserve">2) </w:t>
            </w:r>
            <w:r w:rsidR="00E96BE1">
              <w:t>I</w:t>
            </w:r>
            <w:r w:rsidR="00A47650">
              <w:t xml:space="preserve">nformācijas sistēmas </w:t>
            </w:r>
            <w:r w:rsidR="00E96BE1">
              <w:t xml:space="preserve">“Valsts platforma biznesa attīstībai” </w:t>
            </w:r>
            <w:r w:rsidR="00A47650">
              <w:t>ieviešana un uzturēšana nerada ietekmi uz valsts budžetu, jo finansējums sistēmas uzturēšanai un papildu darbiem tiks paredzēts esošā LIAA budžeta ietvaros.</w:t>
            </w:r>
          </w:p>
          <w:p w14:paraId="2E31247B" w14:textId="0BA7821B" w:rsidR="009127F7" w:rsidRPr="00BB2FEE" w:rsidRDefault="009127F7" w:rsidP="00A81391">
            <w:pPr>
              <w:shd w:val="clear" w:color="auto" w:fill="FFFFFF"/>
              <w:jc w:val="both"/>
            </w:pPr>
            <w:r>
              <w:t xml:space="preserve">3) </w:t>
            </w:r>
            <w:r w:rsidRPr="009127F7">
              <w:t>Atbilstoši Latvijas Nacionāl</w:t>
            </w:r>
            <w:r w:rsidR="008F2FF8">
              <w:t>ā</w:t>
            </w:r>
            <w:r w:rsidRPr="009127F7">
              <w:t xml:space="preserve"> attīstības plāna 2021.–2027. gadam un Nacionālās industriālās politikas pamatnostādņu 2021.-2027.gadam noteikt</w:t>
            </w:r>
            <w:r w:rsidR="008F2FF8">
              <w:t>o</w:t>
            </w:r>
            <w:r w:rsidRPr="009127F7">
              <w:t xml:space="preserve"> </w:t>
            </w:r>
            <w:r w:rsidR="008F2FF8">
              <w:t>uz LIAA attiecināmo</w:t>
            </w:r>
            <w:r w:rsidRPr="009127F7">
              <w:t xml:space="preserve"> prioritā</w:t>
            </w:r>
            <w:r w:rsidR="008F2FF8">
              <w:t xml:space="preserve">šu ieviešana </w:t>
            </w:r>
            <w:r w:rsidR="008F2FF8" w:rsidRPr="008F2FF8">
              <w:t>nerada ietekmi uz valsts budžetu, jo finansējums tiks paredzēts esošā LIAA budžeta ietvaros</w:t>
            </w:r>
            <w:r w:rsidR="008F2FF8">
              <w:t>.</w:t>
            </w:r>
          </w:p>
        </w:tc>
      </w:tr>
    </w:tbl>
    <w:p w14:paraId="021C6502" w14:textId="77777777" w:rsidR="00F7296D" w:rsidRDefault="00F7296D" w:rsidP="00F7296D"/>
    <w:p w14:paraId="165BA554" w14:textId="77777777" w:rsidR="00244837" w:rsidRDefault="00244837" w:rsidP="00F7296D"/>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8"/>
        <w:gridCol w:w="2394"/>
        <w:gridCol w:w="6213"/>
      </w:tblGrid>
      <w:tr w:rsidR="003444CE" w:rsidRPr="002556D1" w14:paraId="08D99A0A" w14:textId="77777777" w:rsidTr="34E7388F">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4E24E10" w14:textId="77777777" w:rsidR="003444CE" w:rsidRPr="002556D1" w:rsidRDefault="003444CE" w:rsidP="00A35CC2">
            <w:pPr>
              <w:spacing w:before="100" w:beforeAutospacing="1" w:after="100" w:afterAutospacing="1" w:line="293" w:lineRule="atLeast"/>
              <w:jc w:val="center"/>
              <w:rPr>
                <w:b/>
                <w:bCs/>
              </w:rPr>
            </w:pPr>
            <w:r w:rsidRPr="002556D1">
              <w:rPr>
                <w:b/>
                <w:bCs/>
              </w:rPr>
              <w:t>IV. Tiesību akta projekta ietekme uz spēkā esošo tiesību normu sistēmu</w:t>
            </w:r>
          </w:p>
        </w:tc>
      </w:tr>
      <w:tr w:rsidR="003444CE" w:rsidRPr="002556D1" w14:paraId="545E0148" w14:textId="77777777" w:rsidTr="34E7388F">
        <w:tblPrEx>
          <w:shd w:val="clear" w:color="auto" w:fill="FFFFFF"/>
        </w:tblPrEx>
        <w:trPr>
          <w:jc w:val="center"/>
        </w:trPr>
        <w:tc>
          <w:tcPr>
            <w:tcW w:w="45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EF721BD" w14:textId="77777777" w:rsidR="003444CE" w:rsidRPr="002556D1" w:rsidRDefault="003444CE" w:rsidP="00510BFF">
            <w:pPr>
              <w:spacing w:line="276" w:lineRule="auto"/>
            </w:pPr>
            <w:r w:rsidRPr="002556D1">
              <w:t>1.</w:t>
            </w:r>
          </w:p>
        </w:tc>
        <w:tc>
          <w:tcPr>
            <w:tcW w:w="2414"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9D61AAB" w14:textId="77777777" w:rsidR="003444CE" w:rsidRPr="002556D1" w:rsidRDefault="00244837" w:rsidP="00510BFF">
            <w:pPr>
              <w:spacing w:line="276" w:lineRule="auto"/>
            </w:pPr>
            <w:r w:rsidRPr="008D5215">
              <w:rPr>
                <w:iCs/>
              </w:rPr>
              <w:t>Saistītie tiesību aktu projekti</w:t>
            </w:r>
          </w:p>
        </w:tc>
        <w:tc>
          <w:tcPr>
            <w:tcW w:w="626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25360AC" w14:textId="0E0B3A67" w:rsidR="009D436D" w:rsidRDefault="009D436D" w:rsidP="009D436D">
            <w:pPr>
              <w:spacing w:line="276" w:lineRule="auto"/>
              <w:jc w:val="both"/>
            </w:pPr>
            <w:r>
              <w:t xml:space="preserve">Ar LI pievienošanu LIAA saistītie tiesību aktu projekti: </w:t>
            </w:r>
          </w:p>
          <w:p w14:paraId="75C9BEC7" w14:textId="4615E1D2" w:rsidR="003444CE" w:rsidRPr="00A22FD4" w:rsidRDefault="003444CE" w:rsidP="003444CE">
            <w:pPr>
              <w:numPr>
                <w:ilvl w:val="0"/>
                <w:numId w:val="25"/>
              </w:numPr>
              <w:spacing w:line="276" w:lineRule="auto"/>
              <w:ind w:left="497"/>
              <w:jc w:val="both"/>
            </w:pPr>
            <w:r>
              <w:t xml:space="preserve">Ministru kabineta noteikumu projekts “Grozījums </w:t>
            </w:r>
            <w:r w:rsidRPr="002556D1">
              <w:t xml:space="preserve">Ministru kabineta </w:t>
            </w:r>
            <w:r w:rsidR="00244837">
              <w:t>2003.gada 29.aprīļa noteikumos Nr.237 “Ārlietu ministrijas nolikums”</w:t>
            </w:r>
            <w:r>
              <w:t>”</w:t>
            </w:r>
            <w:r w:rsidR="003016C5">
              <w:t xml:space="preserve"> - </w:t>
            </w:r>
            <w:proofErr w:type="spellStart"/>
            <w:r w:rsidR="003016C5">
              <w:t>jāislēdz</w:t>
            </w:r>
            <w:proofErr w:type="spellEnd"/>
            <w:r w:rsidR="003016C5">
              <w:t xml:space="preserve"> LI, jo tas beidz pastāvēt</w:t>
            </w:r>
            <w:r w:rsidR="006E03F0">
              <w:t xml:space="preserve"> (projektu gatavo Ārlietu ministrija)</w:t>
            </w:r>
            <w:r>
              <w:rPr>
                <w:iCs/>
              </w:rPr>
              <w:t>;</w:t>
            </w:r>
          </w:p>
          <w:p w14:paraId="57A8BC05" w14:textId="612C37AC" w:rsidR="005F364E" w:rsidRPr="005F364E" w:rsidRDefault="005F364E" w:rsidP="003444CE">
            <w:pPr>
              <w:numPr>
                <w:ilvl w:val="0"/>
                <w:numId w:val="25"/>
              </w:numPr>
              <w:spacing w:line="276" w:lineRule="auto"/>
              <w:ind w:left="497"/>
              <w:jc w:val="both"/>
            </w:pPr>
            <w:r w:rsidRPr="005F364E">
              <w:rPr>
                <w:bCs/>
                <w:shd w:val="clear" w:color="auto" w:fill="FFFFFF"/>
              </w:rPr>
              <w:t xml:space="preserve">Ministru kabineta </w:t>
            </w:r>
            <w:r w:rsidRPr="005F364E">
              <w:rPr>
                <w:shd w:val="clear" w:color="auto" w:fill="FFFFFF"/>
              </w:rPr>
              <w:t>2012.gada 28.februāra</w:t>
            </w:r>
            <w:r w:rsidRPr="005F364E">
              <w:rPr>
                <w:bCs/>
                <w:shd w:val="clear" w:color="auto" w:fill="FFFFFF"/>
              </w:rPr>
              <w:t xml:space="preserve"> noteikumi Nr.153</w:t>
            </w:r>
            <w:r w:rsidRPr="005F364E">
              <w:rPr>
                <w:spacing w:val="-4"/>
              </w:rPr>
              <w:t xml:space="preserve"> “Latvijas </w:t>
            </w:r>
            <w:proofErr w:type="spellStart"/>
            <w:r w:rsidRPr="005F364E">
              <w:rPr>
                <w:spacing w:val="-4"/>
              </w:rPr>
              <w:t>insitūta</w:t>
            </w:r>
            <w:proofErr w:type="spellEnd"/>
            <w:r w:rsidRPr="005F364E">
              <w:rPr>
                <w:spacing w:val="-4"/>
              </w:rPr>
              <w:t xml:space="preserve"> </w:t>
            </w:r>
            <w:r w:rsidR="00A22FD4" w:rsidRPr="005F364E">
              <w:rPr>
                <w:spacing w:val="-4"/>
              </w:rPr>
              <w:t>nolikum</w:t>
            </w:r>
            <w:r w:rsidRPr="005F364E">
              <w:rPr>
                <w:spacing w:val="-4"/>
              </w:rPr>
              <w:t>s”</w:t>
            </w:r>
            <w:r>
              <w:rPr>
                <w:spacing w:val="-4"/>
              </w:rPr>
              <w:t xml:space="preserve"> –</w:t>
            </w:r>
            <w:r w:rsidR="003016C5">
              <w:rPr>
                <w:spacing w:val="-4"/>
              </w:rPr>
              <w:t xml:space="preserve"> jāatzīst par</w:t>
            </w:r>
            <w:r>
              <w:rPr>
                <w:spacing w:val="-4"/>
              </w:rPr>
              <w:t xml:space="preserve"> spēk</w:t>
            </w:r>
            <w:r w:rsidR="003016C5">
              <w:rPr>
                <w:spacing w:val="-4"/>
              </w:rPr>
              <w:t>u</w:t>
            </w:r>
            <w:r>
              <w:rPr>
                <w:spacing w:val="-4"/>
              </w:rPr>
              <w:t xml:space="preserve"> zaudē</w:t>
            </w:r>
            <w:r w:rsidR="003016C5">
              <w:rPr>
                <w:spacing w:val="-4"/>
              </w:rPr>
              <w:t>jušiem, jo LI beidz pastāvēt</w:t>
            </w:r>
            <w:r w:rsidR="006E03F0">
              <w:rPr>
                <w:spacing w:val="-4"/>
              </w:rPr>
              <w:t xml:space="preserve"> </w:t>
            </w:r>
            <w:r w:rsidR="006E03F0">
              <w:t>(projektu gatavo Ārlietu ministrija)</w:t>
            </w:r>
            <w:r>
              <w:rPr>
                <w:spacing w:val="-4"/>
              </w:rPr>
              <w:t>;</w:t>
            </w:r>
          </w:p>
          <w:p w14:paraId="7F420306" w14:textId="7860A297" w:rsidR="00A22FD4" w:rsidRPr="00A22FD4" w:rsidRDefault="005F364E" w:rsidP="003444CE">
            <w:pPr>
              <w:numPr>
                <w:ilvl w:val="0"/>
                <w:numId w:val="25"/>
              </w:numPr>
              <w:spacing w:line="276" w:lineRule="auto"/>
              <w:ind w:left="497"/>
              <w:jc w:val="both"/>
            </w:pPr>
            <w:r>
              <w:rPr>
                <w:spacing w:val="-4"/>
              </w:rPr>
              <w:t>Ministru kabineta 2013.gada 1.oktobra</w:t>
            </w:r>
            <w:r w:rsidR="00A22FD4" w:rsidRPr="00814100">
              <w:rPr>
                <w:spacing w:val="-4"/>
              </w:rPr>
              <w:t xml:space="preserve"> noteikumi Nr. 1007 “Latvijas institūta maksas pakalpojumu cenrādis” </w:t>
            </w:r>
            <w:r>
              <w:rPr>
                <w:spacing w:val="-4"/>
              </w:rPr>
              <w:t xml:space="preserve">- </w:t>
            </w:r>
            <w:r w:rsidR="003016C5">
              <w:rPr>
                <w:spacing w:val="-4"/>
              </w:rPr>
              <w:t>jāatzīst par spēku zaudējušiem, jo LI beidz pastāvēt</w:t>
            </w:r>
            <w:r w:rsidR="006E03F0">
              <w:rPr>
                <w:spacing w:val="-4"/>
              </w:rPr>
              <w:t xml:space="preserve"> </w:t>
            </w:r>
            <w:r w:rsidR="006E03F0">
              <w:t>(projektu gatavo Ārlietu ministrija)</w:t>
            </w:r>
            <w:r>
              <w:rPr>
                <w:spacing w:val="-4"/>
              </w:rPr>
              <w:t>;</w:t>
            </w:r>
          </w:p>
          <w:p w14:paraId="227AFD02" w14:textId="4C00B965" w:rsidR="00A22FD4" w:rsidRPr="005F364E" w:rsidRDefault="005F364E" w:rsidP="003444CE">
            <w:pPr>
              <w:numPr>
                <w:ilvl w:val="0"/>
                <w:numId w:val="25"/>
              </w:numPr>
              <w:spacing w:line="276" w:lineRule="auto"/>
              <w:ind w:left="497"/>
              <w:jc w:val="both"/>
            </w:pPr>
            <w:r w:rsidRPr="005F364E">
              <w:t xml:space="preserve">Ministru kabineta noteikumu projekts “Grozījums Ministru kabineta </w:t>
            </w:r>
            <w:r w:rsidRPr="005F364E">
              <w:rPr>
                <w:shd w:val="clear" w:color="auto" w:fill="FFFFFF"/>
              </w:rPr>
              <w:t>2014.gada 19.augusta noteikumos Nr.477</w:t>
            </w:r>
            <w:r w:rsidRPr="005F364E">
              <w:rPr>
                <w:spacing w:val="-4"/>
              </w:rPr>
              <w:t xml:space="preserve"> </w:t>
            </w:r>
            <w:r w:rsidR="00A22FD4" w:rsidRPr="005F364E">
              <w:rPr>
                <w:spacing w:val="-4"/>
              </w:rPr>
              <w:t>“Latvijas ārējā tēla politikas koordinācijas padomes nolikums”</w:t>
            </w:r>
            <w:r w:rsidRPr="005F364E">
              <w:rPr>
                <w:spacing w:val="-4"/>
              </w:rPr>
              <w:t>”</w:t>
            </w:r>
            <w:r>
              <w:rPr>
                <w:spacing w:val="-4"/>
              </w:rPr>
              <w:t xml:space="preserve"> – </w:t>
            </w:r>
            <w:r w:rsidR="003016C5">
              <w:rPr>
                <w:spacing w:val="-4"/>
              </w:rPr>
              <w:t>jāizslēdz</w:t>
            </w:r>
            <w:r w:rsidR="00FD1081">
              <w:rPr>
                <w:spacing w:val="-4"/>
              </w:rPr>
              <w:t xml:space="preserve"> no padomes</w:t>
            </w:r>
            <w:r w:rsidR="00A22FD4" w:rsidRPr="005F364E">
              <w:rPr>
                <w:spacing w:val="-4"/>
              </w:rPr>
              <w:t xml:space="preserve"> LI</w:t>
            </w:r>
            <w:r w:rsidR="00FD1081">
              <w:rPr>
                <w:spacing w:val="-4"/>
              </w:rPr>
              <w:t xml:space="preserve"> direktors un </w:t>
            </w:r>
            <w:r w:rsidR="00FD1081" w:rsidRPr="00FD1081">
              <w:rPr>
                <w:spacing w:val="-4"/>
              </w:rPr>
              <w:t xml:space="preserve">padomes sekretariāta funkciju izpildi no Latvijas </w:t>
            </w:r>
            <w:r w:rsidR="00FD1081">
              <w:rPr>
                <w:spacing w:val="-4"/>
              </w:rPr>
              <w:t>i</w:t>
            </w:r>
            <w:r w:rsidR="00FD1081" w:rsidRPr="00FD1081">
              <w:rPr>
                <w:spacing w:val="-4"/>
              </w:rPr>
              <w:t xml:space="preserve">nstitūta </w:t>
            </w:r>
            <w:r w:rsidR="00FD1081">
              <w:rPr>
                <w:spacing w:val="-4"/>
              </w:rPr>
              <w:t>jānodod</w:t>
            </w:r>
            <w:r w:rsidR="00FD1081" w:rsidRPr="00FD1081">
              <w:rPr>
                <w:spacing w:val="-4"/>
              </w:rPr>
              <w:t xml:space="preserve"> LIAA </w:t>
            </w:r>
            <w:r w:rsidR="006E03F0">
              <w:t>(projektu gatavo Ārlietu ministrija)</w:t>
            </w:r>
            <w:r>
              <w:rPr>
                <w:spacing w:val="-4"/>
              </w:rPr>
              <w:t>;</w:t>
            </w:r>
          </w:p>
          <w:p w14:paraId="63490B11" w14:textId="52D53BCB" w:rsidR="003444CE" w:rsidRPr="00553809" w:rsidRDefault="00244837" w:rsidP="003444CE">
            <w:pPr>
              <w:numPr>
                <w:ilvl w:val="0"/>
                <w:numId w:val="25"/>
              </w:numPr>
              <w:spacing w:line="276" w:lineRule="auto"/>
              <w:ind w:left="497"/>
              <w:jc w:val="both"/>
            </w:pPr>
            <w:r w:rsidRPr="00E86485">
              <w:t>Ministru kabineta rīkojuma projekt</w:t>
            </w:r>
            <w:r>
              <w:t>s</w:t>
            </w:r>
            <w:r w:rsidRPr="00E86485">
              <w:t xml:space="preserve"> par apropriācijas pārdali 2021.gadā un turpmākajos gados no Ārlietu ministrijas budžeta uz Ekonomikas ministrijas budžetu</w:t>
            </w:r>
            <w:r w:rsidR="006E03F0">
              <w:t xml:space="preserve"> (projektu gatavo Ekonomikas ministrija)</w:t>
            </w:r>
            <w:r w:rsidR="003646CE">
              <w:t>.</w:t>
            </w:r>
          </w:p>
          <w:p w14:paraId="043A871C" w14:textId="466DF6E7" w:rsidR="009D436D" w:rsidRPr="002556D1" w:rsidRDefault="009D436D" w:rsidP="009D436D">
            <w:pPr>
              <w:spacing w:line="276" w:lineRule="auto"/>
              <w:jc w:val="both"/>
            </w:pPr>
          </w:p>
        </w:tc>
      </w:tr>
      <w:tr w:rsidR="003444CE" w:rsidRPr="002556D1" w14:paraId="04135424" w14:textId="77777777" w:rsidTr="34E7388F">
        <w:tblPrEx>
          <w:shd w:val="clear" w:color="auto" w:fill="FFFFFF"/>
        </w:tblPrEx>
        <w:trPr>
          <w:jc w:val="center"/>
        </w:trPr>
        <w:tc>
          <w:tcPr>
            <w:tcW w:w="45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5640544" w14:textId="77777777" w:rsidR="003444CE" w:rsidRPr="002556D1" w:rsidRDefault="003444CE" w:rsidP="00510BFF">
            <w:pPr>
              <w:spacing w:line="276" w:lineRule="auto"/>
            </w:pPr>
            <w:r w:rsidRPr="002556D1">
              <w:t>2.</w:t>
            </w:r>
          </w:p>
        </w:tc>
        <w:tc>
          <w:tcPr>
            <w:tcW w:w="2414"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92AE0F0" w14:textId="77777777" w:rsidR="003444CE" w:rsidRPr="002556D1" w:rsidRDefault="003444CE" w:rsidP="00510BFF">
            <w:pPr>
              <w:spacing w:line="276" w:lineRule="auto"/>
            </w:pPr>
            <w:r w:rsidRPr="002556D1">
              <w:t>Atbildīgā institūcija</w:t>
            </w:r>
          </w:p>
        </w:tc>
        <w:tc>
          <w:tcPr>
            <w:tcW w:w="626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9695C6" w14:textId="77777777" w:rsidR="003444CE" w:rsidRDefault="00244837" w:rsidP="008B78B4">
            <w:pPr>
              <w:numPr>
                <w:ilvl w:val="0"/>
                <w:numId w:val="36"/>
              </w:numPr>
              <w:spacing w:line="276" w:lineRule="auto"/>
            </w:pPr>
            <w:r>
              <w:t xml:space="preserve">Ārlietu ministrija, </w:t>
            </w:r>
            <w:r w:rsidR="003444CE">
              <w:t>Ekonomikas ministrija</w:t>
            </w:r>
          </w:p>
          <w:p w14:paraId="253F26B6" w14:textId="77777777" w:rsidR="008B78B4" w:rsidRDefault="008B78B4" w:rsidP="008B78B4">
            <w:pPr>
              <w:numPr>
                <w:ilvl w:val="0"/>
                <w:numId w:val="36"/>
              </w:numPr>
              <w:spacing w:line="276" w:lineRule="auto"/>
            </w:pPr>
            <w:r>
              <w:t>Latvijas Investīciju un attīstības aģentūra</w:t>
            </w:r>
          </w:p>
          <w:p w14:paraId="5D042BDB" w14:textId="49581F03" w:rsidR="00A54E6D" w:rsidRPr="002556D1" w:rsidRDefault="00A54E6D">
            <w:pPr>
              <w:numPr>
                <w:ilvl w:val="0"/>
                <w:numId w:val="36"/>
              </w:numPr>
              <w:spacing w:line="276" w:lineRule="auto"/>
            </w:pPr>
            <w:r>
              <w:t>Latvijas Investīciju un attīstības aģentūra</w:t>
            </w:r>
          </w:p>
        </w:tc>
      </w:tr>
      <w:tr w:rsidR="003444CE" w:rsidRPr="002556D1" w14:paraId="247353D0" w14:textId="77777777" w:rsidTr="34E7388F">
        <w:tblPrEx>
          <w:shd w:val="clear" w:color="auto" w:fill="FFFFFF"/>
        </w:tblPrEx>
        <w:trPr>
          <w:jc w:val="center"/>
        </w:trPr>
        <w:tc>
          <w:tcPr>
            <w:tcW w:w="45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48FABE9" w14:textId="77777777" w:rsidR="003444CE" w:rsidRPr="002556D1" w:rsidRDefault="003444CE" w:rsidP="00510BFF">
            <w:pPr>
              <w:spacing w:line="276" w:lineRule="auto"/>
            </w:pPr>
            <w:r w:rsidRPr="002556D1">
              <w:t>3.</w:t>
            </w:r>
          </w:p>
        </w:tc>
        <w:tc>
          <w:tcPr>
            <w:tcW w:w="2414"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6C30ABF" w14:textId="77777777" w:rsidR="003444CE" w:rsidRPr="002556D1" w:rsidRDefault="003444CE" w:rsidP="00510BFF">
            <w:pPr>
              <w:spacing w:line="276" w:lineRule="auto"/>
            </w:pPr>
            <w:r w:rsidRPr="002556D1">
              <w:t>Cita informācija</w:t>
            </w:r>
          </w:p>
        </w:tc>
        <w:tc>
          <w:tcPr>
            <w:tcW w:w="626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3801A07" w14:textId="77777777" w:rsidR="003444CE" w:rsidRPr="002556D1" w:rsidRDefault="003444CE" w:rsidP="00510BFF">
            <w:pPr>
              <w:spacing w:line="276" w:lineRule="auto"/>
            </w:pPr>
            <w:r>
              <w:t>Nav</w:t>
            </w:r>
          </w:p>
        </w:tc>
      </w:tr>
    </w:tbl>
    <w:p w14:paraId="77632129" w14:textId="3C2373E4" w:rsidR="000B09E0" w:rsidRDefault="000B09E0" w:rsidP="00F7296D"/>
    <w:p w14:paraId="3721C9CB" w14:textId="77777777" w:rsidR="003646CE" w:rsidRDefault="003646CE" w:rsidP="00F7296D"/>
    <w:tbl>
      <w:tblPr>
        <w:tblW w:w="5004" w:type="pct"/>
        <w:tblInd w:w="-3" w:type="dxa"/>
        <w:tblCellMar>
          <w:left w:w="10" w:type="dxa"/>
          <w:right w:w="10" w:type="dxa"/>
        </w:tblCellMar>
        <w:tblLook w:val="04A0" w:firstRow="1" w:lastRow="0" w:firstColumn="1" w:lastColumn="0" w:noHBand="0" w:noVBand="1"/>
      </w:tblPr>
      <w:tblGrid>
        <w:gridCol w:w="9072"/>
      </w:tblGrid>
      <w:tr w:rsidR="00857352" w:rsidRPr="00C45D1B" w14:paraId="51116925" w14:textId="77777777" w:rsidTr="00A81391">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0FC107D" w14:textId="77777777" w:rsidR="00857352" w:rsidRPr="00C45D1B" w:rsidRDefault="00857352" w:rsidP="00A35CC2">
            <w:pPr>
              <w:suppressAutoHyphens/>
              <w:autoSpaceDN w:val="0"/>
              <w:jc w:val="center"/>
              <w:textAlignment w:val="baseline"/>
              <w:rPr>
                <w:rFonts w:ascii="Calibri" w:eastAsia="Calibri" w:hAnsi="Calibri"/>
              </w:rPr>
            </w:pPr>
            <w:r w:rsidRPr="00C45D1B">
              <w:rPr>
                <w:rFonts w:eastAsia="Calibri"/>
                <w:b/>
                <w:bCs/>
              </w:rPr>
              <w:lastRenderedPageBreak/>
              <w:t>V. Tiesību akta projekta atbilstība Latvijas Republikas starptautiskajām saistībām</w:t>
            </w:r>
          </w:p>
        </w:tc>
      </w:tr>
      <w:tr w:rsidR="00857352" w:rsidRPr="00C45D1B" w14:paraId="054ACE71" w14:textId="77777777" w:rsidTr="00A81391">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3FB9333" w14:textId="6F33E79D" w:rsidR="00857352" w:rsidRPr="00C45D1B" w:rsidRDefault="00857352" w:rsidP="00A81391">
            <w:pPr>
              <w:suppressAutoHyphens/>
              <w:autoSpaceDN w:val="0"/>
              <w:jc w:val="center"/>
              <w:textAlignment w:val="baseline"/>
              <w:rPr>
                <w:rFonts w:ascii="Calibri" w:eastAsia="Calibri" w:hAnsi="Calibri"/>
              </w:rPr>
            </w:pPr>
            <w:r w:rsidRPr="00C45D1B">
              <w:rPr>
                <w:rFonts w:eastAsia="Calibri"/>
              </w:rPr>
              <w:t>Projekts šo jomu neskar</w:t>
            </w:r>
            <w:r w:rsidR="002A4199">
              <w:rPr>
                <w:rFonts w:eastAsia="Calibri"/>
              </w:rPr>
              <w:t>.</w:t>
            </w:r>
          </w:p>
        </w:tc>
      </w:tr>
    </w:tbl>
    <w:p w14:paraId="6FF07722" w14:textId="77777777" w:rsidR="00857352" w:rsidRDefault="00857352" w:rsidP="00F7296D"/>
    <w:p w14:paraId="77174863" w14:textId="26475407" w:rsidR="00857352" w:rsidRDefault="00857352" w:rsidP="00F7296D"/>
    <w:p w14:paraId="196F5DDF" w14:textId="77777777" w:rsidR="003646CE" w:rsidRDefault="003646CE" w:rsidP="00F7296D"/>
    <w:tbl>
      <w:tblPr>
        <w:tblW w:w="5003" w:type="pct"/>
        <w:jc w:val="center"/>
        <w:tblCellMar>
          <w:left w:w="10" w:type="dxa"/>
          <w:right w:w="10" w:type="dxa"/>
        </w:tblCellMar>
        <w:tblLook w:val="04A0" w:firstRow="1" w:lastRow="0" w:firstColumn="1" w:lastColumn="0" w:noHBand="0" w:noVBand="1"/>
      </w:tblPr>
      <w:tblGrid>
        <w:gridCol w:w="9066"/>
      </w:tblGrid>
      <w:tr w:rsidR="00857352" w:rsidRPr="00C45D1B" w14:paraId="7DD11B78" w14:textId="77777777" w:rsidTr="002A4199">
        <w:trPr>
          <w:trHeight w:val="336"/>
          <w:jc w:val="center"/>
        </w:trPr>
        <w:tc>
          <w:tcPr>
            <w:tcW w:w="9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4" w:type="dxa"/>
              <w:left w:w="24" w:type="dxa"/>
              <w:bottom w:w="24" w:type="dxa"/>
              <w:right w:w="24" w:type="dxa"/>
            </w:tcMar>
          </w:tcPr>
          <w:p w14:paraId="5340F3AD" w14:textId="77777777" w:rsidR="00857352" w:rsidRPr="00C45D1B" w:rsidRDefault="00857352" w:rsidP="00A35CC2">
            <w:pPr>
              <w:suppressAutoHyphens/>
              <w:autoSpaceDN w:val="0"/>
              <w:ind w:firstLine="300"/>
              <w:jc w:val="center"/>
              <w:textAlignment w:val="baseline"/>
              <w:rPr>
                <w:b/>
                <w:bCs/>
              </w:rPr>
            </w:pPr>
            <w:r w:rsidRPr="00C45D1B">
              <w:rPr>
                <w:b/>
                <w:bCs/>
              </w:rPr>
              <w:t>VI. Sabiedrības līdzdalība un komunikācijas aktivitātes</w:t>
            </w:r>
          </w:p>
        </w:tc>
      </w:tr>
      <w:tr w:rsidR="002A4199" w:rsidRPr="00C45D1B" w14:paraId="11C92D38" w14:textId="77777777" w:rsidTr="002A4199">
        <w:trPr>
          <w:trHeight w:val="336"/>
          <w:jc w:val="center"/>
        </w:trPr>
        <w:tc>
          <w:tcPr>
            <w:tcW w:w="9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4" w:type="dxa"/>
              <w:left w:w="24" w:type="dxa"/>
              <w:bottom w:w="24" w:type="dxa"/>
              <w:right w:w="24" w:type="dxa"/>
            </w:tcMar>
          </w:tcPr>
          <w:p w14:paraId="7A0E4DBC" w14:textId="14111A8A" w:rsidR="002A4199" w:rsidRPr="00C45D1B" w:rsidRDefault="002A4199" w:rsidP="00A35CC2">
            <w:pPr>
              <w:suppressAutoHyphens/>
              <w:autoSpaceDN w:val="0"/>
              <w:ind w:firstLine="300"/>
              <w:jc w:val="center"/>
              <w:textAlignment w:val="baseline"/>
              <w:rPr>
                <w:b/>
                <w:bCs/>
              </w:rPr>
            </w:pPr>
            <w:r w:rsidRPr="00C45D1B">
              <w:rPr>
                <w:rFonts w:eastAsia="Calibri"/>
              </w:rPr>
              <w:t>Projekts šo jomu neskar</w:t>
            </w:r>
            <w:r>
              <w:rPr>
                <w:rFonts w:eastAsia="Calibri"/>
              </w:rPr>
              <w:t>.</w:t>
            </w:r>
          </w:p>
        </w:tc>
      </w:tr>
    </w:tbl>
    <w:p w14:paraId="35C7F52F" w14:textId="77777777" w:rsidR="00857352" w:rsidRDefault="00857352" w:rsidP="00F7296D"/>
    <w:p w14:paraId="5315E23E" w14:textId="77777777" w:rsidR="00857352" w:rsidRPr="006D40F0" w:rsidRDefault="00857352" w:rsidP="00F7296D"/>
    <w:p w14:paraId="09953A05" w14:textId="77777777" w:rsidR="00214094" w:rsidRPr="006D40F0" w:rsidRDefault="00214094" w:rsidP="00E90EE8">
      <w:pPr>
        <w:pStyle w:val="naisf"/>
        <w:tabs>
          <w:tab w:val="left" w:pos="5760"/>
        </w:tabs>
        <w:spacing w:before="0" w:after="0"/>
        <w:ind w:firstLine="0"/>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857352" w:rsidRPr="00C45D1B" w14:paraId="677C2F3C" w14:textId="77777777" w:rsidTr="6B960A0A">
        <w:tc>
          <w:tcPr>
            <w:tcW w:w="9072"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DF8EF5" w14:textId="77777777" w:rsidR="00857352" w:rsidRPr="00C45D1B" w:rsidRDefault="00857352" w:rsidP="00A35CC2">
            <w:pPr>
              <w:suppressAutoHyphens/>
              <w:autoSpaceDN w:val="0"/>
              <w:jc w:val="center"/>
              <w:textAlignment w:val="baseline"/>
              <w:rPr>
                <w:b/>
                <w:bCs/>
              </w:rPr>
            </w:pPr>
            <w:r w:rsidRPr="00C45D1B">
              <w:rPr>
                <w:b/>
                <w:bCs/>
              </w:rPr>
              <w:t>VII. Tiesību akta projekta izpildes nodrošināšana un tās ietekme uz institūcijām</w:t>
            </w:r>
          </w:p>
        </w:tc>
      </w:tr>
      <w:tr w:rsidR="00857352" w:rsidRPr="00C45D1B" w14:paraId="7DAF265E" w14:textId="77777777" w:rsidTr="6B960A0A">
        <w:tc>
          <w:tcPr>
            <w:tcW w:w="58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2CEFA9" w14:textId="77777777" w:rsidR="00857352" w:rsidRPr="00C45D1B" w:rsidRDefault="00857352" w:rsidP="00A81391">
            <w:pPr>
              <w:suppressAutoHyphens/>
              <w:autoSpaceDN w:val="0"/>
              <w:textAlignment w:val="baseline"/>
            </w:pPr>
            <w:r w:rsidRPr="00C45D1B">
              <w:t>1.</w:t>
            </w:r>
          </w:p>
        </w:tc>
        <w:tc>
          <w:tcPr>
            <w:tcW w:w="35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F2D839" w14:textId="77777777" w:rsidR="00857352" w:rsidRPr="00C45D1B" w:rsidRDefault="00857352" w:rsidP="00A81391">
            <w:pPr>
              <w:suppressAutoHyphens/>
              <w:autoSpaceDN w:val="0"/>
              <w:textAlignment w:val="baseline"/>
            </w:pPr>
            <w:r w:rsidRPr="00C45D1B">
              <w:t>Projekta izpildē iesaistītās institūcijas</w:t>
            </w:r>
          </w:p>
        </w:tc>
        <w:tc>
          <w:tcPr>
            <w:tcW w:w="49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3D934F" w14:textId="1E047868" w:rsidR="00857352" w:rsidRDefault="00857352" w:rsidP="0066755F">
            <w:pPr>
              <w:suppressAutoHyphens/>
              <w:autoSpaceDN w:val="0"/>
              <w:jc w:val="both"/>
              <w:textAlignment w:val="baseline"/>
            </w:pPr>
            <w:r>
              <w:t>Ārlietu ministrija, Ekonomikas ministrija, Latvijas institūts, Latvijas Investīciju un attīstības aģentūra</w:t>
            </w:r>
            <w:r w:rsidR="009D436D">
              <w:t>.</w:t>
            </w:r>
          </w:p>
          <w:p w14:paraId="6F5DD487" w14:textId="005628BA" w:rsidR="00A54E6D" w:rsidRPr="00C45D1B" w:rsidRDefault="00A54E6D" w:rsidP="0066755F">
            <w:pPr>
              <w:suppressAutoHyphens/>
              <w:autoSpaceDN w:val="0"/>
              <w:jc w:val="both"/>
              <w:textAlignment w:val="baseline"/>
            </w:pPr>
          </w:p>
        </w:tc>
      </w:tr>
      <w:tr w:rsidR="00857352" w:rsidRPr="00C45D1B" w14:paraId="4DC1F90E" w14:textId="77777777" w:rsidTr="6B960A0A">
        <w:tc>
          <w:tcPr>
            <w:tcW w:w="58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5FD092" w14:textId="77777777" w:rsidR="00857352" w:rsidRPr="00C45D1B" w:rsidRDefault="00857352" w:rsidP="00A81391">
            <w:pPr>
              <w:suppressAutoHyphens/>
              <w:autoSpaceDN w:val="0"/>
              <w:textAlignment w:val="baseline"/>
            </w:pPr>
            <w:r w:rsidRPr="00C45D1B">
              <w:t>2.</w:t>
            </w:r>
          </w:p>
        </w:tc>
        <w:tc>
          <w:tcPr>
            <w:tcW w:w="35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D14495" w14:textId="77777777" w:rsidR="00857352" w:rsidRPr="00C45D1B" w:rsidRDefault="00857352" w:rsidP="00A81391">
            <w:pPr>
              <w:suppressAutoHyphens/>
              <w:autoSpaceDN w:val="0"/>
              <w:textAlignment w:val="baseline"/>
            </w:pPr>
            <w:r w:rsidRPr="00C45D1B">
              <w:t xml:space="preserve">Projekta izpildes ietekme uz pārvaldes funkcijām un institucionālo struktūru. </w:t>
            </w:r>
          </w:p>
          <w:p w14:paraId="7040F645" w14:textId="77777777" w:rsidR="00857352" w:rsidRPr="00C45D1B" w:rsidRDefault="00857352" w:rsidP="00A81391">
            <w:pPr>
              <w:suppressAutoHyphens/>
              <w:autoSpaceDN w:val="0"/>
              <w:textAlignment w:val="baseline"/>
            </w:pPr>
            <w:r w:rsidRPr="00C45D1B">
              <w:t>Jaunu institūciju izveide, esošu institūciju likvidācija vai reorganizācija, to ietekme uz institūcijas cilvēkresursiem</w:t>
            </w:r>
          </w:p>
        </w:tc>
        <w:tc>
          <w:tcPr>
            <w:tcW w:w="49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B6D07C" w14:textId="6E3FDA5B" w:rsidR="007E64AA" w:rsidRDefault="007E64AA" w:rsidP="0066755F">
            <w:pPr>
              <w:suppressAutoHyphens/>
              <w:autoSpaceDN w:val="0"/>
              <w:ind w:firstLine="352"/>
              <w:jc w:val="both"/>
              <w:textAlignment w:val="baseline"/>
            </w:pPr>
            <w:r>
              <w:t xml:space="preserve">Noteikumu projekta izpilde paredz Latvijas institūta kā ārlietu ministra pārraudzībā esošas tiešās pārvaldes likvidāciju, pievienojot to </w:t>
            </w:r>
            <w:r w:rsidRPr="002007F7">
              <w:t xml:space="preserve">ekonomikas ministra pakļautībā esošajai tiešās pārvaldes iestādei </w:t>
            </w:r>
            <w:r w:rsidR="00EA2E64">
              <w:t>–</w:t>
            </w:r>
            <w:r>
              <w:t xml:space="preserve"> </w:t>
            </w:r>
            <w:r w:rsidRPr="002007F7">
              <w:t>L</w:t>
            </w:r>
            <w:r>
              <w:t>IAA. Rezultātā Latvijas institūts tiks likvidēts kā atsevišķa iestāde</w:t>
            </w:r>
            <w:r w:rsidRPr="002007F7">
              <w:t>.</w:t>
            </w:r>
            <w:r>
              <w:t xml:space="preserve"> </w:t>
            </w:r>
          </w:p>
          <w:p w14:paraId="2068E0EB" w14:textId="73843460" w:rsidR="007E64AA" w:rsidRDefault="007E64AA" w:rsidP="002B5397">
            <w:pPr>
              <w:suppressAutoHyphens/>
              <w:autoSpaceDN w:val="0"/>
              <w:ind w:firstLine="367"/>
              <w:jc w:val="both"/>
              <w:textAlignment w:val="baseline"/>
            </w:pPr>
            <w:r w:rsidRPr="00224092">
              <w:t>L</w:t>
            </w:r>
            <w:r>
              <w:t xml:space="preserve">atvijas institūta </w:t>
            </w:r>
            <w:r w:rsidRPr="00224092">
              <w:t>noteiktās četras amatu vietas plānots pārcelt uz L</w:t>
            </w:r>
            <w:r>
              <w:t xml:space="preserve">IAA izveidoto </w:t>
            </w:r>
            <w:r w:rsidRPr="00224092">
              <w:t>Valsts tēla un komunikācijas departamentu</w:t>
            </w:r>
            <w:r>
              <w:t xml:space="preserve">, kas pārņems līdzšinējās Latvijas institūta funkcijas. </w:t>
            </w:r>
          </w:p>
          <w:p w14:paraId="1BF63A65" w14:textId="423848C2" w:rsidR="007E64AA" w:rsidRDefault="007E64AA" w:rsidP="002B5397">
            <w:pPr>
              <w:suppressAutoHyphens/>
              <w:autoSpaceDN w:val="0"/>
              <w:ind w:firstLine="367"/>
              <w:jc w:val="both"/>
              <w:textAlignment w:val="baseline"/>
              <w:rPr>
                <w:color w:val="000000"/>
                <w:shd w:val="clear" w:color="auto" w:fill="FFFFFF"/>
              </w:rPr>
            </w:pPr>
            <w:r w:rsidRPr="00EF157D">
              <w:t xml:space="preserve">LIAA </w:t>
            </w:r>
            <w:r w:rsidR="005275E8">
              <w:t xml:space="preserve">tiks izveidots </w:t>
            </w:r>
            <w:r w:rsidRPr="00EF157D">
              <w:rPr>
                <w:color w:val="000000"/>
                <w:shd w:val="clear" w:color="auto" w:fill="FFFFFF"/>
              </w:rPr>
              <w:t xml:space="preserve">Valsts tēla un komunikācijas </w:t>
            </w:r>
            <w:r w:rsidR="005275E8" w:rsidRPr="00EF157D">
              <w:rPr>
                <w:color w:val="000000"/>
                <w:shd w:val="clear" w:color="auto" w:fill="FFFFFF"/>
              </w:rPr>
              <w:t>departament</w:t>
            </w:r>
            <w:r w:rsidR="005275E8">
              <w:rPr>
                <w:color w:val="000000"/>
                <w:shd w:val="clear" w:color="auto" w:fill="FFFFFF"/>
              </w:rPr>
              <w:t xml:space="preserve">s, kurā esošajām amata vietām tiks pievienotas </w:t>
            </w:r>
            <w:r>
              <w:rPr>
                <w:color w:val="000000"/>
                <w:shd w:val="clear" w:color="auto" w:fill="FFFFFF"/>
              </w:rPr>
              <w:t xml:space="preserve">Latvijas institūta </w:t>
            </w:r>
            <w:r w:rsidR="005275E8">
              <w:rPr>
                <w:color w:val="000000"/>
                <w:shd w:val="clear" w:color="auto" w:fill="FFFFFF"/>
              </w:rPr>
              <w:t xml:space="preserve">četras </w:t>
            </w:r>
            <w:r>
              <w:rPr>
                <w:color w:val="000000"/>
                <w:shd w:val="clear" w:color="auto" w:fill="FFFFFF"/>
              </w:rPr>
              <w:t xml:space="preserve">amata </w:t>
            </w:r>
            <w:r w:rsidR="005275E8">
              <w:rPr>
                <w:color w:val="000000"/>
                <w:shd w:val="clear" w:color="auto" w:fill="FFFFFF"/>
              </w:rPr>
              <w:t>vietas un kurš būs</w:t>
            </w:r>
            <w:r>
              <w:rPr>
                <w:color w:val="000000"/>
                <w:shd w:val="clear" w:color="auto" w:fill="FFFFFF"/>
              </w:rPr>
              <w:t xml:space="preserve"> tiešā </w:t>
            </w:r>
            <w:r w:rsidR="005275E8">
              <w:rPr>
                <w:color w:val="000000"/>
                <w:shd w:val="clear" w:color="auto" w:fill="FFFFFF"/>
              </w:rPr>
              <w:t xml:space="preserve">pakļautībā </w:t>
            </w:r>
            <w:r>
              <w:rPr>
                <w:color w:val="000000"/>
                <w:shd w:val="clear" w:color="auto" w:fill="FFFFFF"/>
              </w:rPr>
              <w:t xml:space="preserve">LIAA direktoram. </w:t>
            </w:r>
          </w:p>
          <w:p w14:paraId="7B171D07" w14:textId="66C396B8" w:rsidR="007E64AA" w:rsidRDefault="007E64AA" w:rsidP="002B5397">
            <w:pPr>
              <w:suppressAutoHyphens/>
              <w:autoSpaceDN w:val="0"/>
              <w:ind w:firstLine="367"/>
              <w:jc w:val="both"/>
              <w:textAlignment w:val="baseline"/>
              <w:rPr>
                <w:color w:val="000000"/>
                <w:shd w:val="clear" w:color="auto" w:fill="FFFFFF"/>
              </w:rPr>
            </w:pPr>
            <w:r>
              <w:rPr>
                <w:color w:val="000000"/>
                <w:shd w:val="clear" w:color="auto" w:fill="FFFFFF"/>
              </w:rPr>
              <w:t xml:space="preserve">Reorganizācijas rezultātā tiks nodrošināta Valsts tēla un komunikācijas departamenta funkciju izpilde ar līdzšinējā LIAA Komunikācijas un informācijas departamenta </w:t>
            </w:r>
            <w:r w:rsidR="00EA2E64">
              <w:rPr>
                <w:color w:val="000000"/>
                <w:shd w:val="clear" w:color="auto" w:fill="FFFFFF"/>
              </w:rPr>
              <w:t xml:space="preserve">un no Latvijas institūta pārņemtajiem </w:t>
            </w:r>
            <w:r>
              <w:rPr>
                <w:color w:val="000000"/>
                <w:shd w:val="clear" w:color="auto" w:fill="FFFFFF"/>
              </w:rPr>
              <w:t>resursiem.</w:t>
            </w:r>
            <w:bookmarkStart w:id="8" w:name="_GoBack"/>
            <w:bookmarkEnd w:id="8"/>
          </w:p>
          <w:p w14:paraId="152F2C44" w14:textId="139FB3BA" w:rsidR="00A54E6D" w:rsidRPr="00C45D1B" w:rsidRDefault="00A54E6D" w:rsidP="0066755F">
            <w:pPr>
              <w:suppressAutoHyphens/>
              <w:autoSpaceDN w:val="0"/>
              <w:jc w:val="both"/>
              <w:textAlignment w:val="baseline"/>
            </w:pPr>
          </w:p>
        </w:tc>
      </w:tr>
      <w:tr w:rsidR="00857352" w:rsidRPr="00C45D1B" w14:paraId="222624C3" w14:textId="77777777" w:rsidTr="6B960A0A">
        <w:tc>
          <w:tcPr>
            <w:tcW w:w="58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7C6B73" w14:textId="77777777" w:rsidR="00857352" w:rsidRPr="00C45D1B" w:rsidRDefault="00857352" w:rsidP="00A81391">
            <w:pPr>
              <w:suppressAutoHyphens/>
              <w:autoSpaceDN w:val="0"/>
              <w:textAlignment w:val="baseline"/>
            </w:pPr>
            <w:r w:rsidRPr="00C45D1B">
              <w:t>3.</w:t>
            </w:r>
          </w:p>
        </w:tc>
        <w:tc>
          <w:tcPr>
            <w:tcW w:w="35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32DAB1" w14:textId="77777777" w:rsidR="00857352" w:rsidRPr="00C45D1B" w:rsidRDefault="00857352" w:rsidP="00A81391">
            <w:pPr>
              <w:suppressAutoHyphens/>
              <w:autoSpaceDN w:val="0"/>
              <w:textAlignment w:val="baseline"/>
            </w:pPr>
            <w:r w:rsidRPr="00C45D1B">
              <w:t>Cita informācija</w:t>
            </w:r>
          </w:p>
        </w:tc>
        <w:tc>
          <w:tcPr>
            <w:tcW w:w="49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FC8FD2" w14:textId="77777777" w:rsidR="00857352" w:rsidRPr="00C45D1B" w:rsidRDefault="00857352" w:rsidP="00A81391">
            <w:pPr>
              <w:suppressAutoHyphens/>
              <w:autoSpaceDN w:val="0"/>
              <w:jc w:val="both"/>
              <w:textAlignment w:val="baseline"/>
            </w:pPr>
            <w:r>
              <w:tab/>
            </w:r>
            <w:r w:rsidRPr="00C45D1B">
              <w:t>Nav</w:t>
            </w:r>
          </w:p>
        </w:tc>
      </w:tr>
    </w:tbl>
    <w:p w14:paraId="2C5D0C88" w14:textId="77777777" w:rsidR="00214094" w:rsidRPr="006D40F0" w:rsidRDefault="00214094" w:rsidP="006C4607">
      <w:pPr>
        <w:pStyle w:val="naisf"/>
        <w:tabs>
          <w:tab w:val="left" w:pos="5760"/>
        </w:tabs>
        <w:spacing w:before="0" w:after="0"/>
        <w:ind w:firstLine="720"/>
      </w:pPr>
    </w:p>
    <w:p w14:paraId="08B68005" w14:textId="77777777" w:rsidR="000B7528" w:rsidRDefault="000B7528" w:rsidP="00E42298">
      <w:pPr>
        <w:pStyle w:val="Header"/>
        <w:tabs>
          <w:tab w:val="clear" w:pos="8306"/>
          <w:tab w:val="right" w:pos="9072"/>
        </w:tabs>
      </w:pPr>
    </w:p>
    <w:p w14:paraId="5B57CF89" w14:textId="5FEEC664" w:rsidR="007E64AA" w:rsidRDefault="007E64AA" w:rsidP="007E1BB6">
      <w:pPr>
        <w:pStyle w:val="Header"/>
        <w:tabs>
          <w:tab w:val="clear" w:pos="4153"/>
          <w:tab w:val="clear" w:pos="8306"/>
        </w:tabs>
      </w:pPr>
      <w:r>
        <w:t>Iesniedzējs:</w:t>
      </w:r>
    </w:p>
    <w:p w14:paraId="5C5A05A6" w14:textId="2F7FF7F2" w:rsidR="002840F0" w:rsidRPr="006D40F0" w:rsidRDefault="002840F0" w:rsidP="007E1BB6">
      <w:pPr>
        <w:pStyle w:val="Header"/>
        <w:tabs>
          <w:tab w:val="clear" w:pos="4153"/>
          <w:tab w:val="clear" w:pos="8306"/>
        </w:tabs>
      </w:pPr>
      <w:r w:rsidRPr="006D40F0">
        <w:t>Ekonomikas ministr</w:t>
      </w:r>
      <w:r w:rsidR="00857352">
        <w:t>s</w:t>
      </w:r>
      <w:r w:rsidRPr="006D40F0">
        <w:tab/>
      </w:r>
      <w:r w:rsidRPr="006D40F0">
        <w:tab/>
      </w:r>
      <w:r w:rsidR="007E1BB6">
        <w:tab/>
      </w:r>
      <w:r w:rsidR="007E1BB6">
        <w:tab/>
      </w:r>
      <w:r w:rsidR="007E1BB6">
        <w:tab/>
      </w:r>
      <w:r w:rsidR="007E1BB6">
        <w:tab/>
      </w:r>
      <w:r w:rsidR="007E1BB6">
        <w:tab/>
      </w:r>
      <w:r w:rsidR="007E1BB6">
        <w:tab/>
      </w:r>
      <w:r w:rsidR="00857352">
        <w:t>J</w:t>
      </w:r>
      <w:r w:rsidR="00E42298" w:rsidRPr="006D40F0">
        <w:t>.</w:t>
      </w:r>
      <w:r w:rsidR="00857352">
        <w:t> </w:t>
      </w:r>
      <w:proofErr w:type="spellStart"/>
      <w:r w:rsidR="00857352">
        <w:t>Vitenbergs</w:t>
      </w:r>
      <w:proofErr w:type="spellEnd"/>
    </w:p>
    <w:p w14:paraId="0497963D" w14:textId="77777777" w:rsidR="0046684C" w:rsidRPr="006D40F0" w:rsidRDefault="0046684C" w:rsidP="00426729">
      <w:pPr>
        <w:tabs>
          <w:tab w:val="left" w:pos="8222"/>
        </w:tabs>
      </w:pPr>
    </w:p>
    <w:p w14:paraId="466B48F9" w14:textId="77777777" w:rsidR="0046684C" w:rsidRPr="006D40F0" w:rsidRDefault="0046684C" w:rsidP="00426729">
      <w:pPr>
        <w:tabs>
          <w:tab w:val="left" w:pos="8222"/>
        </w:tabs>
      </w:pPr>
    </w:p>
    <w:p w14:paraId="1CDB55BF" w14:textId="77777777" w:rsidR="00426729" w:rsidRPr="006D40F0" w:rsidRDefault="00426729" w:rsidP="00426729">
      <w:pPr>
        <w:tabs>
          <w:tab w:val="left" w:pos="8222"/>
        </w:tabs>
      </w:pPr>
      <w:r w:rsidRPr="006D40F0">
        <w:t xml:space="preserve">Vīza: </w:t>
      </w:r>
    </w:p>
    <w:p w14:paraId="25753956" w14:textId="77777777" w:rsidR="006D40F0" w:rsidRPr="006D40F0" w:rsidRDefault="0046684C" w:rsidP="007E1BB6">
      <w:pPr>
        <w:pStyle w:val="Header"/>
        <w:tabs>
          <w:tab w:val="clear" w:pos="8306"/>
        </w:tabs>
      </w:pPr>
      <w:r w:rsidRPr="006D40F0">
        <w:t>V</w:t>
      </w:r>
      <w:r w:rsidR="00856F34" w:rsidRPr="006D40F0">
        <w:t>alsts sekretār</w:t>
      </w:r>
      <w:r w:rsidRPr="006D40F0">
        <w:t>s</w:t>
      </w:r>
      <w:r w:rsidR="00856F34" w:rsidRPr="006D40F0">
        <w:tab/>
      </w:r>
      <w:r w:rsidR="006D40F0">
        <w:tab/>
      </w:r>
      <w:r w:rsidR="007E1BB6">
        <w:tab/>
      </w:r>
      <w:r w:rsidR="007E1BB6">
        <w:tab/>
      </w:r>
      <w:r w:rsidR="007E1BB6">
        <w:tab/>
      </w:r>
      <w:r w:rsidR="007E1BB6">
        <w:tab/>
      </w:r>
      <w:r w:rsidR="002946D2">
        <w:t>E</w:t>
      </w:r>
      <w:r w:rsidR="006D40F0" w:rsidRPr="006D40F0">
        <w:t>.</w:t>
      </w:r>
      <w:r w:rsidR="007E1BB6">
        <w:t> </w:t>
      </w:r>
      <w:r w:rsidR="002946D2">
        <w:t>Valantis</w:t>
      </w:r>
    </w:p>
    <w:p w14:paraId="1D254D85" w14:textId="2876F6C6" w:rsidR="00856F34" w:rsidRDefault="00856F34" w:rsidP="007E1BB6">
      <w:pPr>
        <w:pStyle w:val="Signature"/>
        <w:widowControl/>
        <w:tabs>
          <w:tab w:val="clear" w:pos="9072"/>
        </w:tabs>
        <w:spacing w:before="0"/>
        <w:ind w:firstLine="0"/>
        <w:rPr>
          <w:sz w:val="24"/>
          <w:szCs w:val="24"/>
        </w:rPr>
      </w:pPr>
    </w:p>
    <w:p w14:paraId="76E5CD70" w14:textId="690734C6" w:rsidR="00827B1F" w:rsidRDefault="00827B1F" w:rsidP="00827B1F">
      <w:pPr>
        <w:pStyle w:val="EnvelopeReturn"/>
        <w:rPr>
          <w:lang w:val="en-AU" w:eastAsia="en-US"/>
        </w:rPr>
      </w:pPr>
    </w:p>
    <w:p w14:paraId="54809022" w14:textId="77777777" w:rsidR="00827B1F" w:rsidRPr="00827B1F" w:rsidRDefault="00827B1F" w:rsidP="00827B1F">
      <w:pPr>
        <w:pStyle w:val="EnvelopeReturn"/>
        <w:rPr>
          <w:lang w:val="en-AU" w:eastAsia="en-US"/>
        </w:rPr>
      </w:pPr>
    </w:p>
    <w:p w14:paraId="70C274D2" w14:textId="47517380" w:rsidR="00827B1F" w:rsidRPr="00827B1F" w:rsidRDefault="006F1F4F" w:rsidP="00827B1F">
      <w:pPr>
        <w:tabs>
          <w:tab w:val="left" w:pos="6237"/>
        </w:tabs>
        <w:rPr>
          <w:rFonts w:eastAsia="Calibri"/>
          <w:sz w:val="20"/>
          <w:szCs w:val="28"/>
          <w:lang w:eastAsia="en-US"/>
        </w:rPr>
      </w:pPr>
      <w:r>
        <w:rPr>
          <w:rFonts w:eastAsia="Calibri"/>
          <w:sz w:val="20"/>
          <w:szCs w:val="28"/>
          <w:lang w:eastAsia="en-US"/>
        </w:rPr>
        <w:t xml:space="preserve">Lauma </w:t>
      </w:r>
      <w:r w:rsidR="00827B1F" w:rsidRPr="00827B1F">
        <w:rPr>
          <w:rFonts w:eastAsia="Calibri"/>
          <w:sz w:val="20"/>
          <w:szCs w:val="28"/>
          <w:lang w:eastAsia="en-US"/>
        </w:rPr>
        <w:t>Blūmentāle, 67013133</w:t>
      </w:r>
    </w:p>
    <w:p w14:paraId="6F088004" w14:textId="77777777" w:rsidR="00827B1F" w:rsidRPr="00D146AB" w:rsidRDefault="005E1015" w:rsidP="00827B1F">
      <w:pPr>
        <w:tabs>
          <w:tab w:val="left" w:pos="6237"/>
        </w:tabs>
        <w:rPr>
          <w:rFonts w:eastAsia="Calibri"/>
          <w:sz w:val="20"/>
          <w:szCs w:val="28"/>
          <w:lang w:eastAsia="en-US"/>
        </w:rPr>
      </w:pPr>
      <w:hyperlink r:id="rId21" w:history="1">
        <w:r w:rsidR="00827B1F" w:rsidRPr="00D146AB">
          <w:rPr>
            <w:rFonts w:eastAsia="Calibri"/>
            <w:sz w:val="20"/>
            <w:szCs w:val="28"/>
            <w:lang w:eastAsia="en-US"/>
          </w:rPr>
          <w:t>Lauma.Blumentale@em.gov.lv</w:t>
        </w:r>
      </w:hyperlink>
      <w:r w:rsidR="00827B1F" w:rsidRPr="00D146AB">
        <w:rPr>
          <w:rFonts w:eastAsia="Calibri"/>
          <w:sz w:val="20"/>
          <w:szCs w:val="28"/>
          <w:lang w:eastAsia="en-US"/>
        </w:rPr>
        <w:t xml:space="preserve"> </w:t>
      </w:r>
    </w:p>
    <w:p w14:paraId="3B1BA06A" w14:textId="63263A06" w:rsidR="006E1182" w:rsidRPr="006D40F0" w:rsidRDefault="006E1182" w:rsidP="006E1182"/>
    <w:sectPr w:rsidR="006E1182" w:rsidRPr="006D40F0" w:rsidSect="00C31E36">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872F" w16cex:dateUtc="2021-04-27T09:50:00Z"/>
  <w16cex:commentExtensible w16cex:durableId="24329815" w16cex:dateUtc="2021-04-27T11: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2ABE" w14:textId="77777777" w:rsidR="005E1015" w:rsidRDefault="005E1015">
      <w:r>
        <w:separator/>
      </w:r>
    </w:p>
  </w:endnote>
  <w:endnote w:type="continuationSeparator" w:id="0">
    <w:p w14:paraId="13409F36" w14:textId="77777777" w:rsidR="005E1015" w:rsidRDefault="005E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7E29" w14:textId="77777777" w:rsidR="0036589A" w:rsidRDefault="00365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0338" w14:textId="55FD62D0" w:rsidR="009127F7" w:rsidRPr="00BF0CCA" w:rsidRDefault="009127F7" w:rsidP="00F41226">
    <w:pPr>
      <w:pStyle w:val="Footer"/>
      <w:jc w:val="both"/>
    </w:pPr>
    <w:r w:rsidRPr="00671C30">
      <w:rPr>
        <w:sz w:val="20"/>
        <w:szCs w:val="20"/>
      </w:rPr>
      <w:t>EM</w:t>
    </w:r>
    <w:r>
      <w:rPr>
        <w:sz w:val="20"/>
        <w:szCs w:val="20"/>
      </w:rPr>
      <w:t>Anot_</w:t>
    </w:r>
    <w:r w:rsidR="0036589A">
      <w:rPr>
        <w:sz w:val="20"/>
        <w:szCs w:val="20"/>
      </w:rPr>
      <w:t>30</w:t>
    </w:r>
    <w:r w:rsidR="00AA681B">
      <w:rPr>
        <w:sz w:val="20"/>
        <w:szCs w:val="20"/>
      </w:rPr>
      <w:t>0421</w:t>
    </w:r>
    <w:r>
      <w:rPr>
        <w:sz w:val="20"/>
        <w:szCs w:val="20"/>
      </w:rPr>
      <w:t>_</w:t>
    </w:r>
    <w:r w:rsidR="0054117D">
      <w:rPr>
        <w:sz w:val="20"/>
        <w:szCs w:val="20"/>
      </w:rPr>
      <w:t>groz857</w:t>
    </w:r>
  </w:p>
  <w:p w14:paraId="1AF129A7" w14:textId="77777777" w:rsidR="009127F7" w:rsidRPr="004A3B4A" w:rsidRDefault="009127F7" w:rsidP="004A3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CF4D" w14:textId="364B1F27" w:rsidR="009127F7" w:rsidRPr="003F322E" w:rsidRDefault="009127F7" w:rsidP="00F41226">
    <w:pPr>
      <w:pStyle w:val="Footer"/>
      <w:jc w:val="both"/>
    </w:pPr>
    <w:r w:rsidRPr="00671C30">
      <w:rPr>
        <w:sz w:val="20"/>
        <w:szCs w:val="20"/>
      </w:rPr>
      <w:t>EM</w:t>
    </w:r>
    <w:r>
      <w:rPr>
        <w:sz w:val="20"/>
        <w:szCs w:val="20"/>
      </w:rPr>
      <w:t>Anot_</w:t>
    </w:r>
    <w:r w:rsidR="0036589A">
      <w:rPr>
        <w:sz w:val="20"/>
        <w:szCs w:val="20"/>
      </w:rPr>
      <w:t>30</w:t>
    </w:r>
    <w:r>
      <w:rPr>
        <w:sz w:val="20"/>
        <w:szCs w:val="20"/>
      </w:rPr>
      <w:t>0421_</w:t>
    </w:r>
    <w:r w:rsidR="0054117D">
      <w:rPr>
        <w:sz w:val="20"/>
        <w:szCs w:val="20"/>
      </w:rPr>
      <w:t>groz857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8D4D" w14:textId="77777777" w:rsidR="005E1015" w:rsidRDefault="005E1015">
      <w:r>
        <w:separator/>
      </w:r>
    </w:p>
  </w:footnote>
  <w:footnote w:type="continuationSeparator" w:id="0">
    <w:p w14:paraId="77C4E866" w14:textId="77777777" w:rsidR="005E1015" w:rsidRDefault="005E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3643" w14:textId="77777777" w:rsidR="009127F7" w:rsidRDefault="009127F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6A685" w14:textId="77777777" w:rsidR="009127F7" w:rsidRDefault="00912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55F7" w14:textId="77777777" w:rsidR="009127F7" w:rsidRDefault="009127F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FFA8D7" w14:textId="77777777" w:rsidR="009127F7" w:rsidRDefault="00912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FF0C" w14:textId="77777777" w:rsidR="0036589A" w:rsidRDefault="00365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BEA"/>
    <w:multiLevelType w:val="hybridMultilevel"/>
    <w:tmpl w:val="3EAA9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321E3"/>
    <w:multiLevelType w:val="hybridMultilevel"/>
    <w:tmpl w:val="6FCC7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CA680B"/>
    <w:multiLevelType w:val="hybridMultilevel"/>
    <w:tmpl w:val="816EF9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E7990"/>
    <w:multiLevelType w:val="hybridMultilevel"/>
    <w:tmpl w:val="66F8B520"/>
    <w:lvl w:ilvl="0" w:tplc="04260005">
      <w:start w:val="1"/>
      <w:numFmt w:val="bullet"/>
      <w:lvlText w:val=""/>
      <w:lvlJc w:val="left"/>
      <w:pPr>
        <w:ind w:left="1209" w:hanging="360"/>
      </w:pPr>
      <w:rPr>
        <w:rFonts w:ascii="Wingdings" w:hAnsi="Wingdings"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5" w15:restartNumberingAfterBreak="0">
    <w:nsid w:val="14175BE3"/>
    <w:multiLevelType w:val="hybridMultilevel"/>
    <w:tmpl w:val="B59E05B4"/>
    <w:lvl w:ilvl="0" w:tplc="ADE834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2B3EE0"/>
    <w:multiLevelType w:val="hybridMultilevel"/>
    <w:tmpl w:val="D39A65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BF303B"/>
    <w:multiLevelType w:val="hybridMultilevel"/>
    <w:tmpl w:val="6C601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FC5ACC"/>
    <w:multiLevelType w:val="hybridMultilevel"/>
    <w:tmpl w:val="0B0C2B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426D00D1"/>
    <w:multiLevelType w:val="hybridMultilevel"/>
    <w:tmpl w:val="1A76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4FD4414"/>
    <w:multiLevelType w:val="hybridMultilevel"/>
    <w:tmpl w:val="01CC5514"/>
    <w:lvl w:ilvl="0" w:tplc="4FBAE74A">
      <w:start w:val="1"/>
      <w:numFmt w:val="decimal"/>
      <w:lvlText w:val="%1)"/>
      <w:lvlJc w:val="left"/>
      <w:pPr>
        <w:tabs>
          <w:tab w:val="num" w:pos="720"/>
        </w:tabs>
        <w:ind w:left="720" w:hanging="360"/>
      </w:pPr>
    </w:lvl>
    <w:lvl w:ilvl="1" w:tplc="B1AEE3F2" w:tentative="1">
      <w:start w:val="1"/>
      <w:numFmt w:val="decimal"/>
      <w:lvlText w:val="%2)"/>
      <w:lvlJc w:val="left"/>
      <w:pPr>
        <w:tabs>
          <w:tab w:val="num" w:pos="1440"/>
        </w:tabs>
        <w:ind w:left="1440" w:hanging="360"/>
      </w:pPr>
    </w:lvl>
    <w:lvl w:ilvl="2" w:tplc="7558540C" w:tentative="1">
      <w:start w:val="1"/>
      <w:numFmt w:val="decimal"/>
      <w:lvlText w:val="%3)"/>
      <w:lvlJc w:val="left"/>
      <w:pPr>
        <w:tabs>
          <w:tab w:val="num" w:pos="2160"/>
        </w:tabs>
        <w:ind w:left="2160" w:hanging="360"/>
      </w:pPr>
    </w:lvl>
    <w:lvl w:ilvl="3" w:tplc="C9D481AA" w:tentative="1">
      <w:start w:val="1"/>
      <w:numFmt w:val="decimal"/>
      <w:lvlText w:val="%4)"/>
      <w:lvlJc w:val="left"/>
      <w:pPr>
        <w:tabs>
          <w:tab w:val="num" w:pos="2880"/>
        </w:tabs>
        <w:ind w:left="2880" w:hanging="360"/>
      </w:pPr>
    </w:lvl>
    <w:lvl w:ilvl="4" w:tplc="B846F95E" w:tentative="1">
      <w:start w:val="1"/>
      <w:numFmt w:val="decimal"/>
      <w:lvlText w:val="%5)"/>
      <w:lvlJc w:val="left"/>
      <w:pPr>
        <w:tabs>
          <w:tab w:val="num" w:pos="3600"/>
        </w:tabs>
        <w:ind w:left="3600" w:hanging="360"/>
      </w:pPr>
    </w:lvl>
    <w:lvl w:ilvl="5" w:tplc="40AC87A2" w:tentative="1">
      <w:start w:val="1"/>
      <w:numFmt w:val="decimal"/>
      <w:lvlText w:val="%6)"/>
      <w:lvlJc w:val="left"/>
      <w:pPr>
        <w:tabs>
          <w:tab w:val="num" w:pos="4320"/>
        </w:tabs>
        <w:ind w:left="4320" w:hanging="360"/>
      </w:pPr>
    </w:lvl>
    <w:lvl w:ilvl="6" w:tplc="B36A7D84" w:tentative="1">
      <w:start w:val="1"/>
      <w:numFmt w:val="decimal"/>
      <w:lvlText w:val="%7)"/>
      <w:lvlJc w:val="left"/>
      <w:pPr>
        <w:tabs>
          <w:tab w:val="num" w:pos="5040"/>
        </w:tabs>
        <w:ind w:left="5040" w:hanging="360"/>
      </w:pPr>
    </w:lvl>
    <w:lvl w:ilvl="7" w:tplc="AD2019DA" w:tentative="1">
      <w:start w:val="1"/>
      <w:numFmt w:val="decimal"/>
      <w:lvlText w:val="%8)"/>
      <w:lvlJc w:val="left"/>
      <w:pPr>
        <w:tabs>
          <w:tab w:val="num" w:pos="5760"/>
        </w:tabs>
        <w:ind w:left="5760" w:hanging="360"/>
      </w:pPr>
    </w:lvl>
    <w:lvl w:ilvl="8" w:tplc="258A7C32" w:tentative="1">
      <w:start w:val="1"/>
      <w:numFmt w:val="decimal"/>
      <w:lvlText w:val="%9)"/>
      <w:lvlJc w:val="left"/>
      <w:pPr>
        <w:tabs>
          <w:tab w:val="num" w:pos="6480"/>
        </w:tabs>
        <w:ind w:left="6480" w:hanging="360"/>
      </w:pPr>
    </w:lvl>
  </w:abstractNum>
  <w:abstractNum w:abstractNumId="19" w15:restartNumberingAfterBreak="0">
    <w:nsid w:val="57A7742F"/>
    <w:multiLevelType w:val="hybridMultilevel"/>
    <w:tmpl w:val="DB3E9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E257C"/>
    <w:multiLevelType w:val="hybridMultilevel"/>
    <w:tmpl w:val="5836A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B0C47"/>
    <w:multiLevelType w:val="hybridMultilevel"/>
    <w:tmpl w:val="05C25A64"/>
    <w:lvl w:ilvl="0" w:tplc="D00E58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B2525FE"/>
    <w:multiLevelType w:val="hybridMultilevel"/>
    <w:tmpl w:val="9BE054FC"/>
    <w:lvl w:ilvl="0" w:tplc="AAEC91BC">
      <w:start w:val="1"/>
      <w:numFmt w:val="bullet"/>
      <w:lvlText w:val="•"/>
      <w:lvlJc w:val="left"/>
      <w:pPr>
        <w:tabs>
          <w:tab w:val="num" w:pos="720"/>
        </w:tabs>
        <w:ind w:left="720" w:hanging="360"/>
      </w:pPr>
      <w:rPr>
        <w:rFonts w:ascii="Arial" w:hAnsi="Arial" w:hint="default"/>
      </w:rPr>
    </w:lvl>
    <w:lvl w:ilvl="1" w:tplc="6582B64C">
      <w:start w:val="2040"/>
      <w:numFmt w:val="bullet"/>
      <w:lvlText w:val="•"/>
      <w:lvlJc w:val="left"/>
      <w:pPr>
        <w:tabs>
          <w:tab w:val="num" w:pos="1440"/>
        </w:tabs>
        <w:ind w:left="1440" w:hanging="360"/>
      </w:pPr>
      <w:rPr>
        <w:rFonts w:ascii="Arial" w:hAnsi="Arial" w:hint="default"/>
      </w:rPr>
    </w:lvl>
    <w:lvl w:ilvl="2" w:tplc="2EE42EA6" w:tentative="1">
      <w:start w:val="1"/>
      <w:numFmt w:val="bullet"/>
      <w:lvlText w:val="•"/>
      <w:lvlJc w:val="left"/>
      <w:pPr>
        <w:tabs>
          <w:tab w:val="num" w:pos="2160"/>
        </w:tabs>
        <w:ind w:left="2160" w:hanging="360"/>
      </w:pPr>
      <w:rPr>
        <w:rFonts w:ascii="Arial" w:hAnsi="Arial" w:hint="default"/>
      </w:rPr>
    </w:lvl>
    <w:lvl w:ilvl="3" w:tplc="F4588DD6" w:tentative="1">
      <w:start w:val="1"/>
      <w:numFmt w:val="bullet"/>
      <w:lvlText w:val="•"/>
      <w:lvlJc w:val="left"/>
      <w:pPr>
        <w:tabs>
          <w:tab w:val="num" w:pos="2880"/>
        </w:tabs>
        <w:ind w:left="2880" w:hanging="360"/>
      </w:pPr>
      <w:rPr>
        <w:rFonts w:ascii="Arial" w:hAnsi="Arial" w:hint="default"/>
      </w:rPr>
    </w:lvl>
    <w:lvl w:ilvl="4" w:tplc="AFB0662E" w:tentative="1">
      <w:start w:val="1"/>
      <w:numFmt w:val="bullet"/>
      <w:lvlText w:val="•"/>
      <w:lvlJc w:val="left"/>
      <w:pPr>
        <w:tabs>
          <w:tab w:val="num" w:pos="3600"/>
        </w:tabs>
        <w:ind w:left="3600" w:hanging="360"/>
      </w:pPr>
      <w:rPr>
        <w:rFonts w:ascii="Arial" w:hAnsi="Arial" w:hint="default"/>
      </w:rPr>
    </w:lvl>
    <w:lvl w:ilvl="5" w:tplc="8288FE04" w:tentative="1">
      <w:start w:val="1"/>
      <w:numFmt w:val="bullet"/>
      <w:lvlText w:val="•"/>
      <w:lvlJc w:val="left"/>
      <w:pPr>
        <w:tabs>
          <w:tab w:val="num" w:pos="4320"/>
        </w:tabs>
        <w:ind w:left="4320" w:hanging="360"/>
      </w:pPr>
      <w:rPr>
        <w:rFonts w:ascii="Arial" w:hAnsi="Arial" w:hint="default"/>
      </w:rPr>
    </w:lvl>
    <w:lvl w:ilvl="6" w:tplc="64ACAD9E" w:tentative="1">
      <w:start w:val="1"/>
      <w:numFmt w:val="bullet"/>
      <w:lvlText w:val="•"/>
      <w:lvlJc w:val="left"/>
      <w:pPr>
        <w:tabs>
          <w:tab w:val="num" w:pos="5040"/>
        </w:tabs>
        <w:ind w:left="5040" w:hanging="360"/>
      </w:pPr>
      <w:rPr>
        <w:rFonts w:ascii="Arial" w:hAnsi="Arial" w:hint="default"/>
      </w:rPr>
    </w:lvl>
    <w:lvl w:ilvl="7" w:tplc="FEE8D742" w:tentative="1">
      <w:start w:val="1"/>
      <w:numFmt w:val="bullet"/>
      <w:lvlText w:val="•"/>
      <w:lvlJc w:val="left"/>
      <w:pPr>
        <w:tabs>
          <w:tab w:val="num" w:pos="5760"/>
        </w:tabs>
        <w:ind w:left="5760" w:hanging="360"/>
      </w:pPr>
      <w:rPr>
        <w:rFonts w:ascii="Arial" w:hAnsi="Arial" w:hint="default"/>
      </w:rPr>
    </w:lvl>
    <w:lvl w:ilvl="8" w:tplc="78DC32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B110AB"/>
    <w:multiLevelType w:val="hybridMultilevel"/>
    <w:tmpl w:val="61F20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AD0E60"/>
    <w:multiLevelType w:val="hybridMultilevel"/>
    <w:tmpl w:val="7CAC4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0221125"/>
    <w:multiLevelType w:val="hybridMultilevel"/>
    <w:tmpl w:val="87DA3CE0"/>
    <w:lvl w:ilvl="0" w:tplc="4104BBB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A233E3"/>
    <w:multiLevelType w:val="hybridMultilevel"/>
    <w:tmpl w:val="9D0C73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256F76"/>
    <w:multiLevelType w:val="hybridMultilevel"/>
    <w:tmpl w:val="3864E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5E7840"/>
    <w:multiLevelType w:val="hybridMultilevel"/>
    <w:tmpl w:val="E264D04E"/>
    <w:lvl w:ilvl="0" w:tplc="E378FF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6560077"/>
    <w:multiLevelType w:val="hybridMultilevel"/>
    <w:tmpl w:val="1CD20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BF50A5"/>
    <w:multiLevelType w:val="hybridMultilevel"/>
    <w:tmpl w:val="2292A4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DB40D7"/>
    <w:multiLevelType w:val="hybridMultilevel"/>
    <w:tmpl w:val="3E9EC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DE34AD"/>
    <w:multiLevelType w:val="hybridMultilevel"/>
    <w:tmpl w:val="55867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6E4B93"/>
    <w:multiLevelType w:val="hybridMultilevel"/>
    <w:tmpl w:val="9D2ACA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23"/>
  </w:num>
  <w:num w:numId="3">
    <w:abstractNumId w:val="8"/>
  </w:num>
  <w:num w:numId="4">
    <w:abstractNumId w:val="6"/>
  </w:num>
  <w:num w:numId="5">
    <w:abstractNumId w:val="2"/>
  </w:num>
  <w:num w:numId="6">
    <w:abstractNumId w:val="17"/>
  </w:num>
  <w:num w:numId="7">
    <w:abstractNumId w:val="24"/>
  </w:num>
  <w:num w:numId="8">
    <w:abstractNumId w:val="14"/>
  </w:num>
  <w:num w:numId="9">
    <w:abstractNumId w:val="7"/>
  </w:num>
  <w:num w:numId="10">
    <w:abstractNumId w:val="15"/>
  </w:num>
  <w:num w:numId="11">
    <w:abstractNumId w:val="16"/>
  </w:num>
  <w:num w:numId="12">
    <w:abstractNumId w:val="20"/>
  </w:num>
  <w:num w:numId="13">
    <w:abstractNumId w:val="22"/>
  </w:num>
  <w:num w:numId="14">
    <w:abstractNumId w:val="28"/>
  </w:num>
  <w:num w:numId="15">
    <w:abstractNumId w:val="4"/>
  </w:num>
  <w:num w:numId="16">
    <w:abstractNumId w:val="9"/>
  </w:num>
  <w:num w:numId="17">
    <w:abstractNumId w:val="31"/>
  </w:num>
  <w:num w:numId="18">
    <w:abstractNumId w:val="18"/>
  </w:num>
  <w:num w:numId="19">
    <w:abstractNumId w:val="26"/>
  </w:num>
  <w:num w:numId="20">
    <w:abstractNumId w:val="33"/>
  </w:num>
  <w:num w:numId="21">
    <w:abstractNumId w:val="0"/>
  </w:num>
  <w:num w:numId="22">
    <w:abstractNumId w:val="30"/>
  </w:num>
  <w:num w:numId="23">
    <w:abstractNumId w:val="36"/>
  </w:num>
  <w:num w:numId="24">
    <w:abstractNumId w:val="3"/>
  </w:num>
  <w:num w:numId="25">
    <w:abstractNumId w:val="27"/>
  </w:num>
  <w:num w:numId="26">
    <w:abstractNumId w:val="13"/>
  </w:num>
  <w:num w:numId="27">
    <w:abstractNumId w:val="29"/>
  </w:num>
  <w:num w:numId="28">
    <w:abstractNumId w:val="19"/>
  </w:num>
  <w:num w:numId="29">
    <w:abstractNumId w:val="1"/>
  </w:num>
  <w:num w:numId="30">
    <w:abstractNumId w:val="34"/>
  </w:num>
  <w:num w:numId="31">
    <w:abstractNumId w:val="5"/>
  </w:num>
  <w:num w:numId="32">
    <w:abstractNumId w:val="10"/>
  </w:num>
  <w:num w:numId="33">
    <w:abstractNumId w:val="11"/>
  </w:num>
  <w:num w:numId="34">
    <w:abstractNumId w:val="21"/>
  </w:num>
  <w:num w:numId="35">
    <w:abstractNumId w:val="25"/>
  </w:num>
  <w:num w:numId="36">
    <w:abstractNumId w:val="37"/>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1D37"/>
    <w:rsid w:val="00011D24"/>
    <w:rsid w:val="00013FF4"/>
    <w:rsid w:val="00020FE1"/>
    <w:rsid w:val="00022E13"/>
    <w:rsid w:val="00032388"/>
    <w:rsid w:val="00035CE2"/>
    <w:rsid w:val="000362D1"/>
    <w:rsid w:val="0004196C"/>
    <w:rsid w:val="00045B48"/>
    <w:rsid w:val="0004769C"/>
    <w:rsid w:val="00052333"/>
    <w:rsid w:val="0005553B"/>
    <w:rsid w:val="00057A6A"/>
    <w:rsid w:val="0006035C"/>
    <w:rsid w:val="000604D2"/>
    <w:rsid w:val="00060A0E"/>
    <w:rsid w:val="00061BA6"/>
    <w:rsid w:val="00067066"/>
    <w:rsid w:val="00072A95"/>
    <w:rsid w:val="000730EB"/>
    <w:rsid w:val="0008047C"/>
    <w:rsid w:val="00081B7B"/>
    <w:rsid w:val="0009005E"/>
    <w:rsid w:val="00090BDB"/>
    <w:rsid w:val="000941C5"/>
    <w:rsid w:val="000964DC"/>
    <w:rsid w:val="000A0ACB"/>
    <w:rsid w:val="000A19F7"/>
    <w:rsid w:val="000A4538"/>
    <w:rsid w:val="000A6451"/>
    <w:rsid w:val="000B064E"/>
    <w:rsid w:val="000B09E0"/>
    <w:rsid w:val="000B5692"/>
    <w:rsid w:val="000B69CF"/>
    <w:rsid w:val="000B7528"/>
    <w:rsid w:val="000C0C04"/>
    <w:rsid w:val="000C28FF"/>
    <w:rsid w:val="000C2DFE"/>
    <w:rsid w:val="000C790C"/>
    <w:rsid w:val="000D3987"/>
    <w:rsid w:val="000F061D"/>
    <w:rsid w:val="000F1893"/>
    <w:rsid w:val="000F3E17"/>
    <w:rsid w:val="000F4794"/>
    <w:rsid w:val="00102398"/>
    <w:rsid w:val="00115387"/>
    <w:rsid w:val="00124F12"/>
    <w:rsid w:val="00126CA0"/>
    <w:rsid w:val="001328E7"/>
    <w:rsid w:val="00134F69"/>
    <w:rsid w:val="00140872"/>
    <w:rsid w:val="00142665"/>
    <w:rsid w:val="0014294F"/>
    <w:rsid w:val="00144E3A"/>
    <w:rsid w:val="00147978"/>
    <w:rsid w:val="0015060C"/>
    <w:rsid w:val="001536C1"/>
    <w:rsid w:val="0016018A"/>
    <w:rsid w:val="00161F0E"/>
    <w:rsid w:val="001620C7"/>
    <w:rsid w:val="00166309"/>
    <w:rsid w:val="0016786F"/>
    <w:rsid w:val="00170E2A"/>
    <w:rsid w:val="00172810"/>
    <w:rsid w:val="00173307"/>
    <w:rsid w:val="00173947"/>
    <w:rsid w:val="00177394"/>
    <w:rsid w:val="00181420"/>
    <w:rsid w:val="00182C18"/>
    <w:rsid w:val="00183B1E"/>
    <w:rsid w:val="00183B67"/>
    <w:rsid w:val="00183CC2"/>
    <w:rsid w:val="001900E4"/>
    <w:rsid w:val="00190F88"/>
    <w:rsid w:val="001A17FF"/>
    <w:rsid w:val="001A1F7F"/>
    <w:rsid w:val="001A2C40"/>
    <w:rsid w:val="001A3DF1"/>
    <w:rsid w:val="001A4066"/>
    <w:rsid w:val="001A6AE4"/>
    <w:rsid w:val="001B01FD"/>
    <w:rsid w:val="001B1623"/>
    <w:rsid w:val="001B4A71"/>
    <w:rsid w:val="001B5EE8"/>
    <w:rsid w:val="001C2E5B"/>
    <w:rsid w:val="001C53CA"/>
    <w:rsid w:val="001D0501"/>
    <w:rsid w:val="001D223A"/>
    <w:rsid w:val="001D3B93"/>
    <w:rsid w:val="001D5B54"/>
    <w:rsid w:val="001D772D"/>
    <w:rsid w:val="001E1DBF"/>
    <w:rsid w:val="001E2AAC"/>
    <w:rsid w:val="001E30AA"/>
    <w:rsid w:val="001E4639"/>
    <w:rsid w:val="001E4A7D"/>
    <w:rsid w:val="001E5A63"/>
    <w:rsid w:val="001F4209"/>
    <w:rsid w:val="001F43A8"/>
    <w:rsid w:val="001F5CD6"/>
    <w:rsid w:val="0021263D"/>
    <w:rsid w:val="00213F0C"/>
    <w:rsid w:val="00214094"/>
    <w:rsid w:val="00214730"/>
    <w:rsid w:val="0021592D"/>
    <w:rsid w:val="00220BAC"/>
    <w:rsid w:val="00222D76"/>
    <w:rsid w:val="00223EB1"/>
    <w:rsid w:val="0023086B"/>
    <w:rsid w:val="00231344"/>
    <w:rsid w:val="0023290C"/>
    <w:rsid w:val="00233086"/>
    <w:rsid w:val="0023436E"/>
    <w:rsid w:val="002347C0"/>
    <w:rsid w:val="00237481"/>
    <w:rsid w:val="00241A6C"/>
    <w:rsid w:val="00242480"/>
    <w:rsid w:val="00242B6F"/>
    <w:rsid w:val="00242D2B"/>
    <w:rsid w:val="00244837"/>
    <w:rsid w:val="0024739D"/>
    <w:rsid w:val="002534FD"/>
    <w:rsid w:val="00253C93"/>
    <w:rsid w:val="00253CD7"/>
    <w:rsid w:val="00262E2B"/>
    <w:rsid w:val="00264FF8"/>
    <w:rsid w:val="00265C4B"/>
    <w:rsid w:val="00270429"/>
    <w:rsid w:val="002723E9"/>
    <w:rsid w:val="00274FB9"/>
    <w:rsid w:val="00276B54"/>
    <w:rsid w:val="00277929"/>
    <w:rsid w:val="00283B82"/>
    <w:rsid w:val="002840F0"/>
    <w:rsid w:val="002846E9"/>
    <w:rsid w:val="00284C34"/>
    <w:rsid w:val="00284FF7"/>
    <w:rsid w:val="0029066C"/>
    <w:rsid w:val="002946D2"/>
    <w:rsid w:val="002A4199"/>
    <w:rsid w:val="002A60C3"/>
    <w:rsid w:val="002A67C7"/>
    <w:rsid w:val="002B50DB"/>
    <w:rsid w:val="002B5397"/>
    <w:rsid w:val="002B6BAE"/>
    <w:rsid w:val="002C0043"/>
    <w:rsid w:val="002C0CBD"/>
    <w:rsid w:val="002C12AB"/>
    <w:rsid w:val="002C69E0"/>
    <w:rsid w:val="002C796E"/>
    <w:rsid w:val="002C7CAC"/>
    <w:rsid w:val="002D0381"/>
    <w:rsid w:val="002D1D50"/>
    <w:rsid w:val="002D3306"/>
    <w:rsid w:val="002D48AA"/>
    <w:rsid w:val="002D7BAA"/>
    <w:rsid w:val="002D7F54"/>
    <w:rsid w:val="002E13B2"/>
    <w:rsid w:val="002E3FF4"/>
    <w:rsid w:val="002E72F4"/>
    <w:rsid w:val="002F78C8"/>
    <w:rsid w:val="00300B35"/>
    <w:rsid w:val="00300B9C"/>
    <w:rsid w:val="003016C5"/>
    <w:rsid w:val="00301940"/>
    <w:rsid w:val="00301CF3"/>
    <w:rsid w:val="0030443A"/>
    <w:rsid w:val="0030487A"/>
    <w:rsid w:val="00312E1C"/>
    <w:rsid w:val="003165F1"/>
    <w:rsid w:val="0032309D"/>
    <w:rsid w:val="0032715C"/>
    <w:rsid w:val="0033367B"/>
    <w:rsid w:val="0033739B"/>
    <w:rsid w:val="00337CA5"/>
    <w:rsid w:val="00340FE1"/>
    <w:rsid w:val="003444CE"/>
    <w:rsid w:val="00347194"/>
    <w:rsid w:val="0035484C"/>
    <w:rsid w:val="00354F2A"/>
    <w:rsid w:val="0036064D"/>
    <w:rsid w:val="00362478"/>
    <w:rsid w:val="003646CE"/>
    <w:rsid w:val="003653C8"/>
    <w:rsid w:val="0036589A"/>
    <w:rsid w:val="00370334"/>
    <w:rsid w:val="00375B25"/>
    <w:rsid w:val="00377A0A"/>
    <w:rsid w:val="0038132C"/>
    <w:rsid w:val="00387E39"/>
    <w:rsid w:val="00392042"/>
    <w:rsid w:val="003949B5"/>
    <w:rsid w:val="00395662"/>
    <w:rsid w:val="00396542"/>
    <w:rsid w:val="0039685B"/>
    <w:rsid w:val="003A31A6"/>
    <w:rsid w:val="003A5EAE"/>
    <w:rsid w:val="003A74FD"/>
    <w:rsid w:val="003A7F0C"/>
    <w:rsid w:val="003A7F79"/>
    <w:rsid w:val="003B5454"/>
    <w:rsid w:val="003B6404"/>
    <w:rsid w:val="003B7B62"/>
    <w:rsid w:val="003C449B"/>
    <w:rsid w:val="003C466E"/>
    <w:rsid w:val="003D21F4"/>
    <w:rsid w:val="003D21FF"/>
    <w:rsid w:val="003E0064"/>
    <w:rsid w:val="003F0112"/>
    <w:rsid w:val="003F071A"/>
    <w:rsid w:val="003F160B"/>
    <w:rsid w:val="003F294F"/>
    <w:rsid w:val="003F322E"/>
    <w:rsid w:val="003F628C"/>
    <w:rsid w:val="003F6CCC"/>
    <w:rsid w:val="003F6E33"/>
    <w:rsid w:val="00400032"/>
    <w:rsid w:val="00400B5B"/>
    <w:rsid w:val="00402596"/>
    <w:rsid w:val="00403C85"/>
    <w:rsid w:val="00405A00"/>
    <w:rsid w:val="00415F12"/>
    <w:rsid w:val="00420870"/>
    <w:rsid w:val="0042350B"/>
    <w:rsid w:val="004263CC"/>
    <w:rsid w:val="00426729"/>
    <w:rsid w:val="00426CEA"/>
    <w:rsid w:val="00427C0E"/>
    <w:rsid w:val="00432D0C"/>
    <w:rsid w:val="0043791B"/>
    <w:rsid w:val="00441483"/>
    <w:rsid w:val="00441BCB"/>
    <w:rsid w:val="00443801"/>
    <w:rsid w:val="00446031"/>
    <w:rsid w:val="00447A14"/>
    <w:rsid w:val="0045082D"/>
    <w:rsid w:val="0045176A"/>
    <w:rsid w:val="00456332"/>
    <w:rsid w:val="00456B36"/>
    <w:rsid w:val="00460FAA"/>
    <w:rsid w:val="00461826"/>
    <w:rsid w:val="0046684C"/>
    <w:rsid w:val="004762BC"/>
    <w:rsid w:val="004800F9"/>
    <w:rsid w:val="00481EC9"/>
    <w:rsid w:val="00483D7C"/>
    <w:rsid w:val="004842AF"/>
    <w:rsid w:val="0049134A"/>
    <w:rsid w:val="00493EC2"/>
    <w:rsid w:val="00494D4D"/>
    <w:rsid w:val="004964E5"/>
    <w:rsid w:val="004A1D4C"/>
    <w:rsid w:val="004A2610"/>
    <w:rsid w:val="004A3B4A"/>
    <w:rsid w:val="004A58CB"/>
    <w:rsid w:val="004B119B"/>
    <w:rsid w:val="004B1795"/>
    <w:rsid w:val="004B300B"/>
    <w:rsid w:val="004B3F7B"/>
    <w:rsid w:val="004B56DD"/>
    <w:rsid w:val="004B62C2"/>
    <w:rsid w:val="004C020F"/>
    <w:rsid w:val="004C1AFD"/>
    <w:rsid w:val="004C558B"/>
    <w:rsid w:val="004D3040"/>
    <w:rsid w:val="004E132F"/>
    <w:rsid w:val="004E1F6B"/>
    <w:rsid w:val="004E35DF"/>
    <w:rsid w:val="004F1F88"/>
    <w:rsid w:val="004F41AE"/>
    <w:rsid w:val="004F4458"/>
    <w:rsid w:val="004F5F1B"/>
    <w:rsid w:val="004F7549"/>
    <w:rsid w:val="00502374"/>
    <w:rsid w:val="00503935"/>
    <w:rsid w:val="005059C2"/>
    <w:rsid w:val="005060A1"/>
    <w:rsid w:val="005065F0"/>
    <w:rsid w:val="00506A62"/>
    <w:rsid w:val="00510BFF"/>
    <w:rsid w:val="00514961"/>
    <w:rsid w:val="00516072"/>
    <w:rsid w:val="00521005"/>
    <w:rsid w:val="00524FA9"/>
    <w:rsid w:val="005270FD"/>
    <w:rsid w:val="005275E8"/>
    <w:rsid w:val="00527BA1"/>
    <w:rsid w:val="00530DFB"/>
    <w:rsid w:val="00532918"/>
    <w:rsid w:val="005332EC"/>
    <w:rsid w:val="005336FF"/>
    <w:rsid w:val="00534418"/>
    <w:rsid w:val="005353AB"/>
    <w:rsid w:val="0054117D"/>
    <w:rsid w:val="00541DA5"/>
    <w:rsid w:val="005445DF"/>
    <w:rsid w:val="00550722"/>
    <w:rsid w:val="00553E0A"/>
    <w:rsid w:val="005560BC"/>
    <w:rsid w:val="005573BE"/>
    <w:rsid w:val="005657F2"/>
    <w:rsid w:val="00567D36"/>
    <w:rsid w:val="00572700"/>
    <w:rsid w:val="00576E01"/>
    <w:rsid w:val="00580468"/>
    <w:rsid w:val="00582231"/>
    <w:rsid w:val="00582A15"/>
    <w:rsid w:val="00582C58"/>
    <w:rsid w:val="005836E1"/>
    <w:rsid w:val="0058603B"/>
    <w:rsid w:val="005863DF"/>
    <w:rsid w:val="005911DA"/>
    <w:rsid w:val="0059431B"/>
    <w:rsid w:val="005A39CC"/>
    <w:rsid w:val="005B108A"/>
    <w:rsid w:val="005B4730"/>
    <w:rsid w:val="005B6E08"/>
    <w:rsid w:val="005E05D7"/>
    <w:rsid w:val="005E1015"/>
    <w:rsid w:val="005E41E7"/>
    <w:rsid w:val="005E450F"/>
    <w:rsid w:val="005F0793"/>
    <w:rsid w:val="005F364E"/>
    <w:rsid w:val="005F6C8C"/>
    <w:rsid w:val="005F7182"/>
    <w:rsid w:val="006051CA"/>
    <w:rsid w:val="006067D6"/>
    <w:rsid w:val="00612AB3"/>
    <w:rsid w:val="0062298A"/>
    <w:rsid w:val="00622B76"/>
    <w:rsid w:val="00624FF8"/>
    <w:rsid w:val="00625D08"/>
    <w:rsid w:val="00626514"/>
    <w:rsid w:val="00626589"/>
    <w:rsid w:val="00626FE2"/>
    <w:rsid w:val="006312F8"/>
    <w:rsid w:val="006331B3"/>
    <w:rsid w:val="006339A0"/>
    <w:rsid w:val="006353B5"/>
    <w:rsid w:val="006413A8"/>
    <w:rsid w:val="00642E56"/>
    <w:rsid w:val="00645A1B"/>
    <w:rsid w:val="00645F43"/>
    <w:rsid w:val="00651185"/>
    <w:rsid w:val="00651E00"/>
    <w:rsid w:val="00652B10"/>
    <w:rsid w:val="006542D4"/>
    <w:rsid w:val="006562A6"/>
    <w:rsid w:val="00656616"/>
    <w:rsid w:val="00665DA9"/>
    <w:rsid w:val="0066755F"/>
    <w:rsid w:val="00671C30"/>
    <w:rsid w:val="00674572"/>
    <w:rsid w:val="006748A1"/>
    <w:rsid w:val="00674FAC"/>
    <w:rsid w:val="00680741"/>
    <w:rsid w:val="00687763"/>
    <w:rsid w:val="00690A83"/>
    <w:rsid w:val="00690D4A"/>
    <w:rsid w:val="0069174A"/>
    <w:rsid w:val="006926EE"/>
    <w:rsid w:val="00692B0D"/>
    <w:rsid w:val="00693B41"/>
    <w:rsid w:val="00693E0E"/>
    <w:rsid w:val="006948CA"/>
    <w:rsid w:val="006A1AE3"/>
    <w:rsid w:val="006A45D9"/>
    <w:rsid w:val="006C1E70"/>
    <w:rsid w:val="006C30E1"/>
    <w:rsid w:val="006C4607"/>
    <w:rsid w:val="006D40F0"/>
    <w:rsid w:val="006D48F1"/>
    <w:rsid w:val="006D5397"/>
    <w:rsid w:val="006D64BC"/>
    <w:rsid w:val="006E03F0"/>
    <w:rsid w:val="006E1182"/>
    <w:rsid w:val="006E2BEE"/>
    <w:rsid w:val="006E4CBE"/>
    <w:rsid w:val="006E4EF3"/>
    <w:rsid w:val="006F1F4F"/>
    <w:rsid w:val="006F45BE"/>
    <w:rsid w:val="007004FC"/>
    <w:rsid w:val="00705FD5"/>
    <w:rsid w:val="00706670"/>
    <w:rsid w:val="00711AF1"/>
    <w:rsid w:val="00711F59"/>
    <w:rsid w:val="0072417C"/>
    <w:rsid w:val="007327FA"/>
    <w:rsid w:val="00734450"/>
    <w:rsid w:val="00735336"/>
    <w:rsid w:val="00736C07"/>
    <w:rsid w:val="00740ED3"/>
    <w:rsid w:val="00743777"/>
    <w:rsid w:val="00745F67"/>
    <w:rsid w:val="0075039E"/>
    <w:rsid w:val="007514A9"/>
    <w:rsid w:val="00751986"/>
    <w:rsid w:val="00752D9D"/>
    <w:rsid w:val="00754784"/>
    <w:rsid w:val="00757C6E"/>
    <w:rsid w:val="00760293"/>
    <w:rsid w:val="00761ACA"/>
    <w:rsid w:val="00762830"/>
    <w:rsid w:val="00762BDA"/>
    <w:rsid w:val="00771497"/>
    <w:rsid w:val="0077222A"/>
    <w:rsid w:val="0077663D"/>
    <w:rsid w:val="00777A3B"/>
    <w:rsid w:val="007805FD"/>
    <w:rsid w:val="007821CC"/>
    <w:rsid w:val="00784422"/>
    <w:rsid w:val="00784F47"/>
    <w:rsid w:val="007917A3"/>
    <w:rsid w:val="00791AA2"/>
    <w:rsid w:val="0079332B"/>
    <w:rsid w:val="00793947"/>
    <w:rsid w:val="007A052D"/>
    <w:rsid w:val="007A5E2F"/>
    <w:rsid w:val="007B1C5D"/>
    <w:rsid w:val="007B3B54"/>
    <w:rsid w:val="007B3FA0"/>
    <w:rsid w:val="007C0F2C"/>
    <w:rsid w:val="007C0F4D"/>
    <w:rsid w:val="007C16E9"/>
    <w:rsid w:val="007C2BCC"/>
    <w:rsid w:val="007C3198"/>
    <w:rsid w:val="007C377E"/>
    <w:rsid w:val="007C4EF0"/>
    <w:rsid w:val="007D099D"/>
    <w:rsid w:val="007D5613"/>
    <w:rsid w:val="007E1BB6"/>
    <w:rsid w:val="007E2664"/>
    <w:rsid w:val="007E2E6E"/>
    <w:rsid w:val="007E3ABF"/>
    <w:rsid w:val="007E3FD7"/>
    <w:rsid w:val="007E5BFA"/>
    <w:rsid w:val="007E64AA"/>
    <w:rsid w:val="007E6689"/>
    <w:rsid w:val="007E731C"/>
    <w:rsid w:val="007F0A03"/>
    <w:rsid w:val="007F3301"/>
    <w:rsid w:val="00807088"/>
    <w:rsid w:val="00810040"/>
    <w:rsid w:val="0081167F"/>
    <w:rsid w:val="00811CA8"/>
    <w:rsid w:val="00813782"/>
    <w:rsid w:val="00817401"/>
    <w:rsid w:val="0082023A"/>
    <w:rsid w:val="00821A7A"/>
    <w:rsid w:val="00824939"/>
    <w:rsid w:val="008253F8"/>
    <w:rsid w:val="00827B1F"/>
    <w:rsid w:val="00830A4C"/>
    <w:rsid w:val="008325E4"/>
    <w:rsid w:val="0083274A"/>
    <w:rsid w:val="00832A2B"/>
    <w:rsid w:val="00835DB5"/>
    <w:rsid w:val="00836F54"/>
    <w:rsid w:val="00842265"/>
    <w:rsid w:val="00845811"/>
    <w:rsid w:val="00846172"/>
    <w:rsid w:val="00846994"/>
    <w:rsid w:val="00850451"/>
    <w:rsid w:val="00852042"/>
    <w:rsid w:val="008520E1"/>
    <w:rsid w:val="0085227F"/>
    <w:rsid w:val="008534C9"/>
    <w:rsid w:val="0085599D"/>
    <w:rsid w:val="008568BD"/>
    <w:rsid w:val="00856F34"/>
    <w:rsid w:val="00857352"/>
    <w:rsid w:val="008665DE"/>
    <w:rsid w:val="0087510C"/>
    <w:rsid w:val="00886351"/>
    <w:rsid w:val="00891B0D"/>
    <w:rsid w:val="00894901"/>
    <w:rsid w:val="008968D2"/>
    <w:rsid w:val="0089738E"/>
    <w:rsid w:val="008A2863"/>
    <w:rsid w:val="008B1959"/>
    <w:rsid w:val="008B5A21"/>
    <w:rsid w:val="008B5FDB"/>
    <w:rsid w:val="008B78B4"/>
    <w:rsid w:val="008C50F4"/>
    <w:rsid w:val="008C5649"/>
    <w:rsid w:val="008C655F"/>
    <w:rsid w:val="008D7301"/>
    <w:rsid w:val="008E1C08"/>
    <w:rsid w:val="008E36E5"/>
    <w:rsid w:val="008E40FE"/>
    <w:rsid w:val="008E44A2"/>
    <w:rsid w:val="008E697D"/>
    <w:rsid w:val="008F2FF8"/>
    <w:rsid w:val="008F3B23"/>
    <w:rsid w:val="00903263"/>
    <w:rsid w:val="00906A21"/>
    <w:rsid w:val="009070CB"/>
    <w:rsid w:val="009079C3"/>
    <w:rsid w:val="00910462"/>
    <w:rsid w:val="00910C5B"/>
    <w:rsid w:val="009127F7"/>
    <w:rsid w:val="00915AB1"/>
    <w:rsid w:val="00917532"/>
    <w:rsid w:val="00922213"/>
    <w:rsid w:val="009235BA"/>
    <w:rsid w:val="00924023"/>
    <w:rsid w:val="00924CE2"/>
    <w:rsid w:val="00925B9F"/>
    <w:rsid w:val="00931AED"/>
    <w:rsid w:val="009327BE"/>
    <w:rsid w:val="009364F6"/>
    <w:rsid w:val="0093765C"/>
    <w:rsid w:val="0094313C"/>
    <w:rsid w:val="009476A3"/>
    <w:rsid w:val="0095079C"/>
    <w:rsid w:val="0095140C"/>
    <w:rsid w:val="00952AC5"/>
    <w:rsid w:val="0095334F"/>
    <w:rsid w:val="00954B9D"/>
    <w:rsid w:val="00956653"/>
    <w:rsid w:val="00965897"/>
    <w:rsid w:val="00967244"/>
    <w:rsid w:val="0096765C"/>
    <w:rsid w:val="009727E4"/>
    <w:rsid w:val="00973E22"/>
    <w:rsid w:val="00977705"/>
    <w:rsid w:val="00980DE8"/>
    <w:rsid w:val="0098147A"/>
    <w:rsid w:val="009825B4"/>
    <w:rsid w:val="009841F7"/>
    <w:rsid w:val="009876F9"/>
    <w:rsid w:val="009878CA"/>
    <w:rsid w:val="00991831"/>
    <w:rsid w:val="009934C5"/>
    <w:rsid w:val="00994066"/>
    <w:rsid w:val="00994C0F"/>
    <w:rsid w:val="00996AE0"/>
    <w:rsid w:val="009978BC"/>
    <w:rsid w:val="009A177B"/>
    <w:rsid w:val="009A1A48"/>
    <w:rsid w:val="009A471C"/>
    <w:rsid w:val="009B05CB"/>
    <w:rsid w:val="009B071C"/>
    <w:rsid w:val="009B0EEA"/>
    <w:rsid w:val="009B22D7"/>
    <w:rsid w:val="009B7236"/>
    <w:rsid w:val="009B72ED"/>
    <w:rsid w:val="009C519B"/>
    <w:rsid w:val="009C6DEB"/>
    <w:rsid w:val="009D125C"/>
    <w:rsid w:val="009D18D1"/>
    <w:rsid w:val="009D2E44"/>
    <w:rsid w:val="009D343C"/>
    <w:rsid w:val="009D436D"/>
    <w:rsid w:val="009D6504"/>
    <w:rsid w:val="009E12D7"/>
    <w:rsid w:val="009E2054"/>
    <w:rsid w:val="009E661A"/>
    <w:rsid w:val="009F2FB7"/>
    <w:rsid w:val="009F599D"/>
    <w:rsid w:val="00A02744"/>
    <w:rsid w:val="00A028C4"/>
    <w:rsid w:val="00A03542"/>
    <w:rsid w:val="00A06781"/>
    <w:rsid w:val="00A074C3"/>
    <w:rsid w:val="00A1509C"/>
    <w:rsid w:val="00A22FD4"/>
    <w:rsid w:val="00A249B9"/>
    <w:rsid w:val="00A25843"/>
    <w:rsid w:val="00A33A7A"/>
    <w:rsid w:val="00A34260"/>
    <w:rsid w:val="00A35CC2"/>
    <w:rsid w:val="00A40A31"/>
    <w:rsid w:val="00A43482"/>
    <w:rsid w:val="00A47650"/>
    <w:rsid w:val="00A51833"/>
    <w:rsid w:val="00A54E6D"/>
    <w:rsid w:val="00A57437"/>
    <w:rsid w:val="00A64F93"/>
    <w:rsid w:val="00A70CFD"/>
    <w:rsid w:val="00A72592"/>
    <w:rsid w:val="00A72A0B"/>
    <w:rsid w:val="00A741EA"/>
    <w:rsid w:val="00A7681B"/>
    <w:rsid w:val="00A81391"/>
    <w:rsid w:val="00A81E42"/>
    <w:rsid w:val="00A85208"/>
    <w:rsid w:val="00A864FE"/>
    <w:rsid w:val="00A86F41"/>
    <w:rsid w:val="00A87D04"/>
    <w:rsid w:val="00A909D9"/>
    <w:rsid w:val="00A92FE6"/>
    <w:rsid w:val="00A93DC1"/>
    <w:rsid w:val="00A950C5"/>
    <w:rsid w:val="00AA0B7D"/>
    <w:rsid w:val="00AA1D25"/>
    <w:rsid w:val="00AA3324"/>
    <w:rsid w:val="00AA681B"/>
    <w:rsid w:val="00AB2B1A"/>
    <w:rsid w:val="00AB397F"/>
    <w:rsid w:val="00AB3E24"/>
    <w:rsid w:val="00AB5832"/>
    <w:rsid w:val="00AB6BB1"/>
    <w:rsid w:val="00AC0DD8"/>
    <w:rsid w:val="00AC1AE9"/>
    <w:rsid w:val="00AC51F2"/>
    <w:rsid w:val="00AD2A68"/>
    <w:rsid w:val="00AD3269"/>
    <w:rsid w:val="00AD3C54"/>
    <w:rsid w:val="00AD435C"/>
    <w:rsid w:val="00AD51D1"/>
    <w:rsid w:val="00AE0228"/>
    <w:rsid w:val="00AE4441"/>
    <w:rsid w:val="00AE5066"/>
    <w:rsid w:val="00AE5E24"/>
    <w:rsid w:val="00AE61B7"/>
    <w:rsid w:val="00AE6CBA"/>
    <w:rsid w:val="00AE6F57"/>
    <w:rsid w:val="00AE79AD"/>
    <w:rsid w:val="00AF0C6D"/>
    <w:rsid w:val="00AF35E4"/>
    <w:rsid w:val="00AF5CDE"/>
    <w:rsid w:val="00AF6801"/>
    <w:rsid w:val="00B11A57"/>
    <w:rsid w:val="00B13798"/>
    <w:rsid w:val="00B15BA8"/>
    <w:rsid w:val="00B211C3"/>
    <w:rsid w:val="00B21AC2"/>
    <w:rsid w:val="00B2321D"/>
    <w:rsid w:val="00B2389A"/>
    <w:rsid w:val="00B25597"/>
    <w:rsid w:val="00B25978"/>
    <w:rsid w:val="00B267B9"/>
    <w:rsid w:val="00B33E09"/>
    <w:rsid w:val="00B46CF1"/>
    <w:rsid w:val="00B50708"/>
    <w:rsid w:val="00B50C68"/>
    <w:rsid w:val="00B51293"/>
    <w:rsid w:val="00B527E7"/>
    <w:rsid w:val="00B52B1E"/>
    <w:rsid w:val="00B54CE2"/>
    <w:rsid w:val="00B55481"/>
    <w:rsid w:val="00B56C32"/>
    <w:rsid w:val="00B57ACF"/>
    <w:rsid w:val="00B64BB1"/>
    <w:rsid w:val="00B67855"/>
    <w:rsid w:val="00B70F79"/>
    <w:rsid w:val="00B73166"/>
    <w:rsid w:val="00B754ED"/>
    <w:rsid w:val="00B7650F"/>
    <w:rsid w:val="00B8426C"/>
    <w:rsid w:val="00B8627C"/>
    <w:rsid w:val="00B900DC"/>
    <w:rsid w:val="00B91B8D"/>
    <w:rsid w:val="00B93116"/>
    <w:rsid w:val="00B93A1C"/>
    <w:rsid w:val="00B94E90"/>
    <w:rsid w:val="00B966FF"/>
    <w:rsid w:val="00BA0A6E"/>
    <w:rsid w:val="00BA1F1E"/>
    <w:rsid w:val="00BA3CBD"/>
    <w:rsid w:val="00BA7357"/>
    <w:rsid w:val="00BB0A82"/>
    <w:rsid w:val="00BB7C94"/>
    <w:rsid w:val="00BC0A9D"/>
    <w:rsid w:val="00BC2F4E"/>
    <w:rsid w:val="00BD0F04"/>
    <w:rsid w:val="00BD2B08"/>
    <w:rsid w:val="00BD2C2C"/>
    <w:rsid w:val="00BD64FD"/>
    <w:rsid w:val="00BE2349"/>
    <w:rsid w:val="00BE3B5F"/>
    <w:rsid w:val="00BE66B0"/>
    <w:rsid w:val="00BF0C3B"/>
    <w:rsid w:val="00BF0CCA"/>
    <w:rsid w:val="00BF12B1"/>
    <w:rsid w:val="00BF31F7"/>
    <w:rsid w:val="00BF40ED"/>
    <w:rsid w:val="00BF58A5"/>
    <w:rsid w:val="00BF5BC2"/>
    <w:rsid w:val="00C00640"/>
    <w:rsid w:val="00C007E9"/>
    <w:rsid w:val="00C01EE0"/>
    <w:rsid w:val="00C0258E"/>
    <w:rsid w:val="00C1005E"/>
    <w:rsid w:val="00C1133D"/>
    <w:rsid w:val="00C13895"/>
    <w:rsid w:val="00C224F8"/>
    <w:rsid w:val="00C27A08"/>
    <w:rsid w:val="00C31312"/>
    <w:rsid w:val="00C31E36"/>
    <w:rsid w:val="00C326C6"/>
    <w:rsid w:val="00C35295"/>
    <w:rsid w:val="00C35DA5"/>
    <w:rsid w:val="00C36ADD"/>
    <w:rsid w:val="00C36E74"/>
    <w:rsid w:val="00C40595"/>
    <w:rsid w:val="00C41621"/>
    <w:rsid w:val="00C449FA"/>
    <w:rsid w:val="00C51A11"/>
    <w:rsid w:val="00C5384F"/>
    <w:rsid w:val="00C55FE0"/>
    <w:rsid w:val="00C56964"/>
    <w:rsid w:val="00C60BC1"/>
    <w:rsid w:val="00C614D0"/>
    <w:rsid w:val="00C65105"/>
    <w:rsid w:val="00C656D5"/>
    <w:rsid w:val="00C67103"/>
    <w:rsid w:val="00C700F4"/>
    <w:rsid w:val="00C71BB9"/>
    <w:rsid w:val="00C74D1A"/>
    <w:rsid w:val="00C76D73"/>
    <w:rsid w:val="00C809F4"/>
    <w:rsid w:val="00C85E1A"/>
    <w:rsid w:val="00C87B2E"/>
    <w:rsid w:val="00C94C28"/>
    <w:rsid w:val="00C955F9"/>
    <w:rsid w:val="00C95A4E"/>
    <w:rsid w:val="00CA3DB7"/>
    <w:rsid w:val="00CA6439"/>
    <w:rsid w:val="00CA7D7F"/>
    <w:rsid w:val="00CB0247"/>
    <w:rsid w:val="00CB3440"/>
    <w:rsid w:val="00CB423E"/>
    <w:rsid w:val="00CB55AE"/>
    <w:rsid w:val="00CB663D"/>
    <w:rsid w:val="00CB7F3C"/>
    <w:rsid w:val="00CC10F4"/>
    <w:rsid w:val="00CC1692"/>
    <w:rsid w:val="00CC388C"/>
    <w:rsid w:val="00CC3FC6"/>
    <w:rsid w:val="00CC5A3D"/>
    <w:rsid w:val="00CC64C0"/>
    <w:rsid w:val="00CC7274"/>
    <w:rsid w:val="00CD138B"/>
    <w:rsid w:val="00CD3E31"/>
    <w:rsid w:val="00CD4D25"/>
    <w:rsid w:val="00CD74A3"/>
    <w:rsid w:val="00CE0527"/>
    <w:rsid w:val="00CE1A6E"/>
    <w:rsid w:val="00CE5912"/>
    <w:rsid w:val="00CE5B23"/>
    <w:rsid w:val="00CF10E1"/>
    <w:rsid w:val="00CF2B90"/>
    <w:rsid w:val="00CF3022"/>
    <w:rsid w:val="00CF3FE3"/>
    <w:rsid w:val="00CF4D71"/>
    <w:rsid w:val="00CF70AD"/>
    <w:rsid w:val="00CF7729"/>
    <w:rsid w:val="00D00059"/>
    <w:rsid w:val="00D02091"/>
    <w:rsid w:val="00D107FA"/>
    <w:rsid w:val="00D12275"/>
    <w:rsid w:val="00D12766"/>
    <w:rsid w:val="00D146AB"/>
    <w:rsid w:val="00D14BEA"/>
    <w:rsid w:val="00D20864"/>
    <w:rsid w:val="00D20FF4"/>
    <w:rsid w:val="00D24D2C"/>
    <w:rsid w:val="00D35506"/>
    <w:rsid w:val="00D35881"/>
    <w:rsid w:val="00D431E4"/>
    <w:rsid w:val="00D435C0"/>
    <w:rsid w:val="00D4397D"/>
    <w:rsid w:val="00D46235"/>
    <w:rsid w:val="00D53101"/>
    <w:rsid w:val="00D64F3A"/>
    <w:rsid w:val="00D73AA4"/>
    <w:rsid w:val="00D76B7E"/>
    <w:rsid w:val="00D809E6"/>
    <w:rsid w:val="00D8254C"/>
    <w:rsid w:val="00D86B91"/>
    <w:rsid w:val="00D90AC1"/>
    <w:rsid w:val="00D9132F"/>
    <w:rsid w:val="00D95E0E"/>
    <w:rsid w:val="00DA0959"/>
    <w:rsid w:val="00DA2B8E"/>
    <w:rsid w:val="00DA7A03"/>
    <w:rsid w:val="00DA7DA5"/>
    <w:rsid w:val="00DB073B"/>
    <w:rsid w:val="00DB0B60"/>
    <w:rsid w:val="00DB4418"/>
    <w:rsid w:val="00DB7322"/>
    <w:rsid w:val="00DB78F0"/>
    <w:rsid w:val="00DC0CEA"/>
    <w:rsid w:val="00DC2E43"/>
    <w:rsid w:val="00DD04AF"/>
    <w:rsid w:val="00DD095C"/>
    <w:rsid w:val="00DD1020"/>
    <w:rsid w:val="00DD1330"/>
    <w:rsid w:val="00DE0411"/>
    <w:rsid w:val="00DE0B83"/>
    <w:rsid w:val="00DE1A81"/>
    <w:rsid w:val="00DE1C13"/>
    <w:rsid w:val="00DE405B"/>
    <w:rsid w:val="00DE4E10"/>
    <w:rsid w:val="00DE4EA7"/>
    <w:rsid w:val="00DE6D4C"/>
    <w:rsid w:val="00DF0A80"/>
    <w:rsid w:val="00DF6E6F"/>
    <w:rsid w:val="00E021F6"/>
    <w:rsid w:val="00E02ABF"/>
    <w:rsid w:val="00E10181"/>
    <w:rsid w:val="00E113CA"/>
    <w:rsid w:val="00E12B29"/>
    <w:rsid w:val="00E14995"/>
    <w:rsid w:val="00E179CD"/>
    <w:rsid w:val="00E22C2D"/>
    <w:rsid w:val="00E23E8D"/>
    <w:rsid w:val="00E24192"/>
    <w:rsid w:val="00E24E0A"/>
    <w:rsid w:val="00E37F98"/>
    <w:rsid w:val="00E42298"/>
    <w:rsid w:val="00E46559"/>
    <w:rsid w:val="00E60A04"/>
    <w:rsid w:val="00E62C27"/>
    <w:rsid w:val="00E641B1"/>
    <w:rsid w:val="00E6670C"/>
    <w:rsid w:val="00E7569A"/>
    <w:rsid w:val="00E776E8"/>
    <w:rsid w:val="00E82801"/>
    <w:rsid w:val="00E90EE8"/>
    <w:rsid w:val="00E92C1F"/>
    <w:rsid w:val="00E92F96"/>
    <w:rsid w:val="00E95D4B"/>
    <w:rsid w:val="00E96BE1"/>
    <w:rsid w:val="00EA2E64"/>
    <w:rsid w:val="00EB154B"/>
    <w:rsid w:val="00EB199F"/>
    <w:rsid w:val="00EB4CFE"/>
    <w:rsid w:val="00EB7667"/>
    <w:rsid w:val="00EC1EF3"/>
    <w:rsid w:val="00EC23F7"/>
    <w:rsid w:val="00EC33CF"/>
    <w:rsid w:val="00EC47B7"/>
    <w:rsid w:val="00EC4BD8"/>
    <w:rsid w:val="00EC4D6B"/>
    <w:rsid w:val="00EC63EB"/>
    <w:rsid w:val="00ED013A"/>
    <w:rsid w:val="00ED39CF"/>
    <w:rsid w:val="00ED412F"/>
    <w:rsid w:val="00EF36B2"/>
    <w:rsid w:val="00EF3CB8"/>
    <w:rsid w:val="00EF54B0"/>
    <w:rsid w:val="00F01E32"/>
    <w:rsid w:val="00F0226A"/>
    <w:rsid w:val="00F1186C"/>
    <w:rsid w:val="00F1246B"/>
    <w:rsid w:val="00F15442"/>
    <w:rsid w:val="00F15718"/>
    <w:rsid w:val="00F201EC"/>
    <w:rsid w:val="00F208A9"/>
    <w:rsid w:val="00F34575"/>
    <w:rsid w:val="00F35FFA"/>
    <w:rsid w:val="00F36004"/>
    <w:rsid w:val="00F361CE"/>
    <w:rsid w:val="00F41226"/>
    <w:rsid w:val="00F41D75"/>
    <w:rsid w:val="00F475C1"/>
    <w:rsid w:val="00F5139D"/>
    <w:rsid w:val="00F52DE7"/>
    <w:rsid w:val="00F5543A"/>
    <w:rsid w:val="00F56AE5"/>
    <w:rsid w:val="00F63827"/>
    <w:rsid w:val="00F63D71"/>
    <w:rsid w:val="00F63DAC"/>
    <w:rsid w:val="00F67175"/>
    <w:rsid w:val="00F7296D"/>
    <w:rsid w:val="00F7454F"/>
    <w:rsid w:val="00F764FA"/>
    <w:rsid w:val="00F77988"/>
    <w:rsid w:val="00F77F48"/>
    <w:rsid w:val="00F84008"/>
    <w:rsid w:val="00F93D3C"/>
    <w:rsid w:val="00F94581"/>
    <w:rsid w:val="00F96629"/>
    <w:rsid w:val="00FA5964"/>
    <w:rsid w:val="00FA621F"/>
    <w:rsid w:val="00FB30F1"/>
    <w:rsid w:val="00FB4BA1"/>
    <w:rsid w:val="00FB53E7"/>
    <w:rsid w:val="00FB77D8"/>
    <w:rsid w:val="00FC0361"/>
    <w:rsid w:val="00FC2EEC"/>
    <w:rsid w:val="00FD1081"/>
    <w:rsid w:val="00FD2A8A"/>
    <w:rsid w:val="00FE2176"/>
    <w:rsid w:val="00FE49D3"/>
    <w:rsid w:val="00FE54D1"/>
    <w:rsid w:val="00FF3BCC"/>
    <w:rsid w:val="00FF6A7C"/>
    <w:rsid w:val="014D78FD"/>
    <w:rsid w:val="058AC747"/>
    <w:rsid w:val="066B00C6"/>
    <w:rsid w:val="06FF71CD"/>
    <w:rsid w:val="07209145"/>
    <w:rsid w:val="089899DF"/>
    <w:rsid w:val="09495584"/>
    <w:rsid w:val="0A4F7F26"/>
    <w:rsid w:val="0AC78828"/>
    <w:rsid w:val="0DE2EF77"/>
    <w:rsid w:val="123185A3"/>
    <w:rsid w:val="15E1491E"/>
    <w:rsid w:val="1813FD04"/>
    <w:rsid w:val="1AC96005"/>
    <w:rsid w:val="1C8657EC"/>
    <w:rsid w:val="1DF5F810"/>
    <w:rsid w:val="2A6515F3"/>
    <w:rsid w:val="2B286FD5"/>
    <w:rsid w:val="2BABBB45"/>
    <w:rsid w:val="2C6D184E"/>
    <w:rsid w:val="2DB082EE"/>
    <w:rsid w:val="2EB2CD92"/>
    <w:rsid w:val="33287E74"/>
    <w:rsid w:val="349B4B74"/>
    <w:rsid w:val="34CB34CB"/>
    <w:rsid w:val="34E7388F"/>
    <w:rsid w:val="3C32C5E6"/>
    <w:rsid w:val="3D52EA33"/>
    <w:rsid w:val="3EA485C8"/>
    <w:rsid w:val="4101AA65"/>
    <w:rsid w:val="419A2BF0"/>
    <w:rsid w:val="42390E19"/>
    <w:rsid w:val="45047BE6"/>
    <w:rsid w:val="469D29C7"/>
    <w:rsid w:val="47215BE9"/>
    <w:rsid w:val="4F3CF404"/>
    <w:rsid w:val="4F62D571"/>
    <w:rsid w:val="520E711C"/>
    <w:rsid w:val="536C00E1"/>
    <w:rsid w:val="5536F759"/>
    <w:rsid w:val="557C0D68"/>
    <w:rsid w:val="5717DDC9"/>
    <w:rsid w:val="57F1F0E9"/>
    <w:rsid w:val="58832840"/>
    <w:rsid w:val="5C37A952"/>
    <w:rsid w:val="5E398D7C"/>
    <w:rsid w:val="600C81F2"/>
    <w:rsid w:val="60DA9BCC"/>
    <w:rsid w:val="60DF6EE2"/>
    <w:rsid w:val="62DAFD31"/>
    <w:rsid w:val="63269610"/>
    <w:rsid w:val="6458BE7A"/>
    <w:rsid w:val="6562E1CD"/>
    <w:rsid w:val="671FC5B1"/>
    <w:rsid w:val="67482063"/>
    <w:rsid w:val="68281A0D"/>
    <w:rsid w:val="682EFFF9"/>
    <w:rsid w:val="6A326BA7"/>
    <w:rsid w:val="6B960A0A"/>
    <w:rsid w:val="6CC44542"/>
    <w:rsid w:val="6EE83B79"/>
    <w:rsid w:val="73154EB3"/>
    <w:rsid w:val="734B4ED0"/>
    <w:rsid w:val="75CC7F04"/>
    <w:rsid w:val="7682EF92"/>
    <w:rsid w:val="779FBE90"/>
    <w:rsid w:val="783F6EC6"/>
    <w:rsid w:val="789E46C0"/>
    <w:rsid w:val="7CD908B9"/>
    <w:rsid w:val="7EEC9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D7019"/>
  <w15:chartTrackingRefBased/>
  <w15:docId w15:val="{55A2D599-D96A-4C95-8050-1B62CD84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4">
    <w:name w:val="heading 4"/>
    <w:basedOn w:val="Normal"/>
    <w:link w:val="Heading4Char"/>
    <w:uiPriority w:val="9"/>
    <w:qFormat/>
    <w:rsid w:val="00DE405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aliases w:val="18pt Bold Char"/>
    <w:link w:val="Header"/>
    <w:uiPriority w:val="99"/>
    <w:rsid w:val="002840F0"/>
    <w:rPr>
      <w:sz w:val="24"/>
      <w:szCs w:val="24"/>
    </w:rPr>
  </w:style>
  <w:style w:type="paragraph" w:styleId="NormalWeb">
    <w:name w:val="Normal (Web)"/>
    <w:basedOn w:val="Normal"/>
    <w:uiPriority w:val="99"/>
    <w:unhideWhenUsed/>
    <w:rsid w:val="00F7296D"/>
    <w:pPr>
      <w:spacing w:before="100" w:beforeAutospacing="1" w:after="100" w:afterAutospacing="1"/>
    </w:pPr>
    <w:rPr>
      <w:rFonts w:ascii="Verdana" w:hAnsi="Verdana"/>
      <w:sz w:val="21"/>
      <w:szCs w:val="21"/>
      <w:lang w:val="en-US" w:eastAsia="en-US"/>
    </w:rPr>
  </w:style>
  <w:style w:type="paragraph" w:styleId="Signature">
    <w:name w:val="Signature"/>
    <w:basedOn w:val="Normal"/>
    <w:next w:val="EnvelopeReturn"/>
    <w:link w:val="SignatureChar"/>
    <w:rsid w:val="00856F34"/>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rsid w:val="00856F34"/>
    <w:rPr>
      <w:sz w:val="26"/>
      <w:lang w:val="en-AU" w:eastAsia="en-US"/>
    </w:rPr>
  </w:style>
  <w:style w:type="paragraph" w:styleId="EnvelopeReturn">
    <w:name w:val="envelope return"/>
    <w:basedOn w:val="Normal"/>
    <w:rsid w:val="00856F34"/>
    <w:rPr>
      <w:rFonts w:ascii="Calibri Light" w:hAnsi="Calibri Light"/>
      <w:sz w:val="20"/>
      <w:szCs w:val="20"/>
    </w:rPr>
  </w:style>
  <w:style w:type="paragraph" w:styleId="ListParagraph">
    <w:name w:val="List Paragraph"/>
    <w:basedOn w:val="Normal"/>
    <w:uiPriority w:val="34"/>
    <w:qFormat/>
    <w:rsid w:val="007C3198"/>
    <w:pPr>
      <w:ind w:left="720"/>
      <w:contextualSpacing/>
    </w:pPr>
  </w:style>
  <w:style w:type="character" w:styleId="UnresolvedMention">
    <w:name w:val="Unresolved Mention"/>
    <w:uiPriority w:val="99"/>
    <w:semiHidden/>
    <w:unhideWhenUsed/>
    <w:rsid w:val="00626FE2"/>
    <w:rPr>
      <w:color w:val="605E5C"/>
      <w:shd w:val="clear" w:color="auto" w:fill="E1DFDD"/>
    </w:rPr>
  </w:style>
  <w:style w:type="paragraph" w:customStyle="1" w:styleId="tv213">
    <w:name w:val="tv213"/>
    <w:basedOn w:val="Normal"/>
    <w:rsid w:val="003F6CCC"/>
    <w:pPr>
      <w:spacing w:before="100" w:beforeAutospacing="1" w:after="100" w:afterAutospacing="1"/>
    </w:pPr>
  </w:style>
  <w:style w:type="character" w:customStyle="1" w:styleId="Heading4Char">
    <w:name w:val="Heading 4 Char"/>
    <w:link w:val="Heading4"/>
    <w:uiPriority w:val="9"/>
    <w:rsid w:val="00DE405B"/>
    <w:rPr>
      <w:b/>
      <w:bCs/>
      <w:sz w:val="24"/>
      <w:szCs w:val="24"/>
    </w:rPr>
  </w:style>
  <w:style w:type="character" w:styleId="FollowedHyperlink">
    <w:name w:val="FollowedHyperlink"/>
    <w:basedOn w:val="DefaultParagraphFont"/>
    <w:rsid w:val="0023086B"/>
    <w:rPr>
      <w:color w:val="954F72" w:themeColor="followedHyperlink"/>
      <w:u w:val="single"/>
    </w:rPr>
  </w:style>
  <w:style w:type="character" w:customStyle="1" w:styleId="VPBodyChar">
    <w:name w:val="VP Body Char"/>
    <w:link w:val="VPBody"/>
    <w:locked/>
    <w:rsid w:val="00B7650F"/>
  </w:style>
  <w:style w:type="paragraph" w:customStyle="1" w:styleId="VPBody">
    <w:name w:val="VP Body"/>
    <w:basedOn w:val="Normal"/>
    <w:link w:val="VPBodyChar"/>
    <w:rsid w:val="00B7650F"/>
    <w:pPr>
      <w:spacing w:before="80" w:after="80"/>
      <w:jc w:val="both"/>
    </w:pPr>
    <w:rPr>
      <w:sz w:val="20"/>
      <w:szCs w:val="20"/>
    </w:rPr>
  </w:style>
  <w:style w:type="paragraph" w:customStyle="1" w:styleId="VPMessage">
    <w:name w:val="VP Message"/>
    <w:basedOn w:val="Normal"/>
    <w:rsid w:val="00B7650F"/>
    <w:pPr>
      <w:spacing w:before="240" w:after="80"/>
    </w:pPr>
    <w:rPr>
      <w:rFonts w:eastAsia="Calibri"/>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029">
      <w:bodyDiv w:val="1"/>
      <w:marLeft w:val="0"/>
      <w:marRight w:val="0"/>
      <w:marTop w:val="0"/>
      <w:marBottom w:val="0"/>
      <w:divBdr>
        <w:top w:val="none" w:sz="0" w:space="0" w:color="auto"/>
        <w:left w:val="none" w:sz="0" w:space="0" w:color="auto"/>
        <w:bottom w:val="none" w:sz="0" w:space="0" w:color="auto"/>
        <w:right w:val="none" w:sz="0" w:space="0" w:color="auto"/>
      </w:divBdr>
    </w:div>
    <w:div w:id="324214004">
      <w:bodyDiv w:val="1"/>
      <w:marLeft w:val="0"/>
      <w:marRight w:val="0"/>
      <w:marTop w:val="0"/>
      <w:marBottom w:val="0"/>
      <w:divBdr>
        <w:top w:val="none" w:sz="0" w:space="0" w:color="auto"/>
        <w:left w:val="none" w:sz="0" w:space="0" w:color="auto"/>
        <w:bottom w:val="none" w:sz="0" w:space="0" w:color="auto"/>
        <w:right w:val="none" w:sz="0" w:space="0" w:color="auto"/>
      </w:divBdr>
    </w:div>
    <w:div w:id="366836006">
      <w:bodyDiv w:val="1"/>
      <w:marLeft w:val="0"/>
      <w:marRight w:val="0"/>
      <w:marTop w:val="0"/>
      <w:marBottom w:val="0"/>
      <w:divBdr>
        <w:top w:val="none" w:sz="0" w:space="0" w:color="auto"/>
        <w:left w:val="none" w:sz="0" w:space="0" w:color="auto"/>
        <w:bottom w:val="none" w:sz="0" w:space="0" w:color="auto"/>
        <w:right w:val="none" w:sz="0" w:space="0" w:color="auto"/>
      </w:divBdr>
    </w:div>
    <w:div w:id="395201973">
      <w:bodyDiv w:val="1"/>
      <w:marLeft w:val="0"/>
      <w:marRight w:val="0"/>
      <w:marTop w:val="0"/>
      <w:marBottom w:val="0"/>
      <w:divBdr>
        <w:top w:val="none" w:sz="0" w:space="0" w:color="auto"/>
        <w:left w:val="none" w:sz="0" w:space="0" w:color="auto"/>
        <w:bottom w:val="none" w:sz="0" w:space="0" w:color="auto"/>
        <w:right w:val="none" w:sz="0" w:space="0" w:color="auto"/>
      </w:divBdr>
    </w:div>
    <w:div w:id="454451992">
      <w:bodyDiv w:val="1"/>
      <w:marLeft w:val="0"/>
      <w:marRight w:val="0"/>
      <w:marTop w:val="0"/>
      <w:marBottom w:val="0"/>
      <w:divBdr>
        <w:top w:val="none" w:sz="0" w:space="0" w:color="auto"/>
        <w:left w:val="none" w:sz="0" w:space="0" w:color="auto"/>
        <w:bottom w:val="none" w:sz="0" w:space="0" w:color="auto"/>
        <w:right w:val="none" w:sz="0" w:space="0" w:color="auto"/>
      </w:divBdr>
    </w:div>
    <w:div w:id="550767554">
      <w:bodyDiv w:val="1"/>
      <w:marLeft w:val="0"/>
      <w:marRight w:val="0"/>
      <w:marTop w:val="0"/>
      <w:marBottom w:val="0"/>
      <w:divBdr>
        <w:top w:val="none" w:sz="0" w:space="0" w:color="auto"/>
        <w:left w:val="none" w:sz="0" w:space="0" w:color="auto"/>
        <w:bottom w:val="none" w:sz="0" w:space="0" w:color="auto"/>
        <w:right w:val="none" w:sz="0" w:space="0" w:color="auto"/>
      </w:divBdr>
    </w:div>
    <w:div w:id="649017366">
      <w:bodyDiv w:val="1"/>
      <w:marLeft w:val="0"/>
      <w:marRight w:val="0"/>
      <w:marTop w:val="0"/>
      <w:marBottom w:val="0"/>
      <w:divBdr>
        <w:top w:val="none" w:sz="0" w:space="0" w:color="auto"/>
        <w:left w:val="none" w:sz="0" w:space="0" w:color="auto"/>
        <w:bottom w:val="none" w:sz="0" w:space="0" w:color="auto"/>
        <w:right w:val="none" w:sz="0" w:space="0" w:color="auto"/>
      </w:divBdr>
    </w:div>
    <w:div w:id="979463693">
      <w:bodyDiv w:val="1"/>
      <w:marLeft w:val="0"/>
      <w:marRight w:val="0"/>
      <w:marTop w:val="0"/>
      <w:marBottom w:val="0"/>
      <w:divBdr>
        <w:top w:val="none" w:sz="0" w:space="0" w:color="auto"/>
        <w:left w:val="none" w:sz="0" w:space="0" w:color="auto"/>
        <w:bottom w:val="none" w:sz="0" w:space="0" w:color="auto"/>
        <w:right w:val="none" w:sz="0" w:space="0" w:color="auto"/>
      </w:divBdr>
    </w:div>
    <w:div w:id="1062827511">
      <w:bodyDiv w:val="1"/>
      <w:marLeft w:val="0"/>
      <w:marRight w:val="0"/>
      <w:marTop w:val="0"/>
      <w:marBottom w:val="0"/>
      <w:divBdr>
        <w:top w:val="none" w:sz="0" w:space="0" w:color="auto"/>
        <w:left w:val="none" w:sz="0" w:space="0" w:color="auto"/>
        <w:bottom w:val="none" w:sz="0" w:space="0" w:color="auto"/>
        <w:right w:val="none" w:sz="0" w:space="0" w:color="auto"/>
      </w:divBdr>
    </w:div>
    <w:div w:id="1090345827">
      <w:bodyDiv w:val="1"/>
      <w:marLeft w:val="0"/>
      <w:marRight w:val="0"/>
      <w:marTop w:val="0"/>
      <w:marBottom w:val="0"/>
      <w:divBdr>
        <w:top w:val="none" w:sz="0" w:space="0" w:color="auto"/>
        <w:left w:val="none" w:sz="0" w:space="0" w:color="auto"/>
        <w:bottom w:val="none" w:sz="0" w:space="0" w:color="auto"/>
        <w:right w:val="none" w:sz="0" w:space="0" w:color="auto"/>
      </w:divBdr>
      <w:divsChild>
        <w:div w:id="22752263">
          <w:marLeft w:val="547"/>
          <w:marRight w:val="0"/>
          <w:marTop w:val="67"/>
          <w:marBottom w:val="0"/>
          <w:divBdr>
            <w:top w:val="none" w:sz="0" w:space="0" w:color="auto"/>
            <w:left w:val="none" w:sz="0" w:space="0" w:color="auto"/>
            <w:bottom w:val="none" w:sz="0" w:space="0" w:color="auto"/>
            <w:right w:val="none" w:sz="0" w:space="0" w:color="auto"/>
          </w:divBdr>
        </w:div>
        <w:div w:id="1081679535">
          <w:marLeft w:val="547"/>
          <w:marRight w:val="0"/>
          <w:marTop w:val="67"/>
          <w:marBottom w:val="0"/>
          <w:divBdr>
            <w:top w:val="none" w:sz="0" w:space="0" w:color="auto"/>
            <w:left w:val="none" w:sz="0" w:space="0" w:color="auto"/>
            <w:bottom w:val="none" w:sz="0" w:space="0" w:color="auto"/>
            <w:right w:val="none" w:sz="0" w:space="0" w:color="auto"/>
          </w:divBdr>
        </w:div>
        <w:div w:id="1140923692">
          <w:marLeft w:val="547"/>
          <w:marRight w:val="0"/>
          <w:marTop w:val="67"/>
          <w:marBottom w:val="0"/>
          <w:divBdr>
            <w:top w:val="none" w:sz="0" w:space="0" w:color="auto"/>
            <w:left w:val="none" w:sz="0" w:space="0" w:color="auto"/>
            <w:bottom w:val="none" w:sz="0" w:space="0" w:color="auto"/>
            <w:right w:val="none" w:sz="0" w:space="0" w:color="auto"/>
          </w:divBdr>
        </w:div>
      </w:divsChild>
    </w:div>
    <w:div w:id="1528563830">
      <w:bodyDiv w:val="1"/>
      <w:marLeft w:val="0"/>
      <w:marRight w:val="0"/>
      <w:marTop w:val="0"/>
      <w:marBottom w:val="0"/>
      <w:divBdr>
        <w:top w:val="none" w:sz="0" w:space="0" w:color="auto"/>
        <w:left w:val="none" w:sz="0" w:space="0" w:color="auto"/>
        <w:bottom w:val="none" w:sz="0" w:space="0" w:color="auto"/>
        <w:right w:val="none" w:sz="0" w:space="0" w:color="auto"/>
      </w:divBdr>
    </w:div>
    <w:div w:id="1555576987">
      <w:bodyDiv w:val="1"/>
      <w:marLeft w:val="0"/>
      <w:marRight w:val="0"/>
      <w:marTop w:val="0"/>
      <w:marBottom w:val="0"/>
      <w:divBdr>
        <w:top w:val="none" w:sz="0" w:space="0" w:color="auto"/>
        <w:left w:val="none" w:sz="0" w:space="0" w:color="auto"/>
        <w:bottom w:val="none" w:sz="0" w:space="0" w:color="auto"/>
        <w:right w:val="none" w:sz="0" w:space="0" w:color="auto"/>
      </w:divBdr>
      <w:divsChild>
        <w:div w:id="99110179">
          <w:marLeft w:val="547"/>
          <w:marRight w:val="0"/>
          <w:marTop w:val="96"/>
          <w:marBottom w:val="0"/>
          <w:divBdr>
            <w:top w:val="none" w:sz="0" w:space="0" w:color="auto"/>
            <w:left w:val="none" w:sz="0" w:space="0" w:color="auto"/>
            <w:bottom w:val="none" w:sz="0" w:space="0" w:color="auto"/>
            <w:right w:val="none" w:sz="0" w:space="0" w:color="auto"/>
          </w:divBdr>
        </w:div>
        <w:div w:id="259215526">
          <w:marLeft w:val="1742"/>
          <w:marRight w:val="0"/>
          <w:marTop w:val="96"/>
          <w:marBottom w:val="0"/>
          <w:divBdr>
            <w:top w:val="none" w:sz="0" w:space="0" w:color="auto"/>
            <w:left w:val="none" w:sz="0" w:space="0" w:color="auto"/>
            <w:bottom w:val="none" w:sz="0" w:space="0" w:color="auto"/>
            <w:right w:val="none" w:sz="0" w:space="0" w:color="auto"/>
          </w:divBdr>
        </w:div>
        <w:div w:id="578754657">
          <w:marLeft w:val="1742"/>
          <w:marRight w:val="0"/>
          <w:marTop w:val="96"/>
          <w:marBottom w:val="0"/>
          <w:divBdr>
            <w:top w:val="none" w:sz="0" w:space="0" w:color="auto"/>
            <w:left w:val="none" w:sz="0" w:space="0" w:color="auto"/>
            <w:bottom w:val="none" w:sz="0" w:space="0" w:color="auto"/>
            <w:right w:val="none" w:sz="0" w:space="0" w:color="auto"/>
          </w:divBdr>
        </w:div>
        <w:div w:id="896286358">
          <w:marLeft w:val="547"/>
          <w:marRight w:val="0"/>
          <w:marTop w:val="96"/>
          <w:marBottom w:val="0"/>
          <w:divBdr>
            <w:top w:val="none" w:sz="0" w:space="0" w:color="auto"/>
            <w:left w:val="none" w:sz="0" w:space="0" w:color="auto"/>
            <w:bottom w:val="none" w:sz="0" w:space="0" w:color="auto"/>
            <w:right w:val="none" w:sz="0" w:space="0" w:color="auto"/>
          </w:divBdr>
        </w:div>
        <w:div w:id="1479960063">
          <w:marLeft w:val="1742"/>
          <w:marRight w:val="0"/>
          <w:marTop w:val="96"/>
          <w:marBottom w:val="0"/>
          <w:divBdr>
            <w:top w:val="none" w:sz="0" w:space="0" w:color="auto"/>
            <w:left w:val="none" w:sz="0" w:space="0" w:color="auto"/>
            <w:bottom w:val="none" w:sz="0" w:space="0" w:color="auto"/>
            <w:right w:val="none" w:sz="0" w:space="0" w:color="auto"/>
          </w:divBdr>
        </w:div>
        <w:div w:id="1506554081">
          <w:marLeft w:val="1742"/>
          <w:marRight w:val="0"/>
          <w:marTop w:val="96"/>
          <w:marBottom w:val="0"/>
          <w:divBdr>
            <w:top w:val="none" w:sz="0" w:space="0" w:color="auto"/>
            <w:left w:val="none" w:sz="0" w:space="0" w:color="auto"/>
            <w:bottom w:val="none" w:sz="0" w:space="0" w:color="auto"/>
            <w:right w:val="none" w:sz="0" w:space="0" w:color="auto"/>
          </w:divBdr>
        </w:div>
        <w:div w:id="1545947407">
          <w:marLeft w:val="1742"/>
          <w:marRight w:val="0"/>
          <w:marTop w:val="96"/>
          <w:marBottom w:val="0"/>
          <w:divBdr>
            <w:top w:val="none" w:sz="0" w:space="0" w:color="auto"/>
            <w:left w:val="none" w:sz="0" w:space="0" w:color="auto"/>
            <w:bottom w:val="none" w:sz="0" w:space="0" w:color="auto"/>
            <w:right w:val="none" w:sz="0" w:space="0" w:color="auto"/>
          </w:divBdr>
        </w:div>
        <w:div w:id="1953438224">
          <w:marLeft w:val="547"/>
          <w:marRight w:val="0"/>
          <w:marTop w:val="96"/>
          <w:marBottom w:val="0"/>
          <w:divBdr>
            <w:top w:val="none" w:sz="0" w:space="0" w:color="auto"/>
            <w:left w:val="none" w:sz="0" w:space="0" w:color="auto"/>
            <w:bottom w:val="none" w:sz="0" w:space="0" w:color="auto"/>
            <w:right w:val="none" w:sz="0" w:space="0" w:color="auto"/>
          </w:divBdr>
        </w:div>
      </w:divsChild>
    </w:div>
    <w:div w:id="18692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ksports.liaa.gov.lv/" TargetMode="External"/><Relationship Id="rId18" Type="http://schemas.openxmlformats.org/officeDocument/2006/relationships/hyperlink" Target="https://startuplatvia.e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Lauma.Blumentale@em.gov.lv" TargetMode="External"/><Relationship Id="rId7" Type="http://schemas.openxmlformats.org/officeDocument/2006/relationships/settings" Target="settings.xml"/><Relationship Id="rId12" Type="http://schemas.openxmlformats.org/officeDocument/2006/relationships/hyperlink" Target="https://likumi.lv/ta/id/278255-darbibas-programmas-izaugsme-un-nodarbinatiba-2-2-1-specifiska-atbalsta-merka-nodrosinat-publisko-datu-atkalizmantosanas-pieaug..." TargetMode="External"/><Relationship Id="rId17" Type="http://schemas.openxmlformats.org/officeDocument/2006/relationships/hyperlink" Target="https://labsoflatvia.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iaa.gov.lv" TargetMode="External"/><Relationship Id="rId20" Type="http://schemas.openxmlformats.org/officeDocument/2006/relationships/hyperlink" Target="https://www.latvia.travel/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lv"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exim.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kubatori.magneticlatvia.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aa.gov.lv/en/invest-latvi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21C3031D87D4C9A4D148588EE6869" ma:contentTypeVersion="4" ma:contentTypeDescription="Create a new document." ma:contentTypeScope="" ma:versionID="912ed582cfb308ec018efd2c77e78f49">
  <xsd:schema xmlns:xsd="http://www.w3.org/2001/XMLSchema" xmlns:xs="http://www.w3.org/2001/XMLSchema" xmlns:p="http://schemas.microsoft.com/office/2006/metadata/properties" xmlns:ns3="7b9a2412-d34d-4aa4-b467-23482308ca07" targetNamespace="http://schemas.microsoft.com/office/2006/metadata/properties" ma:root="true" ma:fieldsID="4ab9bf7bda3761a5960965c12b79d2b7" ns3:_="">
    <xsd:import namespace="7b9a2412-d34d-4aa4-b467-23482308ca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2412-d34d-4aa4-b467-23482308c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69BC-88BC-46B2-AD2F-BDCA4223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2412-d34d-4aa4-b467-23482308c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1D9F2-DC09-42EF-84B7-D189770EF4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49095A-82C5-4E0E-9FB5-609624494720}">
  <ds:schemaRefs>
    <ds:schemaRef ds:uri="http://schemas.microsoft.com/sharepoint/v3/contenttype/forms"/>
  </ds:schemaRefs>
</ds:datastoreItem>
</file>

<file path=customXml/itemProps4.xml><?xml version="1.0" encoding="utf-8"?>
<ds:datastoreItem xmlns:ds="http://schemas.openxmlformats.org/officeDocument/2006/customXml" ds:itemID="{D11B23F6-B40B-4097-B322-CFC6777D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19231</Words>
  <Characters>10962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EMAnot_270421_groz857; Grozījumi Ministru kabineta 2012. gada 11. decembra noteikumos Nr. 857 „Latvijas Investīciju un attīstības aģentūras nolikums”</vt:lpstr>
    </vt:vector>
  </TitlesOfParts>
  <Company>LR Ekonomikas ministrija</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EMAnot_300421_groz857; Grozījumi Ministru kabineta 2012. gada 11. decembra noteikumos Nr. 857 „Latvijas Investīciju un attīstības aģentūras nolikums”</dc:title>
  <dc:subject>Anotācija</dc:subject>
  <dc:creator>Lauma.Blumentale@em.gov.lv</dc:creator>
  <cp:keywords/>
  <dc:description/>
  <cp:lastModifiedBy>Lauma Blūmentāle</cp:lastModifiedBy>
  <cp:revision>10</cp:revision>
  <cp:lastPrinted>2015-08-20T07:54:00Z</cp:lastPrinted>
  <dcterms:created xsi:type="dcterms:W3CDTF">2021-04-27T12:15:00Z</dcterms:created>
  <dcterms:modified xsi:type="dcterms:W3CDTF">2021-04-30T11:13:00Z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0x0101003A921C3031D87D4C9A4D148588EE6869</vt:lpwstr>
  </property>
</Properties>
</file>