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FEC98" w14:textId="77777777" w:rsidR="002E72F5" w:rsidRPr="001538D5" w:rsidRDefault="002E72F5" w:rsidP="00E4419F">
      <w:pPr>
        <w:tabs>
          <w:tab w:val="left" w:pos="6663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Hlk40348515"/>
    </w:p>
    <w:p w14:paraId="309CD82B" w14:textId="2928EA13" w:rsidR="002E72F5" w:rsidRPr="001538D5" w:rsidRDefault="002E72F5" w:rsidP="002E72F5">
      <w:pPr>
        <w:tabs>
          <w:tab w:val="left" w:pos="6663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1538D5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Projekts</w:t>
      </w:r>
    </w:p>
    <w:p w14:paraId="21A89712" w14:textId="77777777" w:rsidR="00A52C39" w:rsidRPr="001538D5" w:rsidRDefault="00A52C39" w:rsidP="002E72F5">
      <w:pPr>
        <w:tabs>
          <w:tab w:val="left" w:pos="6663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152ABE9" w14:textId="23348346" w:rsidR="00A9190F" w:rsidRPr="001538D5" w:rsidRDefault="00A9190F" w:rsidP="00E4419F">
      <w:pPr>
        <w:tabs>
          <w:tab w:val="left" w:pos="6663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38D5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5459B6" w:rsidRPr="001538D5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1538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 gada            </w:t>
      </w:r>
      <w:r w:rsidRPr="001538D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Noteikumi Nr.</w:t>
      </w:r>
    </w:p>
    <w:p w14:paraId="5B99C716" w14:textId="0C9EA948" w:rsidR="00A9190F" w:rsidRPr="001538D5" w:rsidRDefault="00A9190F" w:rsidP="00E4419F">
      <w:pPr>
        <w:tabs>
          <w:tab w:val="left" w:pos="6663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38D5">
        <w:rPr>
          <w:rFonts w:ascii="Times New Roman" w:hAnsi="Times New Roman" w:cs="Times New Roman"/>
          <w:color w:val="000000" w:themeColor="text1"/>
          <w:sz w:val="26"/>
          <w:szCs w:val="26"/>
        </w:rPr>
        <w:t>Rīgā</w:t>
      </w:r>
      <w:r w:rsidRPr="001538D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(prot. Nr.            . §)</w:t>
      </w:r>
    </w:p>
    <w:p w14:paraId="08BC2F7A" w14:textId="77777777" w:rsidR="00E63F17" w:rsidRPr="001538D5" w:rsidRDefault="00E63F17" w:rsidP="00E441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</w:p>
    <w:p w14:paraId="660F85A4" w14:textId="3277ADA6" w:rsidR="00E63F17" w:rsidRPr="001538D5" w:rsidRDefault="003A2009" w:rsidP="00E4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</w:pPr>
      <w:r w:rsidRPr="001538D5">
        <w:rPr>
          <w:rFonts w:ascii="Times New Roman" w:hAnsi="Times New Roman" w:cs="Times New Roman"/>
          <w:b/>
          <w:bCs/>
          <w:sz w:val="26"/>
          <w:szCs w:val="26"/>
        </w:rPr>
        <w:t>Grozījumi Ministru kabineta 2020.gada 14.jūlija noteikumos Nr.454 “Noteikumi par garantijām lielajiem komersantiem, kuru darbību ietekmējusi Covid-19 izplatība”</w:t>
      </w:r>
    </w:p>
    <w:p w14:paraId="2CA622E9" w14:textId="77777777" w:rsidR="00BC1117" w:rsidRPr="001538D5" w:rsidRDefault="00BC1117" w:rsidP="00E4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</w:pPr>
    </w:p>
    <w:bookmarkEnd w:id="0"/>
    <w:p w14:paraId="7C86D15F" w14:textId="77777777" w:rsidR="00E63F17" w:rsidRPr="001538D5" w:rsidRDefault="00E63F17" w:rsidP="00E4419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lv-LV"/>
        </w:rPr>
      </w:pPr>
      <w:r w:rsidRPr="001538D5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lv-LV"/>
        </w:rPr>
        <w:t>Izdoti saskaņā ar </w:t>
      </w:r>
      <w:hyperlink r:id="rId8" w:tgtFrame="_blank" w:history="1">
        <w:r w:rsidRPr="001538D5">
          <w:rPr>
            <w:rFonts w:ascii="Times New Roman" w:eastAsia="Times New Roman" w:hAnsi="Times New Roman" w:cs="Times New Roman"/>
            <w:i/>
            <w:iCs/>
            <w:color w:val="000000" w:themeColor="text1"/>
            <w:sz w:val="26"/>
            <w:szCs w:val="26"/>
            <w:lang w:eastAsia="lv-LV"/>
          </w:rPr>
          <w:t>Attīstības finanšu institūcijas likuma</w:t>
        </w:r>
      </w:hyperlink>
      <w:r w:rsidRPr="001538D5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lv-LV"/>
        </w:rPr>
        <w:br/>
      </w:r>
      <w:bookmarkStart w:id="1" w:name="_Hlk40701785"/>
      <w:r w:rsidR="00C10352" w:rsidRPr="001538D5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="00C10352" w:rsidRPr="001538D5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HYPERLINK "https://m.likumi.lv/ta/id/270323-attistibas-finansu-institucijas-likums" \l "p12" \t "_blank" </w:instrText>
      </w:r>
      <w:r w:rsidR="00C10352" w:rsidRPr="001538D5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Pr="001538D5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lv-LV"/>
        </w:rPr>
        <w:t>12. panta</w:t>
      </w:r>
      <w:r w:rsidR="00C10352" w:rsidRPr="001538D5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lv-LV"/>
        </w:rPr>
        <w:fldChar w:fldCharType="end"/>
      </w:r>
      <w:r w:rsidRPr="001538D5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lv-LV"/>
        </w:rPr>
        <w:t> ceturto daļu</w:t>
      </w:r>
      <w:bookmarkEnd w:id="1"/>
    </w:p>
    <w:p w14:paraId="3F5FA1AD" w14:textId="77777777" w:rsidR="003A2009" w:rsidRPr="001538D5" w:rsidRDefault="003A2009" w:rsidP="00E4419F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n1"/>
      <w:bookmarkStart w:id="3" w:name="n-729009"/>
      <w:bookmarkEnd w:id="2"/>
      <w:bookmarkEnd w:id="3"/>
    </w:p>
    <w:p w14:paraId="33ED4C55" w14:textId="67643DCB" w:rsidR="003A2009" w:rsidRPr="00D61959" w:rsidRDefault="003A2009" w:rsidP="00A52C39">
      <w:pPr>
        <w:pStyle w:val="ListParagraph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1959">
        <w:rPr>
          <w:rFonts w:ascii="Times New Roman" w:hAnsi="Times New Roman" w:cs="Times New Roman"/>
          <w:color w:val="000000" w:themeColor="text1"/>
          <w:sz w:val="26"/>
          <w:szCs w:val="26"/>
        </w:rPr>
        <w:t>Izdarīt Ministru kabineta 2020.gada 14.jūlija noteikumos Nr.454 “Noteikumi par garantijām lielajiem komersantiem, kuru darbību ietekmējusi Covid-19 izplatība”</w:t>
      </w:r>
      <w:r w:rsidRPr="00D6195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(Latvijas Vēstnesis, 2020,  136. nr</w:t>
      </w:r>
      <w:r w:rsidR="004250B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  <w:r w:rsidR="005459B6" w:rsidRPr="00D6195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 2020 nr.248</w:t>
      </w:r>
      <w:r w:rsidRPr="00D6195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.)</w:t>
      </w:r>
      <w:r w:rsidRPr="00D619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šādus grozījumus:</w:t>
      </w:r>
    </w:p>
    <w:p w14:paraId="46939BB9" w14:textId="7726FD94" w:rsidR="00F90C15" w:rsidRPr="00BD2B30" w:rsidRDefault="00F90C15" w:rsidP="00F90C15">
      <w:pPr>
        <w:pStyle w:val="ListParagraph"/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_Hlk66458332"/>
      <w:r w:rsidRPr="00BD2B30">
        <w:rPr>
          <w:rFonts w:ascii="Times New Roman" w:hAnsi="Times New Roman" w:cs="Times New Roman"/>
          <w:sz w:val="26"/>
          <w:szCs w:val="26"/>
        </w:rPr>
        <w:t xml:space="preserve">Papildināt 18.1.apakšpuntu aiz vārda </w:t>
      </w:r>
      <w:r w:rsidRPr="00BD2B30">
        <w:rPr>
          <w:rFonts w:ascii="Times New Roman" w:hAnsi="Times New Roman" w:cs="Times New Roman"/>
          <w:color w:val="000000" w:themeColor="text1"/>
          <w:sz w:val="26"/>
          <w:szCs w:val="26"/>
        </w:rPr>
        <w:t>“tam” ar vārdiem: “</w:t>
      </w:r>
      <w:r w:rsidRPr="00BD2B3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atbalsta piešķiršanas brīdī</w:t>
      </w:r>
      <w:r w:rsidRPr="00BD2B30">
        <w:rPr>
          <w:rFonts w:ascii="Times New Roman" w:hAnsi="Times New Roman" w:cs="Times New Roman"/>
          <w:color w:val="000000" w:themeColor="text1"/>
          <w:sz w:val="26"/>
          <w:szCs w:val="26"/>
        </w:rPr>
        <w:t>”;</w:t>
      </w:r>
      <w:bookmarkEnd w:id="4"/>
    </w:p>
    <w:p w14:paraId="0FA93596" w14:textId="77777777" w:rsidR="00F90C15" w:rsidRPr="00BD2B30" w:rsidRDefault="00F90C15" w:rsidP="00F90C15">
      <w:pPr>
        <w:pStyle w:val="ListParagraph"/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2B30">
        <w:rPr>
          <w:rFonts w:ascii="Times New Roman" w:hAnsi="Times New Roman" w:cs="Times New Roman"/>
          <w:sz w:val="26"/>
          <w:szCs w:val="26"/>
        </w:rPr>
        <w:t xml:space="preserve"> Izteikt 19.1.apakšpunktu </w:t>
      </w:r>
      <w:r w:rsidRPr="00BD2B30">
        <w:rPr>
          <w:rFonts w:ascii="Times New Roman" w:hAnsi="Times New Roman" w:cs="Times New Roman"/>
          <w:color w:val="000000" w:themeColor="text1"/>
          <w:sz w:val="26"/>
          <w:szCs w:val="26"/>
        </w:rPr>
        <w:t>šādā redakcijā:</w:t>
      </w:r>
    </w:p>
    <w:p w14:paraId="6B28ACBF" w14:textId="03F98329" w:rsidR="00F90C15" w:rsidRPr="00AF1F11" w:rsidRDefault="00F90C15" w:rsidP="008901A7">
      <w:pPr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BD2B30">
        <w:rPr>
          <w:rFonts w:ascii="Times New Roman" w:hAnsi="Times New Roman" w:cs="Times New Roman"/>
          <w:color w:val="000000" w:themeColor="text1"/>
          <w:sz w:val="26"/>
          <w:szCs w:val="26"/>
        </w:rPr>
        <w:t>19.1.</w:t>
      </w:r>
      <w:r w:rsidRPr="00BD2B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 xml:space="preserve"> </w:t>
      </w:r>
      <w:r w:rsidR="007B77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”</w:t>
      </w:r>
      <w:r w:rsidR="007B77C0" w:rsidRPr="007B77C0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7B77C0" w:rsidRPr="00AF1F11">
        <w:rPr>
          <w:rFonts w:ascii="Times New Roman" w:hAnsi="Times New Roman" w:cs="Times New Roman"/>
          <w:sz w:val="26"/>
          <w:szCs w:val="26"/>
          <w:lang w:eastAsia="lv-LV"/>
        </w:rPr>
        <w:t>Sabiedrība "Altum" nodrošina informācijas publicēšanu atbilstoši Pagaidu regulējuma</w:t>
      </w:r>
      <w:r w:rsidR="000316E4">
        <w:rPr>
          <w:rFonts w:ascii="Times New Roman" w:hAnsi="Times New Roman" w:cs="Times New Roman"/>
          <w:sz w:val="26"/>
          <w:szCs w:val="26"/>
          <w:lang w:eastAsia="lv-LV"/>
        </w:rPr>
        <w:t xml:space="preserve"> 88.punktā</w:t>
      </w:r>
      <w:r w:rsidR="007B77C0" w:rsidRPr="00AF1F11">
        <w:rPr>
          <w:rFonts w:ascii="Times New Roman" w:hAnsi="Times New Roman" w:cs="Times New Roman"/>
          <w:sz w:val="26"/>
          <w:szCs w:val="26"/>
          <w:lang w:eastAsia="lv-LV"/>
        </w:rPr>
        <w:t xml:space="preserve"> noteiktajām publicitātes pasākumu prasībām saskaņā ar normatīvajiem aktiem par kārtību, kādā pub</w:t>
      </w:r>
      <w:bookmarkStart w:id="5" w:name="_GoBack"/>
      <w:bookmarkEnd w:id="5"/>
      <w:r w:rsidR="007B77C0" w:rsidRPr="00AF1F11">
        <w:rPr>
          <w:rFonts w:ascii="Times New Roman" w:hAnsi="Times New Roman" w:cs="Times New Roman"/>
          <w:sz w:val="26"/>
          <w:szCs w:val="26"/>
          <w:lang w:eastAsia="lv-LV"/>
        </w:rPr>
        <w:t>licē informāciju par sniegto komercdarbības atbalstu un piešķir un anulē elektroniskās sistēmas lietošanas tiesības</w:t>
      </w:r>
      <w:r w:rsidR="00187887">
        <w:rPr>
          <w:rFonts w:ascii="Times New Roman" w:hAnsi="Times New Roman" w:cs="Times New Roman"/>
          <w:sz w:val="26"/>
          <w:szCs w:val="26"/>
          <w:lang w:eastAsia="lv-LV"/>
        </w:rPr>
        <w:t xml:space="preserve">, </w:t>
      </w:r>
      <w:r w:rsidR="00187887" w:rsidRPr="00187887">
        <w:rPr>
          <w:rFonts w:ascii="Times New Roman" w:hAnsi="Times New Roman" w:cs="Times New Roman"/>
          <w:sz w:val="26"/>
          <w:szCs w:val="26"/>
          <w:lang w:eastAsia="lv-LV"/>
        </w:rPr>
        <w:t>kā arī publicē savā tīmekļvietnē sarakstu ar visiem saimnieciskās darbības veicējiem, kuri šo noteikumu ietvaros ir saņēmuši atbalstu, norādot piešķirtā atbalsta apmēru.”</w:t>
      </w:r>
      <w:r w:rsidR="007B77C0" w:rsidRPr="00AF1F11">
        <w:rPr>
          <w:rFonts w:ascii="Times New Roman" w:hAnsi="Times New Roman" w:cs="Times New Roman"/>
          <w:sz w:val="26"/>
          <w:szCs w:val="26"/>
          <w:lang w:eastAsia="lv-LV"/>
        </w:rPr>
        <w:t>.</w:t>
      </w:r>
      <w:r w:rsidR="007B77C0">
        <w:rPr>
          <w:rFonts w:ascii="Times New Roman" w:hAnsi="Times New Roman" w:cs="Times New Roman"/>
          <w:sz w:val="26"/>
          <w:szCs w:val="26"/>
          <w:lang w:eastAsia="lv-LV"/>
        </w:rPr>
        <w:t>”;</w:t>
      </w:r>
    </w:p>
    <w:p w14:paraId="19AF83C9" w14:textId="049F7229" w:rsidR="001538D5" w:rsidRPr="00BD2B30" w:rsidRDefault="001538D5" w:rsidP="00A52C39">
      <w:pPr>
        <w:pStyle w:val="ListParagraph"/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2B30">
        <w:rPr>
          <w:rFonts w:ascii="Times New Roman" w:hAnsi="Times New Roman" w:cs="Times New Roman"/>
          <w:color w:val="000000" w:themeColor="text1"/>
          <w:sz w:val="26"/>
          <w:szCs w:val="26"/>
        </w:rPr>
        <w:t>Papildināt 20.punktu aiz vārdiem “</w:t>
      </w:r>
      <w:r w:rsidRPr="00BD2B3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uzliesmojuma situācijā” </w:t>
      </w:r>
      <w:r w:rsidRPr="00BD2B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ar vārdiem </w:t>
      </w:r>
      <w:r w:rsidRPr="00BD2B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šādā redakcijā</w:t>
      </w:r>
      <w:r w:rsidRPr="00BD2B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“(turpmāk – </w:t>
      </w:r>
      <w:r w:rsidRPr="00BD2B3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Pagaidu regulējums</w:t>
      </w:r>
      <w:r w:rsidRPr="00BD2B30">
        <w:rPr>
          <w:rFonts w:ascii="Times New Roman" w:hAnsi="Times New Roman" w:cs="Times New Roman"/>
          <w:color w:val="000000" w:themeColor="text1"/>
          <w:sz w:val="26"/>
          <w:szCs w:val="26"/>
        </w:rPr>
        <w:t>)”;</w:t>
      </w:r>
    </w:p>
    <w:p w14:paraId="2D1A5317" w14:textId="3BCFFE53" w:rsidR="000516D9" w:rsidRPr="001D5620" w:rsidRDefault="00552E22" w:rsidP="00A52C39">
      <w:pPr>
        <w:pStyle w:val="ListParagraph"/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5620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r w:rsidR="000516D9" w:rsidRPr="001D5620">
        <w:rPr>
          <w:rFonts w:ascii="Times New Roman" w:hAnsi="Times New Roman" w:cs="Times New Roman"/>
          <w:color w:val="000000" w:themeColor="text1"/>
          <w:sz w:val="26"/>
          <w:szCs w:val="26"/>
        </w:rPr>
        <w:t>zteikt 24.punktu</w:t>
      </w:r>
      <w:r w:rsidR="002E72F5" w:rsidRPr="001D56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E72F5" w:rsidRPr="001D56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šādā redakcijā</w:t>
      </w:r>
      <w:r w:rsidR="000516D9" w:rsidRPr="001D5620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15352D58" w14:textId="3653038D" w:rsidR="000516D9" w:rsidRPr="001D5620" w:rsidRDefault="000516D9" w:rsidP="00A52C39">
      <w:p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5620">
        <w:rPr>
          <w:rFonts w:ascii="Times New Roman" w:hAnsi="Times New Roman" w:cs="Times New Roman"/>
          <w:color w:val="000000" w:themeColor="text1"/>
          <w:sz w:val="26"/>
          <w:szCs w:val="26"/>
        </w:rPr>
        <w:t>“</w:t>
      </w:r>
      <w:r w:rsidR="00552E22" w:rsidRPr="001D56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24. </w:t>
      </w:r>
      <w:r w:rsidRPr="001D56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Finanšu ministrija, pamatojoties </w:t>
      </w:r>
      <w:bookmarkStart w:id="6" w:name="_Hlk63964460"/>
      <w:r w:rsidRPr="001D56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uz sabiedrības </w:t>
      </w:r>
      <w:r w:rsidR="00D61959" w:rsidRPr="001D5620">
        <w:rPr>
          <w:rFonts w:ascii="Times New Roman" w:hAnsi="Times New Roman" w:cs="Times New Roman"/>
          <w:color w:val="000000" w:themeColor="text1"/>
          <w:sz w:val="26"/>
          <w:szCs w:val="26"/>
        </w:rPr>
        <w:t>“</w:t>
      </w:r>
      <w:r w:rsidRPr="001D5620">
        <w:rPr>
          <w:rFonts w:ascii="Times New Roman" w:hAnsi="Times New Roman" w:cs="Times New Roman"/>
          <w:color w:val="000000" w:themeColor="text1"/>
          <w:sz w:val="26"/>
          <w:szCs w:val="26"/>
        </w:rPr>
        <w:t>Altum</w:t>
      </w:r>
      <w:r w:rsidR="00D61959" w:rsidRPr="001D5620">
        <w:rPr>
          <w:rFonts w:ascii="Times New Roman" w:hAnsi="Times New Roman" w:cs="Times New Roman"/>
          <w:color w:val="000000" w:themeColor="text1"/>
          <w:sz w:val="26"/>
          <w:szCs w:val="26"/>
        </w:rPr>
        <w:t>”</w:t>
      </w:r>
      <w:r w:rsidRPr="001D56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iesniegto informāciju</w:t>
      </w:r>
      <w:bookmarkEnd w:id="6"/>
      <w:r w:rsidRPr="001D5620">
        <w:rPr>
          <w:rFonts w:ascii="Times New Roman" w:hAnsi="Times New Roman" w:cs="Times New Roman"/>
          <w:color w:val="000000" w:themeColor="text1"/>
          <w:sz w:val="26"/>
          <w:szCs w:val="26"/>
        </w:rPr>
        <w:t>, Pagaidu regulējum</w:t>
      </w:r>
      <w:r w:rsidR="001538D5" w:rsidRPr="001D5620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Pr="001D56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noteikta</w:t>
      </w:r>
      <w:r w:rsidR="006842E1" w:rsidRPr="001D5620">
        <w:rPr>
          <w:rFonts w:ascii="Times New Roman" w:hAnsi="Times New Roman" w:cs="Times New Roman"/>
          <w:color w:val="000000" w:themeColor="text1"/>
          <w:sz w:val="26"/>
          <w:szCs w:val="26"/>
        </w:rPr>
        <w:t>jā</w:t>
      </w:r>
      <w:r w:rsidRPr="001D56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842E1" w:rsidRPr="001D5620">
        <w:rPr>
          <w:rFonts w:ascii="Times New Roman" w:hAnsi="Times New Roman" w:cs="Times New Roman"/>
          <w:color w:val="000000" w:themeColor="text1"/>
          <w:sz w:val="26"/>
          <w:szCs w:val="26"/>
        </w:rPr>
        <w:t>termiņā</w:t>
      </w:r>
      <w:r w:rsidRPr="001D56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informē Eiropas Komisiju par šo pasākumu, kā arī iesniedz Eiropas Komisijā ikgadējo pārskatu par sniegto atbalstu.”</w:t>
      </w:r>
      <w:r w:rsidR="00552E22" w:rsidRPr="001D562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3203A089" w14:textId="37583FA0" w:rsidR="000516D9" w:rsidRPr="001D5620" w:rsidRDefault="00552E22" w:rsidP="00A52C39">
      <w:pPr>
        <w:pStyle w:val="ListParagraph"/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5620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r w:rsidR="000516D9" w:rsidRPr="001D5620">
        <w:rPr>
          <w:rFonts w:ascii="Times New Roman" w:hAnsi="Times New Roman" w:cs="Times New Roman"/>
          <w:color w:val="000000" w:themeColor="text1"/>
          <w:sz w:val="26"/>
          <w:szCs w:val="26"/>
        </w:rPr>
        <w:t>zteikt 27.un 28.punktu</w:t>
      </w:r>
      <w:r w:rsidR="00A2623B" w:rsidRPr="001D56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 xml:space="preserve"> šādā redakcijā</w:t>
      </w:r>
      <w:r w:rsidR="000516D9" w:rsidRPr="001D5620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202B3BCA" w14:textId="218B4689" w:rsidR="000516D9" w:rsidRPr="00B42462" w:rsidRDefault="000516D9" w:rsidP="00A52C39">
      <w:pPr>
        <w:pStyle w:val="tv213"/>
        <w:shd w:val="clear" w:color="auto" w:fill="FFFFFF"/>
        <w:tabs>
          <w:tab w:val="left" w:pos="993"/>
        </w:tabs>
        <w:spacing w:before="120" w:beforeAutospacing="0" w:after="0" w:afterAutospacing="0"/>
        <w:ind w:firstLine="567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bookmarkStart w:id="7" w:name="p27"/>
      <w:bookmarkStart w:id="8" w:name="p-769697"/>
      <w:bookmarkEnd w:id="7"/>
      <w:bookmarkEnd w:id="8"/>
      <w:r w:rsidRPr="00B42462">
        <w:rPr>
          <w:rFonts w:eastAsiaTheme="minorHAnsi"/>
          <w:color w:val="000000" w:themeColor="text1"/>
          <w:sz w:val="26"/>
          <w:szCs w:val="26"/>
          <w:lang w:eastAsia="en-US"/>
        </w:rPr>
        <w:t>“27. </w:t>
      </w:r>
      <w:r w:rsidR="00B42462" w:rsidRPr="00B42462">
        <w:rPr>
          <w:color w:val="000000" w:themeColor="text1"/>
          <w:sz w:val="26"/>
          <w:szCs w:val="26"/>
          <w:shd w:val="clear" w:color="auto" w:fill="FFFFFF"/>
        </w:rPr>
        <w:t>Sabiedrība "Altum" pieņem garantiju pieteikumus līdz 2021. gada 15. decembrim</w:t>
      </w:r>
      <w:r w:rsidRPr="00B42462">
        <w:rPr>
          <w:color w:val="000000" w:themeColor="text1"/>
          <w:sz w:val="26"/>
          <w:szCs w:val="26"/>
        </w:rPr>
        <w:t>.</w:t>
      </w:r>
      <w:r w:rsidR="00A01F1C" w:rsidRPr="00B42462">
        <w:rPr>
          <w:color w:val="000000" w:themeColor="text1"/>
          <w:sz w:val="26"/>
          <w:szCs w:val="26"/>
        </w:rPr>
        <w:t xml:space="preserve"> </w:t>
      </w:r>
    </w:p>
    <w:p w14:paraId="0DF19F63" w14:textId="6E61CC1E" w:rsidR="000516D9" w:rsidRDefault="000516D9" w:rsidP="00A52C39">
      <w:pPr>
        <w:pStyle w:val="tv213"/>
        <w:shd w:val="clear" w:color="auto" w:fill="FFFFFF"/>
        <w:tabs>
          <w:tab w:val="left" w:pos="993"/>
        </w:tabs>
        <w:spacing w:before="12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bookmarkStart w:id="9" w:name="p28"/>
      <w:bookmarkStart w:id="10" w:name="p-769698"/>
      <w:bookmarkEnd w:id="9"/>
      <w:bookmarkEnd w:id="10"/>
      <w:r w:rsidRPr="001D5620">
        <w:rPr>
          <w:rFonts w:eastAsiaTheme="minorHAnsi"/>
          <w:color w:val="000000" w:themeColor="text1"/>
          <w:sz w:val="26"/>
          <w:szCs w:val="26"/>
          <w:lang w:eastAsia="en-US"/>
        </w:rPr>
        <w:t xml:space="preserve">28. Sabiedrība </w:t>
      </w:r>
      <w:r w:rsidR="00D61959" w:rsidRPr="001D5620">
        <w:rPr>
          <w:rFonts w:eastAsiaTheme="minorHAnsi"/>
          <w:color w:val="000000" w:themeColor="text1"/>
          <w:sz w:val="26"/>
          <w:szCs w:val="26"/>
          <w:lang w:eastAsia="en-US"/>
        </w:rPr>
        <w:t>“A</w:t>
      </w:r>
      <w:r w:rsidRPr="001D5620">
        <w:rPr>
          <w:rFonts w:eastAsiaTheme="minorHAnsi"/>
          <w:color w:val="000000" w:themeColor="text1"/>
          <w:sz w:val="26"/>
          <w:szCs w:val="26"/>
          <w:lang w:eastAsia="en-US"/>
        </w:rPr>
        <w:t>ltum</w:t>
      </w:r>
      <w:r w:rsidR="00D61959" w:rsidRPr="001D5620">
        <w:rPr>
          <w:color w:val="000000" w:themeColor="text1"/>
          <w:sz w:val="26"/>
          <w:szCs w:val="26"/>
        </w:rPr>
        <w:t>”</w:t>
      </w:r>
      <w:r w:rsidRPr="001D5620">
        <w:rPr>
          <w:rFonts w:eastAsiaTheme="minorHAnsi"/>
          <w:color w:val="000000" w:themeColor="text1"/>
          <w:sz w:val="26"/>
          <w:szCs w:val="26"/>
          <w:lang w:eastAsia="en-US"/>
        </w:rPr>
        <w:t xml:space="preserve"> pieņem lēmumu par garantiju, tai skaitā</w:t>
      </w:r>
      <w:r w:rsidR="00A2623B" w:rsidRPr="001D5620">
        <w:rPr>
          <w:rFonts w:eastAsiaTheme="minorHAnsi"/>
          <w:color w:val="000000" w:themeColor="text1"/>
          <w:sz w:val="26"/>
          <w:szCs w:val="26"/>
          <w:lang w:eastAsia="en-US"/>
        </w:rPr>
        <w:t>,</w:t>
      </w:r>
      <w:r w:rsidRPr="001D5620">
        <w:rPr>
          <w:rFonts w:eastAsiaTheme="minorHAnsi"/>
          <w:color w:val="000000" w:themeColor="text1"/>
          <w:sz w:val="26"/>
          <w:szCs w:val="26"/>
          <w:lang w:eastAsia="en-US"/>
        </w:rPr>
        <w:t xml:space="preserve"> par iespējamo garantijas pagarinājumu, līdz </w:t>
      </w:r>
      <w:r w:rsidR="0086662E">
        <w:rPr>
          <w:rFonts w:eastAsiaTheme="minorHAnsi"/>
          <w:color w:val="000000" w:themeColor="text1"/>
          <w:sz w:val="26"/>
          <w:szCs w:val="26"/>
          <w:lang w:eastAsia="en-US"/>
        </w:rPr>
        <w:t>2021.gada 31.decembrim.</w:t>
      </w:r>
      <w:r w:rsidR="00E4419F" w:rsidRPr="00D61959">
        <w:rPr>
          <w:color w:val="000000" w:themeColor="text1"/>
          <w:sz w:val="26"/>
          <w:szCs w:val="26"/>
        </w:rPr>
        <w:t>”</w:t>
      </w:r>
      <w:r w:rsidR="00BD2B30">
        <w:rPr>
          <w:color w:val="000000" w:themeColor="text1"/>
          <w:sz w:val="26"/>
          <w:szCs w:val="26"/>
        </w:rPr>
        <w:t>.</w:t>
      </w:r>
    </w:p>
    <w:p w14:paraId="592FDF43" w14:textId="5B41D0B9" w:rsidR="002E72F5" w:rsidRPr="00D61959" w:rsidRDefault="002E72F5" w:rsidP="00A52C39">
      <w:pPr>
        <w:tabs>
          <w:tab w:val="left" w:pos="993"/>
          <w:tab w:val="left" w:pos="1418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  <w:bookmarkStart w:id="11" w:name="_Hlk58486008"/>
      <w:r w:rsidRPr="00D619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2.</w:t>
      </w:r>
      <w:r w:rsidR="00552E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 xml:space="preserve"> </w:t>
      </w:r>
      <w:r w:rsidRPr="00D6195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Noteikumi stājas spēkā ar dienu, kad stājas spēkā Eiropas Komisijas lēmums par komercdarbības atbalsta saderību ar Eiropas Savienības iekšējo tirgu.</w:t>
      </w:r>
    </w:p>
    <w:bookmarkEnd w:id="11"/>
    <w:p w14:paraId="1C94ED67" w14:textId="070EDA97" w:rsidR="002E72F5" w:rsidRPr="00D61959" w:rsidRDefault="002E72F5" w:rsidP="001538D5">
      <w:pPr>
        <w:pStyle w:val="ListParagraph"/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6195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3.</w:t>
      </w:r>
      <w:r w:rsidR="00552E2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D6195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Ekonomikas ministrija pēc tam, kad Eiropas Komisija pieņēmusi lēmumu par komercdarbības atbalsta saderību ar Eiropas Savienības iekšējo tirgu, nosūta attiecīgu paziņojumu publicēšanai oficiālajā izdevumā </w:t>
      </w:r>
      <w:r w:rsidR="001538D5" w:rsidRPr="00D6195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“</w:t>
      </w:r>
      <w:r w:rsidRPr="00D6195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Latvijas Vēstnesis</w:t>
      </w:r>
      <w:r w:rsidR="001538D5" w:rsidRPr="00D6195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”</w:t>
      </w:r>
      <w:r w:rsidRPr="00D6195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14:paraId="4F24746B" w14:textId="4B9ECB70" w:rsidR="0087166E" w:rsidRPr="001538D5" w:rsidRDefault="0087166E" w:rsidP="00E4419F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</w:pPr>
    </w:p>
    <w:p w14:paraId="5E6ECB3A" w14:textId="77777777" w:rsidR="00101D5E" w:rsidRPr="001538D5" w:rsidRDefault="00101D5E" w:rsidP="00E4419F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  <w:bookmarkStart w:id="12" w:name="_Hlk529965267"/>
      <w:r w:rsidRPr="001538D5">
        <w:rPr>
          <w:b/>
          <w:bCs/>
          <w:color w:val="000000" w:themeColor="text1"/>
          <w:sz w:val="26"/>
          <w:szCs w:val="26"/>
        </w:rPr>
        <w:t>Ministru prezidents</w:t>
      </w:r>
      <w:r w:rsidRPr="001538D5">
        <w:rPr>
          <w:b/>
          <w:bCs/>
          <w:color w:val="000000" w:themeColor="text1"/>
          <w:sz w:val="26"/>
          <w:szCs w:val="26"/>
        </w:rPr>
        <w:tab/>
      </w:r>
      <w:r w:rsidRPr="001538D5">
        <w:rPr>
          <w:b/>
          <w:bCs/>
          <w:color w:val="000000" w:themeColor="text1"/>
          <w:sz w:val="26"/>
          <w:szCs w:val="26"/>
        </w:rPr>
        <w:tab/>
        <w:t>A. K. Kariņš</w:t>
      </w:r>
    </w:p>
    <w:bookmarkEnd w:id="12"/>
    <w:p w14:paraId="0257A283" w14:textId="77777777" w:rsidR="00E4419F" w:rsidRPr="001538D5" w:rsidRDefault="00E4419F" w:rsidP="00E4419F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</w:p>
    <w:p w14:paraId="0EC20EA0" w14:textId="3A44F429" w:rsidR="00101D5E" w:rsidRPr="001538D5" w:rsidRDefault="00101D5E" w:rsidP="00E4419F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  <w:r w:rsidRPr="001538D5">
        <w:rPr>
          <w:b/>
          <w:bCs/>
          <w:color w:val="000000" w:themeColor="text1"/>
          <w:sz w:val="26"/>
          <w:szCs w:val="26"/>
        </w:rPr>
        <w:t>Ekonomikas ministrs</w:t>
      </w:r>
      <w:r w:rsidRPr="001538D5">
        <w:rPr>
          <w:b/>
          <w:bCs/>
          <w:color w:val="000000" w:themeColor="text1"/>
          <w:sz w:val="26"/>
          <w:szCs w:val="26"/>
        </w:rPr>
        <w:tab/>
      </w:r>
      <w:r w:rsidRPr="001538D5">
        <w:rPr>
          <w:b/>
          <w:bCs/>
          <w:color w:val="000000" w:themeColor="text1"/>
          <w:sz w:val="26"/>
          <w:szCs w:val="26"/>
        </w:rPr>
        <w:tab/>
      </w:r>
      <w:proofErr w:type="spellStart"/>
      <w:r w:rsidRPr="001538D5">
        <w:rPr>
          <w:b/>
          <w:bCs/>
          <w:color w:val="000000" w:themeColor="text1"/>
          <w:sz w:val="26"/>
          <w:szCs w:val="26"/>
        </w:rPr>
        <w:t>J.Vitenbergs</w:t>
      </w:r>
      <w:proofErr w:type="spellEnd"/>
    </w:p>
    <w:p w14:paraId="2D11A1B2" w14:textId="77777777" w:rsidR="00C51D22" w:rsidRPr="001538D5" w:rsidRDefault="00C51D22" w:rsidP="00E44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yellow"/>
        </w:rPr>
      </w:pPr>
    </w:p>
    <w:p w14:paraId="352584A3" w14:textId="0FE70759" w:rsidR="00101D5E" w:rsidRPr="001538D5" w:rsidRDefault="00101D5E" w:rsidP="00E4419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538D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Iesniedzējs:</w:t>
      </w:r>
    </w:p>
    <w:p w14:paraId="7B5E2D90" w14:textId="6F0536E9" w:rsidR="00101D5E" w:rsidRPr="001538D5" w:rsidRDefault="00101D5E" w:rsidP="00E4419F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  <w:r w:rsidRPr="001538D5">
        <w:rPr>
          <w:b/>
          <w:bCs/>
          <w:color w:val="000000" w:themeColor="text1"/>
          <w:sz w:val="26"/>
          <w:szCs w:val="26"/>
        </w:rPr>
        <w:t>Ekonomikas ministrs</w:t>
      </w:r>
      <w:r w:rsidRPr="001538D5">
        <w:rPr>
          <w:b/>
          <w:bCs/>
          <w:color w:val="000000" w:themeColor="text1"/>
          <w:sz w:val="26"/>
          <w:szCs w:val="26"/>
        </w:rPr>
        <w:tab/>
      </w:r>
      <w:r w:rsidR="0087166E" w:rsidRPr="001538D5">
        <w:rPr>
          <w:b/>
          <w:bCs/>
          <w:color w:val="000000" w:themeColor="text1"/>
          <w:sz w:val="26"/>
          <w:szCs w:val="26"/>
        </w:rPr>
        <w:tab/>
      </w:r>
      <w:proofErr w:type="spellStart"/>
      <w:r w:rsidRPr="001538D5">
        <w:rPr>
          <w:b/>
          <w:bCs/>
          <w:color w:val="000000" w:themeColor="text1"/>
          <w:sz w:val="26"/>
          <w:szCs w:val="26"/>
        </w:rPr>
        <w:t>J.Vitenbergs</w:t>
      </w:r>
      <w:proofErr w:type="spellEnd"/>
    </w:p>
    <w:p w14:paraId="6B093BFA" w14:textId="77777777" w:rsidR="00D70431" w:rsidRPr="001538D5" w:rsidRDefault="00D70431" w:rsidP="00E4419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1059CCB3" w14:textId="72DB884F" w:rsidR="00101D5E" w:rsidRPr="001538D5" w:rsidRDefault="00101D5E" w:rsidP="00E4419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538D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Vīza:</w:t>
      </w:r>
    </w:p>
    <w:p w14:paraId="145F1C6C" w14:textId="16D9BD6E" w:rsidR="00D70431" w:rsidRPr="001538D5" w:rsidRDefault="00D70431" w:rsidP="00E4419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538D5">
        <w:rPr>
          <w:rFonts w:ascii="Times New Roman" w:hAnsi="Times New Roman" w:cs="Times New Roman"/>
          <w:b/>
          <w:bCs/>
          <w:sz w:val="26"/>
          <w:szCs w:val="26"/>
        </w:rPr>
        <w:t>Valsts sekretār</w:t>
      </w:r>
      <w:r w:rsidR="0087166E" w:rsidRPr="001538D5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Pr="001538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7166E" w:rsidRPr="001538D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87166E" w:rsidRPr="001538D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87166E" w:rsidRPr="001538D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E4419F" w:rsidRPr="001538D5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proofErr w:type="spellStart"/>
      <w:r w:rsidR="0087166E" w:rsidRPr="001538D5">
        <w:rPr>
          <w:rFonts w:ascii="Times New Roman" w:hAnsi="Times New Roman" w:cs="Times New Roman"/>
          <w:b/>
          <w:bCs/>
          <w:sz w:val="26"/>
          <w:szCs w:val="26"/>
        </w:rPr>
        <w:t>E.Valantis</w:t>
      </w:r>
      <w:proofErr w:type="spellEnd"/>
    </w:p>
    <w:p w14:paraId="495ADDF0" w14:textId="77777777" w:rsidR="000C409B" w:rsidRPr="003A2009" w:rsidRDefault="000C409B" w:rsidP="00E4419F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0C409B" w:rsidRPr="003A2009" w:rsidSect="004250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274" w:bottom="851" w:left="1800" w:header="708" w:footer="5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8C568" w14:textId="77777777" w:rsidR="007078E3" w:rsidRDefault="007078E3" w:rsidP="000A2BF2">
      <w:pPr>
        <w:spacing w:after="0" w:line="240" w:lineRule="auto"/>
      </w:pPr>
      <w:r>
        <w:separator/>
      </w:r>
    </w:p>
  </w:endnote>
  <w:endnote w:type="continuationSeparator" w:id="0">
    <w:p w14:paraId="60828C7D" w14:textId="77777777" w:rsidR="007078E3" w:rsidRDefault="007078E3" w:rsidP="000A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D2032" w14:textId="77777777" w:rsidR="001E2603" w:rsidRDefault="001E2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063B5" w14:textId="3747D8E6" w:rsidR="000A2BF2" w:rsidRPr="004250BB" w:rsidRDefault="004250BB" w:rsidP="004250BB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B265E5">
      <w:rPr>
        <w:rFonts w:ascii="Times New Roman" w:hAnsi="Times New Roman" w:cs="Times New Roman"/>
        <w:sz w:val="20"/>
        <w:szCs w:val="20"/>
      </w:rPr>
      <w:t>EMNot_</w:t>
    </w:r>
    <w:r w:rsidR="001E2603">
      <w:rPr>
        <w:rFonts w:ascii="Times New Roman" w:hAnsi="Times New Roman" w:cs="Times New Roman"/>
        <w:sz w:val="20"/>
        <w:szCs w:val="20"/>
      </w:rPr>
      <w:t>060521</w:t>
    </w:r>
    <w:r w:rsidRPr="00B265E5">
      <w:rPr>
        <w:rFonts w:ascii="Times New Roman" w:hAnsi="Times New Roman" w:cs="Times New Roman"/>
        <w:sz w:val="20"/>
        <w:szCs w:val="20"/>
      </w:rPr>
      <w:t>_LielGarant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E7F08" w14:textId="59CC236B" w:rsidR="00CC567C" w:rsidRPr="00B265E5" w:rsidRDefault="00CC567C" w:rsidP="00CC567C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B265E5">
      <w:rPr>
        <w:rFonts w:ascii="Times New Roman" w:hAnsi="Times New Roman" w:cs="Times New Roman"/>
        <w:sz w:val="20"/>
        <w:szCs w:val="20"/>
      </w:rPr>
      <w:t>EMNot_</w:t>
    </w:r>
    <w:r w:rsidR="00213A63">
      <w:rPr>
        <w:rFonts w:ascii="Times New Roman" w:hAnsi="Times New Roman" w:cs="Times New Roman"/>
        <w:sz w:val="20"/>
        <w:szCs w:val="20"/>
      </w:rPr>
      <w:t>060521</w:t>
    </w:r>
    <w:r w:rsidRPr="00B265E5">
      <w:rPr>
        <w:rFonts w:ascii="Times New Roman" w:hAnsi="Times New Roman" w:cs="Times New Roman"/>
        <w:sz w:val="20"/>
        <w:szCs w:val="20"/>
      </w:rPr>
      <w:t>_LielGarant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64CE4" w14:textId="77777777" w:rsidR="007078E3" w:rsidRDefault="007078E3" w:rsidP="000A2BF2">
      <w:pPr>
        <w:spacing w:after="0" w:line="240" w:lineRule="auto"/>
      </w:pPr>
      <w:r>
        <w:separator/>
      </w:r>
    </w:p>
  </w:footnote>
  <w:footnote w:type="continuationSeparator" w:id="0">
    <w:p w14:paraId="019251BA" w14:textId="77777777" w:rsidR="007078E3" w:rsidRDefault="007078E3" w:rsidP="000A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B52C8" w14:textId="77777777" w:rsidR="001E2603" w:rsidRDefault="001E2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41546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05A0B7" w14:textId="07BE221C" w:rsidR="00260B6C" w:rsidRDefault="00260B6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24939" w14:textId="77777777" w:rsidR="00260B6C" w:rsidRDefault="00260B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F98B7" w14:textId="77777777" w:rsidR="001E2603" w:rsidRDefault="001E2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67"/>
    <w:multiLevelType w:val="multilevel"/>
    <w:tmpl w:val="29040864"/>
    <w:lvl w:ilvl="0">
      <w:start w:val="18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60800EA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A726CF"/>
    <w:multiLevelType w:val="multilevel"/>
    <w:tmpl w:val="5F1AE094"/>
    <w:lvl w:ilvl="0">
      <w:start w:val="5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0AA2132F"/>
    <w:multiLevelType w:val="multilevel"/>
    <w:tmpl w:val="5A0031C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2E092A"/>
    <w:multiLevelType w:val="hybridMultilevel"/>
    <w:tmpl w:val="F0EC1310"/>
    <w:lvl w:ilvl="0" w:tplc="0DF4A8DC">
      <w:start w:val="20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1F461D"/>
    <w:multiLevelType w:val="multilevel"/>
    <w:tmpl w:val="B0BCB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195758BC"/>
    <w:multiLevelType w:val="multilevel"/>
    <w:tmpl w:val="DFC41D18"/>
    <w:lvl w:ilvl="0">
      <w:start w:val="19"/>
      <w:numFmt w:val="none"/>
      <w:lvlText w:val="20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1E2E7A52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053E55"/>
    <w:multiLevelType w:val="hybridMultilevel"/>
    <w:tmpl w:val="E7761C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07070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29042B"/>
    <w:multiLevelType w:val="hybridMultilevel"/>
    <w:tmpl w:val="061838D0"/>
    <w:lvl w:ilvl="0" w:tplc="E1946F32">
      <w:start w:val="23"/>
      <w:numFmt w:val="decimal"/>
      <w:lvlText w:val="%1."/>
      <w:lvlJc w:val="left"/>
      <w:pPr>
        <w:ind w:left="1288" w:hanging="72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F533EDF"/>
    <w:multiLevelType w:val="hybridMultilevel"/>
    <w:tmpl w:val="AFAE1A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D433A"/>
    <w:multiLevelType w:val="hybridMultilevel"/>
    <w:tmpl w:val="C4684CE2"/>
    <w:lvl w:ilvl="0" w:tplc="5DF861CC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72C42"/>
    <w:multiLevelType w:val="hybridMultilevel"/>
    <w:tmpl w:val="227EB7A8"/>
    <w:lvl w:ilvl="0" w:tplc="A23EB45E">
      <w:start w:val="19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7353181"/>
    <w:multiLevelType w:val="hybridMultilevel"/>
    <w:tmpl w:val="CE9E2522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243981"/>
    <w:multiLevelType w:val="hybridMultilevel"/>
    <w:tmpl w:val="8C4A6194"/>
    <w:lvl w:ilvl="0" w:tplc="FAD0A5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413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864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405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0ADF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9EA1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2EAD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AC5A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E6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8130A"/>
    <w:multiLevelType w:val="multilevel"/>
    <w:tmpl w:val="8C9EEBD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D733BF"/>
    <w:multiLevelType w:val="hybridMultilevel"/>
    <w:tmpl w:val="642AF8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D5118"/>
    <w:multiLevelType w:val="multilevel"/>
    <w:tmpl w:val="2C980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A387C69"/>
    <w:multiLevelType w:val="multilevel"/>
    <w:tmpl w:val="404C0A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BC57731"/>
    <w:multiLevelType w:val="hybridMultilevel"/>
    <w:tmpl w:val="AD9CBA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451A2"/>
    <w:multiLevelType w:val="hybridMultilevel"/>
    <w:tmpl w:val="D9B6B5E4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AF8303C"/>
    <w:multiLevelType w:val="multilevel"/>
    <w:tmpl w:val="8C9EEBD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C4D3DB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E7E510F"/>
    <w:multiLevelType w:val="multilevel"/>
    <w:tmpl w:val="96166CD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740306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2933A94"/>
    <w:multiLevelType w:val="hybridMultilevel"/>
    <w:tmpl w:val="FEAC929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ED34E5"/>
    <w:multiLevelType w:val="hybridMultilevel"/>
    <w:tmpl w:val="03982496"/>
    <w:lvl w:ilvl="0" w:tplc="CD1C4E14">
      <w:start w:val="22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22A3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1"/>
  </w:num>
  <w:num w:numId="3">
    <w:abstractNumId w:val="20"/>
  </w:num>
  <w:num w:numId="4">
    <w:abstractNumId w:val="23"/>
  </w:num>
  <w:num w:numId="5">
    <w:abstractNumId w:val="28"/>
  </w:num>
  <w:num w:numId="6">
    <w:abstractNumId w:val="9"/>
  </w:num>
  <w:num w:numId="7">
    <w:abstractNumId w:val="25"/>
  </w:num>
  <w:num w:numId="8">
    <w:abstractNumId w:val="17"/>
  </w:num>
  <w:num w:numId="9">
    <w:abstractNumId w:val="7"/>
  </w:num>
  <w:num w:numId="10">
    <w:abstractNumId w:val="1"/>
  </w:num>
  <w:num w:numId="11">
    <w:abstractNumId w:val="15"/>
  </w:num>
  <w:num w:numId="12">
    <w:abstractNumId w:val="18"/>
  </w:num>
  <w:num w:numId="13">
    <w:abstractNumId w:val="21"/>
  </w:num>
  <w:num w:numId="14">
    <w:abstractNumId w:val="12"/>
  </w:num>
  <w:num w:numId="15">
    <w:abstractNumId w:val="16"/>
  </w:num>
  <w:num w:numId="16">
    <w:abstractNumId w:val="14"/>
  </w:num>
  <w:num w:numId="17">
    <w:abstractNumId w:val="19"/>
  </w:num>
  <w:num w:numId="18">
    <w:abstractNumId w:val="26"/>
  </w:num>
  <w:num w:numId="19">
    <w:abstractNumId w:val="0"/>
  </w:num>
  <w:num w:numId="20">
    <w:abstractNumId w:val="10"/>
  </w:num>
  <w:num w:numId="21">
    <w:abstractNumId w:val="27"/>
  </w:num>
  <w:num w:numId="22">
    <w:abstractNumId w:val="2"/>
  </w:num>
  <w:num w:numId="23">
    <w:abstractNumId w:val="8"/>
  </w:num>
  <w:num w:numId="24">
    <w:abstractNumId w:val="22"/>
  </w:num>
  <w:num w:numId="25">
    <w:abstractNumId w:val="6"/>
  </w:num>
  <w:num w:numId="26">
    <w:abstractNumId w:val="3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17"/>
    <w:rsid w:val="0001571C"/>
    <w:rsid w:val="00016FBC"/>
    <w:rsid w:val="0002630F"/>
    <w:rsid w:val="00027332"/>
    <w:rsid w:val="00030A14"/>
    <w:rsid w:val="000316E4"/>
    <w:rsid w:val="00034E03"/>
    <w:rsid w:val="0005085B"/>
    <w:rsid w:val="000516D9"/>
    <w:rsid w:val="00081377"/>
    <w:rsid w:val="00093E19"/>
    <w:rsid w:val="000A2BF2"/>
    <w:rsid w:val="000A77A6"/>
    <w:rsid w:val="000B24BF"/>
    <w:rsid w:val="000C129D"/>
    <w:rsid w:val="000C409B"/>
    <w:rsid w:val="000D328E"/>
    <w:rsid w:val="00101D5E"/>
    <w:rsid w:val="001021D1"/>
    <w:rsid w:val="001135C2"/>
    <w:rsid w:val="001304AB"/>
    <w:rsid w:val="001475A0"/>
    <w:rsid w:val="001538D5"/>
    <w:rsid w:val="001613BA"/>
    <w:rsid w:val="00166E98"/>
    <w:rsid w:val="0016707F"/>
    <w:rsid w:val="00187887"/>
    <w:rsid w:val="001A6D0A"/>
    <w:rsid w:val="001B6859"/>
    <w:rsid w:val="001B77DA"/>
    <w:rsid w:val="001C0C4B"/>
    <w:rsid w:val="001C6D6D"/>
    <w:rsid w:val="001C790B"/>
    <w:rsid w:val="001D5620"/>
    <w:rsid w:val="001E1DFA"/>
    <w:rsid w:val="001E2603"/>
    <w:rsid w:val="001F1949"/>
    <w:rsid w:val="002060E4"/>
    <w:rsid w:val="0020684B"/>
    <w:rsid w:val="00206F19"/>
    <w:rsid w:val="00213A63"/>
    <w:rsid w:val="0022577C"/>
    <w:rsid w:val="00226095"/>
    <w:rsid w:val="00227D50"/>
    <w:rsid w:val="002374D4"/>
    <w:rsid w:val="00257471"/>
    <w:rsid w:val="00260B6C"/>
    <w:rsid w:val="0026326D"/>
    <w:rsid w:val="00270165"/>
    <w:rsid w:val="00274EB3"/>
    <w:rsid w:val="002807F5"/>
    <w:rsid w:val="002C2D0E"/>
    <w:rsid w:val="002C6CEA"/>
    <w:rsid w:val="002D4422"/>
    <w:rsid w:val="002D670C"/>
    <w:rsid w:val="002E72F5"/>
    <w:rsid w:val="002F3AE5"/>
    <w:rsid w:val="002F70F6"/>
    <w:rsid w:val="00305273"/>
    <w:rsid w:val="00323D92"/>
    <w:rsid w:val="003350D5"/>
    <w:rsid w:val="00345C6A"/>
    <w:rsid w:val="00346A74"/>
    <w:rsid w:val="00346E40"/>
    <w:rsid w:val="00366D44"/>
    <w:rsid w:val="00386F58"/>
    <w:rsid w:val="003A2009"/>
    <w:rsid w:val="003B5D7D"/>
    <w:rsid w:val="003E3D33"/>
    <w:rsid w:val="003E5D3B"/>
    <w:rsid w:val="00407262"/>
    <w:rsid w:val="00413076"/>
    <w:rsid w:val="004250BB"/>
    <w:rsid w:val="004259AD"/>
    <w:rsid w:val="00464637"/>
    <w:rsid w:val="004A1FD2"/>
    <w:rsid w:val="004A41DF"/>
    <w:rsid w:val="004A6776"/>
    <w:rsid w:val="004B62DD"/>
    <w:rsid w:val="004D0416"/>
    <w:rsid w:val="004D52FF"/>
    <w:rsid w:val="004F2B40"/>
    <w:rsid w:val="0050109B"/>
    <w:rsid w:val="0050240F"/>
    <w:rsid w:val="005330D7"/>
    <w:rsid w:val="00545993"/>
    <w:rsid w:val="005459B6"/>
    <w:rsid w:val="0055278E"/>
    <w:rsid w:val="00552E22"/>
    <w:rsid w:val="005662EB"/>
    <w:rsid w:val="005728F2"/>
    <w:rsid w:val="005A0F94"/>
    <w:rsid w:val="005B0CE2"/>
    <w:rsid w:val="005C470F"/>
    <w:rsid w:val="005D60BA"/>
    <w:rsid w:val="005F5DB4"/>
    <w:rsid w:val="006002CB"/>
    <w:rsid w:val="006064B4"/>
    <w:rsid w:val="00610F2F"/>
    <w:rsid w:val="00632354"/>
    <w:rsid w:val="0063732A"/>
    <w:rsid w:val="0064666D"/>
    <w:rsid w:val="006612AF"/>
    <w:rsid w:val="00676070"/>
    <w:rsid w:val="006842E1"/>
    <w:rsid w:val="0068438B"/>
    <w:rsid w:val="006916CE"/>
    <w:rsid w:val="006A2E3D"/>
    <w:rsid w:val="006D3BD2"/>
    <w:rsid w:val="006F232B"/>
    <w:rsid w:val="00701096"/>
    <w:rsid w:val="00702F40"/>
    <w:rsid w:val="007078E3"/>
    <w:rsid w:val="00716B14"/>
    <w:rsid w:val="00717BA3"/>
    <w:rsid w:val="00732D07"/>
    <w:rsid w:val="007466BC"/>
    <w:rsid w:val="00767D4B"/>
    <w:rsid w:val="0077773E"/>
    <w:rsid w:val="00794DA8"/>
    <w:rsid w:val="007B77C0"/>
    <w:rsid w:val="007C055C"/>
    <w:rsid w:val="007D09CB"/>
    <w:rsid w:val="007F2D9A"/>
    <w:rsid w:val="007F31E8"/>
    <w:rsid w:val="008157BE"/>
    <w:rsid w:val="00824341"/>
    <w:rsid w:val="00842939"/>
    <w:rsid w:val="00851459"/>
    <w:rsid w:val="0086662E"/>
    <w:rsid w:val="0087166E"/>
    <w:rsid w:val="008901A7"/>
    <w:rsid w:val="00891742"/>
    <w:rsid w:val="008C3DBB"/>
    <w:rsid w:val="008C7F8B"/>
    <w:rsid w:val="00902AEB"/>
    <w:rsid w:val="009034A2"/>
    <w:rsid w:val="00920A44"/>
    <w:rsid w:val="00926943"/>
    <w:rsid w:val="00941A54"/>
    <w:rsid w:val="009470BD"/>
    <w:rsid w:val="00974E22"/>
    <w:rsid w:val="009861C1"/>
    <w:rsid w:val="009A5E95"/>
    <w:rsid w:val="009D3C55"/>
    <w:rsid w:val="009D47D7"/>
    <w:rsid w:val="00A01F1C"/>
    <w:rsid w:val="00A13FE6"/>
    <w:rsid w:val="00A2623B"/>
    <w:rsid w:val="00A3131A"/>
    <w:rsid w:val="00A35B15"/>
    <w:rsid w:val="00A405DD"/>
    <w:rsid w:val="00A52C39"/>
    <w:rsid w:val="00A702F2"/>
    <w:rsid w:val="00A713B8"/>
    <w:rsid w:val="00A800E8"/>
    <w:rsid w:val="00A9190F"/>
    <w:rsid w:val="00AA2BB5"/>
    <w:rsid w:val="00AC0558"/>
    <w:rsid w:val="00AE0FE8"/>
    <w:rsid w:val="00AF1F11"/>
    <w:rsid w:val="00B17A50"/>
    <w:rsid w:val="00B265E5"/>
    <w:rsid w:val="00B42462"/>
    <w:rsid w:val="00B644D4"/>
    <w:rsid w:val="00B669CE"/>
    <w:rsid w:val="00B95E48"/>
    <w:rsid w:val="00B97F4A"/>
    <w:rsid w:val="00BC1117"/>
    <w:rsid w:val="00BC487E"/>
    <w:rsid w:val="00BD2B30"/>
    <w:rsid w:val="00BF2170"/>
    <w:rsid w:val="00C10352"/>
    <w:rsid w:val="00C16ABF"/>
    <w:rsid w:val="00C17CF2"/>
    <w:rsid w:val="00C2329E"/>
    <w:rsid w:val="00C44345"/>
    <w:rsid w:val="00C5111C"/>
    <w:rsid w:val="00C51D22"/>
    <w:rsid w:val="00C60D59"/>
    <w:rsid w:val="00C72943"/>
    <w:rsid w:val="00C80B38"/>
    <w:rsid w:val="00C81E92"/>
    <w:rsid w:val="00C8447B"/>
    <w:rsid w:val="00C8724E"/>
    <w:rsid w:val="00CA0422"/>
    <w:rsid w:val="00CA14AF"/>
    <w:rsid w:val="00CC567C"/>
    <w:rsid w:val="00CE679A"/>
    <w:rsid w:val="00CF4807"/>
    <w:rsid w:val="00CF5CD4"/>
    <w:rsid w:val="00D21248"/>
    <w:rsid w:val="00D55BAE"/>
    <w:rsid w:val="00D61959"/>
    <w:rsid w:val="00D70431"/>
    <w:rsid w:val="00D81796"/>
    <w:rsid w:val="00D83CAB"/>
    <w:rsid w:val="00D933C3"/>
    <w:rsid w:val="00DA437C"/>
    <w:rsid w:val="00DC0B68"/>
    <w:rsid w:val="00DC4CEB"/>
    <w:rsid w:val="00DE513E"/>
    <w:rsid w:val="00DF030B"/>
    <w:rsid w:val="00DF4E98"/>
    <w:rsid w:val="00DF565E"/>
    <w:rsid w:val="00DF5DF1"/>
    <w:rsid w:val="00DF67A4"/>
    <w:rsid w:val="00E07261"/>
    <w:rsid w:val="00E151BF"/>
    <w:rsid w:val="00E4419F"/>
    <w:rsid w:val="00E61D8C"/>
    <w:rsid w:val="00E63F17"/>
    <w:rsid w:val="00E65A79"/>
    <w:rsid w:val="00EA5EFA"/>
    <w:rsid w:val="00EB1CBB"/>
    <w:rsid w:val="00EC788E"/>
    <w:rsid w:val="00EE5755"/>
    <w:rsid w:val="00EE6345"/>
    <w:rsid w:val="00EF0560"/>
    <w:rsid w:val="00F1792D"/>
    <w:rsid w:val="00F255C7"/>
    <w:rsid w:val="00F324A5"/>
    <w:rsid w:val="00F339EB"/>
    <w:rsid w:val="00F41E17"/>
    <w:rsid w:val="00F432B9"/>
    <w:rsid w:val="00F55307"/>
    <w:rsid w:val="00F553E8"/>
    <w:rsid w:val="00F5710D"/>
    <w:rsid w:val="00F6631E"/>
    <w:rsid w:val="00F845CC"/>
    <w:rsid w:val="00F90292"/>
    <w:rsid w:val="00F90C15"/>
    <w:rsid w:val="00F94E4E"/>
    <w:rsid w:val="00FA1115"/>
    <w:rsid w:val="00FA45C2"/>
    <w:rsid w:val="00FB0E41"/>
    <w:rsid w:val="00FB100E"/>
    <w:rsid w:val="00FB4352"/>
    <w:rsid w:val="00FB620E"/>
    <w:rsid w:val="00FC2C29"/>
    <w:rsid w:val="00FC5553"/>
    <w:rsid w:val="00FD4E53"/>
    <w:rsid w:val="00FD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D8FB124"/>
  <w15:chartTrackingRefBased/>
  <w15:docId w15:val="{92D91888-EADB-446F-B731-A131D4E4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F17"/>
    <w:rPr>
      <w:color w:val="0000FF"/>
      <w:u w:val="single"/>
    </w:rPr>
  </w:style>
  <w:style w:type="paragraph" w:customStyle="1" w:styleId="tv213">
    <w:name w:val="tv213"/>
    <w:basedOn w:val="Normal"/>
    <w:rsid w:val="00E6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E6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E63F17"/>
  </w:style>
  <w:style w:type="paragraph" w:styleId="ListParagraph">
    <w:name w:val="List Paragraph"/>
    <w:basedOn w:val="Normal"/>
    <w:uiPriority w:val="34"/>
    <w:qFormat/>
    <w:rsid w:val="001304AB"/>
    <w:pPr>
      <w:ind w:left="720"/>
      <w:contextualSpacing/>
    </w:pPr>
  </w:style>
  <w:style w:type="paragraph" w:customStyle="1" w:styleId="naislab">
    <w:name w:val="naislab"/>
    <w:basedOn w:val="Normal"/>
    <w:uiPriority w:val="99"/>
    <w:rsid w:val="00BC487E"/>
    <w:pPr>
      <w:spacing w:before="68" w:after="68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1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2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24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C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B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BF2"/>
  </w:style>
  <w:style w:type="paragraph" w:styleId="Footer">
    <w:name w:val="footer"/>
    <w:basedOn w:val="Normal"/>
    <w:link w:val="FooterChar"/>
    <w:uiPriority w:val="99"/>
    <w:unhideWhenUsed/>
    <w:rsid w:val="000A2B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BF2"/>
  </w:style>
  <w:style w:type="paragraph" w:customStyle="1" w:styleId="naisf">
    <w:name w:val="naisf"/>
    <w:basedOn w:val="Normal"/>
    <w:link w:val="naisfChar"/>
    <w:rsid w:val="0010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101D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1">
    <w:name w:val="labojumu_pamats1"/>
    <w:basedOn w:val="Normal"/>
    <w:rsid w:val="00FC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FC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2">
    <w:name w:val="h2"/>
    <w:basedOn w:val="Normal"/>
    <w:uiPriority w:val="99"/>
    <w:rsid w:val="0070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6060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70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717BA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C05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676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31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81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48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97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82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74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2552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700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360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kumi.lv/ta/id/270323-attistibas-finansu-institucijas-likum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97DE2-9071-4705-850F-55103CB5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1640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Dlohi</dc:creator>
  <cp:keywords/>
  <dc:description/>
  <cp:lastModifiedBy>Ilze Lore</cp:lastModifiedBy>
  <cp:revision>23</cp:revision>
  <cp:lastPrinted>2020-05-19T08:22:00Z</cp:lastPrinted>
  <dcterms:created xsi:type="dcterms:W3CDTF">2021-04-26T13:02:00Z</dcterms:created>
  <dcterms:modified xsi:type="dcterms:W3CDTF">2021-05-06T03:57:00Z</dcterms:modified>
</cp:coreProperties>
</file>