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C6B" w:rsidP="00310555" w:rsidRDefault="003C2C6B" w14:paraId="06310DD0" w14:textId="77777777">
      <w:pPr>
        <w:spacing w:after="0" w:line="240" w:lineRule="auto"/>
        <w:ind w:firstLine="720"/>
        <w:jc w:val="center"/>
        <w:rPr>
          <w:rFonts w:ascii="Times New Roman" w:hAnsi="Times New Roman" w:eastAsia="Times New Roman" w:cs="Times New Roman"/>
          <w:b/>
          <w:bCs/>
          <w:color w:val="000000"/>
          <w:sz w:val="24"/>
          <w:szCs w:val="24"/>
          <w:lang w:eastAsia="lv-LV"/>
        </w:rPr>
      </w:pPr>
    </w:p>
    <w:p w:rsidR="003C2C6B" w:rsidP="00310555" w:rsidRDefault="003C2C6B" w14:paraId="4314EABA" w14:textId="77777777">
      <w:pPr>
        <w:spacing w:after="0" w:line="240" w:lineRule="auto"/>
        <w:ind w:firstLine="720"/>
        <w:jc w:val="center"/>
        <w:rPr>
          <w:rFonts w:ascii="Times New Roman" w:hAnsi="Times New Roman" w:eastAsia="Times New Roman" w:cs="Times New Roman"/>
          <w:b/>
          <w:bCs/>
          <w:color w:val="000000"/>
          <w:sz w:val="24"/>
          <w:szCs w:val="24"/>
          <w:lang w:eastAsia="lv-LV"/>
        </w:rPr>
      </w:pPr>
    </w:p>
    <w:p w:rsidRPr="00310555" w:rsidR="00D14CEB" w:rsidP="00310555" w:rsidRDefault="00D10410" w14:paraId="484AABC1" w14:textId="22EB9737">
      <w:pPr>
        <w:spacing w:after="0" w:line="240" w:lineRule="auto"/>
        <w:ind w:firstLine="720"/>
        <w:jc w:val="center"/>
        <w:rPr>
          <w:rFonts w:ascii="Times New Roman" w:hAnsi="Times New Roman" w:eastAsia="Times New Roman" w:cs="Times New Roman"/>
          <w:b/>
          <w:bCs/>
          <w:i/>
          <w:iCs/>
          <w:color w:val="000000"/>
          <w:sz w:val="24"/>
          <w:szCs w:val="24"/>
          <w:lang w:eastAsia="lv-LV"/>
        </w:rPr>
      </w:pPr>
      <w:r w:rsidRPr="00310555">
        <w:rPr>
          <w:rFonts w:ascii="Times New Roman" w:hAnsi="Times New Roman" w:eastAsia="Times New Roman" w:cs="Times New Roman"/>
          <w:b/>
          <w:bCs/>
          <w:color w:val="000000"/>
          <w:sz w:val="24"/>
          <w:szCs w:val="24"/>
          <w:lang w:eastAsia="lv-LV"/>
        </w:rPr>
        <w:t>Informatīvais ziņojums “</w:t>
      </w:r>
      <w:r w:rsidRPr="00310555" w:rsidR="001D4807">
        <w:rPr>
          <w:rFonts w:ascii="Times New Roman" w:hAnsi="Times New Roman" w:eastAsia="Times New Roman" w:cs="Times New Roman"/>
          <w:b/>
          <w:bCs/>
          <w:color w:val="000000"/>
          <w:sz w:val="24"/>
          <w:szCs w:val="24"/>
          <w:lang w:eastAsia="lv-LV"/>
        </w:rPr>
        <w:t>Iespējamie vakcinēšanās pret Covid-19 infekciju motivējošie līdzekļi</w:t>
      </w:r>
      <w:r w:rsidRPr="00310555">
        <w:rPr>
          <w:rFonts w:ascii="Times New Roman" w:hAnsi="Times New Roman" w:eastAsia="Times New Roman" w:cs="Times New Roman"/>
          <w:b/>
          <w:bCs/>
          <w:color w:val="000000"/>
          <w:sz w:val="24"/>
          <w:szCs w:val="24"/>
          <w:lang w:eastAsia="lv-LV"/>
        </w:rPr>
        <w:t>”</w:t>
      </w:r>
      <w:r w:rsidRPr="00310555" w:rsidR="001D4807">
        <w:rPr>
          <w:rFonts w:ascii="Times New Roman" w:hAnsi="Times New Roman" w:eastAsia="Times New Roman" w:cs="Times New Roman"/>
          <w:b/>
          <w:bCs/>
          <w:color w:val="000000"/>
          <w:sz w:val="24"/>
          <w:szCs w:val="24"/>
          <w:lang w:eastAsia="lv-LV"/>
        </w:rPr>
        <w:t xml:space="preserve"> </w:t>
      </w:r>
    </w:p>
    <w:p w:rsidRPr="00310555" w:rsidR="00D14CEB" w:rsidP="00310555" w:rsidRDefault="00D14CEB" w14:paraId="25304E2B" w14:textId="35BC4CFA">
      <w:pPr>
        <w:spacing w:after="0" w:line="240" w:lineRule="auto"/>
        <w:jc w:val="center"/>
        <w:rPr>
          <w:rFonts w:ascii="Times New Roman" w:hAnsi="Times New Roman" w:eastAsia="Times New Roman" w:cs="Times New Roman"/>
          <w:color w:val="000000"/>
          <w:sz w:val="24"/>
          <w:szCs w:val="24"/>
          <w:lang w:eastAsia="lv-LV"/>
        </w:rPr>
      </w:pPr>
    </w:p>
    <w:p w:rsidRPr="00310555" w:rsidR="006C0E18" w:rsidP="00310555" w:rsidRDefault="006C0E18" w14:paraId="13E1E518" w14:textId="4D3A1891">
      <w:pPr>
        <w:pStyle w:val="Sarakstarindkopa"/>
        <w:numPr>
          <w:ilvl w:val="0"/>
          <w:numId w:val="9"/>
        </w:numPr>
        <w:spacing w:after="0" w:line="240" w:lineRule="auto"/>
        <w:jc w:val="center"/>
        <w:rPr>
          <w:rFonts w:ascii="Times New Roman" w:hAnsi="Times New Roman" w:eastAsia="Times New Roman" w:cs="Times New Roman"/>
          <w:b/>
          <w:bCs/>
          <w:color w:val="000000"/>
          <w:sz w:val="24"/>
          <w:szCs w:val="24"/>
          <w:lang w:eastAsia="lv-LV"/>
        </w:rPr>
      </w:pPr>
      <w:r w:rsidRPr="00310555">
        <w:rPr>
          <w:rFonts w:ascii="Times New Roman" w:hAnsi="Times New Roman" w:eastAsia="Times New Roman" w:cs="Times New Roman"/>
          <w:b/>
          <w:bCs/>
          <w:color w:val="000000"/>
          <w:sz w:val="24"/>
          <w:szCs w:val="24"/>
          <w:lang w:eastAsia="lv-LV"/>
        </w:rPr>
        <w:t>Ievads</w:t>
      </w:r>
    </w:p>
    <w:p w:rsidRPr="00310555" w:rsidR="002212C6" w:rsidP="00310555" w:rsidRDefault="00F23166" w14:paraId="2369ECA7" w14:textId="03903C95">
      <w:pPr>
        <w:spacing w:after="0" w:line="240" w:lineRule="auto"/>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    </w:t>
      </w:r>
    </w:p>
    <w:p w:rsidRPr="00310555" w:rsidR="0061058D" w:rsidP="00310555" w:rsidRDefault="0061058D" w14:paraId="52A0DB84" w14:textId="274512E4">
      <w:pPr>
        <w:spacing w:after="0" w:line="240" w:lineRule="auto"/>
        <w:ind w:firstLine="720"/>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Ministru kabineta 2021.gada 1.aprīļa sēdes </w:t>
      </w:r>
      <w:proofErr w:type="spellStart"/>
      <w:r w:rsidRPr="00310555">
        <w:rPr>
          <w:rFonts w:ascii="Times New Roman" w:hAnsi="Times New Roman" w:eastAsia="Times New Roman" w:cs="Times New Roman"/>
          <w:color w:val="000000"/>
          <w:sz w:val="24"/>
          <w:szCs w:val="24"/>
          <w:lang w:eastAsia="lv-LV"/>
        </w:rPr>
        <w:t>protokollēmuma</w:t>
      </w:r>
      <w:proofErr w:type="spellEnd"/>
      <w:r w:rsidRPr="00310555">
        <w:rPr>
          <w:rFonts w:ascii="Times New Roman" w:hAnsi="Times New Roman" w:eastAsia="Times New Roman" w:cs="Times New Roman"/>
          <w:color w:val="000000"/>
          <w:sz w:val="24"/>
          <w:szCs w:val="24"/>
          <w:lang w:eastAsia="lv-LV"/>
        </w:rPr>
        <w:t xml:space="preserve"> Nr.31 37.§ 4.punktā uzdots </w:t>
      </w:r>
      <w:r w:rsidRPr="00310555" w:rsidR="00E5286A">
        <w:rPr>
          <w:rFonts w:ascii="Times New Roman" w:hAnsi="Times New Roman" w:eastAsia="Times New Roman" w:cs="Times New Roman"/>
          <w:color w:val="000000"/>
          <w:sz w:val="24"/>
          <w:szCs w:val="24"/>
          <w:lang w:eastAsia="lv-LV"/>
        </w:rPr>
        <w:t xml:space="preserve">Tieslietu ministrijai sadarbībā ar Veselības ministriju vispusīgi (tai skaitā cilvēktiesību aspektā) izvērtēt jautājumu par obligātas vakcinācijas regulējumu noteiktās profesijās strādājošajiem, un </w:t>
      </w:r>
      <w:proofErr w:type="spellStart"/>
      <w:r w:rsidRPr="00310555" w:rsidR="00E5286A">
        <w:rPr>
          <w:rFonts w:ascii="Times New Roman" w:hAnsi="Times New Roman" w:eastAsia="Times New Roman" w:cs="Times New Roman"/>
          <w:color w:val="000000"/>
          <w:sz w:val="24"/>
          <w:szCs w:val="24"/>
          <w:lang w:eastAsia="lv-LV"/>
        </w:rPr>
        <w:t>izvērtējumu</w:t>
      </w:r>
      <w:proofErr w:type="spellEnd"/>
      <w:r w:rsidRPr="00310555" w:rsidR="00E5286A">
        <w:rPr>
          <w:rFonts w:ascii="Times New Roman" w:hAnsi="Times New Roman" w:eastAsia="Times New Roman" w:cs="Times New Roman"/>
          <w:color w:val="000000"/>
          <w:sz w:val="24"/>
          <w:szCs w:val="24"/>
          <w:lang w:eastAsia="lv-LV"/>
        </w:rPr>
        <w:t xml:space="preserve"> iesniegt izskatīšanai starpinstitūciju darbības koordinācijas grupā.</w:t>
      </w:r>
    </w:p>
    <w:p w:rsidRPr="00310555" w:rsidR="001D4807" w:rsidP="00310555" w:rsidRDefault="00F23166" w14:paraId="093F356B" w14:textId="19C26B73">
      <w:pPr>
        <w:spacing w:after="0" w:line="240" w:lineRule="auto"/>
        <w:ind w:firstLine="720"/>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Vakcīnu pret Covid-19 infekciju mērķis ir aizsargāt cilvēkus no slimības, ko izraisa jaunais </w:t>
      </w:r>
      <w:proofErr w:type="spellStart"/>
      <w:r w:rsidRPr="00310555">
        <w:rPr>
          <w:rFonts w:ascii="Times New Roman" w:hAnsi="Times New Roman" w:eastAsia="Times New Roman" w:cs="Times New Roman"/>
          <w:color w:val="000000"/>
          <w:sz w:val="24"/>
          <w:szCs w:val="24"/>
          <w:lang w:eastAsia="lv-LV"/>
        </w:rPr>
        <w:t>koronavīruss</w:t>
      </w:r>
      <w:proofErr w:type="spellEnd"/>
      <w:r w:rsidRPr="00310555">
        <w:rPr>
          <w:rFonts w:ascii="Times New Roman" w:hAnsi="Times New Roman" w:eastAsia="Times New Roman" w:cs="Times New Roman"/>
          <w:color w:val="000000"/>
          <w:sz w:val="24"/>
          <w:szCs w:val="24"/>
          <w:lang w:eastAsia="lv-LV"/>
        </w:rPr>
        <w:t xml:space="preserve"> SARS-CoV-2, veicinot organisma </w:t>
      </w:r>
      <w:proofErr w:type="spellStart"/>
      <w:r w:rsidRPr="00310555">
        <w:rPr>
          <w:rFonts w:ascii="Times New Roman" w:hAnsi="Times New Roman" w:eastAsia="Times New Roman" w:cs="Times New Roman"/>
          <w:color w:val="000000"/>
          <w:sz w:val="24"/>
          <w:szCs w:val="24"/>
          <w:lang w:eastAsia="lv-LV"/>
        </w:rPr>
        <w:t>aizsargreakciju</w:t>
      </w:r>
      <w:proofErr w:type="spellEnd"/>
      <w:r w:rsidRPr="00310555">
        <w:rPr>
          <w:rFonts w:ascii="Times New Roman" w:hAnsi="Times New Roman" w:eastAsia="Times New Roman" w:cs="Times New Roman"/>
          <w:color w:val="000000"/>
          <w:sz w:val="24"/>
          <w:szCs w:val="24"/>
          <w:lang w:eastAsia="lv-LV"/>
        </w:rPr>
        <w:t xml:space="preserve">. Pašreizējā </w:t>
      </w:r>
      <w:proofErr w:type="spellStart"/>
      <w:r w:rsidRPr="00310555">
        <w:rPr>
          <w:rFonts w:ascii="Times New Roman" w:hAnsi="Times New Roman" w:eastAsia="Times New Roman" w:cs="Times New Roman"/>
          <w:color w:val="000000"/>
          <w:sz w:val="24"/>
          <w:szCs w:val="24"/>
          <w:lang w:eastAsia="lv-LV"/>
        </w:rPr>
        <w:t>koronavīrusa</w:t>
      </w:r>
      <w:proofErr w:type="spellEnd"/>
      <w:r w:rsidRPr="00310555">
        <w:rPr>
          <w:rFonts w:ascii="Times New Roman" w:hAnsi="Times New Roman" w:eastAsia="Times New Roman" w:cs="Times New Roman"/>
          <w:color w:val="000000"/>
          <w:sz w:val="24"/>
          <w:szCs w:val="24"/>
          <w:lang w:eastAsia="lv-LV"/>
        </w:rPr>
        <w:t xml:space="preserve"> izraisītās slimības Covid-19 infekcijas pandēmija ir pasaules mēroga krīze ar postošu ietekmi uz cilvēka veselību, sociāliem procesiem un ekonomiku. Covid-19 infekcija var izraisīt smagu slimību un pat nāvi visu vecumu cilvēkiem, tai skaitā tiem, kam nav citu slimību. Turklāt šobrīd ir maz zināmas ilgtermiņa sekas cilvēka veselībai. Vakcinēšanās pret Covid-19 infekciju ir nepieciešama, lai aizsargātu no saslimšanas ar šo slimību ikvienu cilvēku. </w:t>
      </w:r>
    </w:p>
    <w:p w:rsidRPr="00310555" w:rsidR="00F86EA1" w:rsidP="00310555" w:rsidRDefault="00F86EA1" w14:paraId="643F437B" w14:textId="56A836DC">
      <w:pPr>
        <w:spacing w:after="0" w:line="240" w:lineRule="auto"/>
        <w:ind w:firstLine="720"/>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Latvijā Covid-19 vakcinēšanas stratēģijas galvenais mērķis ir nodrošināt nepārtrauktu veselības aprūpes sistēmas funkcionēšanu, samazināt mirstības un saslimstības radīto slogu uz veselības aprūpes sistēmu </w:t>
      </w:r>
      <w:r w:rsidRPr="00310555" w:rsidR="001B66C3">
        <w:rPr>
          <w:rFonts w:ascii="Times New Roman" w:hAnsi="Times New Roman" w:eastAsia="Times New Roman" w:cs="Times New Roman"/>
          <w:color w:val="000000"/>
          <w:sz w:val="24"/>
          <w:szCs w:val="24"/>
          <w:lang w:eastAsia="lv-LV"/>
        </w:rPr>
        <w:t xml:space="preserve">un panākt kolektīvo imunitāti </w:t>
      </w:r>
      <w:r w:rsidRPr="00310555">
        <w:rPr>
          <w:rFonts w:ascii="Times New Roman" w:hAnsi="Times New Roman" w:eastAsia="Times New Roman" w:cs="Times New Roman"/>
          <w:i/>
          <w:iCs/>
          <w:color w:val="000000"/>
          <w:sz w:val="24"/>
          <w:szCs w:val="24"/>
          <w:lang w:eastAsia="lv-LV"/>
        </w:rPr>
        <w:t>(no informatīvā ziņojuma “Par Covid-19 vakcīnu ieviešanas stratēģiju”, izskatīts Ministru kabineta 2020.gada 1.decembra sēdē)</w:t>
      </w:r>
      <w:r w:rsidRPr="00310555">
        <w:rPr>
          <w:rFonts w:ascii="Times New Roman" w:hAnsi="Times New Roman" w:eastAsia="Times New Roman" w:cs="Times New Roman"/>
          <w:color w:val="000000"/>
          <w:sz w:val="24"/>
          <w:szCs w:val="24"/>
          <w:lang w:eastAsia="lv-LV"/>
        </w:rPr>
        <w:t xml:space="preserve">. </w:t>
      </w:r>
      <w:r w:rsidRPr="00310555" w:rsidR="00781B6B">
        <w:rPr>
          <w:rFonts w:ascii="Times New Roman" w:hAnsi="Times New Roman" w:eastAsia="Times New Roman" w:cs="Times New Roman"/>
          <w:color w:val="000000"/>
          <w:sz w:val="24"/>
          <w:szCs w:val="24"/>
          <w:lang w:eastAsia="lv-LV"/>
        </w:rPr>
        <w:t>Covid-19 infekcijas izplatības  ātrums ir  saistīts ar  ierobežojumu apmēru, kopējo saslimstību valstīs, no kurām bieži ieceļo iedzīvotāji, vīrusa iespējamām mutācijām. Savukārt vakcinējamo  personu  īpatsvars  ir  cieši  saistīts arī ar  iedzīvotāju  vēlmi  tikt vakcinētiem.</w:t>
      </w:r>
      <w:r w:rsidRPr="00310555" w:rsidR="00DB3CDB">
        <w:rPr>
          <w:rFonts w:ascii="Times New Roman" w:hAnsi="Times New Roman" w:cs="Times New Roman"/>
          <w:sz w:val="24"/>
          <w:szCs w:val="24"/>
        </w:rPr>
        <w:t xml:space="preserve"> </w:t>
      </w:r>
      <w:r w:rsidRPr="00310555" w:rsidR="00DB3CDB">
        <w:rPr>
          <w:rFonts w:ascii="Times New Roman" w:hAnsi="Times New Roman" w:eastAsia="Times New Roman" w:cs="Times New Roman"/>
          <w:color w:val="000000"/>
          <w:sz w:val="24"/>
          <w:szCs w:val="24"/>
          <w:lang w:eastAsia="lv-LV"/>
        </w:rPr>
        <w:t xml:space="preserve">Lai sasniegtu Covid-19 vakcinācijas mērķus, ir svarīgi, lai sabiedrība būtu ieinteresēta iesaistīties vakcinācijas procesā </w:t>
      </w:r>
      <w:r w:rsidRPr="00310555" w:rsidR="00DB3CDB">
        <w:rPr>
          <w:rFonts w:ascii="Times New Roman" w:hAnsi="Times New Roman" w:eastAsia="Times New Roman" w:cs="Times New Roman"/>
          <w:i/>
          <w:iCs/>
          <w:color w:val="000000"/>
          <w:sz w:val="24"/>
          <w:szCs w:val="24"/>
          <w:lang w:eastAsia="lv-LV"/>
        </w:rPr>
        <w:t>(turpat).</w:t>
      </w:r>
    </w:p>
    <w:p w:rsidRPr="00310555" w:rsidR="00D15E13" w:rsidP="00310555" w:rsidRDefault="002212C6" w14:paraId="30D16A10" w14:textId="77777777">
      <w:pPr>
        <w:spacing w:after="0" w:line="240" w:lineRule="auto"/>
        <w:ind w:firstLine="720"/>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Šā informatīvā ziņojuma mērķis ir </w:t>
      </w:r>
      <w:r w:rsidRPr="00310555" w:rsidR="008E7216">
        <w:rPr>
          <w:rFonts w:ascii="Times New Roman" w:hAnsi="Times New Roman" w:eastAsia="Times New Roman" w:cs="Times New Roman"/>
          <w:color w:val="000000"/>
          <w:sz w:val="24"/>
          <w:szCs w:val="24"/>
          <w:lang w:eastAsia="lv-LV"/>
        </w:rPr>
        <w:t xml:space="preserve">izvērtēt jautājumu par obligātas vakcinācijas regulējumu noteiktās profesijās strādājošajiem, kā arī </w:t>
      </w:r>
      <w:r w:rsidRPr="00310555">
        <w:rPr>
          <w:rFonts w:ascii="Times New Roman" w:hAnsi="Times New Roman" w:eastAsia="Times New Roman" w:cs="Times New Roman"/>
          <w:color w:val="000000"/>
          <w:sz w:val="24"/>
          <w:szCs w:val="24"/>
          <w:lang w:eastAsia="lv-LV"/>
        </w:rPr>
        <w:t>apkopot informāciju par šobrīd valstij pieejamiem un iespējamiem līdzekļiem, kas motivētu Latvijas iedzīvotājus</w:t>
      </w:r>
      <w:r w:rsidRPr="00310555" w:rsidR="00E5286A">
        <w:rPr>
          <w:rFonts w:ascii="Times New Roman" w:hAnsi="Times New Roman" w:eastAsia="Times New Roman" w:cs="Times New Roman"/>
          <w:color w:val="000000"/>
          <w:sz w:val="24"/>
          <w:szCs w:val="24"/>
          <w:lang w:eastAsia="lv-LV"/>
        </w:rPr>
        <w:t>, tostarp noteiktās profesijās strādājošos</w:t>
      </w:r>
      <w:r w:rsidRPr="00310555" w:rsidR="00CD5161">
        <w:rPr>
          <w:rFonts w:ascii="Times New Roman" w:hAnsi="Times New Roman" w:eastAsia="Times New Roman" w:cs="Times New Roman"/>
          <w:color w:val="000000"/>
          <w:sz w:val="24"/>
          <w:szCs w:val="24"/>
          <w:lang w:eastAsia="lv-LV"/>
        </w:rPr>
        <w:t>,</w:t>
      </w:r>
      <w:r w:rsidRPr="00310555">
        <w:rPr>
          <w:rFonts w:ascii="Times New Roman" w:hAnsi="Times New Roman" w:eastAsia="Times New Roman" w:cs="Times New Roman"/>
          <w:color w:val="000000"/>
          <w:sz w:val="24"/>
          <w:szCs w:val="24"/>
          <w:lang w:eastAsia="lv-LV"/>
        </w:rPr>
        <w:t xml:space="preserve"> vakcinēties pret Covid-19 infekciju, tādējādi ļaujot ātrāk sasniegt sabiedrības imunitāti  pret šo slimību. </w:t>
      </w:r>
    </w:p>
    <w:p w:rsidRPr="00310555" w:rsidR="00D10410" w:rsidP="00310555" w:rsidRDefault="00AE4651" w14:paraId="4B425AA7" w14:textId="14EDA5FC">
      <w:pPr>
        <w:spacing w:after="0" w:line="240" w:lineRule="auto"/>
        <w:ind w:firstLine="720"/>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Informatīvā ziņojuma izstrādē piedalījās Veselības ministrija, </w:t>
      </w:r>
      <w:r w:rsidRPr="00310555" w:rsidR="00F166D0">
        <w:rPr>
          <w:rFonts w:ascii="Times New Roman" w:hAnsi="Times New Roman" w:eastAsia="Times New Roman" w:cs="Times New Roman"/>
          <w:color w:val="000000"/>
          <w:sz w:val="24"/>
          <w:szCs w:val="24"/>
          <w:lang w:eastAsia="lv-LV"/>
        </w:rPr>
        <w:t xml:space="preserve">Ārlietu ministrija, </w:t>
      </w:r>
      <w:r w:rsidRPr="00310555">
        <w:rPr>
          <w:rFonts w:ascii="Times New Roman" w:hAnsi="Times New Roman" w:eastAsia="Times New Roman" w:cs="Times New Roman"/>
          <w:color w:val="000000"/>
          <w:sz w:val="24"/>
          <w:szCs w:val="24"/>
          <w:lang w:eastAsia="lv-LV"/>
        </w:rPr>
        <w:t xml:space="preserve">Tieslietu ministrija, Ekonomikas ministrija, Finanšu ministrija, Valsts kanceleja, </w:t>
      </w:r>
      <w:proofErr w:type="spellStart"/>
      <w:r w:rsidRPr="00310555">
        <w:rPr>
          <w:rFonts w:ascii="Times New Roman" w:hAnsi="Times New Roman" w:eastAsia="Times New Roman" w:cs="Times New Roman"/>
          <w:color w:val="000000"/>
          <w:sz w:val="24"/>
          <w:szCs w:val="24"/>
          <w:lang w:eastAsia="lv-LV"/>
        </w:rPr>
        <w:t>Iekšlietu</w:t>
      </w:r>
      <w:proofErr w:type="spellEnd"/>
      <w:r w:rsidRPr="00310555">
        <w:rPr>
          <w:rFonts w:ascii="Times New Roman" w:hAnsi="Times New Roman" w:eastAsia="Times New Roman" w:cs="Times New Roman"/>
          <w:color w:val="000000"/>
          <w:sz w:val="24"/>
          <w:szCs w:val="24"/>
          <w:lang w:eastAsia="lv-LV"/>
        </w:rPr>
        <w:t xml:space="preserve"> ministrija un Labklājības ministrija</w:t>
      </w:r>
      <w:r w:rsidRPr="00310555" w:rsidR="00EA2AD2">
        <w:rPr>
          <w:rFonts w:ascii="Times New Roman" w:hAnsi="Times New Roman" w:eastAsia="Times New Roman" w:cs="Times New Roman"/>
          <w:color w:val="000000"/>
          <w:sz w:val="24"/>
          <w:szCs w:val="24"/>
          <w:lang w:eastAsia="lv-LV"/>
        </w:rPr>
        <w:t>.</w:t>
      </w:r>
      <w:r w:rsidRPr="00310555">
        <w:rPr>
          <w:rFonts w:ascii="Times New Roman" w:hAnsi="Times New Roman" w:eastAsia="Times New Roman" w:cs="Times New Roman"/>
          <w:color w:val="000000"/>
          <w:sz w:val="24"/>
          <w:szCs w:val="24"/>
          <w:lang w:eastAsia="lv-LV"/>
        </w:rPr>
        <w:t xml:space="preserve"> Informatīvā ziņojuma projekts ir skatīts starpinstitūciju darbības koordinācijas grupas sēdē. </w:t>
      </w:r>
    </w:p>
    <w:p w:rsidRPr="00310555" w:rsidR="009324B7" w:rsidP="00310555" w:rsidRDefault="009324B7" w14:paraId="26855BCD" w14:textId="7F706845">
      <w:pPr>
        <w:spacing w:after="0" w:line="240" w:lineRule="auto"/>
        <w:ind w:firstLine="720"/>
        <w:jc w:val="both"/>
        <w:rPr>
          <w:rFonts w:ascii="Times New Roman" w:hAnsi="Times New Roman" w:eastAsia="Times New Roman" w:cs="Times New Roman"/>
          <w:color w:val="000000"/>
          <w:sz w:val="24"/>
          <w:szCs w:val="24"/>
          <w:lang w:eastAsia="lv-LV"/>
        </w:rPr>
      </w:pPr>
    </w:p>
    <w:p w:rsidRPr="00310555" w:rsidR="00A448FC" w:rsidP="00310555" w:rsidRDefault="00A448FC" w14:paraId="29F0EFEA" w14:textId="1B30B768">
      <w:pPr>
        <w:spacing w:after="0" w:line="240" w:lineRule="auto"/>
        <w:rPr>
          <w:rFonts w:ascii="Times New Roman" w:hAnsi="Times New Roman" w:eastAsia="Times New Roman" w:cs="Times New Roman"/>
          <w:color w:val="000000"/>
          <w:sz w:val="24"/>
          <w:szCs w:val="24"/>
          <w:lang w:eastAsia="lv-LV"/>
        </w:rPr>
      </w:pPr>
    </w:p>
    <w:p w:rsidRPr="00310555" w:rsidR="00A448FC" w:rsidP="00310555" w:rsidRDefault="009744FC" w14:paraId="0BBC2A1D" w14:textId="7AA58F3F">
      <w:pPr>
        <w:pStyle w:val="Sarakstarindkopa"/>
        <w:numPr>
          <w:ilvl w:val="0"/>
          <w:numId w:val="9"/>
        </w:numPr>
        <w:spacing w:after="0" w:line="240" w:lineRule="auto"/>
        <w:jc w:val="center"/>
        <w:rPr>
          <w:rFonts w:ascii="Times New Roman" w:hAnsi="Times New Roman" w:eastAsia="Times New Roman" w:cs="Times New Roman"/>
          <w:b/>
          <w:bCs/>
          <w:color w:val="000000"/>
          <w:sz w:val="24"/>
          <w:szCs w:val="24"/>
          <w:lang w:eastAsia="lv-LV"/>
        </w:rPr>
      </w:pPr>
      <w:r w:rsidRPr="00310555">
        <w:rPr>
          <w:rFonts w:ascii="Times New Roman" w:hAnsi="Times New Roman" w:eastAsia="Times New Roman" w:cs="Times New Roman"/>
          <w:b/>
          <w:bCs/>
          <w:color w:val="000000"/>
          <w:sz w:val="24"/>
          <w:szCs w:val="24"/>
          <w:lang w:eastAsia="lv-LV"/>
        </w:rPr>
        <w:t xml:space="preserve">Obligātas vakcinācijas </w:t>
      </w:r>
      <w:proofErr w:type="spellStart"/>
      <w:r w:rsidRPr="00310555">
        <w:rPr>
          <w:rFonts w:ascii="Times New Roman" w:hAnsi="Times New Roman" w:eastAsia="Times New Roman" w:cs="Times New Roman"/>
          <w:b/>
          <w:bCs/>
          <w:color w:val="000000"/>
          <w:sz w:val="24"/>
          <w:szCs w:val="24"/>
          <w:lang w:eastAsia="lv-LV"/>
        </w:rPr>
        <w:t>izvērtējums</w:t>
      </w:r>
      <w:proofErr w:type="spellEnd"/>
    </w:p>
    <w:p w:rsidRPr="00310555" w:rsidR="001D4807" w:rsidP="00310555" w:rsidRDefault="001D4807" w14:paraId="4C7A17C1" w14:textId="77777777">
      <w:pPr>
        <w:spacing w:after="0" w:line="240" w:lineRule="auto"/>
        <w:jc w:val="both"/>
        <w:rPr>
          <w:rFonts w:ascii="Times New Roman" w:hAnsi="Times New Roman" w:eastAsia="Times New Roman" w:cs="Times New Roman"/>
          <w:color w:val="000000"/>
          <w:sz w:val="24"/>
          <w:szCs w:val="24"/>
          <w:lang w:eastAsia="lv-LV"/>
        </w:rPr>
      </w:pPr>
    </w:p>
    <w:p w:rsidRPr="00310555" w:rsidR="006B09E8" w:rsidP="00310555" w:rsidRDefault="00D1734B" w14:paraId="53031DF2" w14:textId="76C95A00">
      <w:pPr>
        <w:spacing w:after="0" w:line="240" w:lineRule="auto"/>
        <w:ind w:firstLine="720"/>
        <w:jc w:val="both"/>
        <w:rPr>
          <w:rFonts w:ascii="Times New Roman" w:hAnsi="Times New Roman" w:cs="Times New Roman"/>
          <w:sz w:val="24"/>
          <w:szCs w:val="24"/>
        </w:rPr>
      </w:pPr>
      <w:r w:rsidRPr="00310555">
        <w:rPr>
          <w:rFonts w:ascii="Times New Roman" w:hAnsi="Times New Roman" w:cs="Times New Roman"/>
          <w:sz w:val="24"/>
          <w:szCs w:val="24"/>
        </w:rPr>
        <w:t xml:space="preserve">Vakcinācija pret Covid-19 </w:t>
      </w:r>
      <w:r w:rsidRPr="00310555" w:rsidR="00F8447F">
        <w:rPr>
          <w:rFonts w:ascii="Times New Roman" w:hAnsi="Times New Roman" w:cs="Times New Roman"/>
          <w:sz w:val="24"/>
          <w:szCs w:val="24"/>
        </w:rPr>
        <w:t xml:space="preserve">infekciju </w:t>
      </w:r>
      <w:r w:rsidRPr="00310555">
        <w:rPr>
          <w:rFonts w:ascii="Times New Roman" w:hAnsi="Times New Roman" w:cs="Times New Roman"/>
          <w:sz w:val="24"/>
          <w:szCs w:val="24"/>
        </w:rPr>
        <w:t xml:space="preserve">ir brīvprātīga, un </w:t>
      </w:r>
      <w:r w:rsidRPr="00310555" w:rsidR="00F8447F">
        <w:rPr>
          <w:rFonts w:ascii="Times New Roman" w:hAnsi="Times New Roman" w:cs="Times New Roman"/>
          <w:sz w:val="24"/>
          <w:szCs w:val="24"/>
        </w:rPr>
        <w:t>šāda pieeja</w:t>
      </w:r>
      <w:r w:rsidRPr="00310555" w:rsidR="006644DF">
        <w:rPr>
          <w:rFonts w:ascii="Times New Roman" w:hAnsi="Times New Roman" w:cs="Times New Roman"/>
          <w:sz w:val="24"/>
          <w:szCs w:val="24"/>
        </w:rPr>
        <w:t xml:space="preserve"> ir uzsvērt</w:t>
      </w:r>
      <w:r w:rsidRPr="00310555" w:rsidR="00F8447F">
        <w:rPr>
          <w:rFonts w:ascii="Times New Roman" w:hAnsi="Times New Roman" w:cs="Times New Roman"/>
          <w:sz w:val="24"/>
          <w:szCs w:val="24"/>
        </w:rPr>
        <w:t>a</w:t>
      </w:r>
      <w:r w:rsidRPr="00310555">
        <w:rPr>
          <w:rFonts w:ascii="Times New Roman" w:hAnsi="Times New Roman" w:cs="Times New Roman"/>
          <w:sz w:val="24"/>
          <w:szCs w:val="24"/>
        </w:rPr>
        <w:t xml:space="preserve"> </w:t>
      </w:r>
      <w:r w:rsidRPr="00310555" w:rsidR="006644DF">
        <w:rPr>
          <w:rFonts w:ascii="Times New Roman" w:hAnsi="Times New Roman" w:cs="Times New Roman"/>
          <w:sz w:val="24"/>
          <w:szCs w:val="24"/>
        </w:rPr>
        <w:t>gan valsts institūciju komunikācijā ar sabiedrību</w:t>
      </w:r>
      <w:r w:rsidR="00E93319">
        <w:rPr>
          <w:rFonts w:ascii="Times New Roman" w:hAnsi="Times New Roman" w:cs="Times New Roman"/>
          <w:sz w:val="24"/>
          <w:szCs w:val="24"/>
        </w:rPr>
        <w:t>,</w:t>
      </w:r>
      <w:r w:rsidR="00653D25">
        <w:rPr>
          <w:rStyle w:val="Vresatsauce"/>
          <w:rFonts w:ascii="Times New Roman" w:hAnsi="Times New Roman" w:cs="Times New Roman"/>
          <w:sz w:val="24"/>
          <w:szCs w:val="24"/>
        </w:rPr>
        <w:footnoteReference w:id="1"/>
      </w:r>
      <w:r w:rsidRPr="00310555" w:rsidR="006644DF">
        <w:rPr>
          <w:rFonts w:ascii="Times New Roman" w:hAnsi="Times New Roman" w:cs="Times New Roman"/>
          <w:sz w:val="24"/>
          <w:szCs w:val="24"/>
        </w:rPr>
        <w:t xml:space="preserve"> </w:t>
      </w:r>
      <w:r w:rsidRPr="00310555">
        <w:rPr>
          <w:rFonts w:ascii="Times New Roman" w:hAnsi="Times New Roman" w:cs="Times New Roman"/>
          <w:sz w:val="24"/>
          <w:szCs w:val="24"/>
        </w:rPr>
        <w:t xml:space="preserve">gan </w:t>
      </w:r>
      <w:r w:rsidRPr="00310555" w:rsidR="006644DF">
        <w:rPr>
          <w:rFonts w:ascii="Times New Roman" w:hAnsi="Times New Roman" w:cs="Times New Roman"/>
          <w:sz w:val="24"/>
          <w:szCs w:val="24"/>
        </w:rPr>
        <w:t xml:space="preserve">izriet no </w:t>
      </w:r>
      <w:r w:rsidRPr="00310555">
        <w:rPr>
          <w:rFonts w:ascii="Times New Roman" w:hAnsi="Times New Roman" w:cs="Times New Roman"/>
          <w:sz w:val="24"/>
          <w:szCs w:val="24"/>
        </w:rPr>
        <w:t>normatīvā regulējuma</w:t>
      </w:r>
      <w:r w:rsidRPr="00310555" w:rsidR="00E8445E">
        <w:rPr>
          <w:rFonts w:ascii="Times New Roman" w:hAnsi="Times New Roman" w:cs="Times New Roman"/>
          <w:sz w:val="24"/>
          <w:szCs w:val="24"/>
        </w:rPr>
        <w:t xml:space="preserve"> un tā paskaidrojošās informācijas</w:t>
      </w:r>
      <w:r w:rsidRPr="00310555">
        <w:rPr>
          <w:rFonts w:ascii="Times New Roman" w:hAnsi="Times New Roman" w:cs="Times New Roman"/>
          <w:sz w:val="24"/>
          <w:szCs w:val="24"/>
        </w:rPr>
        <w:t xml:space="preserve">.  </w:t>
      </w:r>
      <w:r w:rsidRPr="00310555" w:rsidR="006644DF">
        <w:rPr>
          <w:rFonts w:ascii="Times New Roman" w:hAnsi="Times New Roman" w:cs="Times New Roman"/>
          <w:sz w:val="24"/>
          <w:szCs w:val="24"/>
        </w:rPr>
        <w:t>Tā, piemēram, Ministru kabineta 2020.gada 15.decembra noteikumu “Grozījumi Ministru kabineta 2020. gada 9. jūnija noteikumos Nr. 360 “Epidemioloģiskās drošības pasākumi Covid-19 infekcijas izplatības ierobežošanai”” sākotnējās ietekmes novērtējuma ziņojumā (anotācijā) norādīts: “</w:t>
      </w:r>
      <w:r w:rsidRPr="00310555" w:rsidR="00D46375">
        <w:rPr>
          <w:rFonts w:ascii="Times New Roman" w:hAnsi="Times New Roman" w:cs="Times New Roman"/>
          <w:sz w:val="24"/>
          <w:szCs w:val="24"/>
          <w:u w:val="single"/>
        </w:rPr>
        <w:t>Vakcinācija pret Covid-19 būs brīvprātīga un šobrīd netiek paredzēti nekādi ierobežojumi personām, kuras nebūs vakcinējušās.</w:t>
      </w:r>
      <w:r w:rsidRPr="00310555" w:rsidR="00D46375">
        <w:rPr>
          <w:rFonts w:ascii="Times New Roman" w:hAnsi="Times New Roman" w:cs="Times New Roman"/>
          <w:sz w:val="24"/>
          <w:szCs w:val="24"/>
        </w:rPr>
        <w:t xml:space="preserve"> Tādēļ arī personai būs iespēja rakstiski atteikties no vakcinācijas. Tomēr pirms atteikuma personai jābūt informētai par to, no kā persona atsakās, proti par vakcinācijas nozīmi, par vakcīnu drošību un nozīmi.”</w:t>
      </w:r>
    </w:p>
    <w:p w:rsidRPr="00310555" w:rsidR="00E85698" w:rsidP="00310555" w:rsidRDefault="00DA4C91" w14:paraId="14F9ED0B" w14:textId="170DD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lastRenderedPageBreak/>
        <w:tab/>
      </w:r>
      <w:r w:rsidRPr="00310555" w:rsidR="003C0746">
        <w:rPr>
          <w:rFonts w:ascii="Times New Roman" w:hAnsi="Times New Roman" w:eastAsia="Times New Roman" w:cs="Times New Roman"/>
          <w:sz w:val="24"/>
          <w:szCs w:val="24"/>
          <w:lang w:eastAsia="lv-LV"/>
        </w:rPr>
        <w:t>Arī Eiropas Padomes Parlamentārās asamblejas 2021.gada 27.janvāra rezolūcijā “Covid-19 vakcīnas: ētiski, juridiski un praktiski apsvērumi” (</w:t>
      </w:r>
      <w:r w:rsidRPr="00112650" w:rsidR="003C0746">
        <w:rPr>
          <w:rFonts w:ascii="Times New Roman" w:hAnsi="Times New Roman" w:eastAsia="Times New Roman" w:cs="Times New Roman"/>
          <w:i/>
          <w:iCs/>
          <w:sz w:val="24"/>
          <w:szCs w:val="24"/>
          <w:lang w:eastAsia="lv-LV"/>
        </w:rPr>
        <w:t xml:space="preserve">Covid-19 </w:t>
      </w:r>
      <w:proofErr w:type="spellStart"/>
      <w:r w:rsidR="00396CFC">
        <w:rPr>
          <w:rFonts w:ascii="Times New Roman" w:hAnsi="Times New Roman" w:eastAsia="Times New Roman" w:cs="Times New Roman"/>
          <w:i/>
          <w:iCs/>
          <w:sz w:val="24"/>
          <w:szCs w:val="24"/>
          <w:lang w:eastAsia="lv-LV"/>
        </w:rPr>
        <w:t>V</w:t>
      </w:r>
      <w:r w:rsidRPr="00112650" w:rsidR="003C0746">
        <w:rPr>
          <w:rFonts w:ascii="Times New Roman" w:hAnsi="Times New Roman" w:eastAsia="Times New Roman" w:cs="Times New Roman"/>
          <w:i/>
          <w:iCs/>
          <w:sz w:val="24"/>
          <w:szCs w:val="24"/>
          <w:lang w:eastAsia="lv-LV"/>
        </w:rPr>
        <w:t>accines</w:t>
      </w:r>
      <w:proofErr w:type="spellEnd"/>
      <w:r w:rsidRPr="00112650" w:rsidR="003C0746">
        <w:rPr>
          <w:rFonts w:ascii="Times New Roman" w:hAnsi="Times New Roman" w:eastAsia="Times New Roman" w:cs="Times New Roman"/>
          <w:i/>
          <w:iCs/>
          <w:sz w:val="24"/>
          <w:szCs w:val="24"/>
          <w:lang w:eastAsia="lv-LV"/>
        </w:rPr>
        <w:t xml:space="preserve">: </w:t>
      </w:r>
      <w:proofErr w:type="spellStart"/>
      <w:r w:rsidR="00396CFC">
        <w:rPr>
          <w:rFonts w:ascii="Times New Roman" w:hAnsi="Times New Roman" w:eastAsia="Times New Roman" w:cs="Times New Roman"/>
          <w:i/>
          <w:iCs/>
          <w:sz w:val="24"/>
          <w:szCs w:val="24"/>
          <w:lang w:eastAsia="lv-LV"/>
        </w:rPr>
        <w:t>E</w:t>
      </w:r>
      <w:r w:rsidRPr="00112650" w:rsidR="003C0746">
        <w:rPr>
          <w:rFonts w:ascii="Times New Roman" w:hAnsi="Times New Roman" w:eastAsia="Times New Roman" w:cs="Times New Roman"/>
          <w:i/>
          <w:iCs/>
          <w:sz w:val="24"/>
          <w:szCs w:val="24"/>
          <w:lang w:eastAsia="lv-LV"/>
        </w:rPr>
        <w:t>thical</w:t>
      </w:r>
      <w:proofErr w:type="spellEnd"/>
      <w:r w:rsidRPr="00112650" w:rsidR="003C0746">
        <w:rPr>
          <w:rFonts w:ascii="Times New Roman" w:hAnsi="Times New Roman" w:eastAsia="Times New Roman" w:cs="Times New Roman"/>
          <w:i/>
          <w:iCs/>
          <w:sz w:val="24"/>
          <w:szCs w:val="24"/>
          <w:lang w:eastAsia="lv-LV"/>
        </w:rPr>
        <w:t xml:space="preserve">, </w:t>
      </w:r>
      <w:r w:rsidR="00396CFC">
        <w:rPr>
          <w:rFonts w:ascii="Times New Roman" w:hAnsi="Times New Roman" w:eastAsia="Times New Roman" w:cs="Times New Roman"/>
          <w:i/>
          <w:iCs/>
          <w:sz w:val="24"/>
          <w:szCs w:val="24"/>
          <w:lang w:eastAsia="lv-LV"/>
        </w:rPr>
        <w:t>L</w:t>
      </w:r>
      <w:r w:rsidRPr="00112650" w:rsidR="003C0746">
        <w:rPr>
          <w:rFonts w:ascii="Times New Roman" w:hAnsi="Times New Roman" w:eastAsia="Times New Roman" w:cs="Times New Roman"/>
          <w:i/>
          <w:iCs/>
          <w:sz w:val="24"/>
          <w:szCs w:val="24"/>
          <w:lang w:eastAsia="lv-LV"/>
        </w:rPr>
        <w:t xml:space="preserve">egal </w:t>
      </w:r>
      <w:proofErr w:type="spellStart"/>
      <w:r w:rsidRPr="00112650" w:rsidR="003C0746">
        <w:rPr>
          <w:rFonts w:ascii="Times New Roman" w:hAnsi="Times New Roman" w:eastAsia="Times New Roman" w:cs="Times New Roman"/>
          <w:i/>
          <w:iCs/>
          <w:sz w:val="24"/>
          <w:szCs w:val="24"/>
          <w:lang w:eastAsia="lv-LV"/>
        </w:rPr>
        <w:t>and</w:t>
      </w:r>
      <w:proofErr w:type="spellEnd"/>
      <w:r w:rsidRPr="00112650" w:rsidR="003C0746">
        <w:rPr>
          <w:rFonts w:ascii="Times New Roman" w:hAnsi="Times New Roman" w:eastAsia="Times New Roman" w:cs="Times New Roman"/>
          <w:i/>
          <w:iCs/>
          <w:sz w:val="24"/>
          <w:szCs w:val="24"/>
          <w:lang w:eastAsia="lv-LV"/>
        </w:rPr>
        <w:t xml:space="preserve"> </w:t>
      </w:r>
      <w:proofErr w:type="spellStart"/>
      <w:r w:rsidR="00396CFC">
        <w:rPr>
          <w:rFonts w:ascii="Times New Roman" w:hAnsi="Times New Roman" w:eastAsia="Times New Roman" w:cs="Times New Roman"/>
          <w:i/>
          <w:iCs/>
          <w:sz w:val="24"/>
          <w:szCs w:val="24"/>
          <w:lang w:eastAsia="lv-LV"/>
        </w:rPr>
        <w:t>P</w:t>
      </w:r>
      <w:r w:rsidRPr="00112650" w:rsidR="003C0746">
        <w:rPr>
          <w:rFonts w:ascii="Times New Roman" w:hAnsi="Times New Roman" w:eastAsia="Times New Roman" w:cs="Times New Roman"/>
          <w:i/>
          <w:iCs/>
          <w:sz w:val="24"/>
          <w:szCs w:val="24"/>
          <w:lang w:eastAsia="lv-LV"/>
        </w:rPr>
        <w:t>ractical</w:t>
      </w:r>
      <w:proofErr w:type="spellEnd"/>
      <w:r w:rsidRPr="00112650" w:rsidR="003C0746">
        <w:rPr>
          <w:rFonts w:ascii="Times New Roman" w:hAnsi="Times New Roman" w:eastAsia="Times New Roman" w:cs="Times New Roman"/>
          <w:i/>
          <w:iCs/>
          <w:sz w:val="24"/>
          <w:szCs w:val="24"/>
          <w:lang w:eastAsia="lv-LV"/>
        </w:rPr>
        <w:t xml:space="preserve"> </w:t>
      </w:r>
      <w:proofErr w:type="spellStart"/>
      <w:r w:rsidR="00396CFC">
        <w:rPr>
          <w:rFonts w:ascii="Times New Roman" w:hAnsi="Times New Roman" w:eastAsia="Times New Roman" w:cs="Times New Roman"/>
          <w:i/>
          <w:iCs/>
          <w:sz w:val="24"/>
          <w:szCs w:val="24"/>
          <w:lang w:eastAsia="lv-LV"/>
        </w:rPr>
        <w:t>C</w:t>
      </w:r>
      <w:r w:rsidRPr="00112650" w:rsidR="003C0746">
        <w:rPr>
          <w:rFonts w:ascii="Times New Roman" w:hAnsi="Times New Roman" w:eastAsia="Times New Roman" w:cs="Times New Roman"/>
          <w:i/>
          <w:iCs/>
          <w:sz w:val="24"/>
          <w:szCs w:val="24"/>
          <w:lang w:eastAsia="lv-LV"/>
        </w:rPr>
        <w:t>onsiderations</w:t>
      </w:r>
      <w:proofErr w:type="spellEnd"/>
      <w:r w:rsidRPr="00310555" w:rsidR="003C0746">
        <w:rPr>
          <w:rFonts w:ascii="Times New Roman" w:hAnsi="Times New Roman" w:eastAsia="Times New Roman" w:cs="Times New Roman"/>
          <w:sz w:val="24"/>
          <w:szCs w:val="24"/>
          <w:lang w:eastAsia="lv-LV"/>
        </w:rPr>
        <w:t xml:space="preserve">) 7.3.1.apakšpunktā paredzēts: “nodrošināt pilsoņu informēšanu par to, ka </w:t>
      </w:r>
      <w:r w:rsidRPr="00310555" w:rsidR="003C0746">
        <w:rPr>
          <w:rFonts w:ascii="Times New Roman" w:hAnsi="Times New Roman" w:eastAsia="Times New Roman" w:cs="Times New Roman"/>
          <w:sz w:val="24"/>
          <w:szCs w:val="24"/>
          <w:u w:val="single"/>
          <w:lang w:eastAsia="lv-LV"/>
        </w:rPr>
        <w:t>vakcinācija nav obligāta</w:t>
      </w:r>
      <w:r w:rsidRPr="00310555" w:rsidR="003C0746">
        <w:rPr>
          <w:rFonts w:ascii="Times New Roman" w:hAnsi="Times New Roman" w:eastAsia="Times New Roman" w:cs="Times New Roman"/>
          <w:sz w:val="24"/>
          <w:szCs w:val="24"/>
          <w:lang w:eastAsia="lv-LV"/>
        </w:rPr>
        <w:t xml:space="preserve"> un ka neviens nav politiski, sociāli vai kā citādi spiests sevi vakcinēt, ja viņi to nevēlas darīt paši.”</w:t>
      </w:r>
      <w:r w:rsidR="00653D25">
        <w:rPr>
          <w:rStyle w:val="Vresatsauce"/>
          <w:rFonts w:ascii="Times New Roman" w:hAnsi="Times New Roman" w:eastAsia="Times New Roman" w:cs="Times New Roman"/>
          <w:sz w:val="24"/>
          <w:szCs w:val="24"/>
          <w:lang w:eastAsia="lv-LV"/>
        </w:rPr>
        <w:footnoteReference w:id="2"/>
      </w:r>
      <w:r w:rsidRPr="00310555" w:rsidR="00FF36A6">
        <w:rPr>
          <w:rFonts w:ascii="Times New Roman" w:hAnsi="Times New Roman" w:eastAsia="Times New Roman" w:cs="Times New Roman"/>
          <w:sz w:val="24"/>
          <w:szCs w:val="24"/>
          <w:lang w:eastAsia="lv-LV"/>
        </w:rPr>
        <w:t>.</w:t>
      </w:r>
    </w:p>
    <w:p w:rsidR="00E85698" w:rsidP="00310555" w:rsidRDefault="00E85698" w14:paraId="63D88E6C" w14:textId="147DC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ab/>
        <w:t xml:space="preserve">Šobrīd, ievērojot vakcinācijas pret Covid-19 infekciju gaitu, sāk aktualizēties jautājums par iespējām </w:t>
      </w:r>
      <w:r w:rsidRPr="00310555" w:rsidR="003254BB">
        <w:rPr>
          <w:rFonts w:ascii="Times New Roman" w:hAnsi="Times New Roman" w:eastAsia="Times New Roman" w:cs="Times New Roman"/>
          <w:sz w:val="24"/>
          <w:szCs w:val="24"/>
          <w:lang w:eastAsia="lv-LV"/>
        </w:rPr>
        <w:t>izvērtēt</w:t>
      </w:r>
      <w:r w:rsidRPr="00310555">
        <w:rPr>
          <w:rFonts w:ascii="Times New Roman" w:hAnsi="Times New Roman" w:eastAsia="Times New Roman" w:cs="Times New Roman"/>
          <w:sz w:val="24"/>
          <w:szCs w:val="24"/>
          <w:lang w:eastAsia="lv-LV"/>
        </w:rPr>
        <w:t xml:space="preserve"> obligātu pienākumu vakcinēties vai arī paredzēt priekšnoteikumus atsevišķu profesiju grupā būt vakcinētam darba pildīšanai.</w:t>
      </w:r>
    </w:p>
    <w:p w:rsidRPr="00310555" w:rsidR="003C2C6B" w:rsidP="00310555" w:rsidRDefault="003C2C6B" w14:paraId="378591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p>
    <w:p w:rsidRPr="00310555" w:rsidR="00463AF2" w:rsidP="00310555" w:rsidRDefault="00463AF2" w14:paraId="6D37C080" w14:textId="0EE0D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p>
    <w:p w:rsidRPr="00310555" w:rsidR="00463AF2" w:rsidP="00310555" w:rsidRDefault="00207313" w14:paraId="62BA092C" w14:textId="3734C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sz w:val="24"/>
          <w:szCs w:val="24"/>
          <w:lang w:eastAsia="lv-LV"/>
        </w:rPr>
      </w:pPr>
      <w:r w:rsidRPr="00310555">
        <w:rPr>
          <w:rFonts w:ascii="Times New Roman" w:hAnsi="Times New Roman" w:eastAsia="Times New Roman" w:cs="Times New Roman"/>
          <w:b/>
          <w:bCs/>
          <w:sz w:val="24"/>
          <w:szCs w:val="24"/>
          <w:lang w:eastAsia="lv-LV"/>
        </w:rPr>
        <w:t>2.</w:t>
      </w:r>
      <w:r w:rsidRPr="00310555" w:rsidR="00463AF2">
        <w:rPr>
          <w:rFonts w:ascii="Times New Roman" w:hAnsi="Times New Roman" w:eastAsia="Times New Roman" w:cs="Times New Roman"/>
          <w:b/>
          <w:bCs/>
          <w:sz w:val="24"/>
          <w:szCs w:val="24"/>
          <w:lang w:eastAsia="lv-LV"/>
        </w:rPr>
        <w:t xml:space="preserve">1. </w:t>
      </w:r>
      <w:r w:rsidRPr="00310555" w:rsidR="00E0597A">
        <w:rPr>
          <w:rFonts w:ascii="Times New Roman" w:hAnsi="Times New Roman" w:eastAsia="Times New Roman" w:cs="Times New Roman"/>
          <w:b/>
          <w:bCs/>
          <w:sz w:val="24"/>
          <w:szCs w:val="24"/>
          <w:lang w:eastAsia="lv-LV"/>
        </w:rPr>
        <w:t>C</w:t>
      </w:r>
      <w:r w:rsidRPr="00310555" w:rsidR="00463AF2">
        <w:rPr>
          <w:rFonts w:ascii="Times New Roman" w:hAnsi="Times New Roman" w:eastAsia="Times New Roman" w:cs="Times New Roman"/>
          <w:b/>
          <w:bCs/>
          <w:sz w:val="24"/>
          <w:szCs w:val="24"/>
          <w:lang w:eastAsia="lv-LV"/>
        </w:rPr>
        <w:t xml:space="preserve">ilvēka </w:t>
      </w:r>
      <w:proofErr w:type="spellStart"/>
      <w:r w:rsidRPr="00310555" w:rsidR="00463AF2">
        <w:rPr>
          <w:rFonts w:ascii="Times New Roman" w:hAnsi="Times New Roman" w:eastAsia="Times New Roman" w:cs="Times New Roman"/>
          <w:b/>
          <w:bCs/>
          <w:sz w:val="24"/>
          <w:szCs w:val="24"/>
          <w:lang w:eastAsia="lv-LV"/>
        </w:rPr>
        <w:t>pamattiesības</w:t>
      </w:r>
      <w:proofErr w:type="spellEnd"/>
    </w:p>
    <w:p w:rsidRPr="00310555" w:rsidR="00463AF2" w:rsidP="00310555" w:rsidRDefault="00463AF2" w14:paraId="175A9C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4"/>
          <w:szCs w:val="24"/>
          <w:lang w:eastAsia="lv-LV"/>
        </w:rPr>
      </w:pPr>
    </w:p>
    <w:p w:rsidRPr="00310555" w:rsidR="00B01570" w:rsidP="00310555" w:rsidRDefault="00555FEE" w14:paraId="789DE334" w14:textId="1DA0B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ab/>
      </w:r>
      <w:r w:rsidRPr="00310555" w:rsidR="00B86321">
        <w:rPr>
          <w:rFonts w:ascii="Times New Roman" w:hAnsi="Times New Roman" w:eastAsia="Times New Roman" w:cs="Times New Roman"/>
          <w:sz w:val="24"/>
          <w:szCs w:val="24"/>
          <w:lang w:eastAsia="lv-LV"/>
        </w:rPr>
        <w:t xml:space="preserve">Obligāta vakcinācija </w:t>
      </w:r>
      <w:r w:rsidR="00653D25">
        <w:rPr>
          <w:rFonts w:ascii="Times New Roman" w:hAnsi="Times New Roman" w:eastAsia="Times New Roman" w:cs="Times New Roman"/>
          <w:sz w:val="24"/>
          <w:szCs w:val="24"/>
          <w:lang w:eastAsia="lv-LV"/>
        </w:rPr>
        <w:t xml:space="preserve">sabiedrībai kopumā vai </w:t>
      </w:r>
      <w:r w:rsidRPr="00310555" w:rsidR="00A64AEC">
        <w:rPr>
          <w:rFonts w:ascii="Times New Roman" w:hAnsi="Times New Roman" w:eastAsia="Times New Roman" w:cs="Times New Roman"/>
          <w:sz w:val="24"/>
          <w:szCs w:val="24"/>
          <w:lang w:eastAsia="lv-LV"/>
        </w:rPr>
        <w:t xml:space="preserve">noteiktās profesiju grupās </w:t>
      </w:r>
      <w:r w:rsidR="00582E99">
        <w:rPr>
          <w:rFonts w:ascii="Times New Roman" w:hAnsi="Times New Roman" w:eastAsia="Times New Roman" w:cs="Times New Roman"/>
          <w:sz w:val="24"/>
          <w:szCs w:val="24"/>
          <w:lang w:eastAsia="lv-LV"/>
        </w:rPr>
        <w:t xml:space="preserve">jāvērtē, balstoties uz </w:t>
      </w:r>
      <w:r w:rsidRPr="00310555" w:rsidR="00B86321">
        <w:rPr>
          <w:rFonts w:ascii="Times New Roman" w:hAnsi="Times New Roman" w:eastAsia="Times New Roman" w:cs="Times New Roman"/>
          <w:sz w:val="24"/>
          <w:szCs w:val="24"/>
          <w:lang w:eastAsia="lv-LV"/>
        </w:rPr>
        <w:t>šād</w:t>
      </w:r>
      <w:r w:rsidR="00582E99">
        <w:rPr>
          <w:rFonts w:ascii="Times New Roman" w:hAnsi="Times New Roman" w:eastAsia="Times New Roman" w:cs="Times New Roman"/>
          <w:sz w:val="24"/>
          <w:szCs w:val="24"/>
          <w:lang w:eastAsia="lv-LV"/>
        </w:rPr>
        <w:t>ām</w:t>
      </w:r>
      <w:r w:rsidRPr="00310555" w:rsidR="00B86321">
        <w:rPr>
          <w:rFonts w:ascii="Times New Roman" w:hAnsi="Times New Roman" w:eastAsia="Times New Roman" w:cs="Times New Roman"/>
          <w:sz w:val="24"/>
          <w:szCs w:val="24"/>
          <w:lang w:eastAsia="lv-LV"/>
        </w:rPr>
        <w:t xml:space="preserve"> Latvijas Republikas Satversmē (turpmāk – Satversme) </w:t>
      </w:r>
      <w:r w:rsidRPr="00310555" w:rsidR="00582E99">
        <w:rPr>
          <w:rFonts w:ascii="Times New Roman" w:hAnsi="Times New Roman" w:eastAsia="Times New Roman" w:cs="Times New Roman"/>
          <w:sz w:val="24"/>
          <w:szCs w:val="24"/>
          <w:lang w:eastAsia="lv-LV"/>
        </w:rPr>
        <w:t>paredzēt</w:t>
      </w:r>
      <w:r w:rsidR="00582E99">
        <w:rPr>
          <w:rFonts w:ascii="Times New Roman" w:hAnsi="Times New Roman" w:eastAsia="Times New Roman" w:cs="Times New Roman"/>
          <w:sz w:val="24"/>
          <w:szCs w:val="24"/>
          <w:lang w:eastAsia="lv-LV"/>
        </w:rPr>
        <w:t>ajām</w:t>
      </w:r>
      <w:r w:rsidRPr="00310555" w:rsidR="00582E99">
        <w:rPr>
          <w:rFonts w:ascii="Times New Roman" w:hAnsi="Times New Roman" w:eastAsia="Times New Roman" w:cs="Times New Roman"/>
          <w:sz w:val="24"/>
          <w:szCs w:val="24"/>
          <w:lang w:eastAsia="lv-LV"/>
        </w:rPr>
        <w:t xml:space="preserve"> </w:t>
      </w:r>
      <w:proofErr w:type="spellStart"/>
      <w:r w:rsidRPr="00310555" w:rsidR="00B86321">
        <w:rPr>
          <w:rFonts w:ascii="Times New Roman" w:hAnsi="Times New Roman" w:eastAsia="Times New Roman" w:cs="Times New Roman"/>
          <w:sz w:val="24"/>
          <w:szCs w:val="24"/>
          <w:lang w:eastAsia="lv-LV"/>
        </w:rPr>
        <w:t>pamattiesīb</w:t>
      </w:r>
      <w:r w:rsidR="00582E99">
        <w:rPr>
          <w:rFonts w:ascii="Times New Roman" w:hAnsi="Times New Roman" w:eastAsia="Times New Roman" w:cs="Times New Roman"/>
          <w:sz w:val="24"/>
          <w:szCs w:val="24"/>
          <w:lang w:eastAsia="lv-LV"/>
        </w:rPr>
        <w:t>ām</w:t>
      </w:r>
      <w:proofErr w:type="spellEnd"/>
      <w:r w:rsidRPr="00310555" w:rsidR="00B86321">
        <w:rPr>
          <w:rFonts w:ascii="Times New Roman" w:hAnsi="Times New Roman" w:eastAsia="Times New Roman" w:cs="Times New Roman"/>
          <w:sz w:val="24"/>
          <w:szCs w:val="24"/>
          <w:lang w:eastAsia="lv-LV"/>
        </w:rPr>
        <w:t xml:space="preserve">: </w:t>
      </w:r>
    </w:p>
    <w:p w:rsidRPr="00310555" w:rsidR="00B86321" w:rsidP="00310555" w:rsidRDefault="00B86321" w14:paraId="323FA3CF" w14:textId="5B848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ab/>
      </w:r>
      <w:r w:rsidRPr="00310555">
        <w:rPr>
          <w:rFonts w:ascii="Times New Roman" w:hAnsi="Times New Roman" w:eastAsia="Times New Roman" w:cs="Times New Roman"/>
          <w:sz w:val="24"/>
          <w:szCs w:val="24"/>
          <w:u w:val="single"/>
          <w:lang w:eastAsia="lv-LV"/>
        </w:rPr>
        <w:t>Satversmes 93.pant</w:t>
      </w:r>
      <w:r w:rsidRPr="00310555" w:rsidR="00476C4F">
        <w:rPr>
          <w:rFonts w:ascii="Times New Roman" w:hAnsi="Times New Roman" w:eastAsia="Times New Roman" w:cs="Times New Roman"/>
          <w:sz w:val="24"/>
          <w:szCs w:val="24"/>
          <w:u w:val="single"/>
          <w:lang w:eastAsia="lv-LV"/>
        </w:rPr>
        <w:t>ā paredzētās</w:t>
      </w:r>
      <w:r w:rsidRPr="00310555">
        <w:rPr>
          <w:rFonts w:ascii="Times New Roman" w:hAnsi="Times New Roman" w:eastAsia="Times New Roman" w:cs="Times New Roman"/>
          <w:sz w:val="24"/>
          <w:szCs w:val="24"/>
          <w:u w:val="single"/>
          <w:lang w:eastAsia="lv-LV"/>
        </w:rPr>
        <w:t xml:space="preserve"> tiesības uz dzīvību.</w:t>
      </w:r>
      <w:r w:rsidRPr="00310555">
        <w:rPr>
          <w:rFonts w:ascii="Times New Roman" w:hAnsi="Times New Roman" w:eastAsia="Times New Roman" w:cs="Times New Roman"/>
          <w:sz w:val="24"/>
          <w:szCs w:val="24"/>
          <w:lang w:eastAsia="lv-LV"/>
        </w:rPr>
        <w:t xml:space="preserve"> </w:t>
      </w:r>
      <w:r w:rsidRPr="00310555" w:rsidR="00267DA7">
        <w:rPr>
          <w:rFonts w:ascii="Times New Roman" w:hAnsi="Times New Roman" w:eastAsia="Times New Roman" w:cs="Times New Roman"/>
          <w:sz w:val="24"/>
          <w:szCs w:val="24"/>
          <w:lang w:eastAsia="lv-LV"/>
        </w:rPr>
        <w:t>Par spīti tam, ka starptautiskajos tiesību dokumentos noteikto tiesību uz dzīvību satura interpretācija ir visai atšķirīga, vispārēji tiek atzīmēts, ka tiesības uz dzīvību uzliek valstij pienākumu veikt nopietnus pasākumus dzīvības saglabāšanai</w:t>
      </w:r>
      <w:r w:rsidR="00582E99">
        <w:rPr>
          <w:rFonts w:ascii="Times New Roman" w:hAnsi="Times New Roman" w:eastAsia="Times New Roman" w:cs="Times New Roman"/>
          <w:sz w:val="24"/>
          <w:szCs w:val="24"/>
          <w:lang w:eastAsia="lv-LV"/>
        </w:rPr>
        <w:t xml:space="preserve"> (</w:t>
      </w:r>
      <w:r w:rsidRPr="00310555" w:rsidR="00267DA7">
        <w:rPr>
          <w:rFonts w:ascii="Times New Roman" w:hAnsi="Times New Roman" w:eastAsia="Times New Roman" w:cs="Times New Roman"/>
          <w:sz w:val="24"/>
          <w:szCs w:val="24"/>
          <w:lang w:eastAsia="lv-LV"/>
        </w:rPr>
        <w:t>piemēram, samazināt bērnu mirstību, likvidēt badu un epidēmijas</w:t>
      </w:r>
      <w:r w:rsidR="00653D25">
        <w:rPr>
          <w:rStyle w:val="Vresatsauce"/>
          <w:rFonts w:ascii="Times New Roman" w:hAnsi="Times New Roman" w:eastAsia="Times New Roman" w:cs="Times New Roman"/>
          <w:sz w:val="24"/>
          <w:szCs w:val="24"/>
          <w:lang w:eastAsia="lv-LV"/>
        </w:rPr>
        <w:footnoteReference w:id="3"/>
      </w:r>
      <w:r w:rsidR="00582E99">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lang w:eastAsia="lv-LV"/>
        </w:rPr>
        <w:t>Minētās tiesības vērtējam</w:t>
      </w:r>
      <w:r w:rsidRPr="00310555" w:rsidR="00476C4F">
        <w:rPr>
          <w:rFonts w:ascii="Times New Roman" w:hAnsi="Times New Roman" w:eastAsia="Times New Roman" w:cs="Times New Roman"/>
          <w:sz w:val="24"/>
          <w:szCs w:val="24"/>
          <w:lang w:eastAsia="lv-LV"/>
        </w:rPr>
        <w:t>as</w:t>
      </w:r>
      <w:r w:rsidRPr="00310555">
        <w:rPr>
          <w:rFonts w:ascii="Times New Roman" w:hAnsi="Times New Roman" w:eastAsia="Times New Roman" w:cs="Times New Roman"/>
          <w:sz w:val="24"/>
          <w:szCs w:val="24"/>
          <w:lang w:eastAsia="lv-LV"/>
        </w:rPr>
        <w:t xml:space="preserve"> abpusējā nozīmē –  1) tiesības uz dzīvību pārējai sabiedrībai, ar ko darba pienākumu izpildes gaitā saskaras nevakcinēt</w:t>
      </w:r>
      <w:r w:rsidR="00653D25">
        <w:rPr>
          <w:rFonts w:ascii="Times New Roman" w:hAnsi="Times New Roman" w:eastAsia="Times New Roman" w:cs="Times New Roman"/>
          <w:sz w:val="24"/>
          <w:szCs w:val="24"/>
          <w:lang w:eastAsia="lv-LV"/>
        </w:rPr>
        <w:t xml:space="preserve">ā persona, jo īpaši </w:t>
      </w:r>
      <w:r w:rsidRPr="00310555">
        <w:rPr>
          <w:rFonts w:ascii="Times New Roman" w:hAnsi="Times New Roman" w:eastAsia="Times New Roman" w:cs="Times New Roman"/>
          <w:sz w:val="24"/>
          <w:szCs w:val="24"/>
          <w:lang w:eastAsia="lv-LV"/>
        </w:rPr>
        <w:t xml:space="preserve"> profesionālis; 2) tiesības uz dzīvību konkrētai vakcinējamai personai, ņemot vē</w:t>
      </w:r>
      <w:r w:rsidRPr="00310555" w:rsidR="00476C4F">
        <w:rPr>
          <w:rFonts w:ascii="Times New Roman" w:hAnsi="Times New Roman" w:eastAsia="Times New Roman" w:cs="Times New Roman"/>
          <w:sz w:val="24"/>
          <w:szCs w:val="24"/>
          <w:lang w:eastAsia="lv-LV"/>
        </w:rPr>
        <w:t xml:space="preserve">rā iespējamo vakcīnu </w:t>
      </w:r>
      <w:r w:rsidRPr="00310555">
        <w:rPr>
          <w:rFonts w:ascii="Times New Roman" w:hAnsi="Times New Roman" w:eastAsia="Times New Roman" w:cs="Times New Roman"/>
          <w:sz w:val="24"/>
          <w:szCs w:val="24"/>
          <w:lang w:eastAsia="lv-LV"/>
        </w:rPr>
        <w:t>blakņu risku</w:t>
      </w:r>
      <w:r w:rsidR="0070373C">
        <w:rPr>
          <w:rFonts w:ascii="Times New Roman" w:hAnsi="Times New Roman" w:eastAsia="Times New Roman" w:cs="Times New Roman"/>
          <w:sz w:val="24"/>
          <w:szCs w:val="24"/>
          <w:lang w:eastAsia="lv-LV"/>
        </w:rPr>
        <w:t>.</w:t>
      </w:r>
    </w:p>
    <w:p w:rsidRPr="00310555" w:rsidR="00555FEE" w:rsidP="00310555" w:rsidRDefault="00B02B92" w14:paraId="700687E4" w14:textId="5EAAD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ab/>
      </w:r>
      <w:r w:rsidRPr="00310555">
        <w:rPr>
          <w:rFonts w:ascii="Times New Roman" w:hAnsi="Times New Roman" w:eastAsia="Times New Roman" w:cs="Times New Roman"/>
          <w:sz w:val="24"/>
          <w:szCs w:val="24"/>
          <w:u w:val="single"/>
          <w:lang w:eastAsia="lv-LV"/>
        </w:rPr>
        <w:t xml:space="preserve">Satversmes 96.pantā paredzētās </w:t>
      </w:r>
      <w:r w:rsidRPr="00310555" w:rsidR="003B08C4">
        <w:rPr>
          <w:rFonts w:ascii="Times New Roman" w:hAnsi="Times New Roman" w:eastAsia="Times New Roman" w:cs="Times New Roman"/>
          <w:sz w:val="24"/>
          <w:szCs w:val="24"/>
          <w:u w:val="single"/>
          <w:lang w:eastAsia="lv-LV"/>
        </w:rPr>
        <w:t>tiesības uz privātās dzīves neaizskaramību.</w:t>
      </w:r>
      <w:r w:rsidRPr="00310555" w:rsidR="003B08C4">
        <w:rPr>
          <w:rFonts w:ascii="Times New Roman" w:hAnsi="Times New Roman" w:eastAsia="Times New Roman" w:cs="Times New Roman"/>
          <w:sz w:val="24"/>
          <w:szCs w:val="24"/>
          <w:lang w:eastAsia="lv-LV"/>
        </w:rPr>
        <w:t xml:space="preserve"> </w:t>
      </w:r>
      <w:r w:rsidRPr="00310555" w:rsidR="00B6045E">
        <w:rPr>
          <w:rFonts w:ascii="Times New Roman" w:hAnsi="Times New Roman" w:eastAsia="Times New Roman" w:cs="Times New Roman"/>
          <w:sz w:val="24"/>
          <w:szCs w:val="24"/>
          <w:lang w:eastAsia="lv-LV"/>
        </w:rPr>
        <w:t>Šīs tiesības aizsargā indivīda fizisko un garīgo integritāti, godu un cieņu, identitāti  un  personas  datus</w:t>
      </w:r>
      <w:r w:rsidR="00653D25">
        <w:rPr>
          <w:rStyle w:val="Vresatsauce"/>
          <w:rFonts w:ascii="Times New Roman" w:hAnsi="Times New Roman" w:eastAsia="Times New Roman" w:cs="Times New Roman"/>
          <w:sz w:val="24"/>
          <w:szCs w:val="24"/>
          <w:lang w:eastAsia="lv-LV"/>
        </w:rPr>
        <w:footnoteReference w:id="4"/>
      </w:r>
      <w:r w:rsidRPr="00310555" w:rsidR="00A3575B">
        <w:rPr>
          <w:rFonts w:ascii="Times New Roman" w:hAnsi="Times New Roman" w:eastAsia="Times New Roman" w:cs="Times New Roman"/>
          <w:i/>
          <w:iCs/>
          <w:sz w:val="24"/>
          <w:szCs w:val="24"/>
          <w:lang w:eastAsia="lv-LV"/>
        </w:rPr>
        <w:t>.</w:t>
      </w:r>
      <w:r w:rsidRPr="00310555" w:rsidR="00D5188C">
        <w:rPr>
          <w:rFonts w:ascii="Times New Roman" w:hAnsi="Times New Roman" w:eastAsia="Times New Roman" w:cs="Times New Roman"/>
          <w:i/>
          <w:iCs/>
          <w:sz w:val="24"/>
          <w:szCs w:val="24"/>
          <w:lang w:eastAsia="lv-LV"/>
        </w:rPr>
        <w:t xml:space="preserve"> </w:t>
      </w:r>
      <w:r w:rsidRPr="00310555" w:rsidR="00D5188C">
        <w:rPr>
          <w:rFonts w:ascii="Times New Roman" w:hAnsi="Times New Roman" w:eastAsia="Times New Roman" w:cs="Times New Roman"/>
          <w:sz w:val="24"/>
          <w:szCs w:val="24"/>
          <w:lang w:eastAsia="lv-LV"/>
        </w:rPr>
        <w:t xml:space="preserve">Attiecīgi personai ir </w:t>
      </w:r>
      <w:r w:rsidRPr="00310555" w:rsidR="00B86321">
        <w:rPr>
          <w:rFonts w:ascii="Times New Roman" w:hAnsi="Times New Roman" w:eastAsia="Times New Roman" w:cs="Times New Roman"/>
          <w:sz w:val="24"/>
          <w:szCs w:val="24"/>
          <w:lang w:eastAsia="lv-LV"/>
        </w:rPr>
        <w:t xml:space="preserve">tiesības lemt par savu ķermeni, pieņemt lēmumus, kas skar personas dzīvi un plašas iespējas to vadīt un veidot pēc saviem ieskatiem (vadoties no minētā personas tīri </w:t>
      </w:r>
      <w:r w:rsidRPr="00310555" w:rsidR="0070373C">
        <w:rPr>
          <w:rFonts w:ascii="Times New Roman" w:hAnsi="Times New Roman" w:eastAsia="Times New Roman" w:cs="Times New Roman"/>
          <w:sz w:val="24"/>
          <w:szCs w:val="24"/>
          <w:lang w:eastAsia="lv-LV"/>
        </w:rPr>
        <w:t>subjektīv</w:t>
      </w:r>
      <w:r w:rsidR="0070373C">
        <w:rPr>
          <w:rFonts w:ascii="Times New Roman" w:hAnsi="Times New Roman" w:eastAsia="Times New Roman" w:cs="Times New Roman"/>
          <w:sz w:val="24"/>
          <w:szCs w:val="24"/>
          <w:lang w:eastAsia="lv-LV"/>
        </w:rPr>
        <w:t>ā</w:t>
      </w:r>
      <w:r w:rsidRPr="00310555" w:rsidR="0070373C">
        <w:rPr>
          <w:rFonts w:ascii="Times New Roman" w:hAnsi="Times New Roman" w:eastAsia="Times New Roman" w:cs="Times New Roman"/>
          <w:sz w:val="24"/>
          <w:szCs w:val="24"/>
          <w:lang w:eastAsia="lv-LV"/>
        </w:rPr>
        <w:t xml:space="preserve"> </w:t>
      </w:r>
      <w:r w:rsidRPr="00310555" w:rsidR="00B86321">
        <w:rPr>
          <w:rFonts w:ascii="Times New Roman" w:hAnsi="Times New Roman" w:eastAsia="Times New Roman" w:cs="Times New Roman"/>
          <w:sz w:val="24"/>
          <w:szCs w:val="24"/>
          <w:lang w:eastAsia="lv-LV"/>
        </w:rPr>
        <w:t>skatījuma un pat tādā veidā, kas citām personām var nebūt pieņemami, taču privātās dzīves aizsardzības aspektā akcents tiek likts uz to, ka tā ir pašas personas privātā dzīve, kas tiešā veidā nav saistāma ar citām personām, ja vien nerada tiešu un nepārprotamu kaitējumu kādam citam)</w:t>
      </w:r>
      <w:r w:rsidRPr="00310555" w:rsidR="00FF36A6">
        <w:rPr>
          <w:rFonts w:ascii="Times New Roman" w:hAnsi="Times New Roman" w:eastAsia="Times New Roman" w:cs="Times New Roman"/>
          <w:sz w:val="24"/>
          <w:szCs w:val="24"/>
          <w:lang w:eastAsia="lv-LV"/>
        </w:rPr>
        <w:t>;</w:t>
      </w:r>
    </w:p>
    <w:p w:rsidRPr="00310555" w:rsidR="008C18D9" w:rsidP="00310555" w:rsidRDefault="008C18D9" w14:paraId="54086F13" w14:textId="5B219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iCs/>
          <w:sz w:val="24"/>
          <w:szCs w:val="24"/>
          <w:lang w:eastAsia="lv-LV"/>
        </w:rPr>
      </w:pPr>
      <w:r w:rsidRPr="00310555">
        <w:rPr>
          <w:rFonts w:ascii="Times New Roman" w:hAnsi="Times New Roman" w:eastAsia="Times New Roman" w:cs="Times New Roman"/>
          <w:sz w:val="24"/>
          <w:szCs w:val="24"/>
          <w:lang w:eastAsia="lv-LV"/>
        </w:rPr>
        <w:tab/>
      </w:r>
      <w:r w:rsidRPr="00310555">
        <w:rPr>
          <w:rFonts w:ascii="Times New Roman" w:hAnsi="Times New Roman" w:eastAsia="Times New Roman" w:cs="Times New Roman"/>
          <w:sz w:val="24"/>
          <w:szCs w:val="24"/>
          <w:u w:val="single"/>
          <w:lang w:eastAsia="lv-LV"/>
        </w:rPr>
        <w:t xml:space="preserve">Satversmes 99.pantā paredzētās tiesības uz domas, apziņas un reliģiskās pārliecības brīvību. </w:t>
      </w:r>
      <w:r w:rsidRPr="00310555">
        <w:rPr>
          <w:rFonts w:ascii="Times New Roman" w:hAnsi="Times New Roman" w:eastAsia="Times New Roman" w:cs="Times New Roman"/>
          <w:sz w:val="24"/>
          <w:szCs w:val="24"/>
          <w:lang w:eastAsia="lv-LV"/>
        </w:rPr>
        <w:t xml:space="preserve">Personai ir tiesības formēt savu viedokli </w:t>
      </w:r>
      <w:r w:rsidRPr="00310555" w:rsidR="00E36C56">
        <w:rPr>
          <w:rFonts w:ascii="Times New Roman" w:hAnsi="Times New Roman" w:eastAsia="Times New Roman" w:cs="Times New Roman"/>
          <w:sz w:val="24"/>
          <w:szCs w:val="24"/>
          <w:lang w:eastAsia="lv-LV"/>
        </w:rPr>
        <w:t xml:space="preserve">attiecībā uz vakcināciju </w:t>
      </w:r>
      <w:r w:rsidRPr="00310555">
        <w:rPr>
          <w:rFonts w:ascii="Times New Roman" w:hAnsi="Times New Roman" w:eastAsia="Times New Roman" w:cs="Times New Roman"/>
          <w:sz w:val="24"/>
          <w:szCs w:val="24"/>
          <w:lang w:eastAsia="lv-LV"/>
        </w:rPr>
        <w:t>no tai pieejamās informācijas un tās uztveres īpatnībām</w:t>
      </w:r>
      <w:r w:rsidRPr="00310555" w:rsidR="00E36C56">
        <w:rPr>
          <w:rFonts w:ascii="Times New Roman" w:hAnsi="Times New Roman" w:eastAsia="Times New Roman" w:cs="Times New Roman"/>
          <w:sz w:val="24"/>
          <w:szCs w:val="24"/>
          <w:lang w:eastAsia="lv-LV"/>
        </w:rPr>
        <w:t>, kā arī</w:t>
      </w:r>
      <w:r w:rsidRPr="00310555">
        <w:rPr>
          <w:rFonts w:ascii="Times New Roman" w:hAnsi="Times New Roman" w:eastAsia="Times New Roman" w:cs="Times New Roman"/>
          <w:sz w:val="24"/>
          <w:szCs w:val="24"/>
          <w:lang w:eastAsia="lv-LV"/>
        </w:rPr>
        <w:t xml:space="preserve"> savas ticības vai pārliecības.</w:t>
      </w:r>
      <w:r w:rsidRPr="00310555" w:rsidR="00A225A9">
        <w:rPr>
          <w:rFonts w:ascii="Times New Roman" w:hAnsi="Times New Roman" w:eastAsia="Times New Roman" w:cs="Times New Roman"/>
          <w:sz w:val="24"/>
          <w:szCs w:val="24"/>
          <w:lang w:eastAsia="lv-LV"/>
        </w:rPr>
        <w:t xml:space="preserve"> Obligāta vakcinācija var aizskart šīs cilvēka </w:t>
      </w:r>
      <w:proofErr w:type="spellStart"/>
      <w:r w:rsidRPr="00310555" w:rsidR="00A225A9">
        <w:rPr>
          <w:rFonts w:ascii="Times New Roman" w:hAnsi="Times New Roman" w:eastAsia="Times New Roman" w:cs="Times New Roman"/>
          <w:sz w:val="24"/>
          <w:szCs w:val="24"/>
          <w:lang w:eastAsia="lv-LV"/>
        </w:rPr>
        <w:t>pamattiesības</w:t>
      </w:r>
      <w:proofErr w:type="spellEnd"/>
      <w:r w:rsidR="00653D25">
        <w:rPr>
          <w:rStyle w:val="Vresatsauce"/>
          <w:rFonts w:ascii="Times New Roman" w:hAnsi="Times New Roman" w:eastAsia="Times New Roman" w:cs="Times New Roman"/>
          <w:sz w:val="24"/>
          <w:szCs w:val="24"/>
          <w:lang w:eastAsia="lv-LV"/>
        </w:rPr>
        <w:footnoteReference w:id="5"/>
      </w:r>
      <w:r w:rsidRPr="00310555" w:rsidR="00A225A9">
        <w:rPr>
          <w:rFonts w:ascii="Times New Roman" w:hAnsi="Times New Roman" w:eastAsia="Times New Roman" w:cs="Times New Roman"/>
          <w:sz w:val="24"/>
          <w:szCs w:val="24"/>
          <w:lang w:eastAsia="lv-LV"/>
        </w:rPr>
        <w:t xml:space="preserve"> </w:t>
      </w:r>
    </w:p>
    <w:p w:rsidRPr="00310555" w:rsidR="004F1B4D" w:rsidP="00310555" w:rsidRDefault="000D7DF4" w14:paraId="5E270FFE" w14:textId="622CF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iCs/>
          <w:sz w:val="24"/>
          <w:szCs w:val="24"/>
          <w:u w:val="single"/>
          <w:lang w:eastAsia="lv-LV"/>
        </w:rPr>
      </w:pPr>
      <w:r w:rsidRPr="00310555">
        <w:rPr>
          <w:rFonts w:ascii="Times New Roman" w:hAnsi="Times New Roman" w:eastAsia="Times New Roman" w:cs="Times New Roman"/>
          <w:sz w:val="24"/>
          <w:szCs w:val="24"/>
          <w:lang w:eastAsia="lv-LV"/>
        </w:rPr>
        <w:tab/>
      </w:r>
      <w:r w:rsidRPr="00310555">
        <w:rPr>
          <w:rFonts w:ascii="Times New Roman" w:hAnsi="Times New Roman" w:eastAsia="Times New Roman" w:cs="Times New Roman"/>
          <w:sz w:val="24"/>
          <w:szCs w:val="24"/>
          <w:u w:val="single"/>
          <w:lang w:eastAsia="lv-LV"/>
        </w:rPr>
        <w:t xml:space="preserve">Satversmes 106.pantā </w:t>
      </w:r>
      <w:r w:rsidRPr="00310555" w:rsidR="0070373C">
        <w:rPr>
          <w:rFonts w:ascii="Times New Roman" w:hAnsi="Times New Roman" w:eastAsia="Times New Roman" w:cs="Times New Roman"/>
          <w:sz w:val="24"/>
          <w:szCs w:val="24"/>
          <w:u w:val="single"/>
          <w:lang w:eastAsia="lv-LV"/>
        </w:rPr>
        <w:t>paredzēt</w:t>
      </w:r>
      <w:r w:rsidR="0070373C">
        <w:rPr>
          <w:rFonts w:ascii="Times New Roman" w:hAnsi="Times New Roman" w:eastAsia="Times New Roman" w:cs="Times New Roman"/>
          <w:sz w:val="24"/>
          <w:szCs w:val="24"/>
          <w:u w:val="single"/>
          <w:lang w:eastAsia="lv-LV"/>
        </w:rPr>
        <w:t>a</w:t>
      </w:r>
      <w:r w:rsidRPr="00310555" w:rsidR="0070373C">
        <w:rPr>
          <w:rFonts w:ascii="Times New Roman" w:hAnsi="Times New Roman" w:eastAsia="Times New Roman" w:cs="Times New Roman"/>
          <w:sz w:val="24"/>
          <w:szCs w:val="24"/>
          <w:u w:val="single"/>
          <w:lang w:eastAsia="lv-LV"/>
        </w:rPr>
        <w:t xml:space="preserve">s </w:t>
      </w:r>
      <w:r w:rsidRPr="00310555" w:rsidR="008446AA">
        <w:rPr>
          <w:rFonts w:ascii="Times New Roman" w:hAnsi="Times New Roman" w:eastAsia="Times New Roman" w:cs="Times New Roman"/>
          <w:sz w:val="24"/>
          <w:szCs w:val="24"/>
          <w:u w:val="single"/>
          <w:lang w:eastAsia="lv-LV"/>
        </w:rPr>
        <w:t>tiesības brīvi izvēlēties nodarbošanos un darbavietu atbilstoši savām spējām un kvalifikācijai</w:t>
      </w:r>
      <w:r w:rsidRPr="00310555" w:rsidR="008446AA">
        <w:rPr>
          <w:rFonts w:ascii="Times New Roman" w:hAnsi="Times New Roman" w:eastAsia="Times New Roman" w:cs="Times New Roman"/>
          <w:sz w:val="24"/>
          <w:szCs w:val="24"/>
          <w:lang w:eastAsia="lv-LV"/>
        </w:rPr>
        <w:t xml:space="preserve">. </w:t>
      </w:r>
      <w:r w:rsidRPr="00310555" w:rsidR="00E36C56">
        <w:rPr>
          <w:rFonts w:ascii="Times New Roman" w:hAnsi="Times New Roman" w:eastAsia="Times New Roman" w:cs="Times New Roman"/>
          <w:sz w:val="24"/>
          <w:szCs w:val="24"/>
          <w:lang w:eastAsia="lv-LV"/>
        </w:rPr>
        <w:t>Satversmes tiesa vairākkārt atzinusi, ka Satversmes 106. panta pirmais teikums tieši negarantē tiesības uz darbu, bet gan tiesības brīvi izvēlēties nodarbošanos un darbavietu, tostarp arī tiesības saglabāt esošo nodarbošanos un darbavietu</w:t>
      </w:r>
      <w:r w:rsidR="00653D25">
        <w:rPr>
          <w:rStyle w:val="Vresatsauce"/>
          <w:rFonts w:ascii="Times New Roman" w:hAnsi="Times New Roman" w:eastAsia="Times New Roman" w:cs="Times New Roman"/>
          <w:sz w:val="24"/>
          <w:szCs w:val="24"/>
          <w:lang w:eastAsia="lv-LV"/>
        </w:rPr>
        <w:footnoteReference w:id="6"/>
      </w:r>
      <w:r w:rsidRPr="00310555" w:rsidR="00E36C56">
        <w:rPr>
          <w:rFonts w:ascii="Times New Roman" w:hAnsi="Times New Roman" w:eastAsia="Times New Roman" w:cs="Times New Roman"/>
          <w:sz w:val="24"/>
          <w:szCs w:val="24"/>
          <w:lang w:eastAsia="lv-LV"/>
        </w:rPr>
        <w:t xml:space="preserve">. Satversmes 106.panta pirmajā teikumā nostiprinātās </w:t>
      </w:r>
      <w:proofErr w:type="spellStart"/>
      <w:r w:rsidRPr="00310555" w:rsidR="00E36C56">
        <w:rPr>
          <w:rFonts w:ascii="Times New Roman" w:hAnsi="Times New Roman" w:eastAsia="Times New Roman" w:cs="Times New Roman"/>
          <w:sz w:val="24"/>
          <w:szCs w:val="24"/>
          <w:lang w:eastAsia="lv-LV"/>
        </w:rPr>
        <w:t>pamattiesības</w:t>
      </w:r>
      <w:proofErr w:type="spellEnd"/>
      <w:r w:rsidRPr="00310555" w:rsidR="00E36C56">
        <w:rPr>
          <w:rFonts w:ascii="Times New Roman" w:hAnsi="Times New Roman" w:eastAsia="Times New Roman" w:cs="Times New Roman"/>
          <w:sz w:val="24"/>
          <w:szCs w:val="24"/>
          <w:lang w:eastAsia="lv-LV"/>
        </w:rPr>
        <w:t xml:space="preserve"> aizsargā personu pret visām valsts darbībām, kas ierobežo personas brīvību izvēlēties nodarbošanos</w:t>
      </w:r>
      <w:r w:rsidRPr="00310555" w:rsidR="00E36C56">
        <w:rPr>
          <w:rFonts w:ascii="Times New Roman" w:hAnsi="Times New Roman" w:eastAsia="Times New Roman" w:cs="Times New Roman"/>
          <w:i/>
          <w:iCs/>
          <w:sz w:val="24"/>
          <w:szCs w:val="24"/>
          <w:lang w:eastAsia="lv-LV"/>
        </w:rPr>
        <w:t>.</w:t>
      </w:r>
      <w:r w:rsidRPr="000939AB" w:rsidR="00A57088">
        <w:rPr>
          <w:rStyle w:val="Vresatsauce"/>
          <w:rFonts w:ascii="Times New Roman" w:hAnsi="Times New Roman" w:eastAsia="Times New Roman" w:cs="Times New Roman"/>
          <w:sz w:val="24"/>
          <w:szCs w:val="24"/>
          <w:lang w:eastAsia="lv-LV"/>
        </w:rPr>
        <w:footnoteReference w:id="7"/>
      </w:r>
    </w:p>
    <w:p w:rsidRPr="00310555" w:rsidR="00316C0C" w:rsidP="00310555" w:rsidRDefault="003464CC" w14:paraId="32D68FC3" w14:textId="6B9839D7">
      <w:pPr>
        <w:spacing w:after="0" w:line="240" w:lineRule="auto"/>
        <w:ind w:firstLine="720"/>
        <w:jc w:val="both"/>
        <w:rPr>
          <w:rFonts w:ascii="Times New Roman" w:hAnsi="Times New Roman" w:eastAsia="Times New Roman" w:cs="Times New Roman"/>
          <w:i/>
          <w:iCs/>
          <w:sz w:val="24"/>
          <w:szCs w:val="24"/>
          <w:lang w:eastAsia="lv-LV"/>
        </w:rPr>
      </w:pPr>
      <w:r w:rsidRPr="00310555">
        <w:rPr>
          <w:rFonts w:ascii="Times New Roman" w:hAnsi="Times New Roman" w:eastAsia="Times New Roman" w:cs="Times New Roman"/>
          <w:sz w:val="24"/>
          <w:szCs w:val="24"/>
          <w:u w:val="single"/>
          <w:shd w:val="clear" w:color="auto" w:fill="FFFFFF"/>
          <w:lang w:eastAsia="lv-LV"/>
        </w:rPr>
        <w:t xml:space="preserve">Satversmes </w:t>
      </w:r>
      <w:r w:rsidRPr="00310555" w:rsidR="00316C0C">
        <w:rPr>
          <w:rFonts w:ascii="Times New Roman" w:hAnsi="Times New Roman" w:eastAsia="Times New Roman" w:cs="Times New Roman"/>
          <w:sz w:val="24"/>
          <w:szCs w:val="24"/>
          <w:u w:val="single"/>
          <w:shd w:val="clear" w:color="auto" w:fill="FFFFFF"/>
          <w:lang w:eastAsia="lv-LV"/>
        </w:rPr>
        <w:t>111.pan</w:t>
      </w:r>
      <w:r w:rsidRPr="00310555" w:rsidR="00137D77">
        <w:rPr>
          <w:rFonts w:ascii="Times New Roman" w:hAnsi="Times New Roman" w:eastAsia="Times New Roman" w:cs="Times New Roman"/>
          <w:sz w:val="24"/>
          <w:szCs w:val="24"/>
          <w:u w:val="single"/>
          <w:shd w:val="clear" w:color="auto" w:fill="FFFFFF"/>
          <w:lang w:eastAsia="lv-LV"/>
        </w:rPr>
        <w:t>tā paredzētās tiesības, kas paredz, ka valsts aizsargā cilvēku veselību un garantē ikvienam medicīniskās palīdzības minimumu.</w:t>
      </w:r>
      <w:r w:rsidRPr="00310555" w:rsidR="00137D77">
        <w:rPr>
          <w:rFonts w:ascii="Times New Roman" w:hAnsi="Times New Roman" w:eastAsia="Times New Roman" w:cs="Times New Roman"/>
          <w:sz w:val="24"/>
          <w:szCs w:val="24"/>
          <w:shd w:val="clear" w:color="auto" w:fill="FFFFFF"/>
          <w:lang w:eastAsia="lv-LV"/>
        </w:rPr>
        <w:t xml:space="preserve"> </w:t>
      </w:r>
      <w:r w:rsidRPr="00310555" w:rsidR="00316C0C">
        <w:rPr>
          <w:rFonts w:ascii="Times New Roman" w:hAnsi="Times New Roman" w:eastAsia="Times New Roman" w:cs="Times New Roman"/>
          <w:sz w:val="24"/>
          <w:szCs w:val="24"/>
          <w:shd w:val="clear" w:color="auto" w:fill="FFFFFF"/>
          <w:lang w:eastAsia="lv-LV"/>
        </w:rPr>
        <w:t xml:space="preserve">Satversmes tiesa norādījusi, </w:t>
      </w:r>
      <w:r w:rsidRPr="00310555" w:rsidR="00316C0C">
        <w:rPr>
          <w:rFonts w:ascii="Times New Roman" w:hAnsi="Times New Roman" w:eastAsia="Times New Roman" w:cs="Times New Roman"/>
          <w:sz w:val="24"/>
          <w:szCs w:val="24"/>
          <w:shd w:val="clear" w:color="auto" w:fill="FFFFFF"/>
          <w:lang w:eastAsia="lv-LV"/>
        </w:rPr>
        <w:lastRenderedPageBreak/>
        <w:t>ka no Satversmes 111.pantā nostiprinātajām tiesībām uz veselību izriet valsts pienākums veikt pasākumus, kas nepieciešami cilvēku veselības aizsargāšanai, tostarp, nodrošinot veselības aprūpes pakalpojumu un zāļu esamību un pieejamību</w:t>
      </w:r>
      <w:r w:rsidR="00653D25">
        <w:rPr>
          <w:rStyle w:val="Vresatsauce"/>
          <w:rFonts w:ascii="Times New Roman" w:hAnsi="Times New Roman" w:eastAsia="Times New Roman" w:cs="Times New Roman"/>
          <w:sz w:val="24"/>
          <w:szCs w:val="24"/>
          <w:shd w:val="clear" w:color="auto" w:fill="FFFFFF"/>
          <w:lang w:eastAsia="lv-LV"/>
        </w:rPr>
        <w:footnoteReference w:id="8"/>
      </w:r>
      <w:r w:rsidRPr="00310555" w:rsidR="00316C0C">
        <w:rPr>
          <w:rFonts w:ascii="Times New Roman" w:hAnsi="Times New Roman" w:eastAsia="Times New Roman" w:cs="Times New Roman"/>
          <w:sz w:val="24"/>
          <w:szCs w:val="24"/>
          <w:shd w:val="clear" w:color="auto" w:fill="FFFFFF"/>
          <w:lang w:eastAsia="lv-LV"/>
        </w:rPr>
        <w:t>. Satversmes 111.panta norma neuzliek valstij par pienākumu nodrošināt ikvienam iespējami augstāko veselības līmeni, taču uzliek par pienākumu aizsargāt ikvienas personas tiesības panākt un saglabāt šādu veselības stāvokli pašai, kā arī, izņemot noteiktus gadījumus, pienākumu atturēties no darbībām, kas traucē personai realizēt šīs tiesības</w:t>
      </w:r>
      <w:r w:rsidR="00653D25">
        <w:rPr>
          <w:rStyle w:val="Vresatsauce"/>
          <w:rFonts w:ascii="Times New Roman" w:hAnsi="Times New Roman" w:eastAsia="Times New Roman" w:cs="Times New Roman"/>
          <w:sz w:val="24"/>
          <w:szCs w:val="24"/>
          <w:shd w:val="clear" w:color="auto" w:fill="FFFFFF"/>
          <w:lang w:eastAsia="lv-LV"/>
        </w:rPr>
        <w:footnoteReference w:id="9"/>
      </w:r>
      <w:r w:rsidRPr="00310555" w:rsidR="00316C0C">
        <w:rPr>
          <w:rFonts w:ascii="Times New Roman" w:hAnsi="Times New Roman" w:eastAsia="Times New Roman" w:cs="Times New Roman"/>
          <w:sz w:val="24"/>
          <w:szCs w:val="24"/>
          <w:shd w:val="clear" w:color="auto" w:fill="FFFFFF"/>
          <w:lang w:eastAsia="lv-LV"/>
        </w:rPr>
        <w:t xml:space="preserve"> </w:t>
      </w:r>
      <w:r w:rsidRPr="00310555" w:rsidR="00316C0C">
        <w:rPr>
          <w:rFonts w:ascii="Times New Roman" w:hAnsi="Times New Roman" w:eastAsia="Times New Roman" w:cs="Times New Roman"/>
          <w:sz w:val="24"/>
          <w:szCs w:val="24"/>
          <w:lang w:eastAsia="lv-LV"/>
        </w:rPr>
        <w:t>Likumdevējs, izmantojot savu rīcības brīvību, var izveidot tikai tādu veselības aprūpes pakalpojumu sniegšanas sistēmu, kas atbilst Satversmē nostiprinātajām normām un principiem</w:t>
      </w:r>
      <w:r w:rsidR="00653D25">
        <w:rPr>
          <w:rStyle w:val="Vresatsauce"/>
          <w:rFonts w:ascii="Times New Roman" w:hAnsi="Times New Roman" w:eastAsia="Times New Roman" w:cs="Times New Roman"/>
          <w:sz w:val="24"/>
          <w:szCs w:val="24"/>
          <w:lang w:eastAsia="lv-LV"/>
        </w:rPr>
        <w:footnoteReference w:id="10"/>
      </w:r>
      <w:r w:rsidRPr="00310555" w:rsidR="00316C0C">
        <w:rPr>
          <w:rFonts w:ascii="Times New Roman" w:hAnsi="Times New Roman" w:eastAsia="Times New Roman" w:cs="Times New Roman"/>
          <w:sz w:val="24"/>
          <w:szCs w:val="24"/>
          <w:lang w:eastAsia="lv-LV"/>
        </w:rPr>
        <w:t xml:space="preserve">. </w:t>
      </w:r>
    </w:p>
    <w:p w:rsidRPr="00310555" w:rsidR="007A18DB" w:rsidP="00310555" w:rsidRDefault="0061607B" w14:paraId="5E4DE165" w14:textId="437A183F">
      <w:pPr>
        <w:spacing w:after="0" w:line="240" w:lineRule="auto"/>
        <w:ind w:firstLine="720"/>
        <w:jc w:val="both"/>
        <w:rPr>
          <w:rFonts w:ascii="Times New Roman" w:hAnsi="Times New Roman" w:eastAsia="Times New Roman" w:cs="Times New Roman"/>
          <w:i/>
          <w:iCs/>
          <w:sz w:val="24"/>
          <w:szCs w:val="24"/>
          <w:lang w:eastAsia="lv-LV"/>
        </w:rPr>
      </w:pPr>
      <w:r w:rsidRPr="00310555">
        <w:rPr>
          <w:rFonts w:ascii="Times New Roman" w:hAnsi="Times New Roman" w:eastAsia="Times New Roman" w:cs="Times New Roman"/>
          <w:sz w:val="24"/>
          <w:szCs w:val="24"/>
          <w:lang w:eastAsia="lv-LV"/>
        </w:rPr>
        <w:t xml:space="preserve">Satversmes 89.pants noteic, ka valsts atzīst un aizsargā cilvēka </w:t>
      </w:r>
      <w:proofErr w:type="spellStart"/>
      <w:r w:rsidRPr="00310555">
        <w:rPr>
          <w:rFonts w:ascii="Times New Roman" w:hAnsi="Times New Roman" w:eastAsia="Times New Roman" w:cs="Times New Roman"/>
          <w:sz w:val="24"/>
          <w:szCs w:val="24"/>
          <w:lang w:eastAsia="lv-LV"/>
        </w:rPr>
        <w:t>pamattiesības</w:t>
      </w:r>
      <w:proofErr w:type="spellEnd"/>
      <w:r w:rsidRPr="00310555">
        <w:rPr>
          <w:rFonts w:ascii="Times New Roman" w:hAnsi="Times New Roman" w:eastAsia="Times New Roman" w:cs="Times New Roman"/>
          <w:sz w:val="24"/>
          <w:szCs w:val="24"/>
          <w:lang w:eastAsia="lv-LV"/>
        </w:rPr>
        <w:t xml:space="preserve"> saskaņā ar Satversmi, likumiem un Latvijai saistošiem starptautiskajiem līgumiem. Starptautiskā </w:t>
      </w:r>
      <w:proofErr w:type="spellStart"/>
      <w:r w:rsidRPr="00310555">
        <w:rPr>
          <w:rFonts w:ascii="Times New Roman" w:hAnsi="Times New Roman" w:eastAsia="Times New Roman" w:cs="Times New Roman"/>
          <w:sz w:val="24"/>
          <w:szCs w:val="24"/>
          <w:lang w:eastAsia="lv-LV"/>
        </w:rPr>
        <w:t>pakta</w:t>
      </w:r>
      <w:proofErr w:type="spellEnd"/>
      <w:r w:rsidRPr="00310555">
        <w:rPr>
          <w:rFonts w:ascii="Times New Roman" w:hAnsi="Times New Roman" w:eastAsia="Times New Roman" w:cs="Times New Roman"/>
          <w:sz w:val="24"/>
          <w:szCs w:val="24"/>
          <w:lang w:eastAsia="lv-LV"/>
        </w:rPr>
        <w:t xml:space="preserve"> par ekonomiskajām, sociālajām un kultūras tiesībām </w:t>
      </w:r>
      <w:r w:rsidRPr="00310555" w:rsidR="00B74D29">
        <w:rPr>
          <w:rFonts w:ascii="Times New Roman" w:hAnsi="Times New Roman" w:eastAsia="Times New Roman" w:cs="Times New Roman"/>
          <w:sz w:val="24"/>
          <w:szCs w:val="24"/>
          <w:lang w:eastAsia="lv-LV"/>
        </w:rPr>
        <w:t>(turpmāk – Pakts)</w:t>
      </w:r>
      <w:r w:rsidRPr="00310555" w:rsidR="004357FD">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lang w:eastAsia="lv-LV"/>
        </w:rPr>
        <w:t xml:space="preserve">12.panta pirmajā daļā noteikts, ka </w:t>
      </w:r>
      <w:proofErr w:type="spellStart"/>
      <w:r w:rsidRPr="00310555" w:rsidR="00B74D29">
        <w:rPr>
          <w:rFonts w:ascii="Times New Roman" w:hAnsi="Times New Roman" w:eastAsia="Times New Roman" w:cs="Times New Roman"/>
          <w:sz w:val="24"/>
          <w:szCs w:val="24"/>
          <w:lang w:eastAsia="lv-LV"/>
        </w:rPr>
        <w:t>P</w:t>
      </w:r>
      <w:r w:rsidRPr="00310555">
        <w:rPr>
          <w:rFonts w:ascii="Times New Roman" w:hAnsi="Times New Roman" w:eastAsia="Times New Roman" w:cs="Times New Roman"/>
          <w:sz w:val="24"/>
          <w:szCs w:val="24"/>
          <w:lang w:eastAsia="lv-LV"/>
        </w:rPr>
        <w:t>akta</w:t>
      </w:r>
      <w:proofErr w:type="spellEnd"/>
      <w:r w:rsidRPr="00310555">
        <w:rPr>
          <w:rFonts w:ascii="Times New Roman" w:hAnsi="Times New Roman" w:eastAsia="Times New Roman" w:cs="Times New Roman"/>
          <w:sz w:val="24"/>
          <w:szCs w:val="24"/>
          <w:lang w:eastAsia="lv-LV"/>
        </w:rPr>
        <w:t xml:space="preserve"> dalībvalstis atzīst katra cilvēka tiesības sasniegt visaugstāko fiziskās un psihiskās veselības līmeni. </w:t>
      </w:r>
      <w:proofErr w:type="spellStart"/>
      <w:r w:rsidRPr="00310555">
        <w:rPr>
          <w:rFonts w:ascii="Times New Roman" w:hAnsi="Times New Roman" w:eastAsia="Times New Roman" w:cs="Times New Roman"/>
          <w:sz w:val="24"/>
          <w:szCs w:val="24"/>
          <w:lang w:eastAsia="lv-LV"/>
        </w:rPr>
        <w:t>Paktā</w:t>
      </w:r>
      <w:proofErr w:type="spellEnd"/>
      <w:r w:rsidRPr="00310555">
        <w:rPr>
          <w:rFonts w:ascii="Times New Roman" w:hAnsi="Times New Roman" w:eastAsia="Times New Roman" w:cs="Times New Roman"/>
          <w:sz w:val="24"/>
          <w:szCs w:val="24"/>
          <w:lang w:eastAsia="lv-LV"/>
        </w:rPr>
        <w:t xml:space="preserve"> nostiprināto tiesību interpretāciju ir sniegusi ANO Ekonomisko, sociālo un kultūras tiesību komiteja, kas norādījusi, ka tiesības uz veselības aizsardzību netiek izprastas kā tiesības būt veselam. Šī norma ietver sevī tiesības lemt par savu ķermeni, aizliegumu būt pakļautam medicīniskiem eksperimentiem un tiesības uz veselības aprūpi, kas ļauj sasniegt visaugstāko veselības stāvokli, kā arī aptver citus faktorus, kas ietekmē veselību – pārtiku, vidi, darba apstākļus, informāciju par veselību, veselīgu dzīvesveidu u.c</w:t>
      </w:r>
      <w:r w:rsidRPr="00310555">
        <w:rPr>
          <w:rFonts w:ascii="Times New Roman" w:hAnsi="Times New Roman" w:eastAsia="Times New Roman" w:cs="Times New Roman"/>
          <w:i/>
          <w:iCs/>
          <w:sz w:val="24"/>
          <w:szCs w:val="24"/>
          <w:lang w:eastAsia="lv-LV"/>
        </w:rPr>
        <w:t>.</w:t>
      </w:r>
      <w:r w:rsidR="00653D25">
        <w:rPr>
          <w:rStyle w:val="Vresatsauce"/>
          <w:rFonts w:ascii="Times New Roman" w:hAnsi="Times New Roman" w:eastAsia="Times New Roman" w:cs="Times New Roman"/>
          <w:i/>
          <w:iCs/>
          <w:sz w:val="24"/>
          <w:szCs w:val="24"/>
          <w:lang w:eastAsia="lv-LV"/>
        </w:rPr>
        <w:footnoteReference w:id="11"/>
      </w:r>
      <w:r w:rsidRPr="00310555">
        <w:rPr>
          <w:rFonts w:ascii="Times New Roman" w:hAnsi="Times New Roman" w:eastAsia="Times New Roman" w:cs="Times New Roman"/>
          <w:i/>
          <w:iCs/>
          <w:sz w:val="24"/>
          <w:szCs w:val="24"/>
          <w:lang w:eastAsia="lv-LV"/>
        </w:rPr>
        <w:t>(</w:t>
      </w:r>
    </w:p>
    <w:p w:rsidRPr="00310555" w:rsidR="00791BAF" w:rsidP="00310555" w:rsidRDefault="0061607B" w14:paraId="20853666" w14:textId="57D31110">
      <w:pPr>
        <w:spacing w:after="0" w:line="240" w:lineRule="auto"/>
        <w:ind w:firstLine="72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i/>
          <w:iCs/>
          <w:sz w:val="24"/>
          <w:szCs w:val="24"/>
          <w:lang w:eastAsia="lv-LV"/>
        </w:rPr>
        <w:t xml:space="preserve"> </w:t>
      </w:r>
      <w:r w:rsidRPr="00310555" w:rsidR="004315F2">
        <w:rPr>
          <w:rFonts w:ascii="Times New Roman" w:hAnsi="Times New Roman" w:eastAsia="Times New Roman" w:cs="Times New Roman"/>
          <w:sz w:val="24"/>
          <w:szCs w:val="24"/>
          <w:lang w:eastAsia="lv-LV"/>
        </w:rPr>
        <w:t xml:space="preserve">Bez minētajām tiesībām norādāms, ka atsevišķu profesiju pārstāvju obligāta vakcinācija </w:t>
      </w:r>
      <w:r w:rsidRPr="00310555" w:rsidR="00315B54">
        <w:rPr>
          <w:rFonts w:ascii="Times New Roman" w:hAnsi="Times New Roman" w:eastAsia="Times New Roman" w:cs="Times New Roman"/>
          <w:sz w:val="24"/>
          <w:szCs w:val="24"/>
          <w:lang w:eastAsia="lv-LV"/>
        </w:rPr>
        <w:t xml:space="preserve">varētu </w:t>
      </w:r>
      <w:r w:rsidRPr="00310555" w:rsidR="004315F2">
        <w:rPr>
          <w:rFonts w:ascii="Times New Roman" w:hAnsi="Times New Roman" w:eastAsia="Times New Roman" w:cs="Times New Roman"/>
          <w:sz w:val="24"/>
          <w:szCs w:val="24"/>
          <w:lang w:eastAsia="lv-LV"/>
        </w:rPr>
        <w:t xml:space="preserve">skart arī </w:t>
      </w:r>
      <w:r w:rsidRPr="00310555" w:rsidR="00DC2318">
        <w:rPr>
          <w:rFonts w:ascii="Times New Roman" w:hAnsi="Times New Roman" w:eastAsia="Times New Roman" w:cs="Times New Roman"/>
          <w:sz w:val="24"/>
          <w:szCs w:val="24"/>
          <w:u w:val="single"/>
          <w:lang w:eastAsia="lv-LV"/>
        </w:rPr>
        <w:t>Satversmes 91.pantā paredzē</w:t>
      </w:r>
      <w:r w:rsidRPr="00310555" w:rsidR="004315F2">
        <w:rPr>
          <w:rFonts w:ascii="Times New Roman" w:hAnsi="Times New Roman" w:eastAsia="Times New Roman" w:cs="Times New Roman"/>
          <w:sz w:val="24"/>
          <w:szCs w:val="24"/>
          <w:u w:val="single"/>
          <w:lang w:eastAsia="lv-LV"/>
        </w:rPr>
        <w:t>to</w:t>
      </w:r>
      <w:r w:rsidRPr="00310555" w:rsidR="00DC2318">
        <w:rPr>
          <w:rFonts w:ascii="Times New Roman" w:hAnsi="Times New Roman" w:eastAsia="Times New Roman" w:cs="Times New Roman"/>
          <w:sz w:val="24"/>
          <w:szCs w:val="24"/>
          <w:u w:val="single"/>
          <w:lang w:eastAsia="lv-LV"/>
        </w:rPr>
        <w:t xml:space="preserve"> tiesiskās vienlīdzības princip</w:t>
      </w:r>
      <w:r w:rsidRPr="00310555" w:rsidR="004315F2">
        <w:rPr>
          <w:rFonts w:ascii="Times New Roman" w:hAnsi="Times New Roman" w:eastAsia="Times New Roman" w:cs="Times New Roman"/>
          <w:sz w:val="24"/>
          <w:szCs w:val="24"/>
          <w:u w:val="single"/>
          <w:lang w:eastAsia="lv-LV"/>
        </w:rPr>
        <w:t>u</w:t>
      </w:r>
      <w:r w:rsidRPr="00310555" w:rsidR="00DC2318">
        <w:rPr>
          <w:rFonts w:ascii="Times New Roman" w:hAnsi="Times New Roman" w:eastAsia="Times New Roman" w:cs="Times New Roman"/>
          <w:sz w:val="24"/>
          <w:szCs w:val="24"/>
          <w:u w:val="single"/>
          <w:lang w:eastAsia="lv-LV"/>
        </w:rPr>
        <w:t>.</w:t>
      </w:r>
      <w:r w:rsidRPr="00310555" w:rsidR="00DC2318">
        <w:rPr>
          <w:rFonts w:ascii="Times New Roman" w:hAnsi="Times New Roman" w:eastAsia="Times New Roman" w:cs="Times New Roman"/>
          <w:sz w:val="24"/>
          <w:szCs w:val="24"/>
          <w:lang w:eastAsia="lv-LV"/>
        </w:rPr>
        <w:t xml:space="preserve"> Tiesiskās vienlīdzības princips liedz valsts institūcijām izdot tādas normas, kas bez saprātīga pamata pieļauj atšķirīgu attieksmi pret personām, kuras atrodas vienādos un pēc noteiktiem kritērijiem salīdzināmos apstākļos</w:t>
      </w:r>
      <w:r w:rsidR="009D2A3C">
        <w:rPr>
          <w:rStyle w:val="Vresatsauce"/>
          <w:rFonts w:ascii="Times New Roman" w:hAnsi="Times New Roman" w:eastAsia="Times New Roman" w:cs="Times New Roman"/>
          <w:sz w:val="24"/>
          <w:szCs w:val="24"/>
          <w:lang w:eastAsia="lv-LV"/>
        </w:rPr>
        <w:footnoteReference w:id="12"/>
      </w:r>
      <w:r w:rsidRPr="00310555" w:rsidR="00DC2318">
        <w:rPr>
          <w:rFonts w:ascii="Times New Roman" w:hAnsi="Times New Roman" w:eastAsia="Times New Roman" w:cs="Times New Roman"/>
          <w:i/>
          <w:iCs/>
          <w:sz w:val="24"/>
          <w:szCs w:val="24"/>
          <w:lang w:eastAsia="lv-LV"/>
        </w:rPr>
        <w:t>.</w:t>
      </w:r>
      <w:r w:rsidRPr="00310555" w:rsidR="00DC2318">
        <w:rPr>
          <w:rFonts w:ascii="Times New Roman" w:hAnsi="Times New Roman" w:eastAsia="Times New Roman" w:cs="Times New Roman"/>
          <w:sz w:val="24"/>
          <w:szCs w:val="24"/>
          <w:lang w:eastAsia="lv-LV"/>
        </w:rPr>
        <w:t xml:space="preserve"> </w:t>
      </w:r>
      <w:r w:rsidRPr="00310555" w:rsidR="00315B54">
        <w:rPr>
          <w:rFonts w:ascii="Times New Roman" w:hAnsi="Times New Roman" w:eastAsia="Times New Roman" w:cs="Times New Roman"/>
          <w:sz w:val="24"/>
          <w:szCs w:val="24"/>
          <w:lang w:eastAsia="lv-LV"/>
        </w:rPr>
        <w:t>Atšķirīga attieksme pret atsevišķām profesiju grupām, uzliekot tām pienākumu vakcinēties pret Covid-19 infekciju</w:t>
      </w:r>
      <w:r w:rsidRPr="00310555" w:rsidR="00EF6829">
        <w:rPr>
          <w:rFonts w:ascii="Times New Roman" w:hAnsi="Times New Roman" w:eastAsia="Times New Roman" w:cs="Times New Roman"/>
          <w:sz w:val="24"/>
          <w:szCs w:val="24"/>
          <w:lang w:eastAsia="lv-LV"/>
        </w:rPr>
        <w:t>,</w:t>
      </w:r>
      <w:r w:rsidRPr="00310555" w:rsidR="00315B54">
        <w:rPr>
          <w:rFonts w:ascii="Times New Roman" w:hAnsi="Times New Roman" w:eastAsia="Times New Roman" w:cs="Times New Roman"/>
          <w:sz w:val="24"/>
          <w:szCs w:val="24"/>
          <w:lang w:eastAsia="lv-LV"/>
        </w:rPr>
        <w:t xml:space="preserve"> nenozīmē automātisku tiesiskās vienlīdzības principa pārkāpumu, tomēr šādas attieksmes pamatā jābūt saprātīgam un samērīgam pamatam.</w:t>
      </w:r>
    </w:p>
    <w:p w:rsidRPr="00310555" w:rsidR="003F5623" w:rsidP="00310555" w:rsidRDefault="003F5623" w14:paraId="6170879F" w14:textId="77777777">
      <w:pPr>
        <w:spacing w:after="0" w:line="240" w:lineRule="auto"/>
        <w:ind w:firstLine="720"/>
        <w:jc w:val="both"/>
        <w:rPr>
          <w:rFonts w:ascii="Times New Roman" w:hAnsi="Times New Roman" w:eastAsia="Times New Roman" w:cs="Times New Roman"/>
          <w:color w:val="000000"/>
          <w:sz w:val="24"/>
          <w:szCs w:val="24"/>
          <w:lang w:eastAsia="lv-LV"/>
        </w:rPr>
      </w:pPr>
    </w:p>
    <w:p w:rsidRPr="00310555" w:rsidR="00C511B5" w:rsidP="00310555" w:rsidRDefault="00C511B5" w14:paraId="414C2EB6" w14:textId="22A8DC41">
      <w:pPr>
        <w:spacing w:after="0" w:line="240" w:lineRule="auto"/>
        <w:ind w:firstLine="720"/>
        <w:jc w:val="both"/>
        <w:rPr>
          <w:rFonts w:ascii="Times New Roman" w:hAnsi="Times New Roman" w:eastAsia="Times New Roman" w:cs="Times New Roman"/>
          <w:color w:val="000000"/>
          <w:sz w:val="24"/>
          <w:szCs w:val="24"/>
          <w:lang w:eastAsia="lv-LV"/>
        </w:rPr>
      </w:pPr>
    </w:p>
    <w:p w:rsidR="00B337D1" w:rsidP="00310555" w:rsidRDefault="00753ADA" w14:paraId="5F05D83F" w14:textId="77777777">
      <w:pPr>
        <w:spacing w:after="0" w:line="240" w:lineRule="auto"/>
        <w:jc w:val="center"/>
        <w:rPr>
          <w:rFonts w:ascii="Times New Roman" w:hAnsi="Times New Roman" w:eastAsia="Times New Roman" w:cs="Times New Roman"/>
          <w:b/>
          <w:bCs/>
          <w:sz w:val="24"/>
          <w:szCs w:val="24"/>
          <w:lang w:eastAsia="lv-LV"/>
        </w:rPr>
      </w:pPr>
      <w:r w:rsidRPr="00310555">
        <w:rPr>
          <w:rFonts w:ascii="Times New Roman" w:hAnsi="Times New Roman" w:eastAsia="Times New Roman" w:cs="Times New Roman"/>
          <w:b/>
          <w:bCs/>
          <w:sz w:val="24"/>
          <w:szCs w:val="24"/>
          <w:lang w:eastAsia="lv-LV"/>
        </w:rPr>
        <w:t xml:space="preserve">2.2. Eiropas Cilvēktiesību tiesas 2021.gada </w:t>
      </w:r>
      <w:r w:rsidRPr="00310555" w:rsidR="00C511B5">
        <w:rPr>
          <w:rFonts w:ascii="Times New Roman" w:hAnsi="Times New Roman" w:eastAsia="Times New Roman" w:cs="Times New Roman"/>
          <w:b/>
          <w:bCs/>
          <w:sz w:val="24"/>
          <w:szCs w:val="24"/>
          <w:lang w:eastAsia="lv-LV"/>
        </w:rPr>
        <w:t xml:space="preserve"> 8.aprīļa spriedum</w:t>
      </w:r>
      <w:r w:rsidRPr="00310555" w:rsidR="00844C81">
        <w:rPr>
          <w:rFonts w:ascii="Times New Roman" w:hAnsi="Times New Roman" w:eastAsia="Times New Roman" w:cs="Times New Roman"/>
          <w:b/>
          <w:bCs/>
          <w:sz w:val="24"/>
          <w:szCs w:val="24"/>
          <w:lang w:eastAsia="lv-LV"/>
        </w:rPr>
        <w:t>a</w:t>
      </w:r>
      <w:r w:rsidRPr="00310555" w:rsidR="00C511B5">
        <w:rPr>
          <w:rFonts w:ascii="Times New Roman" w:hAnsi="Times New Roman" w:eastAsia="Times New Roman" w:cs="Times New Roman"/>
          <w:b/>
          <w:bCs/>
          <w:sz w:val="24"/>
          <w:szCs w:val="24"/>
          <w:lang w:eastAsia="lv-LV"/>
        </w:rPr>
        <w:t xml:space="preserve"> lietā</w:t>
      </w:r>
    </w:p>
    <w:p w:rsidRPr="00310555" w:rsidR="00C511B5" w:rsidP="00310555" w:rsidRDefault="00C511B5" w14:paraId="4C402A0D" w14:textId="7A8BC4B2">
      <w:pPr>
        <w:spacing w:after="0" w:line="240" w:lineRule="auto"/>
        <w:jc w:val="center"/>
        <w:rPr>
          <w:rFonts w:ascii="Times New Roman" w:hAnsi="Times New Roman" w:eastAsia="Times New Roman" w:cs="Times New Roman"/>
          <w:b/>
          <w:bCs/>
          <w:sz w:val="24"/>
          <w:szCs w:val="24"/>
          <w:lang w:eastAsia="lv-LV"/>
        </w:rPr>
      </w:pPr>
      <w:r w:rsidRPr="00310555">
        <w:rPr>
          <w:rFonts w:ascii="Times New Roman" w:hAnsi="Times New Roman" w:eastAsia="Times New Roman" w:cs="Times New Roman"/>
          <w:b/>
          <w:bCs/>
          <w:sz w:val="24"/>
          <w:szCs w:val="24"/>
          <w:lang w:eastAsia="lv-LV"/>
        </w:rPr>
        <w:t xml:space="preserve"> </w:t>
      </w:r>
      <w:proofErr w:type="spellStart"/>
      <w:r w:rsidRPr="00310555" w:rsidR="00753ADA">
        <w:rPr>
          <w:rFonts w:ascii="Times New Roman" w:hAnsi="Times New Roman" w:eastAsia="Times New Roman" w:cs="Times New Roman"/>
          <w:b/>
          <w:bCs/>
          <w:i/>
          <w:iCs/>
          <w:sz w:val="24"/>
          <w:szCs w:val="24"/>
          <w:lang w:eastAsia="lv-LV"/>
        </w:rPr>
        <w:t>Vavřička</w:t>
      </w:r>
      <w:proofErr w:type="spellEnd"/>
      <w:r w:rsidRPr="00310555" w:rsidR="00753ADA">
        <w:rPr>
          <w:rFonts w:ascii="Times New Roman" w:hAnsi="Times New Roman" w:eastAsia="Times New Roman" w:cs="Times New Roman"/>
          <w:b/>
          <w:bCs/>
          <w:i/>
          <w:iCs/>
          <w:sz w:val="24"/>
          <w:szCs w:val="24"/>
          <w:lang w:eastAsia="lv-LV"/>
        </w:rPr>
        <w:t xml:space="preserve"> v. </w:t>
      </w:r>
      <w:proofErr w:type="spellStart"/>
      <w:r w:rsidRPr="00310555" w:rsidR="00753ADA">
        <w:rPr>
          <w:rFonts w:ascii="Times New Roman" w:hAnsi="Times New Roman" w:eastAsia="Times New Roman" w:cs="Times New Roman"/>
          <w:b/>
          <w:bCs/>
          <w:i/>
          <w:iCs/>
          <w:sz w:val="24"/>
          <w:szCs w:val="24"/>
          <w:lang w:eastAsia="lv-LV"/>
        </w:rPr>
        <w:t>the</w:t>
      </w:r>
      <w:proofErr w:type="spellEnd"/>
      <w:r w:rsidRPr="00310555" w:rsidR="00753ADA">
        <w:rPr>
          <w:rFonts w:ascii="Times New Roman" w:hAnsi="Times New Roman" w:eastAsia="Times New Roman" w:cs="Times New Roman"/>
          <w:b/>
          <w:bCs/>
          <w:i/>
          <w:iCs/>
          <w:sz w:val="24"/>
          <w:szCs w:val="24"/>
          <w:lang w:eastAsia="lv-LV"/>
        </w:rPr>
        <w:t xml:space="preserve">  </w:t>
      </w:r>
      <w:proofErr w:type="spellStart"/>
      <w:r w:rsidRPr="00310555" w:rsidR="00753ADA">
        <w:rPr>
          <w:rFonts w:ascii="Times New Roman" w:hAnsi="Times New Roman" w:eastAsia="Times New Roman" w:cs="Times New Roman"/>
          <w:b/>
          <w:bCs/>
          <w:i/>
          <w:iCs/>
          <w:sz w:val="24"/>
          <w:szCs w:val="24"/>
          <w:lang w:eastAsia="lv-LV"/>
        </w:rPr>
        <w:t>Czech</w:t>
      </w:r>
      <w:proofErr w:type="spellEnd"/>
      <w:r w:rsidRPr="00310555" w:rsidR="00753ADA">
        <w:rPr>
          <w:rFonts w:ascii="Times New Roman" w:hAnsi="Times New Roman" w:eastAsia="Times New Roman" w:cs="Times New Roman"/>
          <w:b/>
          <w:bCs/>
          <w:i/>
          <w:iCs/>
          <w:sz w:val="24"/>
          <w:szCs w:val="24"/>
          <w:lang w:eastAsia="lv-LV"/>
        </w:rPr>
        <w:t xml:space="preserve"> </w:t>
      </w:r>
      <w:proofErr w:type="spellStart"/>
      <w:r w:rsidRPr="00310555" w:rsidR="00753ADA">
        <w:rPr>
          <w:rFonts w:ascii="Times New Roman" w:hAnsi="Times New Roman" w:eastAsia="Times New Roman" w:cs="Times New Roman"/>
          <w:b/>
          <w:bCs/>
          <w:i/>
          <w:iCs/>
          <w:sz w:val="24"/>
          <w:szCs w:val="24"/>
          <w:lang w:eastAsia="lv-LV"/>
        </w:rPr>
        <w:t>Republic</w:t>
      </w:r>
      <w:proofErr w:type="spellEnd"/>
      <w:r w:rsidRPr="00310555" w:rsidR="00753ADA">
        <w:rPr>
          <w:rFonts w:ascii="Times New Roman" w:hAnsi="Times New Roman" w:eastAsia="Times New Roman" w:cs="Times New Roman"/>
          <w:b/>
          <w:bCs/>
          <w:sz w:val="24"/>
          <w:szCs w:val="24"/>
          <w:lang w:eastAsia="lv-LV"/>
        </w:rPr>
        <w:t xml:space="preserve"> </w:t>
      </w:r>
      <w:r w:rsidRPr="00310555">
        <w:rPr>
          <w:rFonts w:ascii="Times New Roman" w:hAnsi="Times New Roman" w:eastAsia="Times New Roman" w:cs="Times New Roman"/>
          <w:b/>
          <w:bCs/>
          <w:sz w:val="24"/>
          <w:szCs w:val="24"/>
          <w:lang w:eastAsia="lv-LV"/>
        </w:rPr>
        <w:t>analīze</w:t>
      </w:r>
    </w:p>
    <w:p w:rsidRPr="00310555" w:rsidR="00753ADA" w:rsidP="00310555" w:rsidRDefault="00753ADA" w14:paraId="4E4C2366" w14:textId="29D1FA0E">
      <w:pPr>
        <w:spacing w:after="0" w:line="240" w:lineRule="auto"/>
        <w:rPr>
          <w:rFonts w:ascii="Times New Roman" w:hAnsi="Times New Roman" w:eastAsia="Times New Roman" w:cs="Times New Roman"/>
          <w:b/>
          <w:bCs/>
          <w:sz w:val="24"/>
          <w:szCs w:val="24"/>
          <w:lang w:eastAsia="lv-LV"/>
        </w:rPr>
      </w:pPr>
    </w:p>
    <w:p w:rsidRPr="00310555" w:rsidR="00753ADA" w:rsidP="00310555" w:rsidRDefault="00753ADA" w14:paraId="7772A347" w14:textId="57428993">
      <w:pPr>
        <w:spacing w:after="0" w:line="240" w:lineRule="auto"/>
        <w:jc w:val="both"/>
        <w:rPr>
          <w:rFonts w:ascii="Times New Roman" w:hAnsi="Times New Roman" w:eastAsia="Times New Roman" w:cs="Times New Roman"/>
          <w:sz w:val="24"/>
          <w:szCs w:val="24"/>
          <w:lang w:eastAsia="lv-LV"/>
        </w:rPr>
      </w:pPr>
      <w:r w:rsidRPr="00CE6163">
        <w:rPr>
          <w:rFonts w:ascii="Times New Roman" w:hAnsi="Times New Roman" w:eastAsia="Times New Roman" w:cs="Times New Roman"/>
          <w:sz w:val="24"/>
          <w:szCs w:val="24"/>
          <w:lang w:eastAsia="lv-LV"/>
        </w:rPr>
        <w:tab/>
      </w:r>
      <w:r w:rsidRPr="00CE6163" w:rsidR="00E37FD3">
        <w:rPr>
          <w:rFonts w:ascii="Times New Roman" w:hAnsi="Times New Roman" w:eastAsia="Times New Roman" w:cs="Times New Roman"/>
          <w:sz w:val="24"/>
          <w:szCs w:val="24"/>
          <w:lang w:eastAsia="lv-LV"/>
        </w:rPr>
        <w:t xml:space="preserve">Izvērtējot obligāto vakcināciju, vērā ņemams arī </w:t>
      </w:r>
      <w:r w:rsidRPr="00E37FD3">
        <w:rPr>
          <w:rFonts w:ascii="Times New Roman" w:hAnsi="Times New Roman" w:eastAsia="Times New Roman" w:cs="Times New Roman"/>
          <w:sz w:val="24"/>
          <w:szCs w:val="24"/>
          <w:lang w:eastAsia="lv-LV"/>
        </w:rPr>
        <w:t>2</w:t>
      </w:r>
      <w:r w:rsidRPr="00310555">
        <w:rPr>
          <w:rFonts w:ascii="Times New Roman" w:hAnsi="Times New Roman" w:eastAsia="Times New Roman" w:cs="Times New Roman"/>
          <w:sz w:val="24"/>
          <w:szCs w:val="24"/>
          <w:lang w:eastAsia="lv-LV"/>
        </w:rPr>
        <w:t>021.gada  8.aprīlī Eiropas Cilvēktiesību tiesa</w:t>
      </w:r>
      <w:r w:rsidR="00E37FD3">
        <w:rPr>
          <w:rFonts w:ascii="Times New Roman" w:hAnsi="Times New Roman" w:eastAsia="Times New Roman" w:cs="Times New Roman"/>
          <w:sz w:val="24"/>
          <w:szCs w:val="24"/>
          <w:lang w:eastAsia="lv-LV"/>
        </w:rPr>
        <w:t>s</w:t>
      </w:r>
      <w:r w:rsidRPr="00310555">
        <w:rPr>
          <w:rFonts w:ascii="Times New Roman" w:hAnsi="Times New Roman" w:eastAsia="Times New Roman" w:cs="Times New Roman"/>
          <w:sz w:val="24"/>
          <w:szCs w:val="24"/>
          <w:lang w:eastAsia="lv-LV"/>
        </w:rPr>
        <w:t xml:space="preserve"> </w:t>
      </w:r>
      <w:r w:rsidRPr="00310555" w:rsidR="00B34FED">
        <w:rPr>
          <w:rFonts w:ascii="Times New Roman" w:hAnsi="Times New Roman" w:eastAsia="Times New Roman" w:cs="Times New Roman"/>
          <w:sz w:val="24"/>
          <w:szCs w:val="24"/>
          <w:lang w:eastAsia="lv-LV"/>
        </w:rPr>
        <w:t xml:space="preserve">(turpmāk – ECT) </w:t>
      </w:r>
      <w:r w:rsidRPr="00310555">
        <w:rPr>
          <w:rFonts w:ascii="Times New Roman" w:hAnsi="Times New Roman" w:eastAsia="Times New Roman" w:cs="Times New Roman"/>
          <w:sz w:val="24"/>
          <w:szCs w:val="24"/>
          <w:lang w:eastAsia="lv-LV"/>
        </w:rPr>
        <w:t>pieņ</w:t>
      </w:r>
      <w:r w:rsidR="00C95A69">
        <w:rPr>
          <w:rFonts w:ascii="Times New Roman" w:hAnsi="Times New Roman" w:eastAsia="Times New Roman" w:cs="Times New Roman"/>
          <w:sz w:val="24"/>
          <w:szCs w:val="24"/>
          <w:lang w:eastAsia="lv-LV"/>
        </w:rPr>
        <w:t>e</w:t>
      </w:r>
      <w:r w:rsidRPr="00310555">
        <w:rPr>
          <w:rFonts w:ascii="Times New Roman" w:hAnsi="Times New Roman" w:eastAsia="Times New Roman" w:cs="Times New Roman"/>
          <w:sz w:val="24"/>
          <w:szCs w:val="24"/>
          <w:lang w:eastAsia="lv-LV"/>
        </w:rPr>
        <w:t>m</w:t>
      </w:r>
      <w:r w:rsidR="00E37FD3">
        <w:rPr>
          <w:rFonts w:ascii="Times New Roman" w:hAnsi="Times New Roman" w:eastAsia="Times New Roman" w:cs="Times New Roman"/>
          <w:sz w:val="24"/>
          <w:szCs w:val="24"/>
          <w:lang w:eastAsia="lv-LV"/>
        </w:rPr>
        <w:t>tais</w:t>
      </w:r>
      <w:r w:rsidRPr="00310555">
        <w:rPr>
          <w:rFonts w:ascii="Times New Roman" w:hAnsi="Times New Roman" w:eastAsia="Times New Roman" w:cs="Times New Roman"/>
          <w:sz w:val="24"/>
          <w:szCs w:val="24"/>
          <w:lang w:eastAsia="lv-LV"/>
        </w:rPr>
        <w:t xml:space="preserve"> </w:t>
      </w:r>
      <w:r w:rsidRPr="00310555" w:rsidR="00E37FD3">
        <w:rPr>
          <w:rFonts w:ascii="Times New Roman" w:hAnsi="Times New Roman" w:eastAsia="Times New Roman" w:cs="Times New Roman"/>
          <w:sz w:val="24"/>
          <w:szCs w:val="24"/>
          <w:lang w:eastAsia="lv-LV"/>
        </w:rPr>
        <w:t>spriedum</w:t>
      </w:r>
      <w:r w:rsidR="00E37FD3">
        <w:rPr>
          <w:rFonts w:ascii="Times New Roman" w:hAnsi="Times New Roman" w:eastAsia="Times New Roman" w:cs="Times New Roman"/>
          <w:sz w:val="24"/>
          <w:szCs w:val="24"/>
          <w:lang w:eastAsia="lv-LV"/>
        </w:rPr>
        <w:t>s</w:t>
      </w:r>
      <w:r w:rsidRPr="00310555" w:rsidR="00E37FD3">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lang w:eastAsia="lv-LV"/>
        </w:rPr>
        <w:t xml:space="preserve">lietā </w:t>
      </w:r>
      <w:proofErr w:type="spellStart"/>
      <w:r w:rsidRPr="00310555">
        <w:rPr>
          <w:rFonts w:ascii="Times New Roman" w:hAnsi="Times New Roman" w:eastAsia="Times New Roman" w:cs="Times New Roman"/>
          <w:i/>
          <w:iCs/>
          <w:sz w:val="24"/>
          <w:szCs w:val="24"/>
          <w:lang w:eastAsia="lv-LV"/>
        </w:rPr>
        <w:t>Vavřička</w:t>
      </w:r>
      <w:proofErr w:type="spellEnd"/>
      <w:r w:rsidRPr="00310555">
        <w:rPr>
          <w:rFonts w:ascii="Times New Roman" w:hAnsi="Times New Roman" w:eastAsia="Times New Roman" w:cs="Times New Roman"/>
          <w:i/>
          <w:iCs/>
          <w:sz w:val="24"/>
          <w:szCs w:val="24"/>
          <w:lang w:eastAsia="lv-LV"/>
        </w:rPr>
        <w:t xml:space="preserve"> v. </w:t>
      </w:r>
      <w:proofErr w:type="spellStart"/>
      <w:r w:rsidRPr="00310555">
        <w:rPr>
          <w:rFonts w:ascii="Times New Roman" w:hAnsi="Times New Roman" w:eastAsia="Times New Roman" w:cs="Times New Roman"/>
          <w:i/>
          <w:iCs/>
          <w:sz w:val="24"/>
          <w:szCs w:val="24"/>
          <w:lang w:eastAsia="lv-LV"/>
        </w:rPr>
        <w:t>the</w:t>
      </w:r>
      <w:proofErr w:type="spellEnd"/>
      <w:r w:rsidRPr="00310555">
        <w:rPr>
          <w:rFonts w:ascii="Times New Roman" w:hAnsi="Times New Roman" w:eastAsia="Times New Roman" w:cs="Times New Roman"/>
          <w:i/>
          <w:iCs/>
          <w:sz w:val="24"/>
          <w:szCs w:val="24"/>
          <w:lang w:eastAsia="lv-LV"/>
        </w:rPr>
        <w:t xml:space="preserve">  </w:t>
      </w:r>
      <w:proofErr w:type="spellStart"/>
      <w:r w:rsidRPr="00310555">
        <w:rPr>
          <w:rFonts w:ascii="Times New Roman" w:hAnsi="Times New Roman" w:eastAsia="Times New Roman" w:cs="Times New Roman"/>
          <w:i/>
          <w:iCs/>
          <w:sz w:val="24"/>
          <w:szCs w:val="24"/>
          <w:lang w:eastAsia="lv-LV"/>
        </w:rPr>
        <w:t>Czech</w:t>
      </w:r>
      <w:proofErr w:type="spellEnd"/>
      <w:r w:rsidRPr="00310555">
        <w:rPr>
          <w:rFonts w:ascii="Times New Roman" w:hAnsi="Times New Roman" w:eastAsia="Times New Roman" w:cs="Times New Roman"/>
          <w:i/>
          <w:iCs/>
          <w:sz w:val="24"/>
          <w:szCs w:val="24"/>
          <w:lang w:eastAsia="lv-LV"/>
        </w:rPr>
        <w:t xml:space="preserve"> </w:t>
      </w:r>
      <w:proofErr w:type="spellStart"/>
      <w:r w:rsidRPr="00310555">
        <w:rPr>
          <w:rFonts w:ascii="Times New Roman" w:hAnsi="Times New Roman" w:eastAsia="Times New Roman" w:cs="Times New Roman"/>
          <w:i/>
          <w:iCs/>
          <w:sz w:val="24"/>
          <w:szCs w:val="24"/>
          <w:lang w:eastAsia="lv-LV"/>
        </w:rPr>
        <w:t>Republic</w:t>
      </w:r>
      <w:proofErr w:type="spellEnd"/>
      <w:r w:rsidRPr="00310555">
        <w:rPr>
          <w:rFonts w:ascii="Times New Roman" w:hAnsi="Times New Roman" w:eastAsia="Times New Roman" w:cs="Times New Roman"/>
          <w:i/>
          <w:iCs/>
          <w:sz w:val="24"/>
          <w:szCs w:val="24"/>
          <w:lang w:eastAsia="lv-LV"/>
        </w:rPr>
        <w:t xml:space="preserve"> </w:t>
      </w:r>
      <w:r w:rsidRPr="00310555">
        <w:rPr>
          <w:rFonts w:ascii="Times New Roman" w:hAnsi="Times New Roman" w:eastAsia="Times New Roman" w:cs="Times New Roman"/>
          <w:sz w:val="24"/>
          <w:szCs w:val="24"/>
          <w:lang w:eastAsia="lv-LV"/>
        </w:rPr>
        <w:t xml:space="preserve">(iesnieguma Nr. 47621/13 un pieci citi iesniegumi) (turpmāk - </w:t>
      </w:r>
      <w:proofErr w:type="spellStart"/>
      <w:r w:rsidRPr="00310555">
        <w:rPr>
          <w:rFonts w:ascii="Times New Roman" w:hAnsi="Times New Roman" w:eastAsia="Times New Roman" w:cs="Times New Roman"/>
          <w:i/>
          <w:iCs/>
          <w:sz w:val="24"/>
          <w:szCs w:val="24"/>
          <w:lang w:eastAsia="lv-LV"/>
        </w:rPr>
        <w:t>Vavrička</w:t>
      </w:r>
      <w:proofErr w:type="spellEnd"/>
      <w:r w:rsidRPr="00310555">
        <w:rPr>
          <w:rFonts w:ascii="Times New Roman" w:hAnsi="Times New Roman" w:eastAsia="Times New Roman" w:cs="Times New Roman"/>
          <w:i/>
          <w:iCs/>
          <w:sz w:val="24"/>
          <w:szCs w:val="24"/>
          <w:lang w:eastAsia="lv-LV"/>
        </w:rPr>
        <w:t xml:space="preserve"> </w:t>
      </w:r>
      <w:r w:rsidRPr="00310555">
        <w:rPr>
          <w:rFonts w:ascii="Times New Roman" w:hAnsi="Times New Roman" w:eastAsia="Times New Roman" w:cs="Times New Roman"/>
          <w:sz w:val="24"/>
          <w:szCs w:val="24"/>
          <w:lang w:eastAsia="lv-LV"/>
        </w:rPr>
        <w:t xml:space="preserve">lieta), atzīstot, ka obligāta bērnu vakcinēšana nav pretrunā </w:t>
      </w:r>
      <w:bookmarkStart w:name="_Hlk69285259" w:id="0"/>
      <w:r w:rsidRPr="00310555">
        <w:rPr>
          <w:rFonts w:ascii="Times New Roman" w:hAnsi="Times New Roman" w:eastAsia="Times New Roman" w:cs="Times New Roman"/>
          <w:sz w:val="24"/>
          <w:szCs w:val="24"/>
          <w:lang w:eastAsia="lv-LV"/>
        </w:rPr>
        <w:t xml:space="preserve">Eiropas Cilvēktiesību un pamatbrīvību aizsardzības konvencijas </w:t>
      </w:r>
      <w:bookmarkEnd w:id="0"/>
      <w:r w:rsidRPr="00310555">
        <w:rPr>
          <w:rFonts w:ascii="Times New Roman" w:hAnsi="Times New Roman" w:eastAsia="Times New Roman" w:cs="Times New Roman"/>
          <w:sz w:val="24"/>
          <w:szCs w:val="24"/>
          <w:lang w:eastAsia="lv-LV"/>
        </w:rPr>
        <w:t xml:space="preserve">8.pantā paredzētajām tiesībām uz privāto un ģimenes dzīvi. </w:t>
      </w:r>
      <w:r w:rsidRPr="00310555" w:rsidR="00B34FED">
        <w:rPr>
          <w:rFonts w:ascii="Times New Roman" w:hAnsi="Times New Roman" w:eastAsia="Times New Roman" w:cs="Times New Roman"/>
          <w:sz w:val="24"/>
          <w:szCs w:val="24"/>
          <w:lang w:eastAsia="lv-LV"/>
        </w:rPr>
        <w:t xml:space="preserve">Izvērtējot </w:t>
      </w:r>
      <w:proofErr w:type="spellStart"/>
      <w:r w:rsidRPr="00310555" w:rsidR="00B34FED">
        <w:rPr>
          <w:rFonts w:ascii="Times New Roman" w:hAnsi="Times New Roman" w:eastAsia="Times New Roman" w:cs="Times New Roman"/>
          <w:i/>
          <w:iCs/>
          <w:sz w:val="24"/>
          <w:szCs w:val="24"/>
          <w:lang w:eastAsia="lv-LV"/>
        </w:rPr>
        <w:t>Vavrička</w:t>
      </w:r>
      <w:proofErr w:type="spellEnd"/>
      <w:r w:rsidRPr="00310555" w:rsidR="00B34FED">
        <w:rPr>
          <w:rFonts w:ascii="Times New Roman" w:hAnsi="Times New Roman" w:eastAsia="Times New Roman" w:cs="Times New Roman"/>
          <w:i/>
          <w:iCs/>
          <w:sz w:val="24"/>
          <w:szCs w:val="24"/>
          <w:lang w:eastAsia="lv-LV"/>
        </w:rPr>
        <w:t xml:space="preserve"> </w:t>
      </w:r>
      <w:r w:rsidRPr="00310555" w:rsidR="00B34FED">
        <w:rPr>
          <w:rFonts w:ascii="Times New Roman" w:hAnsi="Times New Roman" w:eastAsia="Times New Roman" w:cs="Times New Roman"/>
          <w:sz w:val="24"/>
          <w:szCs w:val="24"/>
          <w:lang w:eastAsia="lv-LV"/>
        </w:rPr>
        <w:t>lietu, izdarāmi šādi secinājumi:</w:t>
      </w:r>
    </w:p>
    <w:p w:rsidRPr="00310555" w:rsidR="00C511B5" w:rsidP="00310555" w:rsidRDefault="00C511B5" w14:paraId="549A226B" w14:textId="77777777">
      <w:pPr>
        <w:spacing w:after="0" w:line="240" w:lineRule="auto"/>
        <w:jc w:val="both"/>
        <w:rPr>
          <w:rFonts w:ascii="Times New Roman" w:hAnsi="Times New Roman" w:eastAsia="Times New Roman" w:cs="Times New Roman"/>
          <w:sz w:val="24"/>
          <w:szCs w:val="24"/>
          <w:lang w:eastAsia="lv-LV"/>
        </w:rPr>
      </w:pPr>
    </w:p>
    <w:p w:rsidRPr="00310555" w:rsidR="00C511B5" w:rsidP="00CE6163" w:rsidRDefault="00C511B5" w14:paraId="382739B7" w14:textId="5B7DA377">
      <w:pPr>
        <w:numPr>
          <w:ilvl w:val="0"/>
          <w:numId w:val="24"/>
        </w:numPr>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 xml:space="preserve">ECT 8.aprīļa spriedums </w:t>
      </w:r>
      <w:proofErr w:type="spellStart"/>
      <w:r w:rsidRPr="00310555">
        <w:rPr>
          <w:rFonts w:ascii="Times New Roman" w:hAnsi="Times New Roman" w:eastAsia="Times New Roman" w:cs="Times New Roman"/>
          <w:i/>
          <w:iCs/>
          <w:sz w:val="24"/>
          <w:szCs w:val="24"/>
          <w:lang w:eastAsia="lv-LV"/>
        </w:rPr>
        <w:t>Vavrička</w:t>
      </w:r>
      <w:proofErr w:type="spellEnd"/>
      <w:r w:rsidRPr="00310555">
        <w:rPr>
          <w:rFonts w:ascii="Times New Roman" w:hAnsi="Times New Roman" w:eastAsia="Times New Roman" w:cs="Times New Roman"/>
          <w:sz w:val="24"/>
          <w:szCs w:val="24"/>
          <w:lang w:eastAsia="lv-LV"/>
        </w:rPr>
        <w:t xml:space="preserve"> lietā ir par specifisk</w:t>
      </w:r>
      <w:r w:rsidRPr="00310555" w:rsidR="00B34FED">
        <w:rPr>
          <w:rFonts w:ascii="Times New Roman" w:hAnsi="Times New Roman" w:eastAsia="Times New Roman" w:cs="Times New Roman"/>
          <w:sz w:val="24"/>
          <w:szCs w:val="24"/>
          <w:lang w:eastAsia="lv-LV"/>
        </w:rPr>
        <w:t>u</w:t>
      </w:r>
      <w:r w:rsidRPr="00310555">
        <w:rPr>
          <w:rFonts w:ascii="Times New Roman" w:hAnsi="Times New Roman" w:eastAsia="Times New Roman" w:cs="Times New Roman"/>
          <w:sz w:val="24"/>
          <w:szCs w:val="24"/>
          <w:lang w:eastAsia="lv-LV"/>
        </w:rPr>
        <w:t xml:space="preserve"> lietas strīdu – vai likumā paredzēts pienākums vakcinēt bērnus, ja šī pienākuma neizpildes rezultātā personai var uzlikt sodu vai bērnam var tikt atteikta uzņemšana bērnu dārzā, pārkāp</w:t>
      </w:r>
      <w:r w:rsidRPr="00310555" w:rsidR="00B34FED">
        <w:rPr>
          <w:rFonts w:ascii="Times New Roman" w:hAnsi="Times New Roman" w:eastAsia="Times New Roman" w:cs="Times New Roman"/>
          <w:sz w:val="24"/>
          <w:szCs w:val="24"/>
          <w:lang w:eastAsia="lv-LV"/>
        </w:rPr>
        <w:t>j</w:t>
      </w:r>
      <w:r w:rsidRPr="00310555">
        <w:rPr>
          <w:rFonts w:ascii="Times New Roman" w:hAnsi="Times New Roman" w:eastAsia="Times New Roman" w:cs="Times New Roman"/>
          <w:sz w:val="24"/>
          <w:szCs w:val="24"/>
          <w:lang w:eastAsia="lv-LV"/>
        </w:rPr>
        <w:t xml:space="preserve"> tiesības uz privātās dzīves neaizskaramību. ECT secinājums, ka šāds pienākums nav cilvēktiesību pārkāpums, automātiski nevar tikt attiecināts uz pilnīgi visām personu kategorijām.</w:t>
      </w:r>
    </w:p>
    <w:p w:rsidRPr="00310555" w:rsidR="00C511B5" w:rsidP="00CE6163" w:rsidRDefault="00C511B5" w14:paraId="53DDE8F6" w14:textId="1014E9DD">
      <w:pPr>
        <w:numPr>
          <w:ilvl w:val="0"/>
          <w:numId w:val="24"/>
        </w:numPr>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lastRenderedPageBreak/>
        <w:t xml:space="preserve">Spriedums </w:t>
      </w:r>
      <w:proofErr w:type="spellStart"/>
      <w:r w:rsidRPr="00310555">
        <w:rPr>
          <w:rFonts w:ascii="Times New Roman" w:hAnsi="Times New Roman" w:eastAsia="Times New Roman" w:cs="Times New Roman"/>
          <w:i/>
          <w:iCs/>
          <w:sz w:val="24"/>
          <w:szCs w:val="24"/>
          <w:lang w:eastAsia="lv-LV"/>
        </w:rPr>
        <w:t>Vavrička</w:t>
      </w:r>
      <w:proofErr w:type="spellEnd"/>
      <w:r w:rsidRPr="00310555">
        <w:rPr>
          <w:rFonts w:ascii="Times New Roman" w:hAnsi="Times New Roman" w:eastAsia="Times New Roman" w:cs="Times New Roman"/>
          <w:sz w:val="24"/>
          <w:szCs w:val="24"/>
          <w:lang w:eastAsia="lv-LV"/>
        </w:rPr>
        <w:t xml:space="preserve"> lietā uz vakcinēšanu pret Covid-19</w:t>
      </w:r>
      <w:r w:rsidRPr="00310555" w:rsidR="00B34FED">
        <w:rPr>
          <w:rFonts w:ascii="Times New Roman" w:hAnsi="Times New Roman" w:eastAsia="Times New Roman" w:cs="Times New Roman"/>
          <w:sz w:val="24"/>
          <w:szCs w:val="24"/>
          <w:lang w:eastAsia="lv-LV"/>
        </w:rPr>
        <w:t xml:space="preserve"> infekciju</w:t>
      </w:r>
      <w:r w:rsidRPr="00310555">
        <w:rPr>
          <w:rFonts w:ascii="Times New Roman" w:hAnsi="Times New Roman" w:eastAsia="Times New Roman" w:cs="Times New Roman"/>
          <w:sz w:val="24"/>
          <w:szCs w:val="24"/>
          <w:lang w:eastAsia="lv-LV"/>
        </w:rPr>
        <w:t xml:space="preserve"> attiecināms tiktāl, ciktāl ECT noformulē vispārīgus principus. Tas, kā šie principi atspoguļojami specifiskā nacionālajā tiesību aktā vai izpildvaras lēmumā, jebkurā gadījumā ir likumdevēja un izpildvaras atbildība. </w:t>
      </w:r>
    </w:p>
    <w:p w:rsidRPr="00310555" w:rsidR="00C511B5" w:rsidP="00CE6163" w:rsidRDefault="00C511B5" w14:paraId="033F0A26" w14:textId="63F922C3">
      <w:pPr>
        <w:numPr>
          <w:ilvl w:val="0"/>
          <w:numId w:val="24"/>
        </w:numPr>
        <w:spacing w:after="0" w:line="240" w:lineRule="auto"/>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Spriedumā iezīmējas šādi vispārīgie principi,</w:t>
      </w:r>
      <w:r w:rsidR="00312AD7">
        <w:rPr>
          <w:rFonts w:ascii="Times New Roman" w:hAnsi="Times New Roman" w:eastAsia="Times New Roman" w:cs="Times New Roman"/>
          <w:sz w:val="24"/>
          <w:szCs w:val="24"/>
          <w:lang w:eastAsia="lv-LV"/>
        </w:rPr>
        <w:t xml:space="preserve"> kas jāņem vērā,</w:t>
      </w:r>
      <w:r w:rsidRPr="00310555">
        <w:rPr>
          <w:rFonts w:ascii="Times New Roman" w:hAnsi="Times New Roman" w:eastAsia="Times New Roman" w:cs="Times New Roman"/>
          <w:sz w:val="24"/>
          <w:szCs w:val="24"/>
          <w:lang w:eastAsia="lv-LV"/>
        </w:rPr>
        <w:t xml:space="preserve"> j</w:t>
      </w:r>
      <w:r w:rsidRPr="00310555" w:rsidR="00B34FED">
        <w:rPr>
          <w:rFonts w:ascii="Times New Roman" w:hAnsi="Times New Roman" w:eastAsia="Times New Roman" w:cs="Times New Roman"/>
          <w:sz w:val="24"/>
          <w:szCs w:val="24"/>
          <w:lang w:eastAsia="lv-LV"/>
        </w:rPr>
        <w:t>o</w:t>
      </w:r>
      <w:r w:rsidRPr="00310555">
        <w:rPr>
          <w:rFonts w:ascii="Times New Roman" w:hAnsi="Times New Roman" w:eastAsia="Times New Roman" w:cs="Times New Roman"/>
          <w:sz w:val="24"/>
          <w:szCs w:val="24"/>
          <w:lang w:eastAsia="lv-LV"/>
        </w:rPr>
        <w:t xml:space="preserve"> valsts lēmum</w:t>
      </w:r>
      <w:r w:rsidR="00312AD7">
        <w:rPr>
          <w:rFonts w:ascii="Times New Roman" w:hAnsi="Times New Roman" w:eastAsia="Times New Roman" w:cs="Times New Roman"/>
          <w:sz w:val="24"/>
          <w:szCs w:val="24"/>
          <w:lang w:eastAsia="lv-LV"/>
        </w:rPr>
        <w:t>s</w:t>
      </w:r>
      <w:r w:rsidRPr="00310555">
        <w:rPr>
          <w:rFonts w:ascii="Times New Roman" w:hAnsi="Times New Roman" w:eastAsia="Times New Roman" w:cs="Times New Roman"/>
          <w:sz w:val="24"/>
          <w:szCs w:val="24"/>
          <w:lang w:eastAsia="lv-LV"/>
        </w:rPr>
        <w:t xml:space="preserve"> uzlikt pienākumu kādai personu grupai vakcinēties pret Covid-19</w:t>
      </w:r>
      <w:r w:rsidRPr="00310555" w:rsidR="00B34FED">
        <w:rPr>
          <w:rFonts w:ascii="Times New Roman" w:hAnsi="Times New Roman" w:eastAsia="Times New Roman" w:cs="Times New Roman"/>
          <w:sz w:val="24"/>
          <w:szCs w:val="24"/>
          <w:lang w:eastAsia="lv-LV"/>
        </w:rPr>
        <w:t xml:space="preserve"> infekciju</w:t>
      </w:r>
      <w:r w:rsidRPr="00310555">
        <w:rPr>
          <w:rFonts w:ascii="Times New Roman" w:hAnsi="Times New Roman" w:eastAsia="Times New Roman" w:cs="Times New Roman"/>
          <w:sz w:val="24"/>
          <w:szCs w:val="24"/>
          <w:lang w:eastAsia="lv-LV"/>
        </w:rPr>
        <w:t xml:space="preserve"> ir jāvērtē arī pēc ECT (un Satversmes tiesas) metodoloģijas:</w:t>
      </w:r>
    </w:p>
    <w:p w:rsidRPr="00CE6163" w:rsidR="00C511B5" w:rsidP="00CE6163" w:rsidRDefault="00C511B5" w14:paraId="2475130C" w14:textId="67B77931">
      <w:pPr>
        <w:pStyle w:val="Sarakstarindkopa"/>
        <w:numPr>
          <w:ilvl w:val="1"/>
          <w:numId w:val="24"/>
        </w:numPr>
        <w:spacing w:after="0" w:line="240" w:lineRule="auto"/>
        <w:jc w:val="both"/>
        <w:rPr>
          <w:rFonts w:ascii="Times New Roman" w:hAnsi="Times New Roman" w:eastAsia="Times New Roman" w:cs="Times New Roman"/>
          <w:sz w:val="24"/>
          <w:szCs w:val="24"/>
          <w:lang w:eastAsia="lv-LV"/>
        </w:rPr>
      </w:pPr>
      <w:r w:rsidRPr="00CE6163">
        <w:rPr>
          <w:rFonts w:ascii="Times New Roman" w:hAnsi="Times New Roman" w:eastAsia="Times New Roman" w:cs="Times New Roman"/>
          <w:sz w:val="24"/>
          <w:szCs w:val="24"/>
          <w:lang w:eastAsia="lv-LV"/>
        </w:rPr>
        <w:t xml:space="preserve">Ar likumu uzlikts pienākums vakcinēties, pat ja persona vakcīnu faktiski nav saņēmusi un pat ja likums aizliedz “piespiedu vakcinēšanu”, ir iejaukšanās personas tiesībās uz privātās dzīves neaizskaramību (sprieduma 263.rindkopa). Lai šāda iejaukšanās nebūtu </w:t>
      </w:r>
      <w:r w:rsidRPr="00CE6163" w:rsidR="00B34FED">
        <w:rPr>
          <w:rFonts w:ascii="Times New Roman" w:hAnsi="Times New Roman" w:eastAsia="Times New Roman" w:cs="Times New Roman"/>
          <w:sz w:val="24"/>
          <w:szCs w:val="24"/>
          <w:lang w:eastAsia="lv-LV"/>
        </w:rPr>
        <w:t xml:space="preserve">Eiropas Cilvēktiesību un pamatbrīvību aizsardzības konvencijas </w:t>
      </w:r>
      <w:r w:rsidRPr="00CE6163">
        <w:rPr>
          <w:rFonts w:ascii="Times New Roman" w:hAnsi="Times New Roman" w:eastAsia="Times New Roman" w:cs="Times New Roman"/>
          <w:sz w:val="24"/>
          <w:szCs w:val="24"/>
          <w:lang w:eastAsia="lv-LV"/>
        </w:rPr>
        <w:t>pārkāpums, tai jāatbilst visām 3 “standarta prasībām” – tai ir jābūt noteiktai ar likumu, tai ir jābūt vērstai uz leģitīma mērķa sasniegšanu, tai ir jābūt samērīgai ar šo mērķi (sprieduma 265.rindkopa).</w:t>
      </w:r>
    </w:p>
    <w:p w:rsidRPr="00CE6163" w:rsidR="00C511B5" w:rsidP="00CE6163" w:rsidRDefault="00C511B5" w14:paraId="3A687287" w14:textId="04B12B4A">
      <w:pPr>
        <w:pStyle w:val="Sarakstarindkopa"/>
        <w:numPr>
          <w:ilvl w:val="1"/>
          <w:numId w:val="24"/>
        </w:numPr>
        <w:spacing w:after="0" w:line="240" w:lineRule="auto"/>
        <w:jc w:val="both"/>
        <w:rPr>
          <w:rFonts w:ascii="Times New Roman" w:hAnsi="Times New Roman" w:eastAsia="Times New Roman" w:cs="Times New Roman"/>
          <w:sz w:val="24"/>
          <w:szCs w:val="24"/>
          <w:lang w:eastAsia="lv-LV"/>
        </w:rPr>
      </w:pPr>
      <w:r w:rsidRPr="00CE6163">
        <w:rPr>
          <w:rFonts w:ascii="Times New Roman" w:hAnsi="Times New Roman" w:eastAsia="Times New Roman" w:cs="Times New Roman"/>
          <w:sz w:val="24"/>
          <w:szCs w:val="24"/>
          <w:lang w:eastAsia="lv-LV"/>
        </w:rPr>
        <w:t xml:space="preserve">“Iejaukšanās noteikta ar likumu” nozīmē kvalitatīvu likumisko pamatu, proti, atbilstošā likuma norma ir pietiekami skaidra un saprotama, lai persona varētu prognozēt tās piemērošanu un atbilstoši izvēlēties savu rīcību (sprieduma 266.rindkopa). Arī Covid-19 </w:t>
      </w:r>
      <w:r w:rsidRPr="00CE6163" w:rsidR="00B34FED">
        <w:rPr>
          <w:rFonts w:ascii="Times New Roman" w:hAnsi="Times New Roman" w:eastAsia="Times New Roman" w:cs="Times New Roman"/>
          <w:sz w:val="24"/>
          <w:szCs w:val="24"/>
          <w:lang w:eastAsia="lv-LV"/>
        </w:rPr>
        <w:t xml:space="preserve">infekcijas </w:t>
      </w:r>
      <w:r w:rsidRPr="00CE6163">
        <w:rPr>
          <w:rFonts w:ascii="Times New Roman" w:hAnsi="Times New Roman" w:eastAsia="Times New Roman" w:cs="Times New Roman"/>
          <w:sz w:val="24"/>
          <w:szCs w:val="24"/>
          <w:lang w:eastAsia="lv-LV"/>
        </w:rPr>
        <w:t>kontekstā pandēmija neatbrīvo likumdevēju no pienākuma iejaukšanos cilvēktiesībās noteikt ar kvalit</w:t>
      </w:r>
      <w:r w:rsidRPr="00CE6163" w:rsidR="0038782D">
        <w:rPr>
          <w:rFonts w:ascii="Times New Roman" w:hAnsi="Times New Roman" w:eastAsia="Times New Roman" w:cs="Times New Roman"/>
          <w:sz w:val="24"/>
          <w:szCs w:val="24"/>
          <w:lang w:eastAsia="lv-LV"/>
        </w:rPr>
        <w:t>a</w:t>
      </w:r>
      <w:r w:rsidRPr="00CE6163">
        <w:rPr>
          <w:rFonts w:ascii="Times New Roman" w:hAnsi="Times New Roman" w:eastAsia="Times New Roman" w:cs="Times New Roman"/>
          <w:sz w:val="24"/>
          <w:szCs w:val="24"/>
          <w:lang w:eastAsia="lv-LV"/>
        </w:rPr>
        <w:t xml:space="preserve">tīvu likumu. </w:t>
      </w:r>
    </w:p>
    <w:p w:rsidRPr="00CE6163" w:rsidR="004A6CA2" w:rsidP="00CE6163" w:rsidRDefault="00C511B5" w14:paraId="4B2F01E2" w14:textId="1BD66B3C">
      <w:pPr>
        <w:pStyle w:val="Sarakstarindkopa"/>
        <w:numPr>
          <w:ilvl w:val="1"/>
          <w:numId w:val="24"/>
        </w:numPr>
        <w:spacing w:after="0" w:line="240" w:lineRule="auto"/>
        <w:jc w:val="both"/>
        <w:rPr>
          <w:rFonts w:ascii="Times New Roman" w:hAnsi="Times New Roman" w:eastAsia="Times New Roman" w:cs="Times New Roman"/>
          <w:sz w:val="24"/>
          <w:szCs w:val="24"/>
          <w:lang w:eastAsia="lv-LV"/>
        </w:rPr>
      </w:pPr>
      <w:r w:rsidRPr="00CE6163">
        <w:rPr>
          <w:rFonts w:ascii="Times New Roman" w:hAnsi="Times New Roman" w:eastAsia="Times New Roman" w:cs="Times New Roman"/>
          <w:sz w:val="24"/>
          <w:szCs w:val="24"/>
          <w:lang w:eastAsia="lv-LV"/>
        </w:rPr>
        <w:t>Pienākuma vakcinēties “leģitīm</w:t>
      </w:r>
      <w:r w:rsidRPr="00CE6163" w:rsidR="00B34FED">
        <w:rPr>
          <w:rFonts w:ascii="Times New Roman" w:hAnsi="Times New Roman" w:eastAsia="Times New Roman" w:cs="Times New Roman"/>
          <w:sz w:val="24"/>
          <w:szCs w:val="24"/>
          <w:lang w:eastAsia="lv-LV"/>
        </w:rPr>
        <w:t>s</w:t>
      </w:r>
      <w:r w:rsidRPr="00CE6163">
        <w:rPr>
          <w:rFonts w:ascii="Times New Roman" w:hAnsi="Times New Roman" w:eastAsia="Times New Roman" w:cs="Times New Roman"/>
          <w:sz w:val="24"/>
          <w:szCs w:val="24"/>
          <w:lang w:eastAsia="lv-LV"/>
        </w:rPr>
        <w:t xml:space="preserve"> mērķis” </w:t>
      </w:r>
      <w:r w:rsidRPr="00CE6163" w:rsidR="00B34FED">
        <w:rPr>
          <w:rFonts w:ascii="Times New Roman" w:hAnsi="Times New Roman" w:eastAsia="Times New Roman" w:cs="Times New Roman"/>
          <w:sz w:val="24"/>
          <w:szCs w:val="24"/>
          <w:lang w:eastAsia="lv-LV"/>
        </w:rPr>
        <w:t xml:space="preserve">Eiropas Cilvēktiesību un pamatbrīvību aizsardzības konvencijas </w:t>
      </w:r>
      <w:r w:rsidRPr="00CE6163">
        <w:rPr>
          <w:rFonts w:ascii="Times New Roman" w:hAnsi="Times New Roman" w:eastAsia="Times New Roman" w:cs="Times New Roman"/>
          <w:sz w:val="24"/>
          <w:szCs w:val="24"/>
          <w:lang w:eastAsia="lv-LV"/>
        </w:rPr>
        <w:t xml:space="preserve">izpratnē ir veselības aizsardzība un citu personu tiesību un brīvību aizsardzība (sprieduma 272.rindkopa). </w:t>
      </w:r>
    </w:p>
    <w:p w:rsidRPr="00CE6163" w:rsidR="00C511B5" w:rsidP="00CE6163" w:rsidRDefault="00C511B5" w14:paraId="63BE4823" w14:textId="0BDC9CDD">
      <w:pPr>
        <w:pStyle w:val="Sarakstarindkopa"/>
        <w:numPr>
          <w:ilvl w:val="1"/>
          <w:numId w:val="24"/>
        </w:numPr>
        <w:spacing w:after="0" w:line="240" w:lineRule="auto"/>
        <w:jc w:val="both"/>
        <w:rPr>
          <w:rFonts w:ascii="Times New Roman" w:hAnsi="Times New Roman" w:eastAsia="Times New Roman" w:cs="Times New Roman"/>
          <w:sz w:val="24"/>
          <w:szCs w:val="24"/>
          <w:lang w:eastAsia="lv-LV"/>
        </w:rPr>
      </w:pPr>
      <w:r w:rsidRPr="00CE6163">
        <w:rPr>
          <w:rFonts w:ascii="Times New Roman" w:hAnsi="Times New Roman" w:eastAsia="Times New Roman" w:cs="Times New Roman"/>
          <w:sz w:val="24"/>
          <w:szCs w:val="24"/>
          <w:lang w:eastAsia="lv-LV"/>
        </w:rPr>
        <w:t>Iejaukšanās samērīgums atkarīgs no veselas faktoru virknes:</w:t>
      </w:r>
    </w:p>
    <w:p w:rsidRPr="00310555" w:rsidR="00C511B5" w:rsidP="00310555" w:rsidRDefault="00C511B5" w14:paraId="15E249D9" w14:textId="297A8960">
      <w:pPr>
        <w:spacing w:after="0" w:line="240" w:lineRule="auto"/>
        <w:ind w:hanging="216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u w:val="single"/>
          <w:lang w:eastAsia="lv-LV"/>
        </w:rPr>
        <w:t>Cik liela ir valsts rīcības brīvība</w:t>
      </w:r>
      <w:r w:rsidRPr="00310555" w:rsidR="004A6CA2">
        <w:rPr>
          <w:rFonts w:ascii="Times New Roman" w:hAnsi="Times New Roman" w:eastAsia="Times New Roman" w:cs="Times New Roman"/>
          <w:sz w:val="24"/>
          <w:szCs w:val="24"/>
          <w:lang w:eastAsia="lv-LV"/>
        </w:rPr>
        <w:t>:</w:t>
      </w:r>
      <w:r w:rsidRPr="00310555">
        <w:rPr>
          <w:rFonts w:ascii="Times New Roman" w:hAnsi="Times New Roman" w:eastAsia="Times New Roman" w:cs="Times New Roman"/>
          <w:sz w:val="24"/>
          <w:szCs w:val="24"/>
          <w:lang w:eastAsia="lv-LV"/>
        </w:rPr>
        <w:t xml:space="preserve"> </w:t>
      </w:r>
      <w:r w:rsidRPr="00310555" w:rsidR="004A6CA2">
        <w:rPr>
          <w:rFonts w:ascii="Times New Roman" w:hAnsi="Times New Roman" w:eastAsia="Times New Roman" w:cs="Times New Roman"/>
          <w:sz w:val="24"/>
          <w:szCs w:val="24"/>
          <w:lang w:eastAsia="lv-LV"/>
        </w:rPr>
        <w:t>t</w:t>
      </w:r>
      <w:r w:rsidRPr="00310555">
        <w:rPr>
          <w:rFonts w:ascii="Times New Roman" w:hAnsi="Times New Roman" w:eastAsia="Times New Roman" w:cs="Times New Roman"/>
          <w:sz w:val="24"/>
          <w:szCs w:val="24"/>
          <w:lang w:eastAsia="lv-LV"/>
        </w:rPr>
        <w:t xml:space="preserve">o ietekmē gan tas, cik liela ir Eiropas valstu vienprātība specifiskajā jautājumā, gan tas, cik svarīgas ir intereses, kuras jāaizsargā, un intereses, kuras tiek ietekmētas. ECT </w:t>
      </w:r>
      <w:r w:rsidR="00312AD7">
        <w:rPr>
          <w:rFonts w:ascii="Times New Roman" w:hAnsi="Times New Roman" w:eastAsia="Times New Roman" w:cs="Times New Roman"/>
          <w:sz w:val="24"/>
          <w:szCs w:val="24"/>
          <w:lang w:eastAsia="lv-LV"/>
        </w:rPr>
        <w:t xml:space="preserve">konkrētās lietas kontekstā </w:t>
      </w:r>
      <w:r w:rsidRPr="00310555">
        <w:rPr>
          <w:rFonts w:ascii="Times New Roman" w:hAnsi="Times New Roman" w:eastAsia="Times New Roman" w:cs="Times New Roman"/>
          <w:sz w:val="24"/>
          <w:szCs w:val="24"/>
          <w:lang w:eastAsia="lv-LV"/>
        </w:rPr>
        <w:t xml:space="preserve">atzīmē, ka </w:t>
      </w:r>
      <w:r w:rsidRPr="00310555" w:rsidR="00B34FED">
        <w:rPr>
          <w:rFonts w:ascii="Times New Roman" w:hAnsi="Times New Roman" w:eastAsia="Times New Roman" w:cs="Times New Roman"/>
          <w:sz w:val="24"/>
          <w:szCs w:val="24"/>
          <w:lang w:eastAsia="lv-LV"/>
        </w:rPr>
        <w:t xml:space="preserve">Eiropas Cilvēktiesību un pamatbrīvību aizsardzības konvencijas </w:t>
      </w:r>
      <w:r w:rsidRPr="00310555">
        <w:rPr>
          <w:rFonts w:ascii="Times New Roman" w:hAnsi="Times New Roman" w:eastAsia="Times New Roman" w:cs="Times New Roman"/>
          <w:sz w:val="24"/>
          <w:szCs w:val="24"/>
          <w:lang w:eastAsia="lv-LV"/>
        </w:rPr>
        <w:t>dalībvalstu vidū valda vienprātība, kuru atbalsta arī specializētās starptautiskās institūcijas, ka vakcinēšana ir viens no sekmīgākajiem un izmaksu ziņā efektīvākajiem medicīniskās intervences veidiem un ka katrai valstij būtu jātiecas uz pēc iespējas augstāku vakcinēto iedzīvotāju īpatsvaru (sprieduma 277.rindkopa). Taču valstu vidū nav vienprātības par to, kādu līdzekli izvēlēties šī mērķa sasniegšanai – rekomendācijas</w:t>
      </w:r>
      <w:r w:rsidR="00312AD7">
        <w:rPr>
          <w:rFonts w:ascii="Times New Roman" w:hAnsi="Times New Roman" w:eastAsia="Times New Roman" w:cs="Times New Roman"/>
          <w:sz w:val="24"/>
          <w:szCs w:val="24"/>
          <w:lang w:eastAsia="lv-LV"/>
        </w:rPr>
        <w:t xml:space="preserve"> vai</w:t>
      </w:r>
      <w:r w:rsidRPr="00310555">
        <w:rPr>
          <w:rFonts w:ascii="Times New Roman" w:hAnsi="Times New Roman" w:eastAsia="Times New Roman" w:cs="Times New Roman"/>
          <w:sz w:val="24"/>
          <w:szCs w:val="24"/>
          <w:lang w:eastAsia="lv-LV"/>
        </w:rPr>
        <w:t xml:space="preserve"> juridisks pienākums vakcinēties. ECT norāda, ka vakcinēšanos būtu jāuzskata arī par sabiedrības solidaritātes atspoguļojumu, jo pienākuma vakcinēties mērķis ir aizsargāt visu sabiedrības locekļu veselību, īpaši to personu, kuras veselības stāvokļa dēļ ir pakļautas īpašam riskam un kuru labā pārējie sabiedrības locekļi uzņemas minimālu risku vakcinēšanās formā (sprieduma 279.rindkopa). Kopumā ECT secina, ka specifiskajā lietā par pienākumu vakcinēt bērnus valstīm ir plaša rīcības brīvība (sprieduma 280.rindkopa). Covid-19 </w:t>
      </w:r>
      <w:r w:rsidRPr="00310555" w:rsidR="00B34FED">
        <w:rPr>
          <w:rFonts w:ascii="Times New Roman" w:hAnsi="Times New Roman" w:eastAsia="Times New Roman" w:cs="Times New Roman"/>
          <w:sz w:val="24"/>
          <w:szCs w:val="24"/>
          <w:lang w:eastAsia="lv-LV"/>
        </w:rPr>
        <w:t xml:space="preserve">infekcijas </w:t>
      </w:r>
      <w:r w:rsidRPr="00310555">
        <w:rPr>
          <w:rFonts w:ascii="Times New Roman" w:hAnsi="Times New Roman" w:eastAsia="Times New Roman" w:cs="Times New Roman"/>
          <w:sz w:val="24"/>
          <w:szCs w:val="24"/>
          <w:lang w:eastAsia="lv-LV"/>
        </w:rPr>
        <w:t>pandēmija ir vispasaules mēroga</w:t>
      </w:r>
      <w:r w:rsidR="00312AD7">
        <w:rPr>
          <w:rFonts w:ascii="Times New Roman" w:hAnsi="Times New Roman" w:eastAsia="Times New Roman" w:cs="Times New Roman"/>
          <w:sz w:val="24"/>
          <w:szCs w:val="24"/>
          <w:lang w:eastAsia="lv-LV"/>
        </w:rPr>
        <w:t xml:space="preserve"> notikums</w:t>
      </w:r>
      <w:r w:rsidRPr="00310555">
        <w:rPr>
          <w:rFonts w:ascii="Times New Roman" w:hAnsi="Times New Roman" w:eastAsia="Times New Roman" w:cs="Times New Roman"/>
          <w:sz w:val="24"/>
          <w:szCs w:val="24"/>
          <w:lang w:eastAsia="lv-LV"/>
        </w:rPr>
        <w:t>, kas skai</w:t>
      </w:r>
      <w:r w:rsidRPr="00310555" w:rsidR="00FC0368">
        <w:rPr>
          <w:rFonts w:ascii="Times New Roman" w:hAnsi="Times New Roman" w:eastAsia="Times New Roman" w:cs="Times New Roman"/>
          <w:sz w:val="24"/>
          <w:szCs w:val="24"/>
          <w:lang w:eastAsia="lv-LV"/>
        </w:rPr>
        <w:t>d</w:t>
      </w:r>
      <w:r w:rsidRPr="00310555">
        <w:rPr>
          <w:rFonts w:ascii="Times New Roman" w:hAnsi="Times New Roman" w:eastAsia="Times New Roman" w:cs="Times New Roman"/>
          <w:sz w:val="24"/>
          <w:szCs w:val="24"/>
          <w:lang w:eastAsia="lv-LV"/>
        </w:rPr>
        <w:t>ri pierāda valstu savst</w:t>
      </w:r>
      <w:r w:rsidRPr="00310555" w:rsidR="00FC0368">
        <w:rPr>
          <w:rFonts w:ascii="Times New Roman" w:hAnsi="Times New Roman" w:eastAsia="Times New Roman" w:cs="Times New Roman"/>
          <w:sz w:val="24"/>
          <w:szCs w:val="24"/>
          <w:lang w:eastAsia="lv-LV"/>
        </w:rPr>
        <w:t>a</w:t>
      </w:r>
      <w:r w:rsidRPr="00310555">
        <w:rPr>
          <w:rFonts w:ascii="Times New Roman" w:hAnsi="Times New Roman" w:eastAsia="Times New Roman" w:cs="Times New Roman"/>
          <w:sz w:val="24"/>
          <w:szCs w:val="24"/>
          <w:lang w:eastAsia="lv-LV"/>
        </w:rPr>
        <w:t>rpējo atkarību, it īpaši tādas savienības kā ES robežās, tāpēc valstu vienprātībai ir būtiska loma.</w:t>
      </w:r>
      <w:r w:rsidRPr="00310555">
        <w:rPr>
          <w:rFonts w:ascii="Times New Roman" w:hAnsi="Times New Roman" w:eastAsia="Times New Roman" w:cs="Times New Roman"/>
          <w:sz w:val="24"/>
          <w:szCs w:val="24"/>
          <w:shd w:val="clear" w:color="auto" w:fill="FFFF00"/>
          <w:lang w:eastAsia="lv-LV"/>
        </w:rPr>
        <w:t xml:space="preserve"> </w:t>
      </w:r>
    </w:p>
    <w:p w:rsidRPr="00310555" w:rsidR="00C511B5" w:rsidP="00310555" w:rsidRDefault="00C511B5" w14:paraId="2537C939" w14:textId="5CF4FF77">
      <w:pPr>
        <w:spacing w:after="0" w:line="240" w:lineRule="auto"/>
        <w:ind w:hanging="216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u w:val="single"/>
          <w:lang w:eastAsia="lv-LV"/>
        </w:rPr>
        <w:t>Cik neatliekama ir sabiedrības vajadzība</w:t>
      </w:r>
      <w:r w:rsidRPr="00E37FD3" w:rsidR="00E37FD3">
        <w:rPr>
          <w:rFonts w:ascii="Times New Roman" w:hAnsi="Times New Roman" w:eastAsia="Times New Roman" w:cs="Times New Roman"/>
          <w:sz w:val="24"/>
          <w:szCs w:val="24"/>
          <w:u w:val="single"/>
          <w:lang w:eastAsia="lv-LV"/>
        </w:rPr>
        <w:t xml:space="preserve"> </w:t>
      </w:r>
      <w:r w:rsidRPr="00310555" w:rsidR="00E37FD3">
        <w:rPr>
          <w:rFonts w:ascii="Times New Roman" w:hAnsi="Times New Roman" w:eastAsia="Times New Roman" w:cs="Times New Roman"/>
          <w:sz w:val="24"/>
          <w:szCs w:val="24"/>
          <w:u w:val="single"/>
          <w:lang w:eastAsia="lv-LV"/>
        </w:rPr>
        <w:t>kopumā</w:t>
      </w:r>
      <w:r w:rsidRPr="00310555" w:rsidR="004A6CA2">
        <w:rPr>
          <w:rFonts w:ascii="Times New Roman" w:hAnsi="Times New Roman" w:eastAsia="Times New Roman" w:cs="Times New Roman"/>
          <w:sz w:val="24"/>
          <w:szCs w:val="24"/>
          <w:lang w:eastAsia="lv-LV"/>
        </w:rPr>
        <w:t>:</w:t>
      </w:r>
      <w:r w:rsidRPr="00310555">
        <w:rPr>
          <w:rFonts w:ascii="Times New Roman" w:hAnsi="Times New Roman" w:eastAsia="Times New Roman" w:cs="Times New Roman"/>
          <w:sz w:val="24"/>
          <w:szCs w:val="24"/>
          <w:lang w:eastAsia="lv-LV"/>
        </w:rPr>
        <w:t xml:space="preserve"> ECT ieskatā bērnu vakcinēšana vispārīgi uzskatāma par svarīgu sabiedrības veselības politikas sastāvdaļu (sprieduma 281.rindkopa), turklāt no </w:t>
      </w:r>
      <w:r w:rsidRPr="00310555" w:rsidR="00B34FED">
        <w:rPr>
          <w:rFonts w:ascii="Times New Roman" w:hAnsi="Times New Roman" w:eastAsia="Times New Roman" w:cs="Times New Roman"/>
          <w:sz w:val="24"/>
          <w:szCs w:val="24"/>
          <w:lang w:eastAsia="lv-LV"/>
        </w:rPr>
        <w:t xml:space="preserve">Eiropas Cilvēktiesību un pamatbrīvību aizsardzības konvencijas </w:t>
      </w:r>
      <w:r w:rsidRPr="00310555">
        <w:rPr>
          <w:rFonts w:ascii="Times New Roman" w:hAnsi="Times New Roman" w:eastAsia="Times New Roman" w:cs="Times New Roman"/>
          <w:sz w:val="24"/>
          <w:szCs w:val="24"/>
          <w:lang w:eastAsia="lv-LV"/>
        </w:rPr>
        <w:t xml:space="preserve">2.panta (tiesības uz dzīvību) un 8.panta valstīm izriet arī pozitīvie pienākumi rīkoties, lai aizsargātu cilvēku dzīvību (sprieduma 282.rindkopa). Ņemot vērā šos apsvērumus, kā arī riskus, kurus vakcinēto īpatsvara samazināšanās varētu radīt sabiedrībai kopumā, ECT secina, ka Čehijas noteiktais pienākums vakcinēt bērnus ir uzskatāms par atbildi uz neatliekamu sabiedrības vajadzību (sprieduma 283.-284.rindkopa). </w:t>
      </w:r>
    </w:p>
    <w:p w:rsidRPr="00310555" w:rsidR="00C511B5" w:rsidP="00310555" w:rsidRDefault="00C511B5" w14:paraId="7C084783" w14:textId="236E7AFF">
      <w:pPr>
        <w:spacing w:after="0" w:line="240" w:lineRule="auto"/>
        <w:ind w:hanging="216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u w:val="single"/>
          <w:lang w:eastAsia="lv-LV"/>
        </w:rPr>
        <w:t>Vai iejaukšanās nepieciešamībai ir sniegt</w:t>
      </w:r>
      <w:r w:rsidRPr="00310555" w:rsidR="004A6CA2">
        <w:rPr>
          <w:rFonts w:ascii="Times New Roman" w:hAnsi="Times New Roman" w:eastAsia="Times New Roman" w:cs="Times New Roman"/>
          <w:sz w:val="24"/>
          <w:szCs w:val="24"/>
          <w:u w:val="single"/>
          <w:lang w:eastAsia="lv-LV"/>
        </w:rPr>
        <w:t>s</w:t>
      </w:r>
      <w:r w:rsidRPr="00310555">
        <w:rPr>
          <w:rFonts w:ascii="Times New Roman" w:hAnsi="Times New Roman" w:eastAsia="Times New Roman" w:cs="Times New Roman"/>
          <w:sz w:val="24"/>
          <w:szCs w:val="24"/>
          <w:u w:val="single"/>
          <w:lang w:eastAsia="lv-LV"/>
        </w:rPr>
        <w:t xml:space="preserve"> atbilstošs un pietiekams pamatojums</w:t>
      </w:r>
      <w:r w:rsidRPr="00310555" w:rsidR="004A6CA2">
        <w:rPr>
          <w:rFonts w:ascii="Times New Roman" w:hAnsi="Times New Roman" w:eastAsia="Times New Roman" w:cs="Times New Roman"/>
          <w:sz w:val="24"/>
          <w:szCs w:val="24"/>
          <w:u w:val="single"/>
          <w:lang w:eastAsia="lv-LV"/>
        </w:rPr>
        <w:t>:</w:t>
      </w:r>
      <w:r w:rsidRPr="00310555">
        <w:rPr>
          <w:rFonts w:ascii="Times New Roman" w:hAnsi="Times New Roman" w:eastAsia="Times New Roman" w:cs="Times New Roman"/>
          <w:sz w:val="24"/>
          <w:szCs w:val="24"/>
          <w:lang w:eastAsia="lv-LV"/>
        </w:rPr>
        <w:t xml:space="preserve"> ECT ieskatā Čehijā ir pienācīgi vērtēti ekspertu, starptautisko organizāciju viedokļi, bērna labāko interešu apsvērumi (sprieduma 285.-289.rindkopa). </w:t>
      </w:r>
    </w:p>
    <w:p w:rsidR="00C511B5" w:rsidP="00310555" w:rsidRDefault="00C511B5" w14:paraId="64AC7662" w14:textId="0C7402F6">
      <w:pPr>
        <w:spacing w:after="0" w:line="240" w:lineRule="auto"/>
        <w:ind w:firstLine="851"/>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u w:val="single"/>
          <w:lang w:eastAsia="lv-LV"/>
        </w:rPr>
        <w:lastRenderedPageBreak/>
        <w:t xml:space="preserve">Vai iejaukšanās </w:t>
      </w:r>
      <w:r w:rsidRPr="00310555" w:rsidR="004A6CA2">
        <w:rPr>
          <w:rFonts w:ascii="Times New Roman" w:hAnsi="Times New Roman" w:eastAsia="Times New Roman" w:cs="Times New Roman"/>
          <w:sz w:val="24"/>
          <w:szCs w:val="24"/>
          <w:u w:val="single"/>
          <w:lang w:eastAsia="lv-LV"/>
        </w:rPr>
        <w:t xml:space="preserve">privātajā dzīvē </w:t>
      </w:r>
      <w:r w:rsidRPr="00310555">
        <w:rPr>
          <w:rFonts w:ascii="Times New Roman" w:hAnsi="Times New Roman" w:eastAsia="Times New Roman" w:cs="Times New Roman"/>
          <w:sz w:val="24"/>
          <w:szCs w:val="24"/>
          <w:u w:val="single"/>
          <w:lang w:eastAsia="lv-LV"/>
        </w:rPr>
        <w:t>ir samērīga</w:t>
      </w:r>
      <w:r w:rsidRPr="00310555" w:rsidR="004A6CA2">
        <w:rPr>
          <w:rFonts w:ascii="Times New Roman" w:hAnsi="Times New Roman" w:eastAsia="Times New Roman" w:cs="Times New Roman"/>
          <w:sz w:val="24"/>
          <w:szCs w:val="24"/>
          <w:u w:val="single"/>
          <w:lang w:eastAsia="lv-LV"/>
        </w:rPr>
        <w:t>:</w:t>
      </w:r>
      <w:r w:rsidRPr="00310555">
        <w:rPr>
          <w:rFonts w:ascii="Times New Roman" w:hAnsi="Times New Roman" w:eastAsia="Times New Roman" w:cs="Times New Roman"/>
          <w:sz w:val="24"/>
          <w:szCs w:val="24"/>
          <w:lang w:eastAsia="lv-LV"/>
        </w:rPr>
        <w:t xml:space="preserve"> ECT spriedumā liela nozīme piešķirta ļoti specifiskiem apsvērumiem – no pienākuma vakcinēt bērnu ir izņēmumi (medicīniskas kontrindikācijas, individuāls </w:t>
      </w:r>
      <w:proofErr w:type="spellStart"/>
      <w:r w:rsidRPr="00310555">
        <w:rPr>
          <w:rFonts w:ascii="Times New Roman" w:hAnsi="Times New Roman" w:eastAsia="Times New Roman" w:cs="Times New Roman"/>
          <w:sz w:val="24"/>
          <w:szCs w:val="24"/>
          <w:lang w:eastAsia="lv-LV"/>
        </w:rPr>
        <w:t>izvērtējums</w:t>
      </w:r>
      <w:proofErr w:type="spellEnd"/>
      <w:r w:rsidRPr="00310555">
        <w:rPr>
          <w:rFonts w:ascii="Times New Roman" w:hAnsi="Times New Roman" w:eastAsia="Times New Roman" w:cs="Times New Roman"/>
          <w:sz w:val="24"/>
          <w:szCs w:val="24"/>
          <w:lang w:eastAsia="lv-LV"/>
        </w:rPr>
        <w:t xml:space="preserve">) (sprieduma 291.rindkopa, arī 301.rindkopa); pienākuma vakcinēt bērnus nepildīšanas negatīvās sekas (naudas sods vai bērna neuzņemšana bērnudārzā) var tikt apstrīdētas nacionālās tiesās (sprieduma 292.rindkopa), turklāt bērnu neuzņemšana bērnudārzā nav sods, bet gan veids, kā aizsargāt pārējo bērnu veselību (sprieduma 294.rindkopa); negatīvās sekas pienākuma vakcinēt bērnus nepildīšanai nav tālejošas, jo nevakcinētam bērnam nav šķēršļu tikt uzņemtam pamatskolā (307.rindkopa); bērns likums neparedz iespēju vakcinēt piespiedu kārtā (sprieduma 293.rindkopa); nav šaubu par lēmumu pieņemšanas sistēmas konsekvenci un objektivitāti (sprieduma 296.-299.rindkopa); nav šaubu par vakcīnu drošības pārbaudes sistēmas efektivitāti (sprieduma 301.rindkopa). No sprieduma izriet, ka šie kumulatīvie apsvērumi ECT ļauj secināt, ka valsts nav pārkāpusi savas rīcības brīvības robežas. </w:t>
      </w:r>
    </w:p>
    <w:p w:rsidRPr="00310555" w:rsidR="004A6CA2" w:rsidP="00CE6163" w:rsidRDefault="0094316B" w14:paraId="1B023E2C" w14:textId="3DF95F08">
      <w:pPr>
        <w:spacing w:after="0" w:line="240" w:lineRule="auto"/>
        <w:ind w:firstLine="851"/>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Minētie ECT tiesas sprieduma secinājumi noteic juridisko ietvaru lēmuma pieņēmēju (izpildvaras un likumdevēja) rīcības brīvībai lemt par vakcinācijas obligātumu, vienlaikus jāuzsver, ka lietas specifiskie apstākļiem liedz tiešā veidā attiecināt šos secinājumus uz vakcināciju pret </w:t>
      </w:r>
      <w:proofErr w:type="spellStart"/>
      <w:r>
        <w:rPr>
          <w:rFonts w:ascii="Times New Roman" w:hAnsi="Times New Roman" w:eastAsia="Times New Roman" w:cs="Times New Roman"/>
          <w:sz w:val="24"/>
          <w:szCs w:val="24"/>
          <w:lang w:eastAsia="lv-LV"/>
        </w:rPr>
        <w:t>Covid</w:t>
      </w:r>
      <w:proofErr w:type="spellEnd"/>
      <w:r>
        <w:rPr>
          <w:rFonts w:ascii="Times New Roman" w:hAnsi="Times New Roman" w:eastAsia="Times New Roman" w:cs="Times New Roman"/>
          <w:sz w:val="24"/>
          <w:szCs w:val="24"/>
          <w:lang w:eastAsia="lv-LV"/>
        </w:rPr>
        <w:t xml:space="preserve"> 19 infekciju, un katrs no norādītājiem apsvērumiem ir pielāgojams faktiskajai situācijai Latvijā.  </w:t>
      </w:r>
    </w:p>
    <w:p w:rsidRPr="00310555" w:rsidR="00910598" w:rsidP="00310555" w:rsidRDefault="00910598" w14:paraId="76B5D628" w14:textId="38E5C1E8">
      <w:pPr>
        <w:spacing w:after="0" w:line="240" w:lineRule="auto"/>
        <w:jc w:val="both"/>
        <w:rPr>
          <w:rFonts w:ascii="Times New Roman" w:hAnsi="Times New Roman" w:eastAsia="Times New Roman" w:cs="Times New Roman"/>
          <w:sz w:val="24"/>
          <w:szCs w:val="24"/>
          <w:lang w:eastAsia="lv-LV"/>
        </w:rPr>
      </w:pPr>
    </w:p>
    <w:p w:rsidRPr="00310555" w:rsidR="00910598" w:rsidP="00310555" w:rsidRDefault="00910598" w14:paraId="614CA10B" w14:textId="77777777">
      <w:pPr>
        <w:spacing w:after="0" w:line="240" w:lineRule="auto"/>
        <w:jc w:val="both"/>
        <w:rPr>
          <w:rFonts w:ascii="Times New Roman" w:hAnsi="Times New Roman" w:eastAsia="Times New Roman" w:cs="Times New Roman"/>
          <w:sz w:val="24"/>
          <w:szCs w:val="24"/>
          <w:lang w:eastAsia="lv-LV"/>
        </w:rPr>
      </w:pPr>
    </w:p>
    <w:p w:rsidRPr="00310555" w:rsidR="00C511B5" w:rsidP="00310555" w:rsidRDefault="005D2230" w14:paraId="474668F0" w14:textId="48A5FCD4">
      <w:pPr>
        <w:pStyle w:val="Sarakstarindkopa"/>
        <w:numPr>
          <w:ilvl w:val="1"/>
          <w:numId w:val="10"/>
        </w:num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 </w:t>
      </w:r>
      <w:r w:rsidRPr="00310555" w:rsidR="00DE2B9A">
        <w:rPr>
          <w:rFonts w:ascii="Times New Roman" w:hAnsi="Times New Roman" w:eastAsia="Times New Roman" w:cs="Times New Roman"/>
          <w:b/>
          <w:bCs/>
          <w:sz w:val="24"/>
          <w:szCs w:val="24"/>
          <w:lang w:eastAsia="lv-LV"/>
        </w:rPr>
        <w:t>Secinājumi</w:t>
      </w:r>
      <w:r w:rsidRPr="00310555" w:rsidR="005C10C1">
        <w:rPr>
          <w:rFonts w:ascii="Times New Roman" w:hAnsi="Times New Roman" w:eastAsia="Times New Roman" w:cs="Times New Roman"/>
          <w:b/>
          <w:bCs/>
          <w:sz w:val="24"/>
          <w:szCs w:val="24"/>
          <w:lang w:eastAsia="lv-LV"/>
        </w:rPr>
        <w:t xml:space="preserve"> par obligāt</w:t>
      </w:r>
      <w:r w:rsidRPr="00310555" w:rsidR="004B29C5">
        <w:rPr>
          <w:rFonts w:ascii="Times New Roman" w:hAnsi="Times New Roman" w:eastAsia="Times New Roman" w:cs="Times New Roman"/>
          <w:b/>
          <w:bCs/>
          <w:sz w:val="24"/>
          <w:szCs w:val="24"/>
          <w:lang w:eastAsia="lv-LV"/>
        </w:rPr>
        <w:t>o</w:t>
      </w:r>
      <w:r w:rsidRPr="00310555" w:rsidR="005C10C1">
        <w:rPr>
          <w:rFonts w:ascii="Times New Roman" w:hAnsi="Times New Roman" w:eastAsia="Times New Roman" w:cs="Times New Roman"/>
          <w:b/>
          <w:bCs/>
          <w:sz w:val="24"/>
          <w:szCs w:val="24"/>
          <w:lang w:eastAsia="lv-LV"/>
        </w:rPr>
        <w:t xml:space="preserve"> vakcinācij</w:t>
      </w:r>
      <w:r w:rsidRPr="00310555" w:rsidR="004B29C5">
        <w:rPr>
          <w:rFonts w:ascii="Times New Roman" w:hAnsi="Times New Roman" w:eastAsia="Times New Roman" w:cs="Times New Roman"/>
          <w:b/>
          <w:bCs/>
          <w:sz w:val="24"/>
          <w:szCs w:val="24"/>
          <w:lang w:eastAsia="lv-LV"/>
        </w:rPr>
        <w:t>u</w:t>
      </w:r>
    </w:p>
    <w:p w:rsidRPr="00310555" w:rsidR="004920D6" w:rsidP="00310555" w:rsidRDefault="004920D6" w14:paraId="18A4D249" w14:textId="5F43E977">
      <w:pPr>
        <w:spacing w:after="0" w:line="240" w:lineRule="auto"/>
        <w:jc w:val="both"/>
        <w:rPr>
          <w:rFonts w:ascii="Times New Roman" w:hAnsi="Times New Roman" w:cs="Times New Roman"/>
          <w:sz w:val="24"/>
          <w:szCs w:val="24"/>
        </w:rPr>
      </w:pPr>
    </w:p>
    <w:p w:rsidRPr="00310555" w:rsidR="004A6CA2" w:rsidP="00310555" w:rsidRDefault="004A6CA2" w14:paraId="5D65D7F5" w14:textId="7B03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shd w:val="clear" w:color="auto" w:fill="FFFFFF"/>
          <w:lang w:eastAsia="lv-LV"/>
        </w:rPr>
      </w:pPr>
      <w:r w:rsidRPr="00310555">
        <w:rPr>
          <w:rFonts w:ascii="Times New Roman" w:hAnsi="Times New Roman" w:eastAsia="Times New Roman" w:cs="Times New Roman"/>
          <w:sz w:val="24"/>
          <w:szCs w:val="24"/>
          <w:shd w:val="clear" w:color="auto" w:fill="FFFFFF"/>
          <w:lang w:eastAsia="lv-LV"/>
        </w:rPr>
        <w:tab/>
        <w:t xml:space="preserve">Kopumā vērtējot, valstij no saistošiem tiesību avotiem izriet pienākumi: no vienas puses, veikt pasākumus cilvēka veselības aizsargāšanai, no otras puses, nodrošināt cilvēka tiesības lemt par savu ķermeni un neiejaukties personīgajā dzīvē. Minēto uzdevumu padara sarežģītu apstāklis, ka Covid-19 infekcijas izplatība ir mūsdienu demokrātiju vēsturē jauna un nebijusi krīze, kas radījusi smagas sekas arī valstu ekonomikā. No valsts ekonomiskās situācijas ir atkarīga sabiedrības labklājība un citu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it īpaši sociālo tiesību, ievērošana pienācīgā līmenī. Attiecīgi valsts pienākumi Covid-19 infekcijas izplatības mazināšanā neapšaubāmi ir saistāmi arī ar visas sabiedrības labklājību un drošību, un jebkuri konkrēti pasākumi, tostarp vakcinācija pret </w:t>
      </w:r>
      <w:proofErr w:type="spellStart"/>
      <w:r w:rsidRPr="00310555">
        <w:rPr>
          <w:rFonts w:ascii="Times New Roman" w:hAnsi="Times New Roman" w:eastAsia="Times New Roman" w:cs="Times New Roman"/>
          <w:sz w:val="24"/>
          <w:szCs w:val="24"/>
          <w:shd w:val="clear" w:color="auto" w:fill="FFFFFF"/>
          <w:lang w:eastAsia="lv-LV"/>
        </w:rPr>
        <w:t>Covid</w:t>
      </w:r>
      <w:proofErr w:type="spellEnd"/>
      <w:r w:rsidRPr="00310555">
        <w:rPr>
          <w:rFonts w:ascii="Times New Roman" w:hAnsi="Times New Roman" w:eastAsia="Times New Roman" w:cs="Times New Roman"/>
          <w:sz w:val="24"/>
          <w:szCs w:val="24"/>
          <w:shd w:val="clear" w:color="auto" w:fill="FFFFFF"/>
          <w:lang w:eastAsia="lv-LV"/>
        </w:rPr>
        <w:t xml:space="preserve">- 19 infekciju, būtu skatāmi ne tikai iepriekš minēto cilvēka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bet arī citu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kontekstā atkarībā no jomas, kurā konkrētie pasākumi paredzēti. </w:t>
      </w:r>
    </w:p>
    <w:p w:rsidRPr="00310555" w:rsidR="004A6CA2" w:rsidP="00310555" w:rsidRDefault="004A6CA2" w14:paraId="271AC29F" w14:textId="6607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shd w:val="clear" w:color="auto" w:fill="FFFFFF"/>
          <w:lang w:eastAsia="lv-LV"/>
        </w:rPr>
      </w:pPr>
      <w:r w:rsidRPr="00310555">
        <w:rPr>
          <w:rFonts w:ascii="Times New Roman" w:hAnsi="Times New Roman" w:eastAsia="Times New Roman" w:cs="Times New Roman"/>
          <w:sz w:val="24"/>
          <w:szCs w:val="24"/>
          <w:shd w:val="clear" w:color="auto" w:fill="FFFFFF"/>
          <w:lang w:eastAsia="lv-LV"/>
        </w:rPr>
        <w:tab/>
        <w:t xml:space="preserve">Satversmē noteiktās </w:t>
      </w:r>
      <w:proofErr w:type="spellStart"/>
      <w:r w:rsidRPr="00310555">
        <w:rPr>
          <w:rFonts w:ascii="Times New Roman" w:hAnsi="Times New Roman" w:eastAsia="Times New Roman" w:cs="Times New Roman"/>
          <w:sz w:val="24"/>
          <w:szCs w:val="24"/>
          <w:shd w:val="clear" w:color="auto" w:fill="FFFFFF"/>
          <w:lang w:eastAsia="lv-LV"/>
        </w:rPr>
        <w:t>pamattiesības</w:t>
      </w:r>
      <w:proofErr w:type="spellEnd"/>
      <w:r w:rsidRPr="00310555">
        <w:rPr>
          <w:rFonts w:ascii="Times New Roman" w:hAnsi="Times New Roman" w:eastAsia="Times New Roman" w:cs="Times New Roman"/>
          <w:sz w:val="24"/>
          <w:szCs w:val="24"/>
          <w:shd w:val="clear" w:color="auto" w:fill="FFFFFF"/>
          <w:lang w:eastAsia="lv-LV"/>
        </w:rPr>
        <w:t xml:space="preserve"> veido savstarpēji līdzsvarotu sistēmu, un tās nav aplūkojamas atrauti cita no citas, līdz ar to atsevišķām personām garantētās </w:t>
      </w:r>
      <w:proofErr w:type="spellStart"/>
      <w:r w:rsidRPr="00310555">
        <w:rPr>
          <w:rFonts w:ascii="Times New Roman" w:hAnsi="Times New Roman" w:eastAsia="Times New Roman" w:cs="Times New Roman"/>
          <w:sz w:val="24"/>
          <w:szCs w:val="24"/>
          <w:shd w:val="clear" w:color="auto" w:fill="FFFFFF"/>
          <w:lang w:eastAsia="lv-LV"/>
        </w:rPr>
        <w:t>pamattiesības</w:t>
      </w:r>
      <w:proofErr w:type="spellEnd"/>
      <w:r w:rsidRPr="00310555">
        <w:rPr>
          <w:rFonts w:ascii="Times New Roman" w:hAnsi="Times New Roman" w:eastAsia="Times New Roman" w:cs="Times New Roman"/>
          <w:sz w:val="24"/>
          <w:szCs w:val="24"/>
          <w:shd w:val="clear" w:color="auto" w:fill="FFFFFF"/>
          <w:lang w:eastAsia="lv-LV"/>
        </w:rPr>
        <w:t xml:space="preserve"> prasa respektēt arī citām personām noteiktās </w:t>
      </w:r>
      <w:proofErr w:type="spellStart"/>
      <w:r w:rsidRPr="00310555">
        <w:rPr>
          <w:rFonts w:ascii="Times New Roman" w:hAnsi="Times New Roman" w:eastAsia="Times New Roman" w:cs="Times New Roman"/>
          <w:sz w:val="24"/>
          <w:szCs w:val="24"/>
          <w:shd w:val="clear" w:color="auto" w:fill="FFFFFF"/>
          <w:lang w:eastAsia="lv-LV"/>
        </w:rPr>
        <w:t>pamattiesības</w:t>
      </w:r>
      <w:proofErr w:type="spellEnd"/>
      <w:r w:rsidR="0094316B">
        <w:rPr>
          <w:rStyle w:val="Vresatsauce"/>
          <w:rFonts w:ascii="Times New Roman" w:hAnsi="Times New Roman" w:eastAsia="Times New Roman" w:cs="Times New Roman"/>
          <w:sz w:val="24"/>
          <w:szCs w:val="24"/>
          <w:shd w:val="clear" w:color="auto" w:fill="FFFFFF"/>
          <w:lang w:eastAsia="lv-LV"/>
        </w:rPr>
        <w:footnoteReference w:id="13"/>
      </w:r>
      <w:r w:rsidRPr="00310555">
        <w:rPr>
          <w:rFonts w:ascii="Times New Roman" w:hAnsi="Times New Roman" w:eastAsia="Times New Roman" w:cs="Times New Roman"/>
          <w:sz w:val="24"/>
          <w:szCs w:val="24"/>
          <w:shd w:val="clear" w:color="auto" w:fill="FFFFFF"/>
          <w:lang w:eastAsia="lv-LV"/>
        </w:rPr>
        <w:t xml:space="preserve"> </w:t>
      </w:r>
      <w:r w:rsidRPr="00310555">
        <w:rPr>
          <w:rFonts w:ascii="Times New Roman" w:hAnsi="Times New Roman" w:eastAsia="Times New Roman" w:cs="Times New Roman"/>
          <w:i/>
          <w:iCs/>
          <w:sz w:val="24"/>
          <w:szCs w:val="24"/>
          <w:shd w:val="clear" w:color="auto" w:fill="FFFFFF"/>
          <w:lang w:eastAsia="lv-LV"/>
        </w:rPr>
        <w:t>(</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ierobežojumu mērķis ir atrast taisnīgu un saprātīgu līdzsvaru starp atsevišķas personas </w:t>
      </w:r>
      <w:proofErr w:type="spellStart"/>
      <w:r w:rsidRPr="00310555">
        <w:rPr>
          <w:rFonts w:ascii="Times New Roman" w:hAnsi="Times New Roman" w:eastAsia="Times New Roman" w:cs="Times New Roman"/>
          <w:sz w:val="24"/>
          <w:szCs w:val="24"/>
          <w:shd w:val="clear" w:color="auto" w:fill="FFFFFF"/>
          <w:lang w:eastAsia="lv-LV"/>
        </w:rPr>
        <w:t>pamattiesībām</w:t>
      </w:r>
      <w:proofErr w:type="spellEnd"/>
      <w:r w:rsidRPr="00310555">
        <w:rPr>
          <w:rFonts w:ascii="Times New Roman" w:hAnsi="Times New Roman" w:eastAsia="Times New Roman" w:cs="Times New Roman"/>
          <w:sz w:val="24"/>
          <w:szCs w:val="24"/>
          <w:shd w:val="clear" w:color="auto" w:fill="FFFFFF"/>
          <w:lang w:eastAsia="lv-LV"/>
        </w:rPr>
        <w:t>, no vienas puses, un citām konstitucionālajām vērtībām, no otras puses</w:t>
      </w:r>
      <w:r w:rsidR="00514C12">
        <w:rPr>
          <w:rFonts w:ascii="Times New Roman" w:hAnsi="Times New Roman" w:eastAsia="Times New Roman" w:cs="Times New Roman"/>
          <w:sz w:val="24"/>
          <w:szCs w:val="24"/>
          <w:shd w:val="clear" w:color="auto" w:fill="FFFFFF"/>
          <w:lang w:eastAsia="lv-LV"/>
        </w:rPr>
        <w:t>.</w:t>
      </w:r>
      <w:r w:rsidR="00514C12">
        <w:rPr>
          <w:rStyle w:val="Vresatsauce"/>
          <w:rFonts w:ascii="Times New Roman" w:hAnsi="Times New Roman" w:eastAsia="Times New Roman" w:cs="Times New Roman"/>
          <w:sz w:val="24"/>
          <w:szCs w:val="24"/>
          <w:shd w:val="clear" w:color="auto" w:fill="FFFFFF"/>
          <w:lang w:eastAsia="lv-LV"/>
        </w:rPr>
        <w:footnoteReference w:id="14"/>
      </w:r>
    </w:p>
    <w:p w:rsidRPr="00310555" w:rsidR="004A6CA2" w:rsidP="00310555" w:rsidRDefault="004A6CA2" w14:paraId="48A927D3" w14:textId="69779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shd w:val="clear" w:color="auto" w:fill="FFFFFF"/>
          <w:lang w:eastAsia="lv-LV"/>
        </w:rPr>
      </w:pPr>
      <w:r w:rsidRPr="00310555">
        <w:rPr>
          <w:rFonts w:ascii="Times New Roman" w:hAnsi="Times New Roman" w:eastAsia="Times New Roman" w:cs="Times New Roman"/>
          <w:sz w:val="24"/>
          <w:szCs w:val="24"/>
          <w:shd w:val="clear" w:color="auto" w:fill="FFFFFF"/>
          <w:lang w:eastAsia="lv-LV"/>
        </w:rPr>
        <w:tab/>
        <w:t xml:space="preserve">Obligāts vakcinācijas pienākums var tikt skatīts gan no valsts pozitīvā pienākuma izpildes, gan no tiesību ierobežojuma aspekta. Piemēram, obligāts pienākums vakcinēties pret Covid-19 infekciju var tikt vērtēts gan no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ierobežojuma (tiesības lemt par savu ķermeni), gan valsts pozitīvā pienākuma aspekta (valsts pienākums veikt pasākumus, kas nepieciešami cilvēku veselības aizsargāšanai). Satversmes tiesas judikatūrā, pārbaudot normas </w:t>
      </w:r>
      <w:proofErr w:type="spellStart"/>
      <w:r w:rsidRPr="00310555">
        <w:rPr>
          <w:rFonts w:ascii="Times New Roman" w:hAnsi="Times New Roman" w:eastAsia="Times New Roman" w:cs="Times New Roman"/>
          <w:sz w:val="24"/>
          <w:szCs w:val="24"/>
          <w:shd w:val="clear" w:color="auto" w:fill="FFFFFF"/>
          <w:lang w:eastAsia="lv-LV"/>
        </w:rPr>
        <w:t>satversmību</w:t>
      </w:r>
      <w:proofErr w:type="spellEnd"/>
      <w:r w:rsidRPr="00310555">
        <w:rPr>
          <w:rFonts w:ascii="Times New Roman" w:hAnsi="Times New Roman" w:eastAsia="Times New Roman" w:cs="Times New Roman"/>
          <w:sz w:val="24"/>
          <w:szCs w:val="24"/>
          <w:shd w:val="clear" w:color="auto" w:fill="FFFFFF"/>
          <w:lang w:eastAsia="lv-LV"/>
        </w:rPr>
        <w:t xml:space="preserve">, izmanto atšķirīgus testus atkarībā no tā, vai jāvērtē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ierobežošana vai arī valsts pozitīvo pienākumu ievērošana. Tomēr atzīstams, ka saistībā ar vakcinācijas obligātumu, kas attiecas uz personas tiesībām lemt par savu veselību un ķermeni, lielāks risks </w:t>
      </w:r>
      <w:r w:rsidRPr="00310555">
        <w:rPr>
          <w:rFonts w:ascii="Times New Roman" w:hAnsi="Times New Roman" w:eastAsia="Times New Roman" w:cs="Times New Roman"/>
          <w:sz w:val="24"/>
          <w:szCs w:val="24"/>
          <w:shd w:val="clear" w:color="auto" w:fill="FFFFFF"/>
          <w:lang w:eastAsia="lv-LV"/>
        </w:rPr>
        <w:lastRenderedPageBreak/>
        <w:t xml:space="preserve">ir radīt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ierobežojumu. Šādos gadījumos izvērtē,</w:t>
      </w:r>
      <w:r w:rsidRPr="00310555" w:rsidR="005D2230">
        <w:rPr>
          <w:rFonts w:ascii="Times New Roman" w:hAnsi="Times New Roman" w:eastAsia="Times New Roman" w:cs="Times New Roman"/>
          <w:sz w:val="24"/>
          <w:szCs w:val="24"/>
          <w:shd w:val="clear" w:color="auto" w:fill="FFFFFF"/>
          <w:lang w:eastAsia="lv-LV"/>
        </w:rPr>
        <w:t xml:space="preserve"> </w:t>
      </w:r>
      <w:r w:rsidRPr="00310555">
        <w:rPr>
          <w:rFonts w:ascii="Times New Roman" w:hAnsi="Times New Roman" w:eastAsia="Times New Roman" w:cs="Times New Roman"/>
          <w:sz w:val="24"/>
          <w:szCs w:val="24"/>
          <w:shd w:val="clear" w:color="auto" w:fill="FFFFFF"/>
          <w:lang w:eastAsia="lv-LV"/>
        </w:rPr>
        <w:t>vai ierobežojums ir noteikts ar likumu, vai ierobežojumam ir leģitīms mērķis un vai ierobežojums ir samērīgs</w:t>
      </w:r>
      <w:r w:rsidR="00B675F9">
        <w:rPr>
          <w:rFonts w:ascii="Times New Roman" w:hAnsi="Times New Roman" w:eastAsia="Times New Roman" w:cs="Times New Roman"/>
          <w:sz w:val="24"/>
          <w:szCs w:val="24"/>
          <w:shd w:val="clear" w:color="auto" w:fill="FFFFFF"/>
          <w:lang w:eastAsia="lv-LV"/>
        </w:rPr>
        <w:t>.</w:t>
      </w:r>
      <w:r w:rsidR="0094316B">
        <w:rPr>
          <w:rStyle w:val="Vresatsauce"/>
          <w:rFonts w:ascii="Times New Roman" w:hAnsi="Times New Roman" w:eastAsia="Times New Roman" w:cs="Times New Roman"/>
          <w:sz w:val="24"/>
          <w:szCs w:val="24"/>
          <w:shd w:val="clear" w:color="auto" w:fill="FFFFFF"/>
          <w:lang w:eastAsia="lv-LV"/>
        </w:rPr>
        <w:footnoteReference w:id="15"/>
      </w:r>
      <w:r w:rsidRPr="00310555">
        <w:rPr>
          <w:rFonts w:ascii="Times New Roman" w:hAnsi="Times New Roman" w:eastAsia="Times New Roman" w:cs="Times New Roman"/>
          <w:sz w:val="24"/>
          <w:szCs w:val="24"/>
          <w:shd w:val="clear" w:color="auto" w:fill="FFFFFF"/>
          <w:lang w:eastAsia="lv-LV"/>
        </w:rPr>
        <w:t xml:space="preserve"> </w:t>
      </w:r>
    </w:p>
    <w:p w:rsidRPr="00310555" w:rsidR="004A6CA2" w:rsidP="00310555" w:rsidRDefault="004A6CA2" w14:paraId="1C69B03B" w14:textId="1AFBD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shd w:val="clear" w:color="auto" w:fill="FFFFFF"/>
          <w:lang w:eastAsia="lv-LV"/>
        </w:rPr>
      </w:pPr>
      <w:r w:rsidRPr="00310555">
        <w:rPr>
          <w:rFonts w:ascii="Times New Roman" w:hAnsi="Times New Roman" w:eastAsia="Times New Roman" w:cs="Times New Roman"/>
          <w:sz w:val="24"/>
          <w:szCs w:val="24"/>
          <w:shd w:val="clear" w:color="auto" w:fill="FFFFFF"/>
          <w:lang w:eastAsia="lv-LV"/>
        </w:rPr>
        <w:tab/>
        <w:t xml:space="preserve">Satversmes 116. pantā ietverti pieci leģitīmie mērķi, kuru sasniegšanai valsts ir tiesīga ierobežot personas </w:t>
      </w:r>
      <w:proofErr w:type="spellStart"/>
      <w:r w:rsidRPr="00310555">
        <w:rPr>
          <w:rFonts w:ascii="Times New Roman" w:hAnsi="Times New Roman" w:eastAsia="Times New Roman" w:cs="Times New Roman"/>
          <w:sz w:val="24"/>
          <w:szCs w:val="24"/>
          <w:shd w:val="clear" w:color="auto" w:fill="FFFFFF"/>
          <w:lang w:eastAsia="lv-LV"/>
        </w:rPr>
        <w:t>pamattiesības</w:t>
      </w:r>
      <w:proofErr w:type="spellEnd"/>
      <w:r w:rsidRPr="00310555">
        <w:rPr>
          <w:rFonts w:ascii="Times New Roman" w:hAnsi="Times New Roman" w:eastAsia="Times New Roman" w:cs="Times New Roman"/>
          <w:sz w:val="24"/>
          <w:szCs w:val="24"/>
          <w:shd w:val="clear" w:color="auto" w:fill="FFFFFF"/>
          <w:lang w:eastAsia="lv-LV"/>
        </w:rPr>
        <w:t xml:space="preserve"> likumā paredzētajos gadījumos: lai aizsargātu citu cilvēku tiesības, demokrātisko valsts iekārtu, sabiedrības drošību, labklājību un tikumību. </w:t>
      </w:r>
      <w:r w:rsidRPr="00310555" w:rsidR="00B0490F">
        <w:rPr>
          <w:rFonts w:ascii="Times New Roman" w:hAnsi="Times New Roman" w:eastAsia="Times New Roman" w:cs="Times New Roman"/>
          <w:sz w:val="24"/>
          <w:szCs w:val="24"/>
          <w:shd w:val="clear" w:color="auto" w:fill="FFFFFF"/>
          <w:lang w:eastAsia="lv-LV"/>
        </w:rPr>
        <w:t xml:space="preserve">Vispārīgi pieņemot, ka obligāta vakcinācija būtu vērsta uz kolektīvās imunitātes radīšanu un līdz ar to veselības aizsardzības sistēmas normālu funkcionēšanu, kā arī vispārīgi sabiedriskās dzīves normālu funkcionēšanu, šāds mērķis būtu atzīstams par leģitīmu. Vienlaikus obligātas vakcinācijas </w:t>
      </w:r>
      <w:r w:rsidRPr="00310555">
        <w:rPr>
          <w:rFonts w:ascii="Times New Roman" w:hAnsi="Times New Roman" w:eastAsia="Times New Roman" w:cs="Times New Roman"/>
          <w:sz w:val="24"/>
          <w:szCs w:val="24"/>
          <w:shd w:val="clear" w:color="auto" w:fill="FFFFFF"/>
          <w:lang w:eastAsia="lv-LV"/>
        </w:rPr>
        <w:t xml:space="preserve">leģitīmu mērķi attiecībā uz konkrētām profesijām ir sarežģīti viennozīmīgi definēt, jo jāveic individuāls profesionālo pienākumu </w:t>
      </w:r>
      <w:proofErr w:type="spellStart"/>
      <w:r w:rsidRPr="00310555">
        <w:rPr>
          <w:rFonts w:ascii="Times New Roman" w:hAnsi="Times New Roman" w:eastAsia="Times New Roman" w:cs="Times New Roman"/>
          <w:sz w:val="24"/>
          <w:szCs w:val="24"/>
          <w:shd w:val="clear" w:color="auto" w:fill="FFFFFF"/>
          <w:lang w:eastAsia="lv-LV"/>
        </w:rPr>
        <w:t>izvērtējums</w:t>
      </w:r>
      <w:proofErr w:type="spellEnd"/>
      <w:r w:rsidRPr="00310555">
        <w:rPr>
          <w:rFonts w:ascii="Times New Roman" w:hAnsi="Times New Roman" w:eastAsia="Times New Roman" w:cs="Times New Roman"/>
          <w:sz w:val="24"/>
          <w:szCs w:val="24"/>
          <w:shd w:val="clear" w:color="auto" w:fill="FFFFFF"/>
          <w:lang w:eastAsia="lv-LV"/>
        </w:rPr>
        <w:t>. Piemēram, ārstniecības personas nevar vērtēt kā vienotu kopu, jo atšķirsies individuāli parametri,</w:t>
      </w:r>
      <w:r w:rsidRPr="00310555" w:rsidR="00B0490F">
        <w:rPr>
          <w:rFonts w:ascii="Times New Roman" w:hAnsi="Times New Roman" w:eastAsia="Times New Roman" w:cs="Times New Roman"/>
          <w:sz w:val="24"/>
          <w:szCs w:val="24"/>
          <w:shd w:val="clear" w:color="auto" w:fill="FFFFFF"/>
          <w:lang w:eastAsia="lv-LV"/>
        </w:rPr>
        <w:t xml:space="preserve"> profesionālais zināšanu līmenis, darbs ar riska grupas cilvēkiem</w:t>
      </w:r>
      <w:r w:rsidRPr="00310555">
        <w:rPr>
          <w:rFonts w:ascii="Times New Roman" w:hAnsi="Times New Roman" w:eastAsia="Times New Roman" w:cs="Times New Roman"/>
          <w:sz w:val="24"/>
          <w:szCs w:val="24"/>
          <w:shd w:val="clear" w:color="auto" w:fill="FFFFFF"/>
          <w:lang w:eastAsia="lv-LV"/>
        </w:rPr>
        <w:t xml:space="preserve"> (medmāsa doktorātā vai reanimācijas nodaļas ārsts.) </w:t>
      </w:r>
      <w:r w:rsidRPr="00310555" w:rsidR="00B0490F">
        <w:rPr>
          <w:rFonts w:ascii="Times New Roman" w:hAnsi="Times New Roman" w:eastAsia="Times New Roman" w:cs="Times New Roman"/>
          <w:sz w:val="24"/>
          <w:szCs w:val="24"/>
          <w:shd w:val="clear" w:color="auto" w:fill="FFFFFF"/>
          <w:lang w:eastAsia="lv-LV"/>
        </w:rPr>
        <w:t xml:space="preserve">Savukārt pedagogiem ietekme uz jūtīgām grupām ir pastarpināta caur mājsaimniecībām, un ir grūti izsecināt pārliecinošus argumentus par konkrēti šīs grupas pakļaušanu obligātai vakcinācijai, jo  </w:t>
      </w:r>
      <w:r w:rsidR="0094316B">
        <w:rPr>
          <w:rFonts w:ascii="Times New Roman" w:hAnsi="Times New Roman" w:eastAsia="Times New Roman" w:cs="Times New Roman"/>
          <w:sz w:val="24"/>
          <w:szCs w:val="24"/>
          <w:shd w:val="clear" w:color="auto" w:fill="FFFFFF"/>
          <w:lang w:eastAsia="lv-LV"/>
        </w:rPr>
        <w:t xml:space="preserve">arī </w:t>
      </w:r>
      <w:r w:rsidRPr="00310555" w:rsidR="00B0490F">
        <w:rPr>
          <w:rFonts w:ascii="Times New Roman" w:hAnsi="Times New Roman" w:eastAsia="Times New Roman" w:cs="Times New Roman"/>
          <w:sz w:val="24"/>
          <w:szCs w:val="24"/>
          <w:shd w:val="clear" w:color="auto" w:fill="FFFFFF"/>
          <w:lang w:eastAsia="lv-LV"/>
        </w:rPr>
        <w:t>citi klātienes pakalpojuma sniedzēji</w:t>
      </w:r>
      <w:r w:rsidR="0094316B">
        <w:rPr>
          <w:rFonts w:ascii="Times New Roman" w:hAnsi="Times New Roman" w:eastAsia="Times New Roman" w:cs="Times New Roman"/>
          <w:sz w:val="24"/>
          <w:szCs w:val="24"/>
          <w:shd w:val="clear" w:color="auto" w:fill="FFFFFF"/>
          <w:lang w:eastAsia="lv-LV"/>
        </w:rPr>
        <w:t>, kam ir ilgstošs kontakts ar citām personām</w:t>
      </w:r>
      <w:r w:rsidR="00E67DB8">
        <w:rPr>
          <w:rFonts w:ascii="Times New Roman" w:hAnsi="Times New Roman" w:eastAsia="Times New Roman" w:cs="Times New Roman"/>
          <w:sz w:val="24"/>
          <w:szCs w:val="24"/>
          <w:shd w:val="clear" w:color="auto" w:fill="FFFFFF"/>
          <w:lang w:eastAsia="lv-LV"/>
        </w:rPr>
        <w:t>,</w:t>
      </w:r>
      <w:r w:rsidRPr="00310555" w:rsidR="00B0490F">
        <w:rPr>
          <w:rFonts w:ascii="Times New Roman" w:hAnsi="Times New Roman" w:eastAsia="Times New Roman" w:cs="Times New Roman"/>
          <w:sz w:val="24"/>
          <w:szCs w:val="24"/>
          <w:shd w:val="clear" w:color="auto" w:fill="FFFFFF"/>
          <w:lang w:eastAsia="lv-LV"/>
        </w:rPr>
        <w:t xml:space="preserve"> ir</w:t>
      </w:r>
      <w:r w:rsidRPr="00310555" w:rsidR="006F07A0">
        <w:rPr>
          <w:rFonts w:ascii="Times New Roman" w:hAnsi="Times New Roman" w:eastAsia="Times New Roman" w:cs="Times New Roman"/>
          <w:sz w:val="24"/>
          <w:szCs w:val="24"/>
          <w:shd w:val="clear" w:color="auto" w:fill="FFFFFF"/>
          <w:lang w:eastAsia="lv-LV"/>
        </w:rPr>
        <w:t xml:space="preserve"> </w:t>
      </w:r>
      <w:r w:rsidRPr="00310555" w:rsidR="00E35828">
        <w:rPr>
          <w:rFonts w:ascii="Times New Roman" w:hAnsi="Times New Roman" w:eastAsia="Times New Roman" w:cs="Times New Roman"/>
          <w:sz w:val="24"/>
          <w:szCs w:val="24"/>
          <w:shd w:val="clear" w:color="auto" w:fill="FFFFFF"/>
          <w:lang w:eastAsia="lv-LV"/>
        </w:rPr>
        <w:t>analoģiskā situācijā</w:t>
      </w:r>
      <w:r w:rsidRPr="00310555" w:rsidR="00B0490F">
        <w:rPr>
          <w:rFonts w:ascii="Times New Roman" w:hAnsi="Times New Roman" w:eastAsia="Times New Roman" w:cs="Times New Roman"/>
          <w:sz w:val="24"/>
          <w:szCs w:val="24"/>
          <w:shd w:val="clear" w:color="auto" w:fill="FFFFFF"/>
          <w:lang w:eastAsia="lv-LV"/>
        </w:rPr>
        <w:t>.</w:t>
      </w:r>
      <w:r w:rsidRPr="00310555" w:rsidR="00B0490F">
        <w:rPr>
          <w:rFonts w:ascii="Times New Roman" w:hAnsi="Times New Roman" w:cs="Times New Roman"/>
          <w:sz w:val="24"/>
          <w:szCs w:val="24"/>
        </w:rPr>
        <w:t xml:space="preserve"> </w:t>
      </w:r>
    </w:p>
    <w:p w:rsidRPr="00310555" w:rsidR="004A6CA2" w:rsidP="00310555" w:rsidRDefault="004A6CA2" w14:paraId="1D9A9476" w14:textId="4B6F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sz w:val="24"/>
          <w:szCs w:val="24"/>
          <w:shd w:val="clear" w:color="auto" w:fill="FFFFFF"/>
          <w:lang w:eastAsia="lv-LV"/>
        </w:rPr>
        <w:tab/>
        <w:t xml:space="preserve">Satversmes tiesa atzinusi, ka “likumdevējs ir tiesīgs ieviest tādus </w:t>
      </w:r>
      <w:proofErr w:type="spellStart"/>
      <w:r w:rsidRPr="00310555">
        <w:rPr>
          <w:rFonts w:ascii="Times New Roman" w:hAnsi="Times New Roman" w:eastAsia="Times New Roman" w:cs="Times New Roman"/>
          <w:sz w:val="24"/>
          <w:szCs w:val="24"/>
          <w:shd w:val="clear" w:color="auto" w:fill="FFFFFF"/>
          <w:lang w:eastAsia="lv-LV"/>
        </w:rPr>
        <w:t>pamattiesību</w:t>
      </w:r>
      <w:proofErr w:type="spellEnd"/>
      <w:r w:rsidRPr="00310555">
        <w:rPr>
          <w:rFonts w:ascii="Times New Roman" w:hAnsi="Times New Roman" w:eastAsia="Times New Roman" w:cs="Times New Roman"/>
          <w:sz w:val="24"/>
          <w:szCs w:val="24"/>
          <w:shd w:val="clear" w:color="auto" w:fill="FFFFFF"/>
          <w:lang w:eastAsia="lv-LV"/>
        </w:rPr>
        <w:t xml:space="preserve"> ierobežojumus, kādus tas uzskata par nepieciešamiem, lietderīgiem un samērīgiem demokrātiskā sabiedrībā”</w:t>
      </w:r>
      <w:r w:rsidR="00E67DB8">
        <w:rPr>
          <w:rFonts w:ascii="Times New Roman" w:hAnsi="Times New Roman" w:eastAsia="Times New Roman" w:cs="Times New Roman"/>
          <w:sz w:val="24"/>
          <w:szCs w:val="24"/>
          <w:shd w:val="clear" w:color="auto" w:fill="FFFFFF"/>
          <w:lang w:eastAsia="lv-LV"/>
        </w:rPr>
        <w:t>.</w:t>
      </w:r>
      <w:r w:rsidR="0094316B">
        <w:rPr>
          <w:rStyle w:val="Vresatsauce"/>
          <w:rFonts w:ascii="Times New Roman" w:hAnsi="Times New Roman" w:eastAsia="Times New Roman" w:cs="Times New Roman"/>
          <w:sz w:val="24"/>
          <w:szCs w:val="24"/>
          <w:shd w:val="clear" w:color="auto" w:fill="FFFFFF"/>
          <w:lang w:eastAsia="lv-LV"/>
        </w:rPr>
        <w:footnoteReference w:id="16"/>
      </w:r>
      <w:r w:rsidRPr="00310555">
        <w:rPr>
          <w:rFonts w:ascii="Times New Roman" w:hAnsi="Times New Roman" w:eastAsia="Times New Roman" w:cs="Times New Roman"/>
          <w:sz w:val="24"/>
          <w:szCs w:val="24"/>
          <w:shd w:val="clear" w:color="auto" w:fill="FFFFFF"/>
          <w:lang w:eastAsia="lv-LV"/>
        </w:rPr>
        <w:t xml:space="preserve"> </w:t>
      </w:r>
      <w:r w:rsidRPr="00B337D1">
        <w:rPr>
          <w:rFonts w:ascii="Times New Roman" w:hAnsi="Times New Roman" w:eastAsia="Times New Roman" w:cs="Times New Roman"/>
          <w:sz w:val="24"/>
          <w:szCs w:val="24"/>
          <w:shd w:val="clear" w:color="auto" w:fill="FFFFFF"/>
          <w:lang w:eastAsia="lv-LV"/>
        </w:rPr>
        <w:t>Tieši saistībā ar obligātas vakcinācijas pienākuma samērīgumu ir saskatāmi lielākie riski.</w:t>
      </w:r>
      <w:r w:rsidRPr="00310555">
        <w:rPr>
          <w:rFonts w:ascii="Times New Roman" w:hAnsi="Times New Roman" w:eastAsia="Times New Roman" w:cs="Times New Roman"/>
          <w:sz w:val="24"/>
          <w:szCs w:val="24"/>
          <w:shd w:val="clear" w:color="auto" w:fill="FFFFFF"/>
          <w:lang w:eastAsia="lv-LV"/>
        </w:rPr>
        <w:t xml:space="preserve"> </w:t>
      </w:r>
      <w:r w:rsidRPr="00310555">
        <w:rPr>
          <w:rFonts w:ascii="Times New Roman" w:hAnsi="Times New Roman" w:eastAsia="Times New Roman" w:cs="Times New Roman"/>
          <w:color w:val="000000"/>
          <w:sz w:val="24"/>
          <w:szCs w:val="24"/>
          <w:lang w:eastAsia="lv-LV"/>
        </w:rPr>
        <w:t xml:space="preserve">Piespiedu medicīniskās manipulācijas ir ļoti strikti vērtējamas, it sevišķi ņemot vērā tos medicīniskos aspektus, kas saistās ar Covid-19 infekciju un vakcīnu, proti, tā ir jauna un dažām personām objektīvi var būt </w:t>
      </w:r>
      <w:proofErr w:type="spellStart"/>
      <w:r w:rsidRPr="00310555">
        <w:rPr>
          <w:rFonts w:ascii="Times New Roman" w:hAnsi="Times New Roman" w:eastAsia="Times New Roman" w:cs="Times New Roman"/>
          <w:color w:val="000000"/>
          <w:sz w:val="24"/>
          <w:szCs w:val="24"/>
          <w:lang w:eastAsia="lv-LV"/>
        </w:rPr>
        <w:t>iebildes</w:t>
      </w:r>
      <w:proofErr w:type="spellEnd"/>
      <w:r w:rsidRPr="00310555">
        <w:rPr>
          <w:rFonts w:ascii="Times New Roman" w:hAnsi="Times New Roman" w:eastAsia="Times New Roman" w:cs="Times New Roman"/>
          <w:color w:val="000000"/>
          <w:sz w:val="24"/>
          <w:szCs w:val="24"/>
          <w:lang w:eastAsia="lv-LV"/>
        </w:rPr>
        <w:t xml:space="preserve"> par tās saīsināto izpētes laiku; personai </w:t>
      </w:r>
      <w:r w:rsidRPr="00310555" w:rsidR="0035215C">
        <w:rPr>
          <w:rFonts w:ascii="Times New Roman" w:hAnsi="Times New Roman" w:eastAsia="Times New Roman" w:cs="Times New Roman"/>
          <w:color w:val="000000"/>
          <w:sz w:val="24"/>
          <w:szCs w:val="24"/>
          <w:lang w:eastAsia="lv-LV"/>
        </w:rPr>
        <w:t xml:space="preserve">(vismaz pagaidām) </w:t>
      </w:r>
      <w:r w:rsidRPr="00310555">
        <w:rPr>
          <w:rFonts w:ascii="Times New Roman" w:hAnsi="Times New Roman" w:eastAsia="Times New Roman" w:cs="Times New Roman"/>
          <w:color w:val="000000"/>
          <w:sz w:val="24"/>
          <w:szCs w:val="24"/>
          <w:lang w:eastAsia="lv-LV"/>
        </w:rPr>
        <w:t xml:space="preserve">nav tiesību izvēlēties vakcīnas veidu; nav pietiekami skaidras atbildes par vīrusa transmisiju pēc vakcinācijas; </w:t>
      </w:r>
      <w:r w:rsidRPr="00310555" w:rsidR="00F159E3">
        <w:rPr>
          <w:rFonts w:ascii="Times New Roman" w:hAnsi="Times New Roman" w:eastAsia="Times New Roman" w:cs="Times New Roman"/>
          <w:color w:val="000000"/>
          <w:sz w:val="24"/>
          <w:szCs w:val="24"/>
          <w:lang w:eastAsia="lv-LV"/>
        </w:rPr>
        <w:t>retos gadījumos pēc vakcinācijas parādās smagas blaknes, t.sk. tromboze; medicīniskas kontrindikācijas vakcinācijai (grūtniecība, utt.)</w:t>
      </w:r>
      <w:r w:rsidRPr="00310555" w:rsidR="0035215C">
        <w:rPr>
          <w:rFonts w:ascii="Times New Roman" w:hAnsi="Times New Roman" w:eastAsia="Times New Roman" w:cs="Times New Roman"/>
          <w:color w:val="000000"/>
          <w:sz w:val="24"/>
          <w:szCs w:val="24"/>
          <w:lang w:eastAsia="lv-LV"/>
        </w:rPr>
        <w:t>;</w:t>
      </w:r>
      <w:r w:rsidRPr="00310555" w:rsidR="00F159E3">
        <w:rPr>
          <w:rFonts w:ascii="Times New Roman" w:hAnsi="Times New Roman" w:eastAsia="Times New Roman" w:cs="Times New Roman"/>
          <w:color w:val="000000"/>
          <w:sz w:val="24"/>
          <w:szCs w:val="24"/>
          <w:lang w:eastAsia="lv-LV"/>
        </w:rPr>
        <w:t xml:space="preserve"> </w:t>
      </w:r>
      <w:r w:rsidRPr="00310555">
        <w:rPr>
          <w:rFonts w:ascii="Times New Roman" w:hAnsi="Times New Roman" w:eastAsia="Times New Roman" w:cs="Times New Roman"/>
          <w:color w:val="000000"/>
          <w:sz w:val="24"/>
          <w:szCs w:val="24"/>
          <w:lang w:eastAsia="lv-LV"/>
        </w:rPr>
        <w:t xml:space="preserve">publiskajā telpā  ir informācija par valstu lēmumiem apturēt </w:t>
      </w:r>
      <w:r w:rsidRPr="00310555" w:rsidR="0035215C">
        <w:rPr>
          <w:rFonts w:ascii="Times New Roman" w:hAnsi="Times New Roman" w:eastAsia="Times New Roman" w:cs="Times New Roman"/>
          <w:color w:val="000000"/>
          <w:sz w:val="24"/>
          <w:szCs w:val="24"/>
          <w:lang w:eastAsia="lv-LV"/>
        </w:rPr>
        <w:t>konkrētas</w:t>
      </w:r>
      <w:r w:rsidRPr="00310555">
        <w:rPr>
          <w:rFonts w:ascii="Times New Roman" w:hAnsi="Times New Roman" w:eastAsia="Times New Roman" w:cs="Times New Roman"/>
          <w:color w:val="000000"/>
          <w:sz w:val="24"/>
          <w:szCs w:val="24"/>
          <w:lang w:eastAsia="lv-LV"/>
        </w:rPr>
        <w:t xml:space="preserve"> vakcīnas lietošanu vispār vai apturēt tās lietošanu atsevišķām iedzīvotāju grupām; tāpat tiek runāts par vīrusa mutācijām, kam esošās vakcīnas var nespēt radīt imunitāti.</w:t>
      </w:r>
      <w:r w:rsidRPr="00310555" w:rsidR="00CC7674">
        <w:rPr>
          <w:rFonts w:ascii="Times New Roman" w:hAnsi="Times New Roman" w:eastAsia="Times New Roman" w:cs="Times New Roman"/>
          <w:color w:val="000000"/>
          <w:sz w:val="24"/>
          <w:szCs w:val="24"/>
          <w:lang w:eastAsia="lv-LV"/>
        </w:rPr>
        <w:t xml:space="preserve"> Tiktāl minētie apstākļi ir specifiski </w:t>
      </w:r>
      <w:r w:rsidRPr="00310555" w:rsidR="0035215C">
        <w:rPr>
          <w:rFonts w:ascii="Times New Roman" w:hAnsi="Times New Roman" w:eastAsia="Times New Roman" w:cs="Times New Roman"/>
          <w:color w:val="000000"/>
          <w:sz w:val="24"/>
          <w:szCs w:val="24"/>
          <w:lang w:eastAsia="lv-LV"/>
        </w:rPr>
        <w:t xml:space="preserve">atšķirīgi </w:t>
      </w:r>
      <w:r w:rsidRPr="00310555" w:rsidR="00CC7674">
        <w:rPr>
          <w:rFonts w:ascii="Times New Roman" w:hAnsi="Times New Roman" w:eastAsia="Times New Roman" w:cs="Times New Roman"/>
          <w:color w:val="000000"/>
          <w:sz w:val="24"/>
          <w:szCs w:val="24"/>
          <w:lang w:eastAsia="lv-LV"/>
        </w:rPr>
        <w:t xml:space="preserve">salīdzinājumā ar  </w:t>
      </w:r>
      <w:proofErr w:type="spellStart"/>
      <w:r w:rsidRPr="00310555" w:rsidR="00CC7674">
        <w:rPr>
          <w:rFonts w:ascii="Times New Roman" w:hAnsi="Times New Roman" w:eastAsia="Times New Roman" w:cs="Times New Roman"/>
          <w:i/>
          <w:iCs/>
          <w:sz w:val="24"/>
          <w:szCs w:val="24"/>
          <w:lang w:eastAsia="lv-LV"/>
        </w:rPr>
        <w:t>Vavrička</w:t>
      </w:r>
      <w:proofErr w:type="spellEnd"/>
      <w:r w:rsidRPr="00310555" w:rsidR="00CC7674">
        <w:rPr>
          <w:rFonts w:ascii="Times New Roman" w:hAnsi="Times New Roman" w:eastAsia="Times New Roman" w:cs="Times New Roman"/>
          <w:sz w:val="24"/>
          <w:szCs w:val="24"/>
          <w:lang w:eastAsia="lv-LV"/>
        </w:rPr>
        <w:t xml:space="preserve"> lietā vērtētajiem apstākļiem.</w:t>
      </w:r>
    </w:p>
    <w:p w:rsidR="004A6CA2" w:rsidP="00310555" w:rsidRDefault="004A6CA2" w14:paraId="4E3E4237" w14:textId="7B8E03F4">
      <w:pPr>
        <w:spacing w:after="0" w:line="240" w:lineRule="auto"/>
        <w:ind w:firstLine="720"/>
        <w:jc w:val="both"/>
        <w:rPr>
          <w:rFonts w:ascii="Times New Roman" w:hAnsi="Times New Roman" w:eastAsia="Times New Roman" w:cs="Times New Roman"/>
          <w:i/>
          <w:iCs/>
          <w:color w:val="000000"/>
          <w:sz w:val="24"/>
          <w:szCs w:val="24"/>
          <w:u w:val="single"/>
          <w:lang w:eastAsia="lv-LV"/>
        </w:rPr>
      </w:pPr>
      <w:r w:rsidRPr="00310555">
        <w:rPr>
          <w:rFonts w:ascii="Times New Roman" w:hAnsi="Times New Roman" w:eastAsia="Times New Roman" w:cs="Times New Roman"/>
          <w:color w:val="000000"/>
          <w:sz w:val="24"/>
          <w:szCs w:val="24"/>
          <w:lang w:eastAsia="lv-LV"/>
        </w:rPr>
        <w:t>Paskaidrojumā par Eiropas Padomes Parlamentārās asamblejas 2021.gada 27.janvāra rezolūciju “Covid-19 vakcīnas: ētiski, juridiski un praktiski apsvērumi” atrodamas tēzes, ka pamatojums obligātai vakcinācijai lielākā mērā varētu būt saskatāms attiecībā uz tām personām, kas tieši strādā ar personām, kas ir Covid-19 infekcijas</w:t>
      </w:r>
      <w:r w:rsidRPr="00310555" w:rsidR="000347A4">
        <w:rPr>
          <w:rFonts w:ascii="Times New Roman" w:hAnsi="Times New Roman" w:eastAsia="Times New Roman" w:cs="Times New Roman"/>
          <w:color w:val="000000"/>
          <w:sz w:val="24"/>
          <w:szCs w:val="24"/>
          <w:lang w:eastAsia="lv-LV"/>
        </w:rPr>
        <w:t xml:space="preserve"> </w:t>
      </w:r>
      <w:r w:rsidRPr="00310555">
        <w:rPr>
          <w:rFonts w:ascii="Times New Roman" w:hAnsi="Times New Roman" w:eastAsia="Times New Roman" w:cs="Times New Roman"/>
          <w:color w:val="000000"/>
          <w:sz w:val="24"/>
          <w:szCs w:val="24"/>
          <w:lang w:eastAsia="lv-LV"/>
        </w:rPr>
        <w:t>lielākā riska grupa, piemēram, tiem, kas strādā vecāka gadagājuma ļaužu aprūpes iestādēs vai ar tām grupām, kas pakļautas augstam Covid-19 infekcijas nāves vai smagu seku  riskam</w:t>
      </w:r>
      <w:r w:rsidR="00604D9B">
        <w:rPr>
          <w:rStyle w:val="Vresatsauce"/>
          <w:rFonts w:ascii="Times New Roman" w:hAnsi="Times New Roman" w:eastAsia="Times New Roman" w:cs="Times New Roman"/>
          <w:color w:val="000000"/>
          <w:sz w:val="24"/>
          <w:szCs w:val="24"/>
          <w:lang w:eastAsia="lv-LV"/>
        </w:rPr>
        <w:footnoteReference w:id="17"/>
      </w:r>
      <w:r w:rsidRPr="00310555">
        <w:rPr>
          <w:rFonts w:ascii="Times New Roman" w:hAnsi="Times New Roman" w:eastAsia="Times New Roman" w:cs="Times New Roman"/>
          <w:i/>
          <w:iCs/>
          <w:color w:val="000000"/>
          <w:sz w:val="24"/>
          <w:szCs w:val="24"/>
          <w:lang w:eastAsia="lv-LV"/>
        </w:rPr>
        <w:t>.</w:t>
      </w:r>
      <w:r w:rsidRPr="00310555">
        <w:rPr>
          <w:rFonts w:ascii="Times New Roman" w:hAnsi="Times New Roman" w:eastAsia="Times New Roman" w:cs="Times New Roman"/>
          <w:color w:val="000000"/>
          <w:sz w:val="24"/>
          <w:szCs w:val="24"/>
          <w:lang w:eastAsia="lv-LV"/>
        </w:rPr>
        <w:t xml:space="preserve"> </w:t>
      </w:r>
      <w:r w:rsidRPr="00D91E97">
        <w:rPr>
          <w:rFonts w:ascii="Times New Roman" w:hAnsi="Times New Roman" w:eastAsia="Times New Roman" w:cs="Times New Roman"/>
          <w:color w:val="000000"/>
          <w:sz w:val="24"/>
          <w:szCs w:val="24"/>
          <w:lang w:eastAsia="lv-LV"/>
        </w:rPr>
        <w:t xml:space="preserve">Vienlaikus tiek rekomendēts vakcīnas nepadarīt obligātas, jo nav pierādīts, ka obligātā vakcinācija darbojas, un, tā kā uzticēšanās vakcīnām ir cieši saistīta ar uzticību valdībai, Covid-19 </w:t>
      </w:r>
      <w:r w:rsidRPr="00D91E97" w:rsidR="001B3ED7">
        <w:rPr>
          <w:rFonts w:ascii="Times New Roman" w:hAnsi="Times New Roman" w:eastAsia="Times New Roman" w:cs="Times New Roman"/>
          <w:color w:val="000000"/>
          <w:sz w:val="24"/>
          <w:szCs w:val="24"/>
          <w:lang w:eastAsia="lv-LV"/>
        </w:rPr>
        <w:t xml:space="preserve">infekcijas </w:t>
      </w:r>
      <w:r w:rsidRPr="00D91E97">
        <w:rPr>
          <w:rFonts w:ascii="Times New Roman" w:hAnsi="Times New Roman" w:eastAsia="Times New Roman" w:cs="Times New Roman"/>
          <w:color w:val="000000"/>
          <w:sz w:val="24"/>
          <w:szCs w:val="24"/>
          <w:lang w:eastAsia="lv-LV"/>
        </w:rPr>
        <w:t xml:space="preserve">vakcīnu noteikšana par obligātu varētu radīt pretēju un nelabvēlīgu efektu </w:t>
      </w:r>
      <w:r w:rsidRPr="00D91E97">
        <w:rPr>
          <w:rFonts w:ascii="Times New Roman" w:hAnsi="Times New Roman" w:eastAsia="Times New Roman" w:cs="Times New Roman"/>
          <w:i/>
          <w:iCs/>
          <w:color w:val="000000"/>
          <w:sz w:val="24"/>
          <w:szCs w:val="24"/>
          <w:lang w:eastAsia="lv-LV"/>
        </w:rPr>
        <w:t>(turpat, 62.punkts)</w:t>
      </w:r>
      <w:r w:rsidRPr="00D91E97">
        <w:rPr>
          <w:rFonts w:ascii="Times New Roman" w:hAnsi="Times New Roman" w:eastAsia="Times New Roman" w:cs="Times New Roman"/>
          <w:color w:val="000000"/>
          <w:sz w:val="24"/>
          <w:szCs w:val="24"/>
          <w:lang w:eastAsia="lv-LV"/>
        </w:rPr>
        <w:t xml:space="preserve">. Tā vietā dalībvalstīm būtu jāizstrādā stratēģijas, lai ar pārredzamu saziņu un citiem demokrātiskiem pasākumiem palielinātu uzticību vakcīnām </w:t>
      </w:r>
      <w:r w:rsidRPr="00D91E97">
        <w:rPr>
          <w:rFonts w:ascii="Times New Roman" w:hAnsi="Times New Roman" w:eastAsia="Times New Roman" w:cs="Times New Roman"/>
          <w:i/>
          <w:iCs/>
          <w:color w:val="000000"/>
          <w:sz w:val="24"/>
          <w:szCs w:val="24"/>
          <w:lang w:eastAsia="lv-LV"/>
        </w:rPr>
        <w:t>(turpat).</w:t>
      </w:r>
    </w:p>
    <w:p w:rsidRPr="00CE6163" w:rsidR="00CE6163" w:rsidP="00310555" w:rsidRDefault="00CE6163" w14:paraId="123AAC44" w14:textId="3E9761D8">
      <w:pPr>
        <w:spacing w:after="0" w:line="240" w:lineRule="auto"/>
        <w:ind w:firstLine="720"/>
        <w:jc w:val="both"/>
        <w:rPr>
          <w:rFonts w:ascii="Times New Roman" w:hAnsi="Times New Roman" w:eastAsia="Times New Roman" w:cs="Times New Roman"/>
          <w:color w:val="000000"/>
          <w:sz w:val="24"/>
          <w:szCs w:val="24"/>
          <w:lang w:eastAsia="lv-LV"/>
        </w:rPr>
      </w:pPr>
      <w:r w:rsidRPr="00CE6163">
        <w:rPr>
          <w:rFonts w:ascii="Times New Roman" w:hAnsi="Times New Roman" w:eastAsia="Times New Roman" w:cs="Times New Roman"/>
          <w:color w:val="000000"/>
          <w:sz w:val="24"/>
          <w:szCs w:val="24"/>
          <w:lang w:eastAsia="lv-LV"/>
        </w:rPr>
        <w:t>Papildus norādāms, ka piespiedu vakcinācija va</w:t>
      </w:r>
      <w:r w:rsidR="009C7977">
        <w:rPr>
          <w:rFonts w:ascii="Times New Roman" w:hAnsi="Times New Roman" w:eastAsia="Times New Roman" w:cs="Times New Roman"/>
          <w:color w:val="000000"/>
          <w:sz w:val="24"/>
          <w:szCs w:val="24"/>
          <w:lang w:eastAsia="lv-LV"/>
        </w:rPr>
        <w:t>r</w:t>
      </w:r>
      <w:r w:rsidRPr="00CE6163">
        <w:rPr>
          <w:rFonts w:ascii="Times New Roman" w:hAnsi="Times New Roman" w:eastAsia="Times New Roman" w:cs="Times New Roman"/>
          <w:color w:val="000000"/>
          <w:sz w:val="24"/>
          <w:szCs w:val="24"/>
          <w:lang w:eastAsia="lv-LV"/>
        </w:rPr>
        <w:t xml:space="preserve"> veicināt centienus apiet šo obligāto nosacījumu</w:t>
      </w:r>
      <w:r w:rsidR="009C7977">
        <w:rPr>
          <w:rFonts w:ascii="Times New Roman" w:hAnsi="Times New Roman" w:eastAsia="Times New Roman" w:cs="Times New Roman"/>
          <w:color w:val="000000"/>
          <w:sz w:val="24"/>
          <w:szCs w:val="24"/>
          <w:lang w:eastAsia="lv-LV"/>
        </w:rPr>
        <w:t xml:space="preserve"> (</w:t>
      </w:r>
      <w:r w:rsidRPr="00CE6163">
        <w:rPr>
          <w:rFonts w:ascii="Times New Roman" w:hAnsi="Times New Roman" w:eastAsia="Times New Roman" w:cs="Times New Roman"/>
          <w:color w:val="000000"/>
          <w:sz w:val="24"/>
          <w:szCs w:val="24"/>
          <w:lang w:eastAsia="lv-LV"/>
        </w:rPr>
        <w:t>kā rezultātā var būt personas, kas nav vakcinētas, bet tiek uzrādītas kā vakcinētas</w:t>
      </w:r>
      <w:r w:rsidR="009C7977">
        <w:rPr>
          <w:rFonts w:ascii="Times New Roman" w:hAnsi="Times New Roman" w:eastAsia="Times New Roman" w:cs="Times New Roman"/>
          <w:color w:val="000000"/>
          <w:sz w:val="24"/>
          <w:szCs w:val="24"/>
          <w:lang w:eastAsia="lv-LV"/>
        </w:rPr>
        <w:t>, vadoties no citu valstu pieredzes</w:t>
      </w:r>
      <w:r w:rsidR="004B0532">
        <w:rPr>
          <w:rFonts w:ascii="Times New Roman" w:hAnsi="Times New Roman" w:eastAsia="Times New Roman" w:cs="Times New Roman"/>
          <w:color w:val="000000"/>
          <w:sz w:val="24"/>
          <w:szCs w:val="24"/>
          <w:lang w:eastAsia="lv-LV"/>
        </w:rPr>
        <w:t xml:space="preserve"> par obligātās vakcinēšanas sekām</w:t>
      </w:r>
      <w:r w:rsidR="009C7977">
        <w:rPr>
          <w:rFonts w:ascii="Times New Roman" w:hAnsi="Times New Roman" w:eastAsia="Times New Roman" w:cs="Times New Roman"/>
          <w:color w:val="000000"/>
          <w:sz w:val="24"/>
          <w:szCs w:val="24"/>
          <w:lang w:eastAsia="lv-LV"/>
        </w:rPr>
        <w:t>).</w:t>
      </w:r>
    </w:p>
    <w:p w:rsidRPr="00310555" w:rsidR="004A6CA2" w:rsidP="00310555" w:rsidRDefault="004A6CA2" w14:paraId="457F1F88" w14:textId="4B32952B">
      <w:pPr>
        <w:spacing w:after="0" w:line="240" w:lineRule="auto"/>
        <w:ind w:firstLine="720"/>
        <w:jc w:val="both"/>
        <w:rPr>
          <w:rFonts w:ascii="Times New Roman" w:hAnsi="Times New Roman" w:eastAsia="Times New Roman" w:cs="Times New Roman"/>
          <w:color w:val="000000"/>
          <w:sz w:val="24"/>
          <w:szCs w:val="24"/>
          <w:lang w:eastAsia="lv-LV"/>
        </w:rPr>
      </w:pPr>
      <w:r w:rsidRPr="00310555">
        <w:rPr>
          <w:rFonts w:ascii="Times New Roman" w:hAnsi="Times New Roman" w:eastAsia="Times New Roman" w:cs="Times New Roman"/>
          <w:color w:val="000000"/>
          <w:sz w:val="24"/>
          <w:szCs w:val="24"/>
          <w:lang w:eastAsia="lv-LV"/>
        </w:rPr>
        <w:t xml:space="preserve">Latvijas un Eiropas Savienības kopējais izvirzītais mērķis vakcinācijai pret Covid-19 infekciju ir sasniegt kolektīvo imunitāti. Kolektīvā imunitāte tiek definēta kā sabiedrības neuzņēmība vai ierobežota uzņēmība pret konkrētām infekcijas slimībām (skatīt: https://www.spkc.gov.lv/lv/aizsargkupols-jeb-kolektiva-imunitate). Tādējādi esošajā </w:t>
      </w:r>
      <w:r w:rsidRPr="00310555">
        <w:rPr>
          <w:rFonts w:ascii="Times New Roman" w:hAnsi="Times New Roman" w:eastAsia="Times New Roman" w:cs="Times New Roman"/>
          <w:color w:val="000000"/>
          <w:sz w:val="24"/>
          <w:szCs w:val="24"/>
          <w:lang w:eastAsia="lv-LV"/>
        </w:rPr>
        <w:lastRenderedPageBreak/>
        <w:t>vakcinācijas stadijā primārais mērķis ir kolektīvās imunitātes panākšana sabiedrībā kopumā. Uzliekot obligātu pienākumu vakcinēties, piemēram, pedagogiem un ārstiem, kamēr pārējā sabiedrības daļa nav vakcinēta un faktiski to nevar veikt (joprojām vakcīnas nav brīvi pieejamas), rada nesamērīga sloga risku sabiedrības veselības aizsardzībā tieši minētajiem profesiju pārstāvjiem.  Latvijā joprojām nav vakcinētas visas prioritārās darbinieku grupas, arī privātās jomas pārstāvji, pat tie, kas strādā klātienē, piemēram, pārdevēji pārtikas veikalā</w:t>
      </w:r>
      <w:r w:rsidRPr="00310555" w:rsidR="001B3ED7">
        <w:rPr>
          <w:rFonts w:ascii="Times New Roman" w:hAnsi="Times New Roman" w:eastAsia="Times New Roman" w:cs="Times New Roman"/>
          <w:color w:val="000000"/>
          <w:sz w:val="24"/>
          <w:szCs w:val="24"/>
          <w:lang w:eastAsia="lv-LV"/>
        </w:rPr>
        <w:t xml:space="preserve"> vai frizieri</w:t>
      </w:r>
      <w:r w:rsidRPr="00310555">
        <w:rPr>
          <w:rFonts w:ascii="Times New Roman" w:hAnsi="Times New Roman" w:eastAsia="Times New Roman" w:cs="Times New Roman"/>
          <w:color w:val="000000"/>
          <w:sz w:val="24"/>
          <w:szCs w:val="24"/>
          <w:lang w:eastAsia="lv-LV"/>
        </w:rPr>
        <w:t>. Tādējādi no tiesiskās vienlīdzības principa šobrīd būtu riskanti pārnest vakcinācijas solidāro pienākumu uz atsevišķām konkrētām profesijām. Šā brīža situācijā visai sabiedrībai kolektīvi būtu jāuzņemas vakcinācijas smagums, valstij nepārnesot vakcinācijas slogu dažām selektīvi izvēlētām profesijām.</w:t>
      </w:r>
      <w:r w:rsidRPr="00310555">
        <w:rPr>
          <w:rFonts w:ascii="Times New Roman" w:hAnsi="Times New Roman" w:cs="Times New Roman"/>
          <w:sz w:val="24"/>
          <w:szCs w:val="24"/>
        </w:rPr>
        <w:t xml:space="preserve"> </w:t>
      </w:r>
      <w:r w:rsidRPr="00310555">
        <w:rPr>
          <w:rFonts w:ascii="Times New Roman" w:hAnsi="Times New Roman" w:eastAsia="Times New Roman" w:cs="Times New Roman"/>
          <w:color w:val="000000"/>
          <w:sz w:val="24"/>
          <w:szCs w:val="24"/>
          <w:lang w:eastAsia="lv-LV"/>
        </w:rPr>
        <w:t>Būtu respektējams tas, ka daļa indivīdu var būt tendēti lēmumu par vakcināciju pieņemt ilgākā laika posmā, vai nogaidīt situācijas attīstību</w:t>
      </w:r>
      <w:r w:rsidRPr="00310555" w:rsidR="001B3ED7">
        <w:rPr>
          <w:rFonts w:ascii="Times New Roman" w:hAnsi="Times New Roman" w:eastAsia="Times New Roman" w:cs="Times New Roman"/>
          <w:color w:val="000000"/>
          <w:sz w:val="24"/>
          <w:szCs w:val="24"/>
          <w:lang w:eastAsia="lv-LV"/>
        </w:rPr>
        <w:t xml:space="preserve">. Personas būtu motivējamas </w:t>
      </w:r>
      <w:r w:rsidRPr="00310555">
        <w:rPr>
          <w:rFonts w:ascii="Times New Roman" w:hAnsi="Times New Roman" w:eastAsia="Times New Roman" w:cs="Times New Roman"/>
          <w:color w:val="000000"/>
          <w:sz w:val="24"/>
          <w:szCs w:val="24"/>
          <w:lang w:eastAsia="lv-LV"/>
        </w:rPr>
        <w:t>saudzīgi, nevis izstrādā</w:t>
      </w:r>
      <w:r w:rsidRPr="00310555" w:rsidR="001B3ED7">
        <w:rPr>
          <w:rFonts w:ascii="Times New Roman" w:hAnsi="Times New Roman" w:eastAsia="Times New Roman" w:cs="Times New Roman"/>
          <w:color w:val="000000"/>
          <w:sz w:val="24"/>
          <w:szCs w:val="24"/>
          <w:lang w:eastAsia="lv-LV"/>
        </w:rPr>
        <w:t>jot</w:t>
      </w:r>
      <w:r w:rsidRPr="00310555">
        <w:rPr>
          <w:rFonts w:ascii="Times New Roman" w:hAnsi="Times New Roman" w:eastAsia="Times New Roman" w:cs="Times New Roman"/>
          <w:color w:val="000000"/>
          <w:sz w:val="24"/>
          <w:szCs w:val="24"/>
          <w:lang w:eastAsia="lv-LV"/>
        </w:rPr>
        <w:t xml:space="preserve"> piespiedu mehānismu ar </w:t>
      </w:r>
      <w:r w:rsidRPr="00310555" w:rsidR="006C0E18">
        <w:rPr>
          <w:rFonts w:ascii="Times New Roman" w:hAnsi="Times New Roman" w:eastAsia="Times New Roman" w:cs="Times New Roman"/>
          <w:color w:val="000000"/>
          <w:sz w:val="24"/>
          <w:szCs w:val="24"/>
          <w:lang w:eastAsia="lv-LV"/>
        </w:rPr>
        <w:t xml:space="preserve">šobrīd </w:t>
      </w:r>
      <w:r w:rsidRPr="00310555">
        <w:rPr>
          <w:rFonts w:ascii="Times New Roman" w:hAnsi="Times New Roman" w:eastAsia="Times New Roman" w:cs="Times New Roman"/>
          <w:color w:val="000000"/>
          <w:sz w:val="24"/>
          <w:szCs w:val="24"/>
          <w:lang w:eastAsia="lv-LV"/>
        </w:rPr>
        <w:t>neprognozējamām juridiskām un faktiskām sekām</w:t>
      </w:r>
    </w:p>
    <w:p w:rsidR="004A6CA2" w:rsidP="00310555" w:rsidRDefault="004A6CA2" w14:paraId="38E97F4C" w14:textId="15E8BCBB">
      <w:pPr>
        <w:spacing w:after="0" w:line="240" w:lineRule="auto"/>
        <w:ind w:firstLine="720"/>
        <w:jc w:val="both"/>
        <w:rPr>
          <w:rFonts w:ascii="Times New Roman" w:hAnsi="Times New Roman" w:eastAsia="Times New Roman" w:cs="Times New Roman"/>
          <w:color w:val="000000"/>
          <w:sz w:val="24"/>
          <w:szCs w:val="24"/>
          <w:u w:val="single"/>
          <w:lang w:eastAsia="lv-LV"/>
        </w:rPr>
      </w:pPr>
      <w:r w:rsidRPr="00310555">
        <w:rPr>
          <w:rFonts w:ascii="Times New Roman" w:hAnsi="Times New Roman" w:eastAsia="Times New Roman" w:cs="Times New Roman"/>
          <w:color w:val="000000"/>
          <w:sz w:val="24"/>
          <w:szCs w:val="24"/>
          <w:lang w:eastAsia="lv-LV"/>
        </w:rPr>
        <w:t>Ievērojot minēto, obligātas vakcinācijas pienākum</w:t>
      </w:r>
      <w:r w:rsidR="00B675F9">
        <w:rPr>
          <w:rFonts w:ascii="Times New Roman" w:hAnsi="Times New Roman" w:eastAsia="Times New Roman" w:cs="Times New Roman"/>
          <w:color w:val="000000"/>
          <w:sz w:val="24"/>
          <w:szCs w:val="24"/>
          <w:lang w:eastAsia="lv-LV"/>
        </w:rPr>
        <w:t>a</w:t>
      </w:r>
      <w:r w:rsidRPr="00310555">
        <w:rPr>
          <w:rFonts w:ascii="Times New Roman" w:hAnsi="Times New Roman" w:eastAsia="Times New Roman" w:cs="Times New Roman"/>
          <w:color w:val="000000"/>
          <w:sz w:val="24"/>
          <w:szCs w:val="24"/>
          <w:lang w:eastAsia="lv-LV"/>
        </w:rPr>
        <w:t xml:space="preserve"> atsevišķu profesiju pārstāvjiem samērīgums (proporcionalitāte) </w:t>
      </w:r>
      <w:r w:rsidRPr="00310555">
        <w:rPr>
          <w:rFonts w:ascii="Times New Roman" w:hAnsi="Times New Roman" w:eastAsia="Times New Roman" w:cs="Times New Roman"/>
          <w:color w:val="000000"/>
          <w:sz w:val="24"/>
          <w:szCs w:val="24"/>
          <w:u w:val="single"/>
          <w:lang w:eastAsia="lv-LV"/>
        </w:rPr>
        <w:t>esošajā vakcinācijas stadijā, kā arī ievērojot</w:t>
      </w:r>
      <w:r w:rsidRPr="00310555" w:rsidR="009D5E83">
        <w:rPr>
          <w:rFonts w:ascii="Times New Roman" w:hAnsi="Times New Roman" w:eastAsia="Times New Roman" w:cs="Times New Roman"/>
          <w:color w:val="000000"/>
          <w:sz w:val="24"/>
          <w:szCs w:val="24"/>
          <w:u w:val="single"/>
          <w:lang w:eastAsia="lv-LV"/>
        </w:rPr>
        <w:t xml:space="preserve"> </w:t>
      </w:r>
      <w:r w:rsidRPr="00310555">
        <w:rPr>
          <w:rFonts w:ascii="Times New Roman" w:hAnsi="Times New Roman" w:eastAsia="Times New Roman" w:cs="Times New Roman"/>
          <w:color w:val="000000"/>
          <w:sz w:val="24"/>
          <w:szCs w:val="24"/>
          <w:u w:val="single"/>
          <w:lang w:eastAsia="lv-LV"/>
        </w:rPr>
        <w:t>līdzšinēji uzsvērto vakcinācijas brīvprātību, vērtējam</w:t>
      </w:r>
      <w:r w:rsidR="00B675F9">
        <w:rPr>
          <w:rFonts w:ascii="Times New Roman" w:hAnsi="Times New Roman" w:eastAsia="Times New Roman" w:cs="Times New Roman"/>
          <w:color w:val="000000"/>
          <w:sz w:val="24"/>
          <w:szCs w:val="24"/>
          <w:u w:val="single"/>
          <w:lang w:eastAsia="lv-LV"/>
        </w:rPr>
        <w:t>a</w:t>
      </w:r>
      <w:r w:rsidRPr="00310555">
        <w:rPr>
          <w:rFonts w:ascii="Times New Roman" w:hAnsi="Times New Roman" w:eastAsia="Times New Roman" w:cs="Times New Roman"/>
          <w:color w:val="000000"/>
          <w:sz w:val="24"/>
          <w:szCs w:val="24"/>
          <w:u w:val="single"/>
          <w:lang w:eastAsia="lv-LV"/>
        </w:rPr>
        <w:t xml:space="preserve"> kritiski</w:t>
      </w:r>
      <w:r w:rsidR="00675812">
        <w:rPr>
          <w:rFonts w:ascii="Times New Roman" w:hAnsi="Times New Roman" w:eastAsia="Times New Roman" w:cs="Times New Roman"/>
          <w:color w:val="000000"/>
          <w:sz w:val="24"/>
          <w:szCs w:val="24"/>
          <w:u w:val="single"/>
          <w:lang w:eastAsia="lv-LV"/>
        </w:rPr>
        <w:t xml:space="preserve"> un</w:t>
      </w:r>
      <w:r w:rsidR="009409C4">
        <w:rPr>
          <w:rFonts w:ascii="Times New Roman" w:hAnsi="Times New Roman" w:eastAsia="Times New Roman" w:cs="Times New Roman"/>
          <w:color w:val="000000"/>
          <w:sz w:val="24"/>
          <w:szCs w:val="24"/>
          <w:u w:val="single"/>
          <w:lang w:eastAsia="lv-LV"/>
        </w:rPr>
        <w:t xml:space="preserve"> </w:t>
      </w:r>
      <w:r w:rsidR="00675812">
        <w:rPr>
          <w:rFonts w:ascii="Times New Roman" w:hAnsi="Times New Roman" w:eastAsia="Times New Roman" w:cs="Times New Roman"/>
          <w:color w:val="000000"/>
          <w:sz w:val="24"/>
          <w:szCs w:val="24"/>
          <w:u w:val="single"/>
          <w:lang w:eastAsia="lv-LV"/>
        </w:rPr>
        <w:t>piesardzīgi</w:t>
      </w:r>
      <w:r w:rsidRPr="00310555">
        <w:rPr>
          <w:rFonts w:ascii="Times New Roman" w:hAnsi="Times New Roman" w:eastAsia="Times New Roman" w:cs="Times New Roman"/>
          <w:color w:val="000000"/>
          <w:sz w:val="24"/>
          <w:szCs w:val="24"/>
          <w:u w:val="single"/>
          <w:lang w:eastAsia="lv-LV"/>
        </w:rPr>
        <w:t>. Kaut arī valstij sabiedrības veselības un labklājības aizsardzības nolūkā ir pienākums rīkoties mērķtiecīgi un aktīvi, obligāts pienākums vakcinēties būtu galējs līdzeklis mērķa sasniegšanai. Šādu soli varētu attaisnot, ja tam būtu pilnīgi pārliecinošs pamatojums, ka ar citiem līdzekļiem mērķis nav panākams un tas ir vienīgais pieejamais līdzeklis, lai aizsargātu citu cilvēku veselību, sabiedrības labklājību un drošību. Būtisks priekšnoteikums obligātas vakcinācijas noteikšanai varētu būt iespēja izvēlēties vakcīnas veidu, kā arī ilgtermiņā balstīti pierādījumi par tās drošumu un efektivitāti. Tomēr jāņem vērā, ka obligāts vakcinēšanās pienākums var kaitēt sabiedrības uzticībai valstij, kas motivāciju vakcinēties var</w:t>
      </w:r>
      <w:r w:rsidRPr="00310555" w:rsidR="006C0E18">
        <w:rPr>
          <w:rFonts w:ascii="Times New Roman" w:hAnsi="Times New Roman" w:eastAsia="Times New Roman" w:cs="Times New Roman"/>
          <w:color w:val="000000"/>
          <w:sz w:val="24"/>
          <w:szCs w:val="24"/>
          <w:u w:val="single"/>
          <w:lang w:eastAsia="lv-LV"/>
        </w:rPr>
        <w:t xml:space="preserve">ētu </w:t>
      </w:r>
      <w:r w:rsidRPr="00310555">
        <w:rPr>
          <w:rFonts w:ascii="Times New Roman" w:hAnsi="Times New Roman" w:eastAsia="Times New Roman" w:cs="Times New Roman"/>
          <w:color w:val="000000"/>
          <w:sz w:val="24"/>
          <w:szCs w:val="24"/>
          <w:u w:val="single"/>
          <w:lang w:eastAsia="lv-LV"/>
        </w:rPr>
        <w:t xml:space="preserve">vēl samazināt. </w:t>
      </w:r>
    </w:p>
    <w:p w:rsidR="004A6CA2" w:rsidP="00310555" w:rsidRDefault="004A6CA2" w14:paraId="70C546BF" w14:textId="2894B3AF">
      <w:pPr>
        <w:spacing w:after="0" w:line="240" w:lineRule="auto"/>
        <w:ind w:firstLine="720"/>
        <w:jc w:val="both"/>
        <w:rPr>
          <w:rFonts w:ascii="Times New Roman" w:hAnsi="Times New Roman" w:eastAsia="Times New Roman" w:cs="Times New Roman"/>
          <w:i/>
          <w:iCs/>
          <w:sz w:val="24"/>
          <w:szCs w:val="24"/>
          <w:lang w:eastAsia="lv-LV"/>
        </w:rPr>
      </w:pPr>
      <w:r w:rsidRPr="00310555">
        <w:rPr>
          <w:rFonts w:ascii="Times New Roman" w:hAnsi="Times New Roman" w:eastAsia="Times New Roman" w:cs="Times New Roman"/>
          <w:color w:val="000000"/>
          <w:sz w:val="24"/>
          <w:szCs w:val="24"/>
          <w:lang w:eastAsia="lv-LV"/>
        </w:rPr>
        <w:t xml:space="preserve">Obligātas vakcinācijas vietā pastāv iespēja izvēlēties alternatīvus, </w:t>
      </w:r>
      <w:proofErr w:type="spellStart"/>
      <w:r w:rsidRPr="00310555">
        <w:rPr>
          <w:rFonts w:ascii="Times New Roman" w:hAnsi="Times New Roman" w:eastAsia="Times New Roman" w:cs="Times New Roman"/>
          <w:color w:val="000000"/>
          <w:sz w:val="24"/>
          <w:szCs w:val="24"/>
          <w:lang w:eastAsia="lv-LV"/>
        </w:rPr>
        <w:t>pamattiesības</w:t>
      </w:r>
      <w:proofErr w:type="spellEnd"/>
      <w:r w:rsidRPr="00310555">
        <w:rPr>
          <w:rFonts w:ascii="Times New Roman" w:hAnsi="Times New Roman" w:eastAsia="Times New Roman" w:cs="Times New Roman"/>
          <w:color w:val="000000"/>
          <w:sz w:val="24"/>
          <w:szCs w:val="24"/>
          <w:lang w:eastAsia="lv-LV"/>
        </w:rPr>
        <w:t xml:space="preserve"> mazāk ierobežojošus vai vispār neierobežojošus līdzekļus, piemēram, aktīva komunikācija ar sabiedrību </w:t>
      </w:r>
      <w:r w:rsidRPr="00310555" w:rsidR="006C0E18">
        <w:rPr>
          <w:rFonts w:ascii="Times New Roman" w:hAnsi="Times New Roman" w:eastAsia="Times New Roman" w:cs="Times New Roman"/>
          <w:color w:val="000000"/>
          <w:sz w:val="24"/>
          <w:szCs w:val="24"/>
          <w:lang w:eastAsia="lv-LV"/>
        </w:rPr>
        <w:t xml:space="preserve">nolūkā veicināt </w:t>
      </w:r>
      <w:r w:rsidRPr="00310555">
        <w:rPr>
          <w:rFonts w:ascii="Times New Roman" w:hAnsi="Times New Roman" w:eastAsia="Times New Roman" w:cs="Times New Roman"/>
          <w:color w:val="000000"/>
          <w:sz w:val="24"/>
          <w:szCs w:val="24"/>
          <w:lang w:eastAsia="lv-LV"/>
        </w:rPr>
        <w:t>izpratn</w:t>
      </w:r>
      <w:r w:rsidRPr="00310555" w:rsidR="006C0E18">
        <w:rPr>
          <w:rFonts w:ascii="Times New Roman" w:hAnsi="Times New Roman" w:eastAsia="Times New Roman" w:cs="Times New Roman"/>
          <w:color w:val="000000"/>
          <w:sz w:val="24"/>
          <w:szCs w:val="24"/>
          <w:lang w:eastAsia="lv-LV"/>
        </w:rPr>
        <w:t>i</w:t>
      </w:r>
      <w:r w:rsidRPr="00310555">
        <w:rPr>
          <w:rFonts w:ascii="Times New Roman" w:hAnsi="Times New Roman" w:eastAsia="Times New Roman" w:cs="Times New Roman"/>
          <w:color w:val="000000"/>
          <w:sz w:val="24"/>
          <w:szCs w:val="24"/>
          <w:lang w:eastAsia="lv-LV"/>
        </w:rPr>
        <w:t xml:space="preserve"> par vakcīnu un uzticību tai. </w:t>
      </w:r>
      <w:proofErr w:type="spellStart"/>
      <w:r w:rsidRPr="00310555">
        <w:rPr>
          <w:rFonts w:ascii="Times New Roman" w:hAnsi="Times New Roman" w:eastAsia="Times New Roman" w:cs="Times New Roman"/>
          <w:sz w:val="24"/>
          <w:szCs w:val="24"/>
          <w:lang w:eastAsia="lv-LV"/>
        </w:rPr>
        <w:t>Prezumējams</w:t>
      </w:r>
      <w:proofErr w:type="spellEnd"/>
      <w:r w:rsidRPr="00310555">
        <w:rPr>
          <w:rFonts w:ascii="Times New Roman" w:hAnsi="Times New Roman" w:eastAsia="Times New Roman" w:cs="Times New Roman"/>
          <w:sz w:val="24"/>
          <w:szCs w:val="24"/>
          <w:lang w:eastAsia="lv-LV"/>
        </w:rPr>
        <w:t xml:space="preserve">, ka ilgtermiņā tomēr sabiedrības attieksme pret vakcinēšanos varētu būt atvērtāka, jo būs izstrādāts </w:t>
      </w:r>
      <w:r w:rsidRPr="00310555" w:rsidR="006C0E18">
        <w:rPr>
          <w:rFonts w:ascii="Times New Roman" w:hAnsi="Times New Roman" w:eastAsia="Times New Roman" w:cs="Times New Roman"/>
          <w:sz w:val="24"/>
          <w:szCs w:val="24"/>
          <w:lang w:eastAsia="lv-LV"/>
        </w:rPr>
        <w:t xml:space="preserve">tā saucamais </w:t>
      </w:r>
      <w:r w:rsidRPr="00310555">
        <w:rPr>
          <w:rFonts w:ascii="Times New Roman" w:hAnsi="Times New Roman" w:eastAsia="Times New Roman" w:cs="Times New Roman"/>
          <w:sz w:val="24"/>
          <w:szCs w:val="24"/>
          <w:lang w:eastAsia="lv-LV"/>
        </w:rPr>
        <w:t xml:space="preserve">digitālais zaļais sertifikāts, kas pavērs plašākas iespējas vakcinētām personām. Tāpat pieņemams, ka </w:t>
      </w:r>
      <w:r w:rsidRPr="00310555">
        <w:rPr>
          <w:rFonts w:ascii="Times New Roman" w:hAnsi="Times New Roman" w:eastAsia="Times New Roman" w:cs="Times New Roman"/>
          <w:color w:val="000000"/>
          <w:sz w:val="24"/>
          <w:szCs w:val="24"/>
          <w:lang w:eastAsia="lv-LV"/>
        </w:rPr>
        <w:t>daļa sabiedrības ir gatava vakcinēties ne tikai savas veselības mērķa dēļ, bet lai spētu atgriezties normālā sociāli aktīvā dzīves režīmā. Tādējādi vakcināciju valsts var un to būtu efektīvi veicināt arī ar šādiem līdzekļiem (“labumi vakcinētajiem”) tā vietā, lai pieņemtu imperatīvu tiesību normu, kas aizskar personas izvēles tiesības.</w:t>
      </w:r>
      <w:r w:rsidRPr="00310555">
        <w:rPr>
          <w:rFonts w:ascii="Times New Roman" w:hAnsi="Times New Roman" w:eastAsia="Times New Roman" w:cs="Times New Roman"/>
          <w:b/>
          <w:bCs/>
          <w:color w:val="000000"/>
          <w:sz w:val="24"/>
          <w:szCs w:val="24"/>
          <w:lang w:eastAsia="lv-LV"/>
        </w:rPr>
        <w:t> </w:t>
      </w:r>
      <w:r w:rsidRPr="00310555">
        <w:rPr>
          <w:rFonts w:ascii="Times New Roman" w:hAnsi="Times New Roman" w:eastAsia="Times New Roman" w:cs="Times New Roman"/>
          <w:color w:val="000000"/>
          <w:sz w:val="24"/>
          <w:szCs w:val="24"/>
          <w:lang w:eastAsia="lv-LV"/>
        </w:rPr>
        <w:t>Piemēram, Eiropas Savienības valstīs nodarbinātības jomā šobrīd aktuāls ir jautājums par darbinieku izglītojošiem un motivējošiem pasākumiem. Darbinieku vakcinēšanas motivēšanai uzsvars tiek likts uz darba devēja tiesībām izglītot darbiniekus par vakcīnu, kā arī atvieglojumu un atbalsta piešķiršana vakcinēšanās gadījumos</w:t>
      </w:r>
      <w:r w:rsidR="00604D9B">
        <w:rPr>
          <w:rStyle w:val="Vresatsauce"/>
          <w:rFonts w:ascii="Times New Roman" w:hAnsi="Times New Roman" w:eastAsia="Times New Roman" w:cs="Times New Roman"/>
          <w:color w:val="000000"/>
          <w:sz w:val="24"/>
          <w:szCs w:val="24"/>
          <w:lang w:eastAsia="lv-LV"/>
        </w:rPr>
        <w:footnoteReference w:id="18"/>
      </w:r>
      <w:r w:rsidRPr="00310555">
        <w:rPr>
          <w:rFonts w:ascii="Times New Roman" w:hAnsi="Times New Roman" w:eastAsia="Times New Roman" w:cs="Times New Roman"/>
          <w:i/>
          <w:iCs/>
          <w:sz w:val="24"/>
          <w:szCs w:val="24"/>
          <w:lang w:eastAsia="lv-LV"/>
        </w:rPr>
        <w:t xml:space="preserve">. </w:t>
      </w:r>
    </w:p>
    <w:p w:rsidRPr="00310555" w:rsidR="000D1308" w:rsidP="000D1308" w:rsidRDefault="000D1308" w14:paraId="0C89AC7E" w14:textId="194C0F7A">
      <w:pPr>
        <w:spacing w:after="0" w:line="240" w:lineRule="auto"/>
        <w:ind w:firstLine="720"/>
        <w:jc w:val="both"/>
        <w:rPr>
          <w:rFonts w:ascii="Times New Roman" w:hAnsi="Times New Roman" w:eastAsia="Times New Roman" w:cs="Times New Roman"/>
          <w:b/>
          <w:bCs/>
          <w:color w:val="000000"/>
          <w:sz w:val="24"/>
          <w:szCs w:val="24"/>
          <w:lang w:eastAsia="lv-LV"/>
        </w:rPr>
      </w:pPr>
      <w:r>
        <w:rPr>
          <w:rFonts w:ascii="Times New Roman" w:hAnsi="Times New Roman" w:eastAsia="Times New Roman" w:cs="Times New Roman"/>
          <w:color w:val="000000"/>
          <w:sz w:val="24"/>
          <w:szCs w:val="24"/>
          <w:u w:val="single"/>
          <w:lang w:eastAsia="lv-LV"/>
        </w:rPr>
        <w:t xml:space="preserve">Vienlaikus Epidemioloģiskās drošības likuma 8.panta </w:t>
      </w:r>
      <w:r w:rsidR="003C2C6B">
        <w:rPr>
          <w:rFonts w:ascii="Times New Roman" w:hAnsi="Times New Roman" w:eastAsia="Times New Roman" w:cs="Times New Roman"/>
          <w:color w:val="000000"/>
          <w:sz w:val="24"/>
          <w:szCs w:val="24"/>
          <w:u w:val="single"/>
          <w:lang w:eastAsia="lv-LV"/>
        </w:rPr>
        <w:t>trešā</w:t>
      </w:r>
      <w:r>
        <w:rPr>
          <w:rFonts w:ascii="Times New Roman" w:hAnsi="Times New Roman" w:eastAsia="Times New Roman" w:cs="Times New Roman"/>
          <w:color w:val="000000"/>
          <w:sz w:val="24"/>
          <w:szCs w:val="24"/>
          <w:u w:val="single"/>
          <w:lang w:eastAsia="lv-LV"/>
        </w:rPr>
        <w:t xml:space="preserve"> daļa paredz to, ka personai ir pienākums nepakļaut citas personas inficēšanās riskam. Savukārt darba aizsardzību regulējošie normatīvie akti paredz darba devēja pienākumu nepakļaut darbinieku bioloģisko aģentu radītajam riskam veselībai</w:t>
      </w:r>
      <w:r w:rsidR="005462B5">
        <w:rPr>
          <w:rFonts w:ascii="Times New Roman" w:hAnsi="Times New Roman" w:eastAsia="Times New Roman" w:cs="Times New Roman"/>
          <w:color w:val="000000"/>
          <w:sz w:val="24"/>
          <w:szCs w:val="24"/>
          <w:u w:val="single"/>
          <w:lang w:eastAsia="lv-LV"/>
        </w:rPr>
        <w:t>,</w:t>
      </w:r>
      <w:r>
        <w:rPr>
          <w:rFonts w:ascii="Times New Roman" w:hAnsi="Times New Roman" w:eastAsia="Times New Roman" w:cs="Times New Roman"/>
          <w:color w:val="000000"/>
          <w:sz w:val="24"/>
          <w:szCs w:val="24"/>
          <w:u w:val="single"/>
          <w:lang w:eastAsia="lv-LV"/>
        </w:rPr>
        <w:t xml:space="preserve"> un viens no darbinieku veselības aizsardzības pasākumiem ir darbinieku vakcinācija. Vadoties no minētā</w:t>
      </w:r>
      <w:r w:rsidR="005462B5">
        <w:rPr>
          <w:rFonts w:ascii="Times New Roman" w:hAnsi="Times New Roman" w:eastAsia="Times New Roman" w:cs="Times New Roman"/>
          <w:color w:val="000000"/>
          <w:sz w:val="24"/>
          <w:szCs w:val="24"/>
          <w:u w:val="single"/>
          <w:lang w:eastAsia="lv-LV"/>
        </w:rPr>
        <w:t>,</w:t>
      </w:r>
      <w:r>
        <w:rPr>
          <w:rFonts w:ascii="Times New Roman" w:hAnsi="Times New Roman" w:eastAsia="Times New Roman" w:cs="Times New Roman"/>
          <w:color w:val="000000"/>
          <w:sz w:val="24"/>
          <w:szCs w:val="24"/>
          <w:u w:val="single"/>
          <w:lang w:eastAsia="lv-LV"/>
        </w:rPr>
        <w:t xml:space="preserve"> ir apsverama iespēja noteikt darbinieku, kas nav vakcinējies</w:t>
      </w:r>
      <w:r w:rsidR="005462B5">
        <w:rPr>
          <w:rFonts w:ascii="Times New Roman" w:hAnsi="Times New Roman" w:eastAsia="Times New Roman" w:cs="Times New Roman"/>
          <w:color w:val="000000"/>
          <w:sz w:val="24"/>
          <w:szCs w:val="24"/>
          <w:u w:val="single"/>
          <w:lang w:eastAsia="lv-LV"/>
        </w:rPr>
        <w:t xml:space="preserve">, </w:t>
      </w:r>
      <w:r>
        <w:rPr>
          <w:rFonts w:ascii="Times New Roman" w:hAnsi="Times New Roman" w:eastAsia="Times New Roman" w:cs="Times New Roman"/>
          <w:color w:val="000000"/>
          <w:sz w:val="24"/>
          <w:szCs w:val="24"/>
          <w:u w:val="single"/>
          <w:lang w:eastAsia="lv-LV"/>
        </w:rPr>
        <w:t>norīkot darbā, kas nav saistīts ar risku citu cilvēku veselībai, tāpat arī no darbinieku aizsardzības aspekta ir pamats darbinieku, kas nav vakcinēts pret Covid-19</w:t>
      </w:r>
      <w:r w:rsidR="005462B5">
        <w:rPr>
          <w:rFonts w:ascii="Times New Roman" w:hAnsi="Times New Roman" w:eastAsia="Times New Roman" w:cs="Times New Roman"/>
          <w:color w:val="000000"/>
          <w:sz w:val="24"/>
          <w:szCs w:val="24"/>
          <w:u w:val="single"/>
          <w:lang w:eastAsia="lv-LV"/>
        </w:rPr>
        <w:t>,</w:t>
      </w:r>
      <w:r>
        <w:rPr>
          <w:rFonts w:ascii="Times New Roman" w:hAnsi="Times New Roman" w:eastAsia="Times New Roman" w:cs="Times New Roman"/>
          <w:color w:val="000000"/>
          <w:sz w:val="24"/>
          <w:szCs w:val="24"/>
          <w:u w:val="single"/>
          <w:lang w:eastAsia="lv-LV"/>
        </w:rPr>
        <w:t xml:space="preserve"> pārcelt darbā, kur ir zemāki inficēšanās riski ar Covid-19. </w:t>
      </w:r>
    </w:p>
    <w:p w:rsidRPr="00310555" w:rsidR="00E330CB" w:rsidP="00310555" w:rsidRDefault="00E330CB" w14:paraId="2C0504FF" w14:textId="02201B4A">
      <w:pPr>
        <w:spacing w:after="0" w:line="240" w:lineRule="auto"/>
        <w:ind w:firstLine="720"/>
        <w:jc w:val="both"/>
        <w:rPr>
          <w:rFonts w:ascii="Times New Roman" w:hAnsi="Times New Roman" w:eastAsia="Times New Roman" w:cs="Times New Roman"/>
          <w:color w:val="000000"/>
          <w:sz w:val="24"/>
          <w:szCs w:val="24"/>
          <w:u w:val="single"/>
          <w:lang w:eastAsia="lv-LV"/>
        </w:rPr>
      </w:pPr>
      <w:r w:rsidRPr="00310555">
        <w:rPr>
          <w:rFonts w:ascii="Times New Roman" w:hAnsi="Times New Roman" w:eastAsia="Times New Roman" w:cs="Times New Roman"/>
          <w:color w:val="000000"/>
          <w:sz w:val="24"/>
          <w:szCs w:val="24"/>
          <w:u w:val="single"/>
          <w:lang w:eastAsia="lv-LV"/>
        </w:rPr>
        <w:t>Vienlaikus atzīmējams, ka par zināmu privilēģiju jeb labumu paredzēšanu vakcinētām personām visas sabiedrības ietvaros ikdienas sadzīvē būtu lemjams vienīgi tad, kad vakcīnas pret Covid-19 infekciju būs plaši pieejamas un ikvienam būs iespēja to saņemt</w:t>
      </w:r>
      <w:r w:rsidR="009409C4">
        <w:rPr>
          <w:rFonts w:ascii="Times New Roman" w:hAnsi="Times New Roman" w:eastAsia="Times New Roman" w:cs="Times New Roman"/>
          <w:color w:val="000000"/>
          <w:sz w:val="24"/>
          <w:szCs w:val="24"/>
          <w:u w:val="single"/>
          <w:lang w:eastAsia="lv-LV"/>
        </w:rPr>
        <w:t xml:space="preserve"> </w:t>
      </w:r>
      <w:r w:rsidRPr="00763E25" w:rsidR="009409C4">
        <w:rPr>
          <w:rFonts w:ascii="Times New Roman" w:hAnsi="Times New Roman" w:eastAsia="Times New Roman" w:cs="Times New Roman"/>
          <w:color w:val="000000"/>
          <w:sz w:val="24"/>
          <w:szCs w:val="24"/>
          <w:u w:val="single"/>
          <w:lang w:eastAsia="lv-LV"/>
        </w:rPr>
        <w:t>(ar retu  izņēmumu, kad vakcināciju liedz nepārejošas kontrindikācijas)</w:t>
      </w:r>
      <w:r w:rsidRPr="00763E25">
        <w:rPr>
          <w:rFonts w:ascii="Times New Roman" w:hAnsi="Times New Roman" w:eastAsia="Times New Roman" w:cs="Times New Roman"/>
          <w:color w:val="000000"/>
          <w:sz w:val="24"/>
          <w:szCs w:val="24"/>
          <w:u w:val="single"/>
          <w:lang w:eastAsia="lv-LV"/>
        </w:rPr>
        <w:t>.</w:t>
      </w:r>
      <w:r w:rsidRPr="00310555">
        <w:rPr>
          <w:rFonts w:ascii="Times New Roman" w:hAnsi="Times New Roman" w:eastAsia="Times New Roman" w:cs="Times New Roman"/>
          <w:color w:val="000000"/>
          <w:sz w:val="24"/>
          <w:szCs w:val="24"/>
          <w:u w:val="single"/>
          <w:lang w:eastAsia="lv-LV"/>
        </w:rPr>
        <w:t xml:space="preserve"> Pretējā gadījumā var rasties </w:t>
      </w:r>
      <w:r w:rsidRPr="00310555">
        <w:rPr>
          <w:rFonts w:ascii="Times New Roman" w:hAnsi="Times New Roman" w:eastAsia="Times New Roman" w:cs="Times New Roman"/>
          <w:color w:val="000000"/>
          <w:sz w:val="24"/>
          <w:szCs w:val="24"/>
          <w:u w:val="single"/>
          <w:lang w:eastAsia="lv-LV"/>
        </w:rPr>
        <w:lastRenderedPageBreak/>
        <w:t xml:space="preserve">nesamērīga atšķirīga attieksme pret tām personām, kuras vēlas vakcinēties, taču vakcīnas viņām nav pieejamas. </w:t>
      </w:r>
    </w:p>
    <w:p w:rsidRPr="00310555" w:rsidR="00763E25" w:rsidP="004D1927" w:rsidRDefault="00763E25" w14:paraId="76F18385" w14:textId="77777777">
      <w:pPr>
        <w:spacing w:after="0" w:line="240" w:lineRule="auto"/>
        <w:jc w:val="both"/>
        <w:rPr>
          <w:rFonts w:ascii="Times New Roman" w:hAnsi="Times New Roman" w:eastAsia="Times New Roman" w:cs="Times New Roman"/>
          <w:b/>
          <w:bCs/>
          <w:sz w:val="24"/>
          <w:szCs w:val="24"/>
          <w:lang w:eastAsia="lv-LV"/>
        </w:rPr>
      </w:pPr>
    </w:p>
    <w:p w:rsidRPr="00310555" w:rsidR="0099148C" w:rsidP="00310555" w:rsidRDefault="0099148C" w14:paraId="36803C7E" w14:textId="544CE246">
      <w:pPr>
        <w:spacing w:after="0" w:line="240" w:lineRule="auto"/>
        <w:ind w:firstLine="720"/>
        <w:jc w:val="center"/>
        <w:rPr>
          <w:rFonts w:ascii="Times New Roman" w:hAnsi="Times New Roman" w:eastAsia="Times New Roman" w:cs="Times New Roman"/>
          <w:b/>
          <w:bCs/>
          <w:color w:val="000000"/>
          <w:sz w:val="24"/>
          <w:szCs w:val="24"/>
          <w:lang w:eastAsia="lv-LV"/>
        </w:rPr>
      </w:pPr>
    </w:p>
    <w:p w:rsidRPr="00310555" w:rsidR="005C1F19" w:rsidP="00310555" w:rsidRDefault="005C1F19" w14:paraId="58D0FE82" w14:textId="77777777">
      <w:pPr>
        <w:spacing w:after="0" w:line="240" w:lineRule="auto"/>
        <w:ind w:firstLine="720"/>
        <w:jc w:val="both"/>
        <w:rPr>
          <w:rFonts w:ascii="Times New Roman" w:hAnsi="Times New Roman" w:eastAsia="Times New Roman" w:cs="Times New Roman"/>
          <w:b/>
          <w:bCs/>
          <w:color w:val="000000"/>
          <w:sz w:val="24"/>
          <w:szCs w:val="24"/>
          <w:lang w:eastAsia="lv-LV"/>
        </w:rPr>
      </w:pPr>
    </w:p>
    <w:p w:rsidRPr="00310555" w:rsidR="00EF6F6A" w:rsidP="00310555" w:rsidRDefault="00FF1728" w14:paraId="4BBA86F9" w14:textId="443F96EE">
      <w:pPr>
        <w:pStyle w:val="Paraststmeklis"/>
        <w:spacing w:before="0" w:beforeAutospacing="0" w:after="0" w:afterAutospacing="0"/>
        <w:ind w:left="1353"/>
        <w:jc w:val="center"/>
        <w:rPr>
          <w:b/>
          <w:bCs/>
          <w:color w:val="202124"/>
        </w:rPr>
      </w:pPr>
      <w:r>
        <w:rPr>
          <w:b/>
          <w:bCs/>
        </w:rPr>
        <w:t xml:space="preserve"> 3.</w:t>
      </w:r>
      <w:r w:rsidRPr="00310555" w:rsidR="004729A2">
        <w:rPr>
          <w:b/>
          <w:bCs/>
        </w:rPr>
        <w:t> </w:t>
      </w:r>
      <w:r w:rsidRPr="00310555" w:rsidR="00EF6F6A">
        <w:rPr>
          <w:b/>
          <w:bCs/>
          <w:color w:val="202124"/>
        </w:rPr>
        <w:t>Zinātniskie pierādījumi</w:t>
      </w:r>
    </w:p>
    <w:p w:rsidRPr="00310555" w:rsidR="00EF6F6A" w:rsidP="00310555" w:rsidRDefault="00EF6F6A" w14:paraId="4DD8D6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eastAsia="Times New Roman" w:cs="Times New Roman"/>
          <w:color w:val="202124"/>
          <w:sz w:val="24"/>
          <w:szCs w:val="24"/>
          <w:lang w:eastAsia="lv-LV"/>
        </w:rPr>
      </w:pPr>
    </w:p>
    <w:p w:rsidRPr="00310555" w:rsidR="00EF6F6A" w:rsidP="00310555" w:rsidRDefault="00EF6F6A" w14:paraId="12B2500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lang w:eastAsia="lv-LV"/>
        </w:rPr>
      </w:pPr>
      <w:r w:rsidRPr="00310555">
        <w:rPr>
          <w:rFonts w:ascii="Times New Roman" w:hAnsi="Times New Roman" w:eastAsia="Times New Roman" w:cs="Times New Roman"/>
          <w:color w:val="202124"/>
          <w:sz w:val="24"/>
          <w:szCs w:val="24"/>
          <w:lang w:eastAsia="lv-LV"/>
        </w:rPr>
        <w:t>Kā liecina Eiropas Slimību profilakses un kontroles centra (turpmāk – ECDC) publicētā informācija, klīniskos pētījumos ir pierādīts, ka vakcīnas pret Covid-19, kas reģistrētas Eiropas Savienībā, ir efektīvas, lai nodrošinātu aizsardzību pret simptomātisku un smagu Covid-19 saslimšanu. Pierādījumi par vakcīnu pret Covid-19 lietošanu reālajā dzīvē ir apstiprinājuši klīnisko pētījumu rezultātus, kā arī parādījuši labu vakcīnas efektivitāti pret laboratoriski apstiprinātu SARS-CoV-2 infekciju.</w:t>
      </w:r>
    </w:p>
    <w:p w:rsidRPr="00310555" w:rsidR="00EF6F6A" w:rsidP="00310555" w:rsidRDefault="00EF6F6A" w14:paraId="5DB3CC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lang w:eastAsia="lv-LV"/>
        </w:rPr>
      </w:pPr>
      <w:r w:rsidRPr="00310555">
        <w:rPr>
          <w:rFonts w:ascii="Times New Roman" w:hAnsi="Times New Roman" w:eastAsia="Times New Roman" w:cs="Times New Roman"/>
          <w:color w:val="202124"/>
          <w:sz w:val="24"/>
          <w:szCs w:val="24"/>
          <w:lang w:eastAsia="lv-LV"/>
        </w:rPr>
        <w:t>Šobrīd ir veikti arī atsevišķi pētījumi, kas liecina, ka pilnībā vakcinētas personas, ja ir inficētas, var retāk pārnēsāt SARS-CoV-2 ierosinātāju un retāk to nodot nevakcinētām personām. Tomēr joprojām nav skaidru pierādījumu par vakcinācijas pret Covid-19 radītās aizsardzības ilgumu un aizsardzību pret jaunajiem SARS-CoV-2 variantiem.</w:t>
      </w:r>
    </w:p>
    <w:p w:rsidRPr="00310555" w:rsidR="00EF6F6A" w:rsidP="00310555" w:rsidRDefault="00EF6F6A" w14:paraId="55C640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lang w:eastAsia="lv-LV"/>
        </w:rPr>
      </w:pPr>
      <w:r w:rsidRPr="00310555">
        <w:rPr>
          <w:rFonts w:ascii="Times New Roman" w:hAnsi="Times New Roman" w:eastAsia="Times New Roman" w:cs="Times New Roman"/>
          <w:color w:val="202124"/>
          <w:sz w:val="24"/>
          <w:szCs w:val="24"/>
          <w:lang w:eastAsia="lv-LV"/>
        </w:rPr>
        <w:t>Vadoties no iepriekš minētā, ECDC norāda, ka šobrīd ir objektīvi pamatots, ka vakcinācijas rezultātā:</w:t>
      </w:r>
    </w:p>
    <w:p w:rsidRPr="00310555" w:rsidR="00EF6F6A" w:rsidP="00310555" w:rsidRDefault="00EF6F6A" w14:paraId="31B1CDFF" w14:textId="77777777">
      <w:pPr>
        <w:pStyle w:val="Sarakstarindkop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smagas Covid-19 slimības attīstības risks pilnībā vakcinētam indivīdam ir ļoti zems pusaudžiem, jaunākiem pieaugušajiem un pusmūža pieaugušajiem bez smaga Covid-19 riska faktora un zems gados vecākiem pieaugušajiem vai personām ar pamata riska faktoriem;</w:t>
      </w:r>
    </w:p>
    <w:p w:rsidRPr="00310555" w:rsidR="00EF6F6A" w:rsidP="00310555" w:rsidRDefault="00EF6F6A" w14:paraId="0D388655" w14:textId="77777777">
      <w:pPr>
        <w:pStyle w:val="Sarakstarindkop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smagas Covid-19 slimības attīstības risks nevakcinētai personai, kura ir bijusi saskarē ar pilnīgi vakcinētu personu, kas pakļauta SARS-CoV-2 infekcijai, pusaudžiem, jaunākiem pieaugušajiem un pusmūža pieaugušajiem bez riska faktoriem, ir ļoti zems vai zems un vidējs – gados vecākiem pieaugušajiem vai personām ar nopietniem riska faktoriem saistībā ar Covid-19 saslimšanu.</w:t>
      </w:r>
    </w:p>
    <w:p w:rsidRPr="00310555" w:rsidR="00EF6F6A" w:rsidP="00310555" w:rsidRDefault="00EF6F6A" w14:paraId="4C8624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lang w:eastAsia="lv-LV"/>
        </w:rPr>
      </w:pPr>
      <w:r w:rsidRPr="00310555">
        <w:rPr>
          <w:rFonts w:ascii="Times New Roman" w:hAnsi="Times New Roman" w:eastAsia="Times New Roman" w:cs="Times New Roman"/>
          <w:color w:val="202124"/>
          <w:sz w:val="24"/>
          <w:szCs w:val="24"/>
          <w:lang w:eastAsia="lv-LV"/>
        </w:rPr>
        <w:t>Kopumā kopējais Covid-19 saslimšanas risks sabiedrībai ir atkarīgs no vakcinācijas aptveres sabiedrībā kopumā, kā arī citiem faktoriem, kas ietekmē Covid-19 saslimšanas smagumu (vecums, veselības riski, epidemioloģiskā situācija u. tml.). Tādēļ maksimālus ieguvumus no vakcinācijas var sagaidīt, kad ir pietiekami plaša sabiedrības vakcinācija (vairāk kā 50 %), kā arī pietiekami plaši ir veikta riska grupu (personu virs 70 gadu vecuma un personu ar hroniskām slimībām) vakcinācija, sasniedzot vakcinācijas aptveri virs 70 %.</w:t>
      </w:r>
    </w:p>
    <w:p w:rsidRPr="00310555" w:rsidR="00EF6F6A" w:rsidP="00310555" w:rsidRDefault="00EF6F6A" w14:paraId="513030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lang w:eastAsia="lv-LV"/>
        </w:rPr>
      </w:pPr>
      <w:r w:rsidRPr="00310555">
        <w:rPr>
          <w:rFonts w:ascii="Times New Roman" w:hAnsi="Times New Roman" w:eastAsia="Times New Roman" w:cs="Times New Roman"/>
          <w:color w:val="202124"/>
          <w:sz w:val="24"/>
          <w:szCs w:val="24"/>
          <w:lang w:eastAsia="lv-LV"/>
        </w:rPr>
        <w:t>Savukārt ASV Slimību kontroles un novēršanas centrs (turpmāk – CDC) ir norādījis, ka inficēšanās risks ar SARS-CoV-2 ir zems šādos gadījumos:</w:t>
      </w:r>
    </w:p>
    <w:p w:rsidRPr="00310555" w:rsidR="00EF6F6A" w:rsidP="00310555" w:rsidRDefault="00EF6F6A" w14:paraId="40B81278" w14:textId="77777777">
      <w:pPr>
        <w:pStyle w:val="Sarakstarindkop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pilnībā vakcinētām personām, tiekoties ar citām pilnīgi vakcinētām personām, tādēļ šādos gadījumos arī iekštelpās satiekoties var nelietot individuālos aizsardzības līdzekļus un neievērot distanci;</w:t>
      </w:r>
    </w:p>
    <w:p w:rsidRPr="00310555" w:rsidR="00EF6F6A" w:rsidP="00310555" w:rsidRDefault="00EF6F6A" w14:paraId="70A94BCD" w14:textId="77777777">
      <w:pPr>
        <w:pStyle w:val="Sarakstarindkop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pilnībā vakcinētām personām, apmeklējot nevakcinētus cilvēkus no vienas mājsaimniecības, kam ir zems risks saistībā ar Covid-19, nelietojot individuālos aizsardzības līdzekļus un neievērojot distanci;</w:t>
      </w:r>
    </w:p>
    <w:p w:rsidRPr="00310555" w:rsidR="00EF6F6A" w:rsidP="00310555" w:rsidRDefault="00EF6F6A" w14:paraId="29CDD8E2" w14:textId="77777777">
      <w:pPr>
        <w:pStyle w:val="Sarakstarindkop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pilnīgi vakcinētām personām, ja </w:t>
      </w:r>
      <w:r w:rsidRPr="00310555">
        <w:rPr>
          <w:rFonts w:ascii="Times New Roman" w:hAnsi="Times New Roman" w:eastAsia="Calibri" w:cs="Times New Roman"/>
          <w:color w:val="202124"/>
          <w:sz w:val="24"/>
          <w:szCs w:val="24"/>
        </w:rPr>
        <w:t>nav simptomu, neievērot mājas karantīnu un neveikt testēšanu pēc kontakta ar personu, kura inficēta ar SARS-CoV-2;</w:t>
      </w:r>
    </w:p>
    <w:p w:rsidRPr="00310555" w:rsidR="00EF6F6A" w:rsidP="00310555" w:rsidRDefault="00EF6F6A" w14:paraId="59060EAC" w14:textId="77777777">
      <w:pPr>
        <w:pStyle w:val="Sarakstarindkop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pilnīgi vakcinētas personas neveic testēšanu un </w:t>
      </w:r>
      <w:proofErr w:type="spellStart"/>
      <w:r w:rsidRPr="00310555">
        <w:rPr>
          <w:rFonts w:ascii="Times New Roman" w:hAnsi="Times New Roman" w:cs="Times New Roman"/>
          <w:color w:val="202124"/>
          <w:sz w:val="24"/>
          <w:szCs w:val="24"/>
        </w:rPr>
        <w:t>pašizolāciju</w:t>
      </w:r>
      <w:proofErr w:type="spellEnd"/>
      <w:r w:rsidRPr="00310555">
        <w:rPr>
          <w:rFonts w:ascii="Times New Roman" w:hAnsi="Times New Roman" w:cs="Times New Roman"/>
          <w:color w:val="202124"/>
          <w:sz w:val="24"/>
          <w:szCs w:val="24"/>
        </w:rPr>
        <w:t xml:space="preserve"> ceļošanas gadījumā. </w:t>
      </w:r>
    </w:p>
    <w:p w:rsidRPr="00310555" w:rsidR="00EF6F6A" w:rsidP="00310555" w:rsidRDefault="00EF6F6A" w14:paraId="586DBBA4" w14:textId="3A2F802A">
      <w:pPr>
        <w:pStyle w:val="Sarakstarindko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Tajā pa</w:t>
      </w:r>
      <w:r w:rsidR="00FA75FF">
        <w:rPr>
          <w:rFonts w:ascii="Times New Roman" w:hAnsi="Times New Roman" w:cs="Times New Roman"/>
          <w:color w:val="202124"/>
          <w:sz w:val="24"/>
          <w:szCs w:val="24"/>
        </w:rPr>
        <w:t>šā</w:t>
      </w:r>
      <w:r w:rsidRPr="00310555">
        <w:rPr>
          <w:rFonts w:ascii="Times New Roman" w:hAnsi="Times New Roman" w:cs="Times New Roman"/>
          <w:color w:val="202124"/>
          <w:sz w:val="24"/>
          <w:szCs w:val="24"/>
        </w:rPr>
        <w:t xml:space="preserve"> laikā gan ECDC, gan CDC ziņojumos ir uzsvērts, ka tiek reģistrēti arī saslimšanas gadījumi vakcinētu personu vidū, tādēļ arī vakcinētām personām ir jāievēro piesardzības pasākumi, tiekoties ar nevakcinētām personām, īpaši tiekoties ar personām, kurām ir augsts risks saistībā ar Covid-19 saslimšanu. </w:t>
      </w:r>
    </w:p>
    <w:p w:rsidR="004E59F7" w:rsidP="00CE6163" w:rsidRDefault="004E59F7" w14:paraId="4A5BA381" w14:textId="54972FB3">
      <w:pPr>
        <w:pStyle w:val="Sarakstarindko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color w:val="202124"/>
          <w:sz w:val="24"/>
          <w:szCs w:val="24"/>
        </w:rPr>
      </w:pPr>
    </w:p>
    <w:p w:rsidRPr="00310555" w:rsidR="00B01950" w:rsidP="00CE6163" w:rsidRDefault="00B01950" w14:paraId="470DC1F7" w14:textId="77777777">
      <w:pPr>
        <w:pStyle w:val="Sarakstarindko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color w:val="202124"/>
          <w:sz w:val="24"/>
          <w:szCs w:val="24"/>
        </w:rPr>
      </w:pPr>
    </w:p>
    <w:p w:rsidR="00170A85" w:rsidP="00CE6163" w:rsidRDefault="00170A85" w14:paraId="1338B3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02124"/>
          <w:sz w:val="24"/>
          <w:szCs w:val="24"/>
        </w:rPr>
      </w:pPr>
    </w:p>
    <w:p w:rsidRPr="00310555" w:rsidR="00EF6F6A" w:rsidP="00CE6163" w:rsidRDefault="005E613E" w14:paraId="00085948" w14:textId="3EF9E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02124"/>
          <w:sz w:val="24"/>
          <w:szCs w:val="24"/>
        </w:rPr>
      </w:pPr>
      <w:r>
        <w:rPr>
          <w:rFonts w:ascii="Times New Roman" w:hAnsi="Times New Roman" w:cs="Times New Roman"/>
          <w:b/>
          <w:bCs/>
          <w:color w:val="202124"/>
          <w:sz w:val="24"/>
          <w:szCs w:val="24"/>
        </w:rPr>
        <w:lastRenderedPageBreak/>
        <w:t>4</w:t>
      </w:r>
      <w:r w:rsidRPr="00310555" w:rsidR="00507E16">
        <w:rPr>
          <w:rFonts w:ascii="Times New Roman" w:hAnsi="Times New Roman" w:cs="Times New Roman"/>
          <w:b/>
          <w:bCs/>
          <w:color w:val="202124"/>
          <w:sz w:val="24"/>
          <w:szCs w:val="24"/>
        </w:rPr>
        <w:t>. </w:t>
      </w:r>
      <w:r w:rsidR="004E59F7">
        <w:rPr>
          <w:rFonts w:ascii="Times New Roman" w:hAnsi="Times New Roman" w:cs="Times New Roman"/>
          <w:b/>
          <w:bCs/>
          <w:color w:val="202124"/>
          <w:sz w:val="24"/>
          <w:szCs w:val="24"/>
        </w:rPr>
        <w:t>Citu valstu pieeja vakcinācijas veicināšanai</w:t>
      </w:r>
    </w:p>
    <w:p w:rsidRPr="00310555" w:rsidR="00EF6F6A" w:rsidP="00310555" w:rsidRDefault="00EF6F6A" w14:paraId="5B55E1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202124"/>
          <w:sz w:val="24"/>
          <w:szCs w:val="24"/>
        </w:rPr>
      </w:pPr>
    </w:p>
    <w:p w:rsidR="002C14A0" w:rsidP="00163EC8" w:rsidRDefault="00EF6F6A" w14:paraId="1B55A4BE" w14:textId="44CC7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Vadoties no pieejamiem vakcīnu klīnisko pētījumu rezultātiem, kā arī no vakcinācijas rezultātu praktiskās pieredzes, valstīs tiek mazināti piesardzības un drošības pasākumi pilnībā vakcinētām personām. </w:t>
      </w:r>
      <w:r w:rsidR="002C14A0">
        <w:rPr>
          <w:rFonts w:ascii="Times New Roman" w:hAnsi="Times New Roman" w:cs="Times New Roman"/>
          <w:color w:val="202124"/>
          <w:sz w:val="24"/>
          <w:szCs w:val="24"/>
        </w:rPr>
        <w:t>Š</w:t>
      </w:r>
      <w:r w:rsidR="00163EC8">
        <w:rPr>
          <w:rFonts w:ascii="Times New Roman" w:hAnsi="Times New Roman" w:cs="Times New Roman"/>
          <w:color w:val="202124"/>
          <w:sz w:val="24"/>
          <w:szCs w:val="24"/>
        </w:rPr>
        <w:t>ie</w:t>
      </w:r>
      <w:r w:rsidR="002C14A0">
        <w:rPr>
          <w:rFonts w:ascii="Times New Roman" w:hAnsi="Times New Roman" w:cs="Times New Roman"/>
          <w:color w:val="202124"/>
          <w:sz w:val="24"/>
          <w:szCs w:val="24"/>
        </w:rPr>
        <w:t xml:space="preserve"> atvieglojum</w:t>
      </w:r>
      <w:r w:rsidR="00163EC8">
        <w:rPr>
          <w:rFonts w:ascii="Times New Roman" w:hAnsi="Times New Roman" w:cs="Times New Roman"/>
          <w:color w:val="202124"/>
          <w:sz w:val="24"/>
          <w:szCs w:val="24"/>
        </w:rPr>
        <w:t xml:space="preserve">i atbilst inficēšanās un inficēšanas riska samazinājumam vakcinētām personām, kā arī netieši mudina pārējos </w:t>
      </w:r>
      <w:r w:rsidR="00163EC8">
        <w:rPr>
          <w:rFonts w:ascii="Times New Roman" w:hAnsi="Times New Roman" w:cs="Times New Roman"/>
          <w:color w:val="202124"/>
          <w:sz w:val="24"/>
          <w:szCs w:val="24"/>
          <w:lang w:eastAsia="zh-CN"/>
        </w:rPr>
        <w:t>iedzīvotājus vakcinēties.</w:t>
      </w:r>
    </w:p>
    <w:p w:rsidRPr="00310555" w:rsidR="00EF6F6A" w:rsidP="00310555" w:rsidRDefault="00EF6F6A" w14:paraId="08BD48AA" w14:textId="11CB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Piemēram, ierobežojumi ceļošanai (prasība veikt testu, iebraucot valstī, vai </w:t>
      </w:r>
      <w:proofErr w:type="spellStart"/>
      <w:r w:rsidRPr="00310555">
        <w:rPr>
          <w:rFonts w:ascii="Times New Roman" w:hAnsi="Times New Roman" w:cs="Times New Roman"/>
          <w:color w:val="202124"/>
          <w:sz w:val="24"/>
          <w:szCs w:val="24"/>
        </w:rPr>
        <w:t>pašizolācijas</w:t>
      </w:r>
      <w:proofErr w:type="spellEnd"/>
      <w:r w:rsidRPr="00310555">
        <w:rPr>
          <w:rFonts w:ascii="Times New Roman" w:hAnsi="Times New Roman" w:cs="Times New Roman"/>
          <w:color w:val="202124"/>
          <w:sz w:val="24"/>
          <w:szCs w:val="24"/>
        </w:rPr>
        <w:t xml:space="preserve"> prasība) ir atcelti </w:t>
      </w:r>
      <w:r w:rsidRPr="00310555" w:rsidR="00163EC8">
        <w:rPr>
          <w:rFonts w:ascii="Times New Roman" w:hAnsi="Times New Roman" w:cs="Times New Roman"/>
          <w:color w:val="202124"/>
          <w:sz w:val="24"/>
          <w:szCs w:val="24"/>
        </w:rPr>
        <w:t xml:space="preserve">pilnībā vakcinētām personām </w:t>
      </w:r>
      <w:r w:rsidRPr="00310555">
        <w:rPr>
          <w:rFonts w:ascii="Times New Roman" w:hAnsi="Times New Roman" w:cs="Times New Roman"/>
          <w:color w:val="202124"/>
          <w:sz w:val="24"/>
          <w:szCs w:val="24"/>
        </w:rPr>
        <w:t xml:space="preserve">Rumānijā, Islandē, Igaunijā, Lietuvā, Horvātijā, Polijā. </w:t>
      </w:r>
    </w:p>
    <w:p w:rsidRPr="00310555" w:rsidR="00EF6F6A" w:rsidP="00310555" w:rsidRDefault="00EF6F6A" w14:paraId="60994FD6" w14:textId="145D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Savukārt atsevišķās ES valstīs pilnībā vakcinētām personām ir paredzēti izņēmumi atsevišķu aktivitāšu jomā, piemēram, Francijā, Spānijā, Nīderlandē ir paredzēti izņēmumi ilgstošas sociālās aprūpes centru aktivitātēs, Zviedrijā vakcinētām personām ir paredzēti izņēmumi iekštelpās, satiekoties ar vakcinētām personām no citām mājsaimniecībām, Lietuvā plānots mazināt pulcēšanās skaita ierobežojumus vakcinētām personām, Dānijā tiek plānots ieviest izņēmumu vakcinētām personām apmeklēt dažādas izklaides, Igaunijā tiek plānots paredzēt izņēmumus vakcinētām personām konkrētu pakalpojumu izmantošanā. Savukārt Slovēnijā, kur ir ļoti augsta Covid-19 izplatība, pilnībā vakcinētām personām arī tiek paredzēti izņēmumi.</w:t>
      </w:r>
      <w:r w:rsidR="00DE7ADE">
        <w:rPr>
          <w:rFonts w:ascii="Times New Roman" w:hAnsi="Times New Roman" w:cs="Times New Roman"/>
          <w:color w:val="202124"/>
          <w:sz w:val="24"/>
          <w:szCs w:val="24"/>
        </w:rPr>
        <w:t xml:space="preserve"> </w:t>
      </w:r>
    </w:p>
    <w:p w:rsidRPr="00310555" w:rsidR="00EF6F6A" w:rsidP="00310555" w:rsidRDefault="00EF6F6A" w14:paraId="7498B9C7" w14:textId="14EA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Izraēlā un ASV ir panākti vieni no augstākajiem sasniegumiem sabiedrības vakcinācijā, tādēļ šo valstu pieredzi vakcīnu efektivitātes novērtēšanai SARS-CoV-2 infekcijas izplatības ierobežošanā un piesardzības un drošības pasākumu mazināšanā vakcinētām personām izmanto arī citas pasaules valstis. </w:t>
      </w:r>
    </w:p>
    <w:p w:rsidRPr="00310555" w:rsidR="00EF6F6A" w:rsidP="00310555" w:rsidRDefault="00EF6F6A" w14:paraId="221BFCDC" w14:textId="0210D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ASV pilnībā vakcinētas personas var brīvi ceļot valsts iekšienē, neveicot Covid-19 testu un neievērojot </w:t>
      </w:r>
      <w:proofErr w:type="spellStart"/>
      <w:r w:rsidRPr="00310555">
        <w:rPr>
          <w:rFonts w:ascii="Times New Roman" w:hAnsi="Times New Roman" w:cs="Times New Roman"/>
          <w:color w:val="202124"/>
          <w:sz w:val="24"/>
          <w:szCs w:val="24"/>
        </w:rPr>
        <w:t>pašizolāciju</w:t>
      </w:r>
      <w:proofErr w:type="spellEnd"/>
      <w:r w:rsidRPr="00310555">
        <w:rPr>
          <w:rFonts w:ascii="Times New Roman" w:hAnsi="Times New Roman" w:cs="Times New Roman"/>
          <w:color w:val="202124"/>
          <w:sz w:val="24"/>
          <w:szCs w:val="24"/>
        </w:rPr>
        <w:t xml:space="preserve">, savukārt, iebraucot ASV no ārvalstīm, ir jāveic Covid-19 tests pirms iekāpšanas lidmašīnā, bet var neievērot </w:t>
      </w:r>
      <w:proofErr w:type="spellStart"/>
      <w:r w:rsidRPr="00310555">
        <w:rPr>
          <w:rFonts w:ascii="Times New Roman" w:hAnsi="Times New Roman" w:cs="Times New Roman"/>
          <w:color w:val="202124"/>
          <w:sz w:val="24"/>
          <w:szCs w:val="24"/>
        </w:rPr>
        <w:t>pašizolāciju</w:t>
      </w:r>
      <w:proofErr w:type="spellEnd"/>
      <w:r w:rsidRPr="00310555">
        <w:rPr>
          <w:rFonts w:ascii="Times New Roman" w:hAnsi="Times New Roman" w:cs="Times New Roman"/>
          <w:color w:val="202124"/>
          <w:sz w:val="24"/>
          <w:szCs w:val="24"/>
        </w:rPr>
        <w:t xml:space="preserve">. Papildus ASV vakcinētām personām ir atļauta arī brīva tikšanās ar citām nevakcinētām personām iekštelpās, nelietojot individuālos aizsardzības līdzekļus, kā arī vakcinētas personas var tikties ar vienas citas nevakcinētas mājsaimniecības locekļiem, nelietojot individuālos aizsardzības līdzekļus. </w:t>
      </w:r>
    </w:p>
    <w:p w:rsidR="00EF6F6A" w:rsidP="00310555" w:rsidRDefault="00EF6F6A" w14:paraId="26C03740" w14:textId="75D6F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Izraēlā pilnībā vakcinētām personām ir iespējas izmantot tādus konkrētus pakalpojumus kā sporta klubu pakalpojumi, restorāni, bāri, izklaides un kultūras vietas. Šo pakalpojumu sniedzēju saraksts regulāri tiek papildināts. Tāpat Izraēlā pilnībā vakcinētām personām ir izņēmums, izmantojot viesnīcu pakalpojumus (Izraēlā viesnīcas pakalpojumus var izmantot tikai ar negatīvu Covid-19 testu); pilnībā vakcinētas personas var neveikt Covid-19 testu.</w:t>
      </w:r>
    </w:p>
    <w:p w:rsidRPr="00310555" w:rsidR="00B01950" w:rsidP="00310555" w:rsidRDefault="00B01950" w14:paraId="529CAD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p>
    <w:p w:rsidRPr="00310555" w:rsidR="00EF6F6A" w:rsidP="00310555" w:rsidRDefault="00EF6F6A" w14:paraId="371455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p>
    <w:p w:rsidRPr="00310555" w:rsidR="00EF6F6A" w:rsidP="00310555" w:rsidRDefault="005E613E" w14:paraId="2233862E" w14:textId="2105B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02124"/>
          <w:sz w:val="24"/>
          <w:szCs w:val="24"/>
        </w:rPr>
      </w:pPr>
      <w:r>
        <w:rPr>
          <w:rFonts w:ascii="Times New Roman" w:hAnsi="Times New Roman" w:cs="Times New Roman"/>
          <w:b/>
          <w:bCs/>
          <w:color w:val="202124"/>
          <w:sz w:val="24"/>
          <w:szCs w:val="24"/>
        </w:rPr>
        <w:t>5</w:t>
      </w:r>
      <w:r w:rsidRPr="00310555" w:rsidR="00507E16">
        <w:rPr>
          <w:rFonts w:ascii="Times New Roman" w:hAnsi="Times New Roman" w:cs="Times New Roman"/>
          <w:b/>
          <w:bCs/>
          <w:color w:val="202124"/>
          <w:sz w:val="24"/>
          <w:szCs w:val="24"/>
        </w:rPr>
        <w:t xml:space="preserve">. </w:t>
      </w:r>
      <w:r w:rsidR="00DE7ADE">
        <w:rPr>
          <w:rFonts w:ascii="Times New Roman" w:hAnsi="Times New Roman" w:cs="Times New Roman"/>
          <w:b/>
          <w:bCs/>
          <w:color w:val="202124"/>
          <w:sz w:val="24"/>
          <w:szCs w:val="24"/>
        </w:rPr>
        <w:t xml:space="preserve">Nosacījumi, lai personu uzskatītu par vakcinētu </w:t>
      </w:r>
      <w:r w:rsidR="00163EC8">
        <w:rPr>
          <w:rFonts w:ascii="Times New Roman" w:hAnsi="Times New Roman" w:cs="Times New Roman"/>
          <w:b/>
          <w:bCs/>
          <w:color w:val="202124"/>
          <w:sz w:val="24"/>
          <w:szCs w:val="24"/>
        </w:rPr>
        <w:br/>
      </w:r>
      <w:r w:rsidR="00DE7ADE">
        <w:rPr>
          <w:rFonts w:ascii="Times New Roman" w:hAnsi="Times New Roman" w:cs="Times New Roman"/>
          <w:b/>
          <w:bCs/>
          <w:color w:val="202124"/>
          <w:sz w:val="24"/>
          <w:szCs w:val="24"/>
        </w:rPr>
        <w:t xml:space="preserve">vai </w:t>
      </w:r>
      <w:r w:rsidR="00163EC8">
        <w:rPr>
          <w:rFonts w:ascii="Times New Roman" w:hAnsi="Times New Roman" w:cs="Times New Roman"/>
          <w:b/>
          <w:bCs/>
          <w:color w:val="202124"/>
          <w:sz w:val="24"/>
          <w:szCs w:val="24"/>
        </w:rPr>
        <w:t xml:space="preserve">par </w:t>
      </w:r>
      <w:r w:rsidR="00DE7ADE">
        <w:rPr>
          <w:rFonts w:ascii="Times New Roman" w:hAnsi="Times New Roman" w:cs="Times New Roman"/>
          <w:b/>
          <w:bCs/>
          <w:color w:val="202124"/>
          <w:sz w:val="24"/>
          <w:szCs w:val="24"/>
        </w:rPr>
        <w:t>personu, kurai ir zems Covid-19 inficēšanās risks</w:t>
      </w:r>
    </w:p>
    <w:p w:rsidRPr="00310555" w:rsidR="00EF6F6A" w:rsidP="00310555" w:rsidRDefault="00EF6F6A" w14:paraId="2DAF60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p>
    <w:p w:rsidRPr="00310555" w:rsidR="00EF6F6A" w:rsidP="00310555" w:rsidRDefault="00EF6F6A" w14:paraId="3C09E43C" w14:textId="0601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Ņemot vērā vakcīnu īpašības, vakcinētām personām piesardzības un drošības pasākumus var </w:t>
      </w:r>
      <w:r w:rsidRPr="00310555">
        <w:rPr>
          <w:rFonts w:ascii="Times New Roman" w:hAnsi="Times New Roman" w:cs="Times New Roman"/>
          <w:sz w:val="24"/>
          <w:szCs w:val="24"/>
        </w:rPr>
        <w:t xml:space="preserve">mazināt, ja ir iegūta pietiekama imunitāte pēc pabeigta vakcinācijas kursa. </w:t>
      </w:r>
      <w:r w:rsidR="00DE7ADE">
        <w:rPr>
          <w:rFonts w:ascii="Times New Roman" w:hAnsi="Times New Roman" w:cs="Times New Roman"/>
          <w:sz w:val="24"/>
          <w:szCs w:val="24"/>
        </w:rPr>
        <w:t>Visu vakcīnu gadījumā tā ir 15</w:t>
      </w:r>
      <w:r w:rsidR="00163EC8">
        <w:rPr>
          <w:rFonts w:ascii="Times New Roman" w:hAnsi="Times New Roman" w:cs="Times New Roman"/>
          <w:sz w:val="24"/>
          <w:szCs w:val="24"/>
        </w:rPr>
        <w:t>. </w:t>
      </w:r>
      <w:r w:rsidR="00DE7ADE">
        <w:rPr>
          <w:rFonts w:ascii="Times New Roman" w:hAnsi="Times New Roman" w:cs="Times New Roman"/>
          <w:sz w:val="24"/>
          <w:szCs w:val="24"/>
        </w:rPr>
        <w:t xml:space="preserve">diena pēc otrās vakcīnas devas saņemšanas. </w:t>
      </w:r>
      <w:proofErr w:type="spellStart"/>
      <w:r w:rsidRPr="00310555">
        <w:rPr>
          <w:rFonts w:ascii="Times New Roman" w:hAnsi="Times New Roman" w:cs="Times New Roman"/>
          <w:i/>
          <w:iCs/>
          <w:sz w:val="24"/>
          <w:szCs w:val="24"/>
          <w:shd w:val="clear" w:color="auto" w:fill="FFFFFF"/>
        </w:rPr>
        <w:t>Vaxzevria</w:t>
      </w:r>
      <w:proofErr w:type="spellEnd"/>
      <w:r w:rsidRPr="00310555">
        <w:rPr>
          <w:rFonts w:ascii="Times New Roman" w:hAnsi="Times New Roman" w:cs="Times New Roman"/>
          <w:sz w:val="24"/>
          <w:szCs w:val="24"/>
        </w:rPr>
        <w:t xml:space="preserve"> (</w:t>
      </w:r>
      <w:proofErr w:type="spellStart"/>
      <w:r w:rsidRPr="00310555">
        <w:rPr>
          <w:rFonts w:ascii="Times New Roman" w:hAnsi="Times New Roman" w:cs="Times New Roman"/>
          <w:sz w:val="24"/>
          <w:szCs w:val="24"/>
        </w:rPr>
        <w:t>AstraZeneca</w:t>
      </w:r>
      <w:proofErr w:type="spellEnd"/>
      <w:r w:rsidRPr="00310555">
        <w:rPr>
          <w:rFonts w:ascii="Times New Roman" w:hAnsi="Times New Roman" w:cs="Times New Roman"/>
          <w:sz w:val="24"/>
          <w:szCs w:val="24"/>
        </w:rPr>
        <w:t xml:space="preserve">) vakcīnas </w:t>
      </w:r>
      <w:r w:rsidRPr="00310555">
        <w:rPr>
          <w:rFonts w:ascii="Times New Roman" w:hAnsi="Times New Roman" w:cs="Times New Roman"/>
          <w:color w:val="202124"/>
          <w:sz w:val="24"/>
          <w:szCs w:val="24"/>
        </w:rPr>
        <w:t xml:space="preserve">gadījumā tā ir </w:t>
      </w:r>
      <w:r w:rsidR="00163EC8">
        <w:rPr>
          <w:rFonts w:ascii="Times New Roman" w:hAnsi="Times New Roman" w:cs="Times New Roman"/>
          <w:color w:val="202124"/>
          <w:sz w:val="24"/>
          <w:szCs w:val="24"/>
        </w:rPr>
        <w:t xml:space="preserve">arī </w:t>
      </w:r>
      <w:r w:rsidRPr="00310555" w:rsidR="00DE7ADE">
        <w:rPr>
          <w:rFonts w:ascii="Times New Roman" w:hAnsi="Times New Roman" w:cs="Times New Roman"/>
          <w:color w:val="202124"/>
          <w:sz w:val="24"/>
          <w:szCs w:val="24"/>
        </w:rPr>
        <w:t>2</w:t>
      </w:r>
      <w:r w:rsidR="00DE7ADE">
        <w:rPr>
          <w:rFonts w:ascii="Times New Roman" w:hAnsi="Times New Roman" w:cs="Times New Roman"/>
          <w:color w:val="202124"/>
          <w:sz w:val="24"/>
          <w:szCs w:val="24"/>
        </w:rPr>
        <w:t>2</w:t>
      </w:r>
      <w:r w:rsidRPr="00310555">
        <w:rPr>
          <w:rFonts w:ascii="Times New Roman" w:hAnsi="Times New Roman" w:cs="Times New Roman"/>
          <w:color w:val="202124"/>
          <w:sz w:val="24"/>
          <w:szCs w:val="24"/>
        </w:rPr>
        <w:t xml:space="preserve">. līdz 90. diena pēc pirmās vakcīnas devas saņemšanas, </w:t>
      </w:r>
      <w:r w:rsidR="00163EC8">
        <w:rPr>
          <w:rFonts w:ascii="Times New Roman" w:hAnsi="Times New Roman" w:cs="Times New Roman"/>
          <w:color w:val="202124"/>
          <w:sz w:val="24"/>
          <w:szCs w:val="24"/>
        </w:rPr>
        <w:t xml:space="preserve">taču pēc tam </w:t>
      </w:r>
      <w:r w:rsidRPr="00310555">
        <w:rPr>
          <w:rFonts w:ascii="Times New Roman" w:hAnsi="Times New Roman" w:cs="Times New Roman"/>
          <w:color w:val="202124"/>
          <w:sz w:val="24"/>
          <w:szCs w:val="24"/>
        </w:rPr>
        <w:t>ir jāsaņem otrā vakcīnas deva, lai nostiprinātu vakcinācijas efektu.</w:t>
      </w:r>
    </w:p>
    <w:p w:rsidRPr="000957B3" w:rsidR="00EF6F6A" w:rsidP="000957B3" w:rsidRDefault="00EF6F6A" w14:paraId="6285A09F" w14:textId="7EF706A5">
      <w:pPr>
        <w:spacing w:after="0" w:line="240" w:lineRule="auto"/>
        <w:ind w:firstLine="567"/>
        <w:jc w:val="both"/>
        <w:rPr>
          <w:rFonts w:ascii="Times New Roman" w:hAnsi="Times New Roman" w:cs="Times New Roman"/>
          <w:sz w:val="24"/>
          <w:szCs w:val="24"/>
        </w:rPr>
      </w:pPr>
      <w:r w:rsidRPr="00310555">
        <w:rPr>
          <w:rFonts w:ascii="Times New Roman" w:hAnsi="Times New Roman" w:cs="Times New Roman"/>
          <w:color w:val="202124"/>
          <w:sz w:val="24"/>
          <w:szCs w:val="24"/>
        </w:rPr>
        <w:t>To, ka personai veiktā vakcinācija ir bijusi pietiekami efektīva un garantē nepieciešamo aizsardzību, liecina Eiropas Zāļu valsts aģentūras (turpmāk – EZA) atzinums, reģistrējot vakcīnu</w:t>
      </w:r>
      <w:r w:rsidR="00163EC8">
        <w:rPr>
          <w:rFonts w:ascii="Times New Roman" w:hAnsi="Times New Roman" w:cs="Times New Roman"/>
          <w:color w:val="202124"/>
          <w:sz w:val="24"/>
          <w:szCs w:val="24"/>
        </w:rPr>
        <w:t xml:space="preserve">. </w:t>
      </w:r>
      <w:r w:rsidRPr="00310555" w:rsidR="00163EC8">
        <w:rPr>
          <w:rFonts w:ascii="Times New Roman" w:hAnsi="Times New Roman" w:cs="Times New Roman"/>
          <w:color w:val="202124"/>
          <w:sz w:val="24"/>
          <w:szCs w:val="24"/>
        </w:rPr>
        <w:t>Tāpat par vakcīnu kvalitāti un efektivitāti liecina arī Pasaules Veselības organizācijas (turpmāk –</w:t>
      </w:r>
      <w:r w:rsidR="00FA75FF">
        <w:rPr>
          <w:rFonts w:ascii="Times New Roman" w:hAnsi="Times New Roman" w:cs="Times New Roman"/>
          <w:color w:val="202124"/>
          <w:sz w:val="24"/>
          <w:szCs w:val="24"/>
        </w:rPr>
        <w:t xml:space="preserve"> </w:t>
      </w:r>
      <w:r w:rsidRPr="00310555" w:rsidR="00163EC8">
        <w:rPr>
          <w:rFonts w:ascii="Times New Roman" w:hAnsi="Times New Roman" w:cs="Times New Roman"/>
          <w:color w:val="202124"/>
          <w:sz w:val="24"/>
          <w:szCs w:val="24"/>
        </w:rPr>
        <w:t>PVO) atzinums vakcīnas lietošanai.</w:t>
      </w:r>
      <w:r w:rsidR="00163EC8">
        <w:rPr>
          <w:rFonts w:ascii="Times New Roman" w:hAnsi="Times New Roman" w:cs="Times New Roman"/>
          <w:color w:val="202124"/>
          <w:sz w:val="24"/>
          <w:szCs w:val="24"/>
        </w:rPr>
        <w:t xml:space="preserve"> Tiek pieļautas arī vakcīnas, kuru lietošanu ir atzinis </w:t>
      </w:r>
      <w:r w:rsidRPr="00310555">
        <w:rPr>
          <w:rFonts w:ascii="Times New Roman" w:hAnsi="Times New Roman" w:cs="Times New Roman"/>
          <w:color w:val="202124"/>
          <w:sz w:val="24"/>
          <w:szCs w:val="24"/>
        </w:rPr>
        <w:t>EZA līdzvērtīg</w:t>
      </w:r>
      <w:r w:rsidR="00163EC8">
        <w:rPr>
          <w:rFonts w:ascii="Times New Roman" w:hAnsi="Times New Roman" w:cs="Times New Roman"/>
          <w:color w:val="202124"/>
          <w:sz w:val="24"/>
          <w:szCs w:val="24"/>
        </w:rPr>
        <w:t>s</w:t>
      </w:r>
      <w:r w:rsidRPr="00310555">
        <w:rPr>
          <w:rFonts w:ascii="Times New Roman" w:hAnsi="Times New Roman" w:cs="Times New Roman"/>
          <w:color w:val="202124"/>
          <w:sz w:val="24"/>
          <w:szCs w:val="24"/>
        </w:rPr>
        <w:t xml:space="preserve"> regulator</w:t>
      </w:r>
      <w:r w:rsidR="00163EC8">
        <w:rPr>
          <w:rFonts w:ascii="Times New Roman" w:hAnsi="Times New Roman" w:cs="Times New Roman"/>
          <w:color w:val="202124"/>
          <w:sz w:val="24"/>
          <w:szCs w:val="24"/>
        </w:rPr>
        <w:t>s, t.i.</w:t>
      </w:r>
      <w:r w:rsidR="00FA75FF">
        <w:rPr>
          <w:rFonts w:ascii="Times New Roman" w:hAnsi="Times New Roman" w:cs="Times New Roman"/>
          <w:color w:val="202124"/>
          <w:sz w:val="24"/>
          <w:szCs w:val="24"/>
        </w:rPr>
        <w:t>,</w:t>
      </w:r>
      <w:r w:rsidR="00163EC8">
        <w:rPr>
          <w:rFonts w:ascii="Times New Roman" w:hAnsi="Times New Roman" w:cs="Times New Roman"/>
          <w:color w:val="202124"/>
          <w:sz w:val="24"/>
          <w:szCs w:val="24"/>
        </w:rPr>
        <w:t xml:space="preserve"> </w:t>
      </w:r>
      <w:r w:rsidRPr="00310555">
        <w:rPr>
          <w:rFonts w:ascii="Times New Roman" w:hAnsi="Times New Roman" w:cs="Times New Roman"/>
          <w:color w:val="202124"/>
          <w:sz w:val="24"/>
          <w:szCs w:val="24"/>
        </w:rPr>
        <w:t>to valstu zāļu reģistrācijas regulatori, ar kuriem EZA</w:t>
      </w:r>
      <w:r w:rsidR="00DE7ADE">
        <w:rPr>
          <w:rFonts w:ascii="Times New Roman" w:hAnsi="Times New Roman" w:cs="Times New Roman"/>
          <w:color w:val="202124"/>
          <w:sz w:val="24"/>
          <w:szCs w:val="24"/>
        </w:rPr>
        <w:t xml:space="preserve"> ir līgums</w:t>
      </w:r>
      <w:r w:rsidRPr="00310555">
        <w:rPr>
          <w:rFonts w:ascii="Times New Roman" w:hAnsi="Times New Roman" w:cs="Times New Roman"/>
          <w:color w:val="202124"/>
          <w:sz w:val="24"/>
          <w:szCs w:val="24"/>
        </w:rPr>
        <w:t xml:space="preserve"> </w:t>
      </w:r>
      <w:r w:rsidRPr="00DE7ADE" w:rsidR="00DE7ADE">
        <w:rPr>
          <w:rFonts w:ascii="Times New Roman" w:hAnsi="Times New Roman" w:cs="Times New Roman"/>
          <w:color w:val="202124"/>
          <w:sz w:val="24"/>
          <w:szCs w:val="24"/>
        </w:rPr>
        <w:t>par ražotāju pārbaužu atzīšanu</w:t>
      </w:r>
      <w:r w:rsidR="00DE7ADE">
        <w:rPr>
          <w:rStyle w:val="Vresatsauce"/>
          <w:rFonts w:ascii="Times New Roman" w:hAnsi="Times New Roman" w:cs="Times New Roman"/>
          <w:color w:val="202124"/>
          <w:sz w:val="24"/>
          <w:szCs w:val="24"/>
        </w:rPr>
        <w:footnoteReference w:id="19"/>
      </w:r>
      <w:r w:rsidRPr="00310555">
        <w:rPr>
          <w:rFonts w:ascii="Times New Roman" w:hAnsi="Times New Roman" w:cs="Times New Roman"/>
          <w:color w:val="202124"/>
          <w:sz w:val="24"/>
          <w:szCs w:val="24"/>
        </w:rPr>
        <w:t>,</w:t>
      </w:r>
      <w:r w:rsidRPr="000957B3" w:rsidR="000957B3">
        <w:rPr>
          <w:rFonts w:ascii="Times New Roman" w:hAnsi="Times New Roman" w:cs="Times New Roman"/>
          <w:sz w:val="28"/>
          <w:szCs w:val="28"/>
        </w:rPr>
        <w:t xml:space="preserve"> </w:t>
      </w:r>
      <w:r w:rsidRPr="000957B3" w:rsidR="000957B3">
        <w:rPr>
          <w:rFonts w:ascii="Times New Roman" w:hAnsi="Times New Roman" w:cs="Times New Roman"/>
          <w:sz w:val="24"/>
          <w:szCs w:val="24"/>
        </w:rPr>
        <w:t xml:space="preserve">un līgumi atzīti Latvijā atbilstoši 2006. gada 9. maija </w:t>
      </w:r>
      <w:r w:rsidRPr="000957B3" w:rsidR="000957B3">
        <w:rPr>
          <w:rFonts w:ascii="Times New Roman" w:hAnsi="Times New Roman" w:cs="Times New Roman"/>
          <w:sz w:val="24"/>
          <w:szCs w:val="24"/>
        </w:rPr>
        <w:lastRenderedPageBreak/>
        <w:t>MK noteikumu Nr.3 76 “Zāļu reģistrēšanas kārtība” 17.16. punktam</w:t>
      </w:r>
      <w:r w:rsidR="000957B3">
        <w:rPr>
          <w:rFonts w:ascii="Times New Roman" w:hAnsi="Times New Roman" w:cs="Times New Roman"/>
          <w:sz w:val="24"/>
          <w:szCs w:val="24"/>
        </w:rPr>
        <w:t>,</w:t>
      </w:r>
      <w:r w:rsidR="00163EC8">
        <w:rPr>
          <w:rFonts w:ascii="Times New Roman" w:hAnsi="Times New Roman" w:cs="Times New Roman"/>
          <w:sz w:val="24"/>
          <w:szCs w:val="24"/>
        </w:rPr>
        <w:t xml:space="preserve"> </w:t>
      </w:r>
      <w:r w:rsidRPr="00310555">
        <w:rPr>
          <w:rFonts w:ascii="Times New Roman" w:hAnsi="Times New Roman" w:cs="Times New Roman"/>
          <w:color w:val="202124"/>
          <w:sz w:val="24"/>
          <w:szCs w:val="24"/>
        </w:rPr>
        <w:t xml:space="preserve">tādējādi apliecinot šo iestāžu darbības kvalitāti. </w:t>
      </w:r>
    </w:p>
    <w:p w:rsidRPr="00310555" w:rsidR="00EF6F6A" w:rsidP="00310555" w:rsidRDefault="00EF6F6A" w14:paraId="3B6FD0E6" w14:textId="6ECCE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 xml:space="preserve">Tādējādi par pilnībā </w:t>
      </w:r>
      <w:r w:rsidRPr="00310555">
        <w:rPr>
          <w:rFonts w:ascii="Times New Roman" w:hAnsi="Times New Roman" w:cs="Times New Roman"/>
          <w:sz w:val="24"/>
          <w:szCs w:val="24"/>
        </w:rPr>
        <w:t>vakcinētu personu var uzskatīt personu, kura ir saņēmusi pilnu vakcinācijas kursu (</w:t>
      </w:r>
      <w:proofErr w:type="spellStart"/>
      <w:r w:rsidRPr="00310555">
        <w:rPr>
          <w:rFonts w:ascii="Times New Roman" w:hAnsi="Times New Roman" w:cs="Times New Roman"/>
          <w:i/>
          <w:iCs/>
          <w:sz w:val="24"/>
          <w:szCs w:val="24"/>
          <w:shd w:val="clear" w:color="auto" w:fill="FFFFFF"/>
        </w:rPr>
        <w:t>Vaxzevria</w:t>
      </w:r>
      <w:proofErr w:type="spellEnd"/>
      <w:r w:rsidRPr="00310555">
        <w:rPr>
          <w:rFonts w:ascii="Times New Roman" w:hAnsi="Times New Roman" w:cs="Times New Roman"/>
          <w:sz w:val="24"/>
          <w:szCs w:val="24"/>
        </w:rPr>
        <w:t xml:space="preserve"> </w:t>
      </w:r>
      <w:r w:rsidRPr="00310555">
        <w:rPr>
          <w:rFonts w:ascii="Times New Roman" w:hAnsi="Times New Roman" w:cs="Times New Roman"/>
          <w:color w:val="202124"/>
          <w:sz w:val="24"/>
          <w:szCs w:val="24"/>
        </w:rPr>
        <w:t>gadījumā arī no 2</w:t>
      </w:r>
      <w:r w:rsidR="00163EC8">
        <w:rPr>
          <w:rFonts w:ascii="Times New Roman" w:hAnsi="Times New Roman" w:cs="Times New Roman"/>
          <w:color w:val="202124"/>
          <w:sz w:val="24"/>
          <w:szCs w:val="24"/>
        </w:rPr>
        <w:t>2</w:t>
      </w:r>
      <w:r w:rsidRPr="00310555">
        <w:rPr>
          <w:rFonts w:ascii="Times New Roman" w:hAnsi="Times New Roman" w:cs="Times New Roman"/>
          <w:color w:val="202124"/>
          <w:sz w:val="24"/>
          <w:szCs w:val="24"/>
        </w:rPr>
        <w:t>. dienas līdz 90. dienai pēc pirmās vakcīnas devas saņemšanas) ar vakcīnu, kas ir reģistrēta EZA</w:t>
      </w:r>
      <w:r w:rsidR="00163EC8">
        <w:rPr>
          <w:rFonts w:ascii="Times New Roman" w:hAnsi="Times New Roman" w:cs="Times New Roman"/>
          <w:color w:val="202124"/>
          <w:sz w:val="24"/>
          <w:szCs w:val="24"/>
        </w:rPr>
        <w:t>,</w:t>
      </w:r>
      <w:r w:rsidRPr="00310555">
        <w:rPr>
          <w:rFonts w:ascii="Times New Roman" w:hAnsi="Times New Roman" w:cs="Times New Roman"/>
          <w:color w:val="202124"/>
          <w:sz w:val="24"/>
          <w:szCs w:val="24"/>
        </w:rPr>
        <w:t xml:space="preserve"> vai ir līdzvērtīga zāļu regulatora, vai PVO atzīta.</w:t>
      </w:r>
    </w:p>
    <w:p w:rsidR="00EF6F6A" w:rsidP="00310555" w:rsidRDefault="00EF6F6A" w14:paraId="4BADD8ED" w14:textId="010A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310555">
        <w:rPr>
          <w:rFonts w:ascii="Times New Roman" w:hAnsi="Times New Roman" w:cs="Times New Roman"/>
          <w:color w:val="202124"/>
          <w:sz w:val="24"/>
          <w:szCs w:val="24"/>
        </w:rPr>
        <w:t>Kā tika minēts iepriekš, šobrīd nav pierādījumu vakcinācijas pret Covid-19 imunitātes noturības laikam. Pārslimojot Covid-19, imunitāte saglabājas no 5 līdz 7 mēnešiem, tādēļ šobrīd daudzas valstis arī imunitātes noturības laikam pēc vakcinācijas saņemšanas piemēro šo pašu termiņu</w:t>
      </w:r>
      <w:r w:rsidR="00163EC8">
        <w:rPr>
          <w:rFonts w:ascii="Times New Roman" w:hAnsi="Times New Roman" w:cs="Times New Roman"/>
          <w:color w:val="202124"/>
          <w:sz w:val="24"/>
          <w:szCs w:val="24"/>
        </w:rPr>
        <w:t xml:space="preserve"> (5-7 mēnešus)</w:t>
      </w:r>
      <w:r w:rsidRPr="00310555">
        <w:rPr>
          <w:rFonts w:ascii="Times New Roman" w:hAnsi="Times New Roman" w:cs="Times New Roman"/>
          <w:color w:val="202124"/>
          <w:sz w:val="24"/>
          <w:szCs w:val="24"/>
        </w:rPr>
        <w:t>.</w:t>
      </w:r>
    </w:p>
    <w:p w:rsidR="00815D08" w:rsidP="00815D08" w:rsidRDefault="00815D08" w14:paraId="7902E383" w14:textId="5FAA30B0">
      <w:pPr>
        <w:spacing w:after="0" w:line="240" w:lineRule="auto"/>
        <w:ind w:firstLine="567"/>
        <w:jc w:val="both"/>
        <w:rPr>
          <w:rFonts w:ascii="Times New Roman" w:hAnsi="Times New Roman" w:cs="Times New Roman"/>
          <w:sz w:val="24"/>
          <w:szCs w:val="24"/>
        </w:rPr>
      </w:pPr>
      <w:r w:rsidRPr="00815D08">
        <w:rPr>
          <w:rFonts w:ascii="Times New Roman" w:hAnsi="Times New Roman" w:cs="Times New Roman"/>
          <w:sz w:val="24"/>
          <w:szCs w:val="24"/>
        </w:rPr>
        <w:t>Dabīgā ceļā imunitāti pret Covid-19 iegūst pēc pārslimošanas, tādēļ arī person</w:t>
      </w:r>
      <w:r>
        <w:rPr>
          <w:rFonts w:ascii="Times New Roman" w:hAnsi="Times New Roman" w:cs="Times New Roman"/>
          <w:sz w:val="24"/>
          <w:szCs w:val="24"/>
        </w:rPr>
        <w:t>as</w:t>
      </w:r>
      <w:r w:rsidRPr="00815D08">
        <w:rPr>
          <w:rFonts w:ascii="Times New Roman" w:hAnsi="Times New Roman" w:cs="Times New Roman"/>
          <w:sz w:val="24"/>
          <w:szCs w:val="24"/>
        </w:rPr>
        <w:t xml:space="preserve">, kas ir izslimojušas Covid-19 var tikt </w:t>
      </w:r>
      <w:r>
        <w:rPr>
          <w:rFonts w:ascii="Times New Roman" w:hAnsi="Times New Roman" w:cs="Times New Roman"/>
          <w:sz w:val="24"/>
          <w:szCs w:val="24"/>
        </w:rPr>
        <w:t>uzskatītas par personām ar zemu Covid-19 inficēšanās risku</w:t>
      </w:r>
      <w:r w:rsidR="00163EC8">
        <w:rPr>
          <w:rFonts w:ascii="Times New Roman" w:hAnsi="Times New Roman" w:cs="Times New Roman"/>
          <w:sz w:val="24"/>
          <w:szCs w:val="24"/>
        </w:rPr>
        <w:t xml:space="preserve"> pēc izveseļošanās un sešus mēnešus kopš pēdējā pozitīvā PĶR testa</w:t>
      </w:r>
      <w:r w:rsidRPr="00815D08">
        <w:rPr>
          <w:rFonts w:ascii="Times New Roman" w:hAnsi="Times New Roman" w:cs="Times New Roman"/>
          <w:sz w:val="24"/>
          <w:szCs w:val="24"/>
        </w:rPr>
        <w:t>.</w:t>
      </w:r>
      <w:r w:rsidR="009F4812">
        <w:rPr>
          <w:rFonts w:ascii="Times New Roman" w:hAnsi="Times New Roman" w:cs="Times New Roman"/>
          <w:sz w:val="24"/>
          <w:szCs w:val="24"/>
        </w:rPr>
        <w:t xml:space="preserve"> Tādēļ arī pret personām, kas pārslimojušas Covid-19 būtu jāpiemēro līdzīgi principi, kā pret vakcinētām personām.</w:t>
      </w:r>
    </w:p>
    <w:p w:rsidRPr="00815D08" w:rsidR="00B01950" w:rsidP="00815D08" w:rsidRDefault="00B01950" w14:paraId="1F1AB325" w14:textId="77777777">
      <w:pPr>
        <w:spacing w:after="0" w:line="240" w:lineRule="auto"/>
        <w:ind w:firstLine="567"/>
        <w:jc w:val="both"/>
        <w:rPr>
          <w:rFonts w:ascii="Times New Roman" w:hAnsi="Times New Roman" w:cs="Times New Roman"/>
          <w:sz w:val="24"/>
          <w:szCs w:val="24"/>
        </w:rPr>
      </w:pPr>
    </w:p>
    <w:p w:rsidRPr="00310555" w:rsidR="00EF6F6A" w:rsidP="00310555" w:rsidRDefault="00EF6F6A" w14:paraId="6767DF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p>
    <w:p w:rsidRPr="00310555" w:rsidR="00EF6F6A" w:rsidP="00310555" w:rsidRDefault="000D1402" w14:paraId="17085888" w14:textId="641B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02124"/>
          <w:sz w:val="24"/>
          <w:szCs w:val="24"/>
        </w:rPr>
      </w:pPr>
      <w:r>
        <w:rPr>
          <w:rFonts w:ascii="Times New Roman" w:hAnsi="Times New Roman" w:cs="Times New Roman"/>
          <w:b/>
          <w:bCs/>
          <w:color w:val="202124"/>
          <w:sz w:val="24"/>
          <w:szCs w:val="24"/>
        </w:rPr>
        <w:t>6</w:t>
      </w:r>
      <w:r w:rsidRPr="00310555" w:rsidR="004729A2">
        <w:rPr>
          <w:rFonts w:ascii="Times New Roman" w:hAnsi="Times New Roman" w:cs="Times New Roman"/>
          <w:b/>
          <w:bCs/>
          <w:color w:val="202124"/>
          <w:sz w:val="24"/>
          <w:szCs w:val="24"/>
        </w:rPr>
        <w:t>.</w:t>
      </w:r>
      <w:r>
        <w:rPr>
          <w:rFonts w:ascii="Times New Roman" w:hAnsi="Times New Roman" w:cs="Times New Roman"/>
          <w:b/>
          <w:bCs/>
          <w:color w:val="202124"/>
          <w:sz w:val="24"/>
          <w:szCs w:val="24"/>
        </w:rPr>
        <w:t xml:space="preserve"> </w:t>
      </w:r>
      <w:r w:rsidR="00444B17">
        <w:rPr>
          <w:rFonts w:ascii="Times New Roman" w:hAnsi="Times New Roman" w:cs="Times New Roman"/>
          <w:b/>
          <w:bCs/>
          <w:color w:val="202124"/>
          <w:sz w:val="24"/>
          <w:szCs w:val="24"/>
        </w:rPr>
        <w:t>V</w:t>
      </w:r>
      <w:r w:rsidR="004E59F7">
        <w:rPr>
          <w:rFonts w:ascii="Times New Roman" w:hAnsi="Times New Roman" w:cs="Times New Roman"/>
          <w:b/>
          <w:bCs/>
          <w:color w:val="202124"/>
          <w:sz w:val="24"/>
          <w:szCs w:val="24"/>
        </w:rPr>
        <w:t xml:space="preserve">akcinācijas aptvere </w:t>
      </w:r>
      <w:r w:rsidR="000957B3">
        <w:rPr>
          <w:rFonts w:ascii="Times New Roman" w:hAnsi="Times New Roman" w:cs="Times New Roman"/>
          <w:b/>
          <w:bCs/>
          <w:color w:val="202124"/>
          <w:sz w:val="24"/>
          <w:szCs w:val="24"/>
        </w:rPr>
        <w:t>Latvijā</w:t>
      </w:r>
    </w:p>
    <w:p w:rsidRPr="00310555" w:rsidR="00EF6F6A" w:rsidP="00310555" w:rsidRDefault="00EF6F6A" w14:paraId="363923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color w:val="202124"/>
          <w:sz w:val="24"/>
          <w:szCs w:val="24"/>
        </w:rPr>
      </w:pPr>
    </w:p>
    <w:p w:rsidR="005C6DBB" w:rsidP="00310555" w:rsidRDefault="00EF6F6A" w14:paraId="78933CE1" w14:textId="7B1DB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310555">
        <w:rPr>
          <w:rFonts w:ascii="Times New Roman" w:hAnsi="Times New Roman" w:eastAsia="Times New Roman" w:cs="Times New Roman"/>
          <w:color w:val="202124"/>
          <w:sz w:val="24"/>
          <w:szCs w:val="24"/>
        </w:rPr>
        <w:t xml:space="preserve">Kā iepriekš ir norādīts, vakcinācijas efekts sabiedrībā ir pietiekams, kad ir panākta pietiekama sabiedrības un riska grupu vakcinācijas aptvere. </w:t>
      </w:r>
      <w:r w:rsidR="000957B3">
        <w:rPr>
          <w:rFonts w:ascii="Times New Roman" w:hAnsi="Times New Roman" w:eastAsia="Times New Roman" w:cs="Times New Roman"/>
          <w:color w:val="202124"/>
          <w:sz w:val="24"/>
          <w:szCs w:val="24"/>
        </w:rPr>
        <w:t xml:space="preserve">Par pietiekamu kolektīvo aizsardzību uzskata, ja vakcinācijas aptvere sabiedrībā sasniedz 70-90%. </w:t>
      </w:r>
      <w:r w:rsidR="005C6DBB">
        <w:rPr>
          <w:rFonts w:ascii="Times New Roman" w:hAnsi="Times New Roman" w:eastAsia="Times New Roman" w:cs="Times New Roman"/>
          <w:color w:val="202124"/>
          <w:sz w:val="24"/>
          <w:szCs w:val="24"/>
        </w:rPr>
        <w:t>Lai uzsāktu ierobežojumu atvieglojumus vakcinētām personām, jāsasniedz kopējā vakcinācijas aptvere vismaz 30-40%, taču tai ir jābūt 70-90% riska grupās.</w:t>
      </w:r>
    </w:p>
    <w:p w:rsidRPr="00310555" w:rsidR="00EF6F6A" w:rsidP="00310555" w:rsidRDefault="00EF6F6A" w14:paraId="4919E475" w14:textId="6F6C9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310555">
        <w:rPr>
          <w:rFonts w:ascii="Times New Roman" w:hAnsi="Times New Roman" w:eastAsia="Times New Roman" w:cs="Times New Roman"/>
          <w:color w:val="202124"/>
          <w:sz w:val="24"/>
          <w:szCs w:val="24"/>
        </w:rPr>
        <w:t xml:space="preserve">Latvijā šobrīd pirmo vakcīnas devu ir saņēmušas vairāk kā </w:t>
      </w:r>
      <w:r w:rsidRPr="00310555" w:rsidR="00163EC8">
        <w:rPr>
          <w:rFonts w:ascii="Times New Roman" w:hAnsi="Times New Roman" w:eastAsia="Times New Roman" w:cs="Times New Roman"/>
          <w:color w:val="202124"/>
          <w:sz w:val="24"/>
          <w:szCs w:val="24"/>
        </w:rPr>
        <w:t>1</w:t>
      </w:r>
      <w:r w:rsidR="00163EC8">
        <w:rPr>
          <w:rFonts w:ascii="Times New Roman" w:hAnsi="Times New Roman" w:eastAsia="Times New Roman" w:cs="Times New Roman"/>
          <w:color w:val="202124"/>
          <w:sz w:val="24"/>
          <w:szCs w:val="24"/>
        </w:rPr>
        <w:t>3</w:t>
      </w:r>
      <w:r w:rsidRPr="00310555" w:rsidR="00163EC8">
        <w:rPr>
          <w:rFonts w:ascii="Times New Roman" w:hAnsi="Times New Roman" w:eastAsia="Times New Roman" w:cs="Times New Roman"/>
          <w:color w:val="202124"/>
          <w:sz w:val="24"/>
          <w:szCs w:val="24"/>
        </w:rPr>
        <w:t> </w:t>
      </w:r>
      <w:r w:rsidRPr="00310555">
        <w:rPr>
          <w:rFonts w:ascii="Times New Roman" w:hAnsi="Times New Roman" w:eastAsia="Times New Roman" w:cs="Times New Roman"/>
          <w:color w:val="202124"/>
          <w:sz w:val="24"/>
          <w:szCs w:val="24"/>
        </w:rPr>
        <w:t>% personu, bet otro devu ir saņēmuš</w:t>
      </w:r>
      <w:r w:rsidR="00163EC8">
        <w:rPr>
          <w:rFonts w:ascii="Times New Roman" w:hAnsi="Times New Roman" w:eastAsia="Times New Roman" w:cs="Times New Roman"/>
          <w:color w:val="202124"/>
          <w:sz w:val="24"/>
          <w:szCs w:val="24"/>
        </w:rPr>
        <w:t xml:space="preserve">i aptuveni </w:t>
      </w:r>
      <w:r w:rsidRPr="00310555">
        <w:rPr>
          <w:rFonts w:ascii="Times New Roman" w:hAnsi="Times New Roman" w:eastAsia="Times New Roman" w:cs="Times New Roman"/>
          <w:color w:val="202124"/>
          <w:sz w:val="24"/>
          <w:szCs w:val="24"/>
        </w:rPr>
        <w:t>2 % personu</w:t>
      </w:r>
      <w:r w:rsidR="00163EC8">
        <w:rPr>
          <w:rFonts w:ascii="Times New Roman" w:hAnsi="Times New Roman" w:eastAsia="Times New Roman" w:cs="Times New Roman"/>
          <w:color w:val="202124"/>
          <w:sz w:val="24"/>
          <w:szCs w:val="24"/>
        </w:rPr>
        <w:t xml:space="preserve">. </w:t>
      </w:r>
      <w:r w:rsidR="005C6DBB">
        <w:rPr>
          <w:rFonts w:ascii="Times New Roman" w:hAnsi="Times New Roman" w:eastAsia="Times New Roman" w:cs="Times New Roman"/>
          <w:color w:val="202124"/>
          <w:sz w:val="24"/>
          <w:szCs w:val="24"/>
        </w:rPr>
        <w:t>Paaugstināta riska grupās – p</w:t>
      </w:r>
      <w:r w:rsidRPr="00310555">
        <w:rPr>
          <w:rFonts w:ascii="Times New Roman" w:hAnsi="Times New Roman" w:eastAsia="Times New Roman" w:cs="Times New Roman"/>
          <w:color w:val="202124"/>
          <w:sz w:val="24"/>
          <w:szCs w:val="24"/>
        </w:rPr>
        <w:t>ersonu vecuma grupā virs 70</w:t>
      </w:r>
      <w:r w:rsidR="005C6DBB">
        <w:rPr>
          <w:rFonts w:ascii="Times New Roman" w:hAnsi="Times New Roman" w:eastAsia="Times New Roman" w:cs="Times New Roman"/>
          <w:color w:val="202124"/>
          <w:sz w:val="24"/>
          <w:szCs w:val="24"/>
        </w:rPr>
        <w:t xml:space="preserve"> gadiem,</w:t>
      </w:r>
      <w:r w:rsidRPr="00310555" w:rsidR="005C6DBB">
        <w:rPr>
          <w:rFonts w:ascii="Times New Roman" w:hAnsi="Times New Roman" w:eastAsia="Times New Roman" w:cs="Times New Roman"/>
          <w:color w:val="202124"/>
          <w:sz w:val="24"/>
          <w:szCs w:val="24"/>
        </w:rPr>
        <w:t xml:space="preserve"> </w:t>
      </w:r>
      <w:r w:rsidRPr="00310555">
        <w:rPr>
          <w:rFonts w:ascii="Times New Roman" w:hAnsi="Times New Roman" w:eastAsia="Times New Roman" w:cs="Times New Roman"/>
          <w:color w:val="202124"/>
          <w:sz w:val="24"/>
          <w:szCs w:val="24"/>
        </w:rPr>
        <w:t xml:space="preserve">vakcinācijas aptvere </w:t>
      </w:r>
      <w:r w:rsidR="005C6DBB">
        <w:rPr>
          <w:rFonts w:ascii="Times New Roman" w:hAnsi="Times New Roman" w:eastAsia="Times New Roman" w:cs="Times New Roman"/>
          <w:color w:val="202124"/>
          <w:sz w:val="24"/>
          <w:szCs w:val="24"/>
        </w:rPr>
        <w:t xml:space="preserve">ir </w:t>
      </w:r>
      <w:r w:rsidRPr="00310555">
        <w:rPr>
          <w:rFonts w:ascii="Times New Roman" w:hAnsi="Times New Roman" w:eastAsia="Times New Roman" w:cs="Times New Roman"/>
          <w:color w:val="202124"/>
          <w:sz w:val="24"/>
          <w:szCs w:val="24"/>
        </w:rPr>
        <w:t>34.4 % (1. pote), bet pabeigta vakcinācija ir mazliet vairāk kā 2%, savukārt starp ilgstošas sociālās aprūpes centru klientiem pirmo poti saņēmuši vairāk kā 56% personu, bet pabeigta vakcinācija ir mazliet vairāk kā 4% klientu.</w:t>
      </w:r>
    </w:p>
    <w:p w:rsidR="00EF6F6A" w:rsidP="00310555" w:rsidRDefault="00EF6F6A" w14:paraId="015E4316" w14:textId="333CB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310555">
        <w:rPr>
          <w:rFonts w:ascii="Times New Roman" w:hAnsi="Times New Roman" w:eastAsia="Times New Roman" w:cs="Times New Roman"/>
          <w:color w:val="202124"/>
          <w:sz w:val="24"/>
          <w:szCs w:val="24"/>
        </w:rPr>
        <w:t>Šobrīd vakcinācija tiek nodrošināta noteiktām prioritāri vakcinējamo personu grupām, jo vakcīnas ir pieejamas ierobežotā apjomā. Vakcinācija jau ir pieejama ārstniecības personām/ārstniecības atbalsta personām (</w:t>
      </w:r>
      <w:r w:rsidR="005C6DBB">
        <w:rPr>
          <w:rFonts w:ascii="Times New Roman" w:hAnsi="Times New Roman" w:eastAsia="Times New Roman" w:cs="Times New Roman"/>
          <w:color w:val="202124"/>
          <w:sz w:val="24"/>
          <w:szCs w:val="24"/>
        </w:rPr>
        <w:t xml:space="preserve">I prioritārā grupa, </w:t>
      </w:r>
      <w:r w:rsidRPr="00310555">
        <w:rPr>
          <w:rFonts w:ascii="Times New Roman" w:hAnsi="Times New Roman" w:eastAsia="Times New Roman" w:cs="Times New Roman"/>
          <w:color w:val="202124"/>
          <w:sz w:val="24"/>
          <w:szCs w:val="24"/>
        </w:rPr>
        <w:t>no 28.12.2020); ilgstošas sociālās aprūpes centru klientiem un darbiniekiem (</w:t>
      </w:r>
      <w:r w:rsidR="005C6DBB">
        <w:rPr>
          <w:rFonts w:ascii="Times New Roman" w:hAnsi="Times New Roman" w:eastAsia="Times New Roman" w:cs="Times New Roman"/>
          <w:color w:val="202124"/>
          <w:sz w:val="24"/>
          <w:szCs w:val="24"/>
        </w:rPr>
        <w:t xml:space="preserve">II prioritārā grupa, </w:t>
      </w:r>
      <w:r w:rsidRPr="00310555">
        <w:rPr>
          <w:rFonts w:ascii="Times New Roman" w:hAnsi="Times New Roman" w:eastAsia="Times New Roman" w:cs="Times New Roman"/>
          <w:color w:val="202124"/>
          <w:sz w:val="24"/>
          <w:szCs w:val="24"/>
        </w:rPr>
        <w:t>no 09.02.2021); personām vecumā virs 60 gadu vecuma (</w:t>
      </w:r>
      <w:r w:rsidR="005C6DBB">
        <w:rPr>
          <w:rFonts w:ascii="Times New Roman" w:hAnsi="Times New Roman" w:eastAsia="Times New Roman" w:cs="Times New Roman"/>
          <w:color w:val="202124"/>
          <w:sz w:val="24"/>
          <w:szCs w:val="24"/>
        </w:rPr>
        <w:t xml:space="preserve">III-IV prioritārās grupas, </w:t>
      </w:r>
      <w:r w:rsidRPr="00310555">
        <w:rPr>
          <w:rFonts w:ascii="Times New Roman" w:hAnsi="Times New Roman" w:eastAsia="Times New Roman" w:cs="Times New Roman"/>
          <w:color w:val="202124"/>
          <w:sz w:val="24"/>
          <w:szCs w:val="24"/>
        </w:rPr>
        <w:t>no 04.04.2021.); personām ar hroniskām slimībām (</w:t>
      </w:r>
      <w:r w:rsidR="005C6DBB">
        <w:rPr>
          <w:rFonts w:ascii="Times New Roman" w:hAnsi="Times New Roman" w:eastAsia="Times New Roman" w:cs="Times New Roman"/>
          <w:color w:val="202124"/>
          <w:sz w:val="24"/>
          <w:szCs w:val="24"/>
        </w:rPr>
        <w:t xml:space="preserve">III prioritārā grupa, </w:t>
      </w:r>
      <w:r w:rsidRPr="00310555">
        <w:rPr>
          <w:rFonts w:ascii="Times New Roman" w:hAnsi="Times New Roman" w:eastAsia="Times New Roman" w:cs="Times New Roman"/>
          <w:color w:val="202124"/>
          <w:sz w:val="24"/>
          <w:szCs w:val="24"/>
        </w:rPr>
        <w:t xml:space="preserve">no 23.03.2021.); personām, kuras dzīvo vienā mājsaimniecībā ar bērniem, kuriem ir noteiktas hroniskas un </w:t>
      </w:r>
      <w:proofErr w:type="spellStart"/>
      <w:r w:rsidRPr="00310555">
        <w:rPr>
          <w:rFonts w:ascii="Times New Roman" w:hAnsi="Times New Roman" w:eastAsia="Times New Roman" w:cs="Times New Roman"/>
          <w:color w:val="202124"/>
          <w:sz w:val="24"/>
          <w:szCs w:val="24"/>
        </w:rPr>
        <w:t>imūnsupresējošas</w:t>
      </w:r>
      <w:proofErr w:type="spellEnd"/>
      <w:r w:rsidRPr="00310555">
        <w:rPr>
          <w:rFonts w:ascii="Times New Roman" w:hAnsi="Times New Roman" w:eastAsia="Times New Roman" w:cs="Times New Roman"/>
          <w:color w:val="202124"/>
          <w:sz w:val="24"/>
          <w:szCs w:val="24"/>
        </w:rPr>
        <w:t xml:space="preserve"> slimības (</w:t>
      </w:r>
      <w:r w:rsidR="005C6DBB">
        <w:rPr>
          <w:rFonts w:ascii="Times New Roman" w:hAnsi="Times New Roman" w:eastAsia="Times New Roman" w:cs="Times New Roman"/>
          <w:color w:val="202124"/>
          <w:sz w:val="24"/>
          <w:szCs w:val="24"/>
        </w:rPr>
        <w:t xml:space="preserve">III prioritārā grupa, </w:t>
      </w:r>
      <w:r w:rsidRPr="00310555">
        <w:rPr>
          <w:rFonts w:ascii="Times New Roman" w:hAnsi="Times New Roman" w:eastAsia="Times New Roman" w:cs="Times New Roman"/>
          <w:color w:val="202124"/>
          <w:sz w:val="24"/>
          <w:szCs w:val="24"/>
        </w:rPr>
        <w:t>no 03.04.2021.), personām, kuras mājās aprūpē smagi slimas personas (</w:t>
      </w:r>
      <w:r w:rsidR="005C6DBB">
        <w:rPr>
          <w:rFonts w:ascii="Times New Roman" w:hAnsi="Times New Roman" w:eastAsia="Times New Roman" w:cs="Times New Roman"/>
          <w:color w:val="202124"/>
          <w:sz w:val="24"/>
          <w:szCs w:val="24"/>
        </w:rPr>
        <w:t xml:space="preserve">III prioritārā grupa, </w:t>
      </w:r>
      <w:r w:rsidRPr="00310555">
        <w:rPr>
          <w:rFonts w:ascii="Times New Roman" w:hAnsi="Times New Roman" w:eastAsia="Times New Roman" w:cs="Times New Roman"/>
          <w:color w:val="202124"/>
          <w:sz w:val="24"/>
          <w:szCs w:val="24"/>
        </w:rPr>
        <w:t>no 03.04.2021.), kā arī ir uzsākta pedagogu vakcinācija (</w:t>
      </w:r>
      <w:r w:rsidR="005C6DBB">
        <w:rPr>
          <w:rFonts w:ascii="Times New Roman" w:hAnsi="Times New Roman" w:eastAsia="Times New Roman" w:cs="Times New Roman"/>
          <w:color w:val="202124"/>
          <w:sz w:val="24"/>
          <w:szCs w:val="24"/>
        </w:rPr>
        <w:t xml:space="preserve">IV-V prioritārās grupas, </w:t>
      </w:r>
      <w:r w:rsidRPr="00310555">
        <w:rPr>
          <w:rFonts w:ascii="Times New Roman" w:hAnsi="Times New Roman" w:eastAsia="Times New Roman" w:cs="Times New Roman"/>
          <w:color w:val="202124"/>
          <w:sz w:val="24"/>
          <w:szCs w:val="24"/>
        </w:rPr>
        <w:t>no 12.04.2021. un no 20.04.2021.) un operatīvo dienestu darbinieku vakcinācija (</w:t>
      </w:r>
      <w:r w:rsidR="005C6DBB">
        <w:rPr>
          <w:rFonts w:ascii="Times New Roman" w:hAnsi="Times New Roman" w:eastAsia="Times New Roman" w:cs="Times New Roman"/>
          <w:color w:val="202124"/>
          <w:sz w:val="24"/>
          <w:szCs w:val="24"/>
        </w:rPr>
        <w:t xml:space="preserve">V prioritārā grupa, </w:t>
      </w:r>
      <w:r w:rsidRPr="00310555">
        <w:rPr>
          <w:rFonts w:ascii="Times New Roman" w:hAnsi="Times New Roman" w:eastAsia="Times New Roman" w:cs="Times New Roman"/>
          <w:color w:val="202124"/>
          <w:sz w:val="24"/>
          <w:szCs w:val="24"/>
        </w:rPr>
        <w:t xml:space="preserve">no 20.04.2021.). </w:t>
      </w:r>
    </w:p>
    <w:p w:rsidR="00027CB7" w:rsidP="00310555" w:rsidRDefault="00027CB7" w14:paraId="2C4F666F" w14:textId="7D198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p>
    <w:p w:rsidRPr="00310555" w:rsidR="00EF6F6A" w:rsidP="00310555" w:rsidRDefault="00EF6F6A" w14:paraId="4BF9DDB0" w14:textId="77777777">
      <w:pPr>
        <w:spacing w:after="0" w:line="240" w:lineRule="auto"/>
        <w:jc w:val="both"/>
        <w:rPr>
          <w:rFonts w:ascii="Times New Roman" w:hAnsi="Times New Roman" w:eastAsia="Times New Roman" w:cs="Times New Roman"/>
          <w:b/>
          <w:bCs/>
          <w:sz w:val="24"/>
          <w:szCs w:val="24"/>
          <w:lang w:eastAsia="lv-LV"/>
        </w:rPr>
      </w:pPr>
    </w:p>
    <w:p w:rsidRPr="00310555" w:rsidR="00A062C8" w:rsidP="00310555" w:rsidRDefault="00A062C8" w14:paraId="6FA17759" w14:textId="77777777">
      <w:pPr>
        <w:spacing w:after="0" w:line="240" w:lineRule="auto"/>
        <w:jc w:val="both"/>
        <w:rPr>
          <w:rFonts w:ascii="Times New Roman" w:hAnsi="Times New Roman" w:eastAsia="Times New Roman" w:cs="Times New Roman"/>
          <w:b/>
          <w:bCs/>
          <w:sz w:val="24"/>
          <w:szCs w:val="24"/>
          <w:lang w:eastAsia="lv-LV"/>
        </w:rPr>
      </w:pPr>
    </w:p>
    <w:p w:rsidRPr="00310555" w:rsidR="00D23C9C" w:rsidP="00310555" w:rsidRDefault="0071415C" w14:paraId="130D815C" w14:textId="775CE4E9">
      <w:pPr>
        <w:spacing w:after="0" w:line="240" w:lineRule="auto"/>
        <w:ind w:firstLine="720"/>
        <w:jc w:val="center"/>
        <w:rPr>
          <w:rFonts w:ascii="Times New Roman" w:hAnsi="Times New Roman" w:eastAsia="Times New Roman" w:cs="Times New Roman"/>
          <w:b/>
          <w:bCs/>
          <w:color w:val="000000"/>
          <w:sz w:val="24"/>
          <w:szCs w:val="24"/>
          <w:lang w:eastAsia="lv-LV"/>
        </w:rPr>
      </w:pPr>
      <w:r>
        <w:rPr>
          <w:rFonts w:ascii="Times New Roman" w:hAnsi="Times New Roman" w:eastAsia="Times New Roman" w:cs="Times New Roman"/>
          <w:b/>
          <w:bCs/>
          <w:color w:val="000000"/>
          <w:sz w:val="24"/>
          <w:szCs w:val="24"/>
          <w:lang w:eastAsia="lv-LV"/>
        </w:rPr>
        <w:t>7</w:t>
      </w:r>
      <w:r w:rsidRPr="00310555" w:rsidR="00D23C9C">
        <w:rPr>
          <w:rFonts w:ascii="Times New Roman" w:hAnsi="Times New Roman" w:eastAsia="Times New Roman" w:cs="Times New Roman"/>
          <w:b/>
          <w:bCs/>
          <w:color w:val="000000"/>
          <w:sz w:val="24"/>
          <w:szCs w:val="24"/>
          <w:lang w:eastAsia="lv-LV"/>
        </w:rPr>
        <w:t>. Vakcinācijas ietekme uz tautsaimniecību</w:t>
      </w:r>
    </w:p>
    <w:p w:rsidRPr="00310555" w:rsidR="00D23C9C" w:rsidP="00310555" w:rsidRDefault="00D23C9C" w14:paraId="7F26CA17" w14:textId="77777777">
      <w:pPr>
        <w:spacing w:after="0" w:line="240" w:lineRule="auto"/>
        <w:jc w:val="both"/>
        <w:rPr>
          <w:rFonts w:ascii="Times New Roman" w:hAnsi="Times New Roman" w:eastAsia="Times New Roman" w:cs="Times New Roman"/>
          <w:b/>
          <w:bCs/>
          <w:color w:val="000000"/>
          <w:sz w:val="24"/>
          <w:szCs w:val="24"/>
          <w:lang w:eastAsia="lv-LV"/>
        </w:rPr>
      </w:pPr>
    </w:p>
    <w:p w:rsidRPr="00310555" w:rsidR="00D23C9C" w:rsidP="00310555" w:rsidRDefault="00D23C9C" w14:paraId="1158EFC8" w14:textId="43B3FDD7">
      <w:pPr>
        <w:spacing w:after="0" w:line="240" w:lineRule="auto"/>
        <w:ind w:firstLine="720"/>
        <w:jc w:val="both"/>
        <w:rPr>
          <w:rFonts w:ascii="Times New Roman" w:hAnsi="Times New Roman" w:cs="Times New Roman"/>
          <w:sz w:val="24"/>
          <w:szCs w:val="24"/>
        </w:rPr>
      </w:pPr>
      <w:r w:rsidRPr="00310555">
        <w:rPr>
          <w:rFonts w:ascii="Times New Roman" w:hAnsi="Times New Roman" w:cs="Times New Roman"/>
          <w:bCs/>
          <w:sz w:val="24"/>
          <w:szCs w:val="24"/>
        </w:rPr>
        <w:t>Covid-19</w:t>
      </w:r>
      <w:r w:rsidRPr="00310555" w:rsidR="00326E4F">
        <w:rPr>
          <w:rFonts w:ascii="Times New Roman" w:hAnsi="Times New Roman" w:cs="Times New Roman"/>
          <w:bCs/>
          <w:sz w:val="24"/>
          <w:szCs w:val="24"/>
        </w:rPr>
        <w:t xml:space="preserve"> infekcijas</w:t>
      </w:r>
      <w:r w:rsidRPr="00310555">
        <w:rPr>
          <w:rFonts w:ascii="Times New Roman" w:hAnsi="Times New Roman" w:cs="Times New Roman"/>
          <w:bCs/>
          <w:sz w:val="24"/>
          <w:szCs w:val="24"/>
        </w:rPr>
        <w:t xml:space="preserve"> pandēmija, kas Latvijā sākās 2020.gada martā, būtiski ietekmē ekonomikas attīstību.</w:t>
      </w:r>
      <w:r w:rsidRPr="00310555">
        <w:rPr>
          <w:rFonts w:ascii="Times New Roman" w:hAnsi="Times New Roman" w:cs="Times New Roman"/>
          <w:sz w:val="24"/>
          <w:szCs w:val="24"/>
        </w:rPr>
        <w:t xml:space="preserve"> Ceturkšņu griezumā lielākais kritums bija vērojams 2020.gada 2.ceturksnī, kad ekonomika saruka par 8,9%. 3. un 4.ceturksnī ekonomikas krituma tempi gada griezumā samazinājās. </w:t>
      </w:r>
      <w:r w:rsidRPr="00310555">
        <w:rPr>
          <w:rFonts w:ascii="Times New Roman" w:hAnsi="Times New Roman" w:cs="Times New Roman"/>
          <w:bCs/>
          <w:sz w:val="24"/>
          <w:szCs w:val="24"/>
        </w:rPr>
        <w:t>Kopumā IKP 2020.gadā Latvijā saruka par 3,6%, salīdzinot ar 2019.gadu.</w:t>
      </w:r>
      <w:r w:rsidRPr="00310555">
        <w:rPr>
          <w:rFonts w:ascii="Times New Roman" w:hAnsi="Times New Roman" w:cs="Times New Roman"/>
          <w:sz w:val="24"/>
          <w:szCs w:val="24"/>
        </w:rPr>
        <w:t xml:space="preserve"> </w:t>
      </w:r>
    </w:p>
    <w:p w:rsidRPr="00310555" w:rsidR="00D23C9C" w:rsidP="00310555" w:rsidRDefault="00D23C9C" w14:paraId="1BF39730" w14:textId="77777777">
      <w:pPr>
        <w:spacing w:after="0" w:line="240" w:lineRule="auto"/>
        <w:ind w:firstLine="720"/>
        <w:jc w:val="both"/>
        <w:rPr>
          <w:rFonts w:ascii="Times New Roman" w:hAnsi="Times New Roman" w:cs="Times New Roman"/>
          <w:sz w:val="24"/>
          <w:szCs w:val="24"/>
        </w:rPr>
      </w:pPr>
      <w:r w:rsidRPr="00310555">
        <w:rPr>
          <w:rFonts w:ascii="Times New Roman" w:hAnsi="Times New Roman" w:cs="Times New Roman"/>
          <w:sz w:val="24"/>
          <w:szCs w:val="24"/>
        </w:rPr>
        <w:t xml:space="preserve">Nozaru griezumā 2020.gadā visbūtiskākais apjomu samazinājums bija izmitināšanas un ēdināšanas, kā arī mākslas, izklaides un atpūtas nozarēs, kurās kritums gada griezumā bija attiecīgi 38,1% un 26,6%. Bet, daži minēto nozaru sektori cieta vēl vairāk, piemēram, ceļojumu </w:t>
      </w:r>
      <w:r w:rsidRPr="00310555">
        <w:rPr>
          <w:rFonts w:ascii="Times New Roman" w:hAnsi="Times New Roman" w:cs="Times New Roman"/>
          <w:sz w:val="24"/>
          <w:szCs w:val="24"/>
        </w:rPr>
        <w:lastRenderedPageBreak/>
        <w:t xml:space="preserve">biroju darbība saruka par 61,1%. Tāpat ieviestie Covid-19 ierobežojumi būtiski ietekmēja arī aviācijas, sauszemes transporta un dzelzceļa uzņēmumus. 2020.gadā kritums kopumā transporta un uzglabāšanas pakalpojumu nozarē sasniedza 14,9%, bet gaisa transportā pat 70,5%. Vērā ņemams apjomu samazinājums bija arī finanšu un apdrošināšanas darbībās, informācijas un komunikācijas pakalpojumos, kā arī komercpakalpojumu nozarēs. Tajā pašā laikā </w:t>
      </w:r>
      <w:r w:rsidRPr="00310555">
        <w:rPr>
          <w:rFonts w:ascii="Times New Roman" w:hAnsi="Times New Roman" w:eastAsia="Times New Roman" w:cs="Times New Roman"/>
          <w:color w:val="212529"/>
          <w:sz w:val="24"/>
          <w:szCs w:val="24"/>
          <w:lang w:eastAsia="lv-LV"/>
        </w:rPr>
        <w:t xml:space="preserve">pieauga apjomi lauksaimniecības un mežsaimniecības, būvniecības un sabiedrisko pakalpojumu nozarēs </w:t>
      </w:r>
      <w:r w:rsidRPr="00310555">
        <w:rPr>
          <w:rFonts w:ascii="Times New Roman" w:hAnsi="Times New Roman" w:cs="Times New Roman"/>
          <w:sz w:val="24"/>
          <w:szCs w:val="24"/>
        </w:rPr>
        <w:t>(skatīt tabulu).</w:t>
      </w:r>
    </w:p>
    <w:p w:rsidRPr="00310555" w:rsidR="00D23C9C" w:rsidP="00310555" w:rsidRDefault="00D23C9C" w14:paraId="6AFBC382" w14:textId="77777777">
      <w:pPr>
        <w:spacing w:after="0" w:line="240" w:lineRule="auto"/>
        <w:jc w:val="both"/>
        <w:rPr>
          <w:rFonts w:ascii="Times New Roman" w:hAnsi="Times New Roman" w:eastAsia="Times New Roman" w:cs="Times New Roman"/>
          <w:color w:val="212529"/>
          <w:sz w:val="24"/>
          <w:szCs w:val="24"/>
          <w:lang w:eastAsia="lv-LV"/>
        </w:rPr>
      </w:pPr>
    </w:p>
    <w:p w:rsidRPr="00310555" w:rsidR="00D23C9C" w:rsidP="00310555" w:rsidRDefault="00D23C9C" w14:paraId="57883F79" w14:textId="77777777">
      <w:pPr>
        <w:spacing w:after="0" w:line="240" w:lineRule="auto"/>
        <w:jc w:val="center"/>
        <w:rPr>
          <w:rFonts w:ascii="Times New Roman" w:hAnsi="Times New Roman" w:eastAsia="Times New Roman" w:cs="Times New Roman"/>
          <w:color w:val="212529"/>
          <w:sz w:val="24"/>
          <w:szCs w:val="24"/>
          <w:lang w:eastAsia="lv-LV"/>
        </w:rPr>
      </w:pPr>
      <w:r w:rsidRPr="00310555">
        <w:rPr>
          <w:rFonts w:ascii="Times New Roman" w:hAnsi="Times New Roman" w:eastAsia="Times New Roman" w:cs="Times New Roman"/>
          <w:b/>
          <w:bCs/>
          <w:color w:val="212529"/>
          <w:sz w:val="24"/>
          <w:szCs w:val="24"/>
          <w:lang w:eastAsia="lv-LV"/>
        </w:rPr>
        <w:t>NOZARU ATTĪSTĪBA 2020.GADĀ</w:t>
      </w:r>
      <w:r w:rsidRPr="00310555">
        <w:rPr>
          <w:rFonts w:ascii="Times New Roman" w:hAnsi="Times New Roman" w:eastAsia="Times New Roman" w:cs="Times New Roman"/>
          <w:b/>
          <w:bCs/>
          <w:color w:val="212529"/>
          <w:sz w:val="24"/>
          <w:szCs w:val="24"/>
          <w:lang w:eastAsia="lv-LV"/>
        </w:rPr>
        <w:br/>
      </w:r>
      <w:r w:rsidRPr="00310555">
        <w:rPr>
          <w:rFonts w:ascii="Times New Roman" w:hAnsi="Times New Roman" w:eastAsia="Times New Roman" w:cs="Times New Roman"/>
          <w:color w:val="212529"/>
          <w:sz w:val="24"/>
          <w:szCs w:val="24"/>
          <w:lang w:eastAsia="lv-LV"/>
        </w:rPr>
        <w:t>izmaiņas procentos pret iepriekšējo gadu</w:t>
      </w:r>
    </w:p>
    <w:p w:rsidRPr="00310555" w:rsidR="00D23C9C" w:rsidP="00310555" w:rsidRDefault="00D23C9C" w14:paraId="20F7D881" w14:textId="77777777">
      <w:pPr>
        <w:spacing w:after="0" w:line="240" w:lineRule="auto"/>
        <w:jc w:val="both"/>
        <w:rPr>
          <w:rFonts w:ascii="Times New Roman" w:hAnsi="Times New Roman" w:eastAsia="Times New Roman" w:cs="Times New Roman"/>
          <w:color w:val="212529"/>
          <w:sz w:val="24"/>
          <w:szCs w:val="24"/>
          <w:lang w:eastAsia="lv-LV"/>
        </w:rPr>
      </w:pPr>
      <w:r w:rsidRPr="00310555">
        <w:rPr>
          <w:rFonts w:ascii="Times New Roman" w:hAnsi="Times New Roman" w:eastAsia="Times New Roman" w:cs="Times New Roman"/>
          <w:noProof/>
          <w:color w:val="212529"/>
          <w:sz w:val="24"/>
          <w:szCs w:val="24"/>
          <w:lang w:eastAsia="lv-LV"/>
        </w:rPr>
        <w:drawing>
          <wp:inline distT="0" distB="0" distL="0" distR="0" wp14:anchorId="008CBDD4" wp14:editId="7E0180BC">
            <wp:extent cx="5886450" cy="2254250"/>
            <wp:effectExtent l="0" t="0" r="0" b="0"/>
            <wp:docPr id="7" name="Chart 7">
              <a:extLst xmlns:a="http://schemas.openxmlformats.org/drawingml/2006/main">
                <a:ext uri="{FF2B5EF4-FFF2-40B4-BE49-F238E27FC236}">
                  <a16:creationId xmlns:a16="http://schemas.microsoft.com/office/drawing/2014/main" id="{403D0126-8371-4361-9BE7-577484E46E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310555" w:rsidR="00D23C9C" w:rsidP="00310555" w:rsidRDefault="00D23C9C" w14:paraId="5F3994A5" w14:textId="77777777">
      <w:pPr>
        <w:spacing w:after="0" w:line="240" w:lineRule="auto"/>
        <w:jc w:val="both"/>
        <w:rPr>
          <w:rFonts w:ascii="Times New Roman" w:hAnsi="Times New Roman" w:eastAsia="Times New Roman" w:cs="Times New Roman"/>
          <w:color w:val="212529"/>
          <w:sz w:val="24"/>
          <w:szCs w:val="24"/>
          <w:lang w:eastAsia="lv-LV"/>
        </w:rPr>
      </w:pPr>
    </w:p>
    <w:p w:rsidRPr="00310555" w:rsidR="00D23C9C" w:rsidP="00CE6163" w:rsidRDefault="00D23C9C" w14:paraId="3E2DA48D" w14:textId="196940E0">
      <w:pPr>
        <w:spacing w:after="0" w:line="240" w:lineRule="auto"/>
        <w:ind w:firstLine="72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 xml:space="preserve">Saglabājoties epidemioloģiskajiem ierobežojumiem arī 2021.gada 1.ceturksnī ekonomikā vērojama lejupslīde. Tomēr </w:t>
      </w:r>
      <w:r w:rsidR="005C6DBB">
        <w:rPr>
          <w:rFonts w:ascii="Times New Roman" w:hAnsi="Times New Roman" w:eastAsia="Times New Roman" w:cs="Times New Roman"/>
          <w:sz w:val="24"/>
          <w:szCs w:val="24"/>
          <w:lang w:eastAsia="lv-LV"/>
        </w:rPr>
        <w:t>vasarā</w:t>
      </w:r>
      <w:r w:rsidRPr="00310555">
        <w:rPr>
          <w:rFonts w:ascii="Times New Roman" w:hAnsi="Times New Roman" w:eastAsia="Times New Roman" w:cs="Times New Roman"/>
          <w:sz w:val="24"/>
          <w:szCs w:val="24"/>
          <w:lang w:eastAsia="lv-LV"/>
        </w:rPr>
        <w:t xml:space="preserve">, atsākoties sezonas darbiem un uzlabojoties epidemioloģiskajai situācijai, ko veicinās vakcinācija, paredzams, ka ekonomiskā aktivitāte pakāpeniski palielināsies. </w:t>
      </w:r>
    </w:p>
    <w:p w:rsidRPr="00310555" w:rsidR="00284A8E" w:rsidP="00310555" w:rsidRDefault="00284A8E" w14:paraId="636A944B" w14:textId="0AC7F038">
      <w:pPr>
        <w:spacing w:after="0" w:line="240" w:lineRule="auto"/>
        <w:jc w:val="both"/>
        <w:rPr>
          <w:rFonts w:ascii="Times New Roman" w:hAnsi="Times New Roman" w:cs="Times New Roman"/>
          <w:sz w:val="24"/>
          <w:szCs w:val="24"/>
          <w:shd w:val="clear" w:color="auto" w:fill="F5F5F5"/>
        </w:rPr>
      </w:pPr>
    </w:p>
    <w:tbl>
      <w:tblPr>
        <w:tblStyle w:val="Reatabula"/>
        <w:tblW w:w="0" w:type="auto"/>
        <w:tblBorders>
          <w:top w:val="single" w:color="F2F2F2" w:themeColor="background1" w:themeShade="F2" w:sz="2" w:space="0"/>
          <w:left w:val="single" w:color="F2F2F2" w:themeColor="background1" w:themeShade="F2" w:sz="2" w:space="0"/>
          <w:bottom w:val="single" w:color="F2F2F2" w:themeColor="background1" w:themeShade="F2" w:sz="2" w:space="0"/>
          <w:right w:val="single" w:color="F2F2F2" w:themeColor="background1" w:themeShade="F2" w:sz="2" w:space="0"/>
          <w:insideH w:val="single" w:color="F2F2F2" w:themeColor="background1" w:themeShade="F2" w:sz="2" w:space="0"/>
          <w:insideV w:val="single" w:color="F2F2F2" w:themeColor="background1" w:themeShade="F2" w:sz="2" w:space="0"/>
        </w:tblBorders>
        <w:shd w:val="clear" w:color="auto" w:fill="FBFBFB"/>
        <w:tblLook w:val="04A0" w:firstRow="1" w:lastRow="0" w:firstColumn="1" w:lastColumn="0" w:noHBand="0" w:noVBand="1"/>
      </w:tblPr>
      <w:tblGrid>
        <w:gridCol w:w="9061"/>
      </w:tblGrid>
      <w:tr w:rsidRPr="00310555" w:rsidR="00284A8E" w:rsidTr="0088592D" w14:paraId="17800EB9" w14:textId="77777777">
        <w:tc>
          <w:tcPr>
            <w:tcW w:w="9061" w:type="dxa"/>
            <w:shd w:val="clear" w:color="auto" w:fill="FBFBFB"/>
          </w:tcPr>
          <w:p w:rsidRPr="00310555" w:rsidR="00284A8E" w:rsidP="00310555" w:rsidRDefault="00284A8E" w14:paraId="16F8A81A" w14:textId="77777777">
            <w:pPr>
              <w:jc w:val="both"/>
              <w:rPr>
                <w:rFonts w:ascii="Times New Roman" w:hAnsi="Times New Roman" w:eastAsia="Times New Roman" w:cs="Times New Roman"/>
                <w:b/>
                <w:bCs/>
                <w:sz w:val="24"/>
                <w:szCs w:val="24"/>
                <w:lang w:eastAsia="lv-LV"/>
              </w:rPr>
            </w:pPr>
            <w:r w:rsidRPr="00310555">
              <w:rPr>
                <w:rFonts w:ascii="Times New Roman" w:hAnsi="Times New Roman" w:eastAsia="Times New Roman" w:cs="Times New Roman"/>
                <w:b/>
                <w:bCs/>
                <w:sz w:val="24"/>
                <w:szCs w:val="24"/>
                <w:lang w:eastAsia="lv-LV"/>
              </w:rPr>
              <w:t>Cik izmaksā viens Covid-19 inficētais Latvijas ekonomikai?</w:t>
            </w:r>
          </w:p>
          <w:p w:rsidRPr="00310555" w:rsidR="00284A8E" w:rsidP="00310555" w:rsidRDefault="00284A8E" w14:paraId="2F9EE069" w14:textId="77777777">
            <w:pPr>
              <w:pStyle w:val="Sarakstarindkopa"/>
              <w:numPr>
                <w:ilvl w:val="0"/>
                <w:numId w:val="13"/>
              </w:numPr>
              <w:ind w:left="589"/>
              <w:contextualSpacing w:val="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Kopējais inficēto skaits Latvijā uz 13.04.2021. g. ir 108355 cilvēki, miruši 2030 cilvēki</w:t>
            </w:r>
          </w:p>
          <w:p w:rsidRPr="00310555" w:rsidR="00284A8E" w:rsidP="00310555" w:rsidRDefault="00284A8E" w14:paraId="1692C5D6" w14:textId="0BECC6B6">
            <w:pPr>
              <w:pStyle w:val="Sarakstarindkopa"/>
              <w:numPr>
                <w:ilvl w:val="0"/>
                <w:numId w:val="13"/>
              </w:numPr>
              <w:ind w:left="589"/>
              <w:contextualSpacing w:val="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 xml:space="preserve">Kopējie līdzekļi, kas piešķirti papildus saistībā ar Covid-19 </w:t>
            </w:r>
            <w:r w:rsidRPr="00310555" w:rsidR="00CA77BB">
              <w:rPr>
                <w:rFonts w:ascii="Times New Roman" w:hAnsi="Times New Roman" w:eastAsia="Times New Roman" w:cs="Times New Roman"/>
                <w:sz w:val="24"/>
                <w:szCs w:val="24"/>
                <w:lang w:eastAsia="lv-LV"/>
              </w:rPr>
              <w:t xml:space="preserve">infekcijas </w:t>
            </w:r>
            <w:r w:rsidRPr="00310555">
              <w:rPr>
                <w:rFonts w:ascii="Times New Roman" w:hAnsi="Times New Roman" w:eastAsia="Times New Roman" w:cs="Times New Roman"/>
                <w:sz w:val="24"/>
                <w:szCs w:val="24"/>
                <w:lang w:eastAsia="lv-LV"/>
              </w:rPr>
              <w:t>izplatību 2020. un 2021. gadā  uz 13.04.2021.g. ir 2 347,2 miljons eiro (1). Faktiski izmaksāts  līdz 28.02 bija 1 313,4 miljoni eiro (2)</w:t>
            </w:r>
          </w:p>
          <w:p w:rsidRPr="00310555" w:rsidR="00284A8E" w:rsidP="00310555" w:rsidRDefault="00D159EC" w14:paraId="6B10725F" w14:textId="23B366BE">
            <w:pPr>
              <w:pStyle w:val="Sarakstarindkopa"/>
              <w:numPr>
                <w:ilvl w:val="0"/>
                <w:numId w:val="13"/>
              </w:numPr>
              <w:ind w:left="589"/>
              <w:contextualSpacing w:val="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Papildus tam, </w:t>
            </w:r>
            <w:r w:rsidRPr="00310555" w:rsidR="00284A8E">
              <w:rPr>
                <w:rFonts w:ascii="Times New Roman" w:hAnsi="Times New Roman" w:eastAsia="Times New Roman" w:cs="Times New Roman"/>
                <w:sz w:val="24"/>
                <w:szCs w:val="24"/>
                <w:lang w:eastAsia="lv-LV"/>
              </w:rPr>
              <w:t>Latvijas Iekšzemes kopprodukts 2020.gadā samazinājās par 1,169 miljardiem eiro (2)</w:t>
            </w:r>
          </w:p>
          <w:p w:rsidRPr="00CE6163" w:rsidR="00284A8E" w:rsidP="00310555" w:rsidRDefault="00284A8E" w14:paraId="2FC2E45B" w14:textId="06A77B7F">
            <w:pPr>
              <w:pStyle w:val="Sarakstarindkopa"/>
              <w:numPr>
                <w:ilvl w:val="0"/>
                <w:numId w:val="13"/>
              </w:numPr>
              <w:ind w:left="589"/>
              <w:contextualSpacing w:val="0"/>
              <w:jc w:val="both"/>
              <w:rPr>
                <w:rFonts w:ascii="Times New Roman" w:hAnsi="Times New Roman" w:cs="Times New Roman"/>
                <w:b/>
                <w:bCs/>
                <w:sz w:val="24"/>
                <w:szCs w:val="24"/>
                <w:shd w:val="clear" w:color="auto" w:fill="F5F5F5"/>
              </w:rPr>
            </w:pPr>
            <w:r w:rsidRPr="00CE6163">
              <w:rPr>
                <w:rFonts w:ascii="Times New Roman" w:hAnsi="Times New Roman" w:eastAsia="Times New Roman" w:cs="Times New Roman"/>
                <w:b/>
                <w:bCs/>
                <w:sz w:val="24"/>
                <w:szCs w:val="24"/>
                <w:lang w:eastAsia="lv-LV"/>
              </w:rPr>
              <w:t>Kopējie papildus piešķirtie līdzekļi saistībā ar Covid-19</w:t>
            </w:r>
            <w:r w:rsidRPr="00CE6163" w:rsidR="00CA77BB">
              <w:rPr>
                <w:rFonts w:ascii="Times New Roman" w:hAnsi="Times New Roman" w:eastAsia="Times New Roman" w:cs="Times New Roman"/>
                <w:b/>
                <w:bCs/>
                <w:sz w:val="24"/>
                <w:szCs w:val="24"/>
                <w:lang w:eastAsia="lv-LV"/>
              </w:rPr>
              <w:t xml:space="preserve"> infekciju</w:t>
            </w:r>
            <w:r w:rsidRPr="00CE6163">
              <w:rPr>
                <w:rFonts w:ascii="Times New Roman" w:hAnsi="Times New Roman" w:eastAsia="Times New Roman" w:cs="Times New Roman"/>
                <w:b/>
                <w:bCs/>
                <w:sz w:val="24"/>
                <w:szCs w:val="24"/>
                <w:lang w:eastAsia="lv-LV"/>
              </w:rPr>
              <w:t xml:space="preserve"> uz 1 inficēto 2020.-2021.g. uz 13.04.2021 ir 21 662 EUR, bet IKP kritums  uz 1 inficēto ir 10</w:t>
            </w:r>
            <w:r w:rsidR="00D159EC">
              <w:rPr>
                <w:rFonts w:ascii="Times New Roman" w:hAnsi="Times New Roman" w:eastAsia="Times New Roman" w:cs="Times New Roman"/>
                <w:b/>
                <w:bCs/>
                <w:sz w:val="24"/>
                <w:szCs w:val="24"/>
                <w:lang w:eastAsia="lv-LV"/>
              </w:rPr>
              <w:t> </w:t>
            </w:r>
            <w:r w:rsidRPr="00CE6163">
              <w:rPr>
                <w:rFonts w:ascii="Times New Roman" w:hAnsi="Times New Roman" w:eastAsia="Times New Roman" w:cs="Times New Roman"/>
                <w:b/>
                <w:bCs/>
                <w:sz w:val="24"/>
                <w:szCs w:val="24"/>
                <w:lang w:eastAsia="lv-LV"/>
              </w:rPr>
              <w:t>788 EUR</w:t>
            </w:r>
            <w:r w:rsidRPr="00D159EC">
              <w:rPr>
                <w:rFonts w:ascii="Times New Roman" w:hAnsi="Times New Roman" w:cs="Times New Roman"/>
                <w:b/>
                <w:bCs/>
                <w:sz w:val="24"/>
                <w:szCs w:val="24"/>
                <w:shd w:val="clear" w:color="auto" w:fill="F5F5F5"/>
              </w:rPr>
              <w:t xml:space="preserve"> </w:t>
            </w:r>
            <w:r w:rsidR="00D159EC">
              <w:rPr>
                <w:rFonts w:ascii="Times New Roman" w:hAnsi="Times New Roman" w:cs="Times New Roman"/>
                <w:b/>
                <w:bCs/>
                <w:sz w:val="24"/>
                <w:szCs w:val="24"/>
                <w:shd w:val="clear" w:color="auto" w:fill="F5F5F5"/>
              </w:rPr>
              <w:t xml:space="preserve">(kopā – </w:t>
            </w:r>
            <w:r w:rsidRPr="00D159EC" w:rsidR="00D159EC">
              <w:rPr>
                <w:rFonts w:ascii="Times New Roman" w:hAnsi="Times New Roman" w:cs="Times New Roman"/>
                <w:b/>
                <w:bCs/>
                <w:sz w:val="24"/>
                <w:szCs w:val="24"/>
                <w:shd w:val="clear" w:color="auto" w:fill="F5F5F5"/>
              </w:rPr>
              <w:t>32</w:t>
            </w:r>
            <w:r w:rsidR="00D159EC">
              <w:rPr>
                <w:rFonts w:ascii="Times New Roman" w:hAnsi="Times New Roman" w:cs="Times New Roman"/>
                <w:b/>
                <w:bCs/>
                <w:sz w:val="24"/>
                <w:szCs w:val="24"/>
                <w:shd w:val="clear" w:color="auto" w:fill="F5F5F5"/>
              </w:rPr>
              <w:t> </w:t>
            </w:r>
            <w:r w:rsidRPr="00D159EC" w:rsidR="00D159EC">
              <w:rPr>
                <w:rFonts w:ascii="Times New Roman" w:hAnsi="Times New Roman" w:cs="Times New Roman"/>
                <w:b/>
                <w:bCs/>
                <w:sz w:val="24"/>
                <w:szCs w:val="24"/>
                <w:shd w:val="clear" w:color="auto" w:fill="F5F5F5"/>
              </w:rPr>
              <w:t>450</w:t>
            </w:r>
            <w:r w:rsidR="00D159EC">
              <w:rPr>
                <w:rFonts w:ascii="Times New Roman" w:hAnsi="Times New Roman" w:cs="Times New Roman"/>
                <w:b/>
                <w:bCs/>
                <w:sz w:val="24"/>
                <w:szCs w:val="24"/>
                <w:shd w:val="clear" w:color="auto" w:fill="F5F5F5"/>
              </w:rPr>
              <w:t xml:space="preserve"> EUR)</w:t>
            </w:r>
          </w:p>
          <w:p w:rsidRPr="00310555" w:rsidR="0088592D" w:rsidP="00310555" w:rsidRDefault="0088592D" w14:paraId="4B6B8043" w14:textId="0C800811">
            <w:pPr>
              <w:pStyle w:val="Sarakstarindkopa"/>
              <w:numPr>
                <w:ilvl w:val="0"/>
                <w:numId w:val="13"/>
              </w:numPr>
              <w:ind w:left="589"/>
              <w:contextualSpacing w:val="0"/>
              <w:jc w:val="both"/>
              <w:rPr>
                <w:rFonts w:ascii="Times New Roman" w:hAnsi="Times New Roman" w:eastAsia="Times New Roman" w:cs="Times New Roman"/>
                <w:sz w:val="24"/>
                <w:szCs w:val="24"/>
                <w:lang w:eastAsia="lv-LV"/>
              </w:rPr>
            </w:pPr>
            <w:r w:rsidRPr="00310555">
              <w:rPr>
                <w:rFonts w:ascii="Times New Roman" w:hAnsi="Times New Roman" w:eastAsia="Times New Roman" w:cs="Times New Roman"/>
                <w:sz w:val="24"/>
                <w:szCs w:val="24"/>
                <w:lang w:eastAsia="lv-LV"/>
              </w:rPr>
              <w:t>Inficēto skaita kritums par 10</w:t>
            </w:r>
            <w:r w:rsidRPr="00310555" w:rsidR="00C1359F">
              <w:rPr>
                <w:rFonts w:ascii="Times New Roman" w:hAnsi="Times New Roman" w:eastAsia="Times New Roman" w:cs="Times New Roman"/>
                <w:sz w:val="24"/>
                <w:szCs w:val="24"/>
                <w:lang w:eastAsia="lv-LV"/>
              </w:rPr>
              <w:t xml:space="preserve"> </w:t>
            </w:r>
            <w:r w:rsidRPr="00310555">
              <w:rPr>
                <w:rFonts w:ascii="Times New Roman" w:hAnsi="Times New Roman" w:eastAsia="Times New Roman" w:cs="Times New Roman"/>
                <w:sz w:val="24"/>
                <w:szCs w:val="24"/>
                <w:lang w:eastAsia="lv-LV"/>
              </w:rPr>
              <w:t>cilvēkiem nozīmē kopējo Latvijas budžeta izdevumu samazinājumu, kas piešķirti ar  Covid-19</w:t>
            </w:r>
            <w:r w:rsidRPr="00310555" w:rsidR="00CA77BB">
              <w:rPr>
                <w:rFonts w:ascii="Times New Roman" w:hAnsi="Times New Roman" w:eastAsia="Times New Roman" w:cs="Times New Roman"/>
                <w:sz w:val="24"/>
                <w:szCs w:val="24"/>
                <w:lang w:eastAsia="lv-LV"/>
              </w:rPr>
              <w:t xml:space="preserve"> infekciju</w:t>
            </w:r>
            <w:r w:rsidRPr="00310555">
              <w:rPr>
                <w:rFonts w:ascii="Times New Roman" w:hAnsi="Times New Roman" w:eastAsia="Times New Roman" w:cs="Times New Roman"/>
                <w:sz w:val="24"/>
                <w:szCs w:val="24"/>
                <w:lang w:eastAsia="lv-LV"/>
              </w:rPr>
              <w:t xml:space="preserve"> saistītiem pasākumiem par  216 620 EUR un IKP pieaugumu par 107 880 EUR (kopā 324 500).</w:t>
            </w:r>
          </w:p>
          <w:p w:rsidRPr="00310555" w:rsidR="00284A8E" w:rsidP="00310555" w:rsidRDefault="0088592D" w14:paraId="149AF39A" w14:textId="3FF0FD1E">
            <w:pPr>
              <w:ind w:left="229"/>
              <w:jc w:val="both"/>
              <w:rPr>
                <w:rFonts w:ascii="Times New Roman" w:hAnsi="Times New Roman" w:eastAsia="Times New Roman" w:cs="Times New Roman"/>
                <w:i/>
                <w:iCs/>
                <w:sz w:val="24"/>
                <w:szCs w:val="24"/>
                <w:lang w:eastAsia="lv-LV"/>
              </w:rPr>
            </w:pPr>
            <w:r w:rsidRPr="00310555">
              <w:rPr>
                <w:rFonts w:ascii="Times New Roman" w:hAnsi="Times New Roman" w:eastAsia="Times New Roman" w:cs="Times New Roman"/>
                <w:i/>
                <w:iCs/>
                <w:sz w:val="24"/>
                <w:szCs w:val="24"/>
                <w:lang w:eastAsia="lv-LV"/>
              </w:rPr>
              <w:t>Avots: LZA</w:t>
            </w:r>
          </w:p>
        </w:tc>
      </w:tr>
    </w:tbl>
    <w:p w:rsidRPr="00310555" w:rsidR="00D23C9C" w:rsidP="00310555" w:rsidRDefault="00D23C9C" w14:paraId="638D13B9" w14:textId="77777777">
      <w:pPr>
        <w:spacing w:after="0" w:line="240" w:lineRule="auto"/>
        <w:jc w:val="both"/>
        <w:rPr>
          <w:rFonts w:ascii="Times New Roman" w:hAnsi="Times New Roman" w:cs="Times New Roman"/>
          <w:sz w:val="24"/>
          <w:szCs w:val="24"/>
          <w:shd w:val="clear" w:color="auto" w:fill="F5F5F5"/>
        </w:rPr>
      </w:pPr>
    </w:p>
    <w:p w:rsidRPr="00310555" w:rsidR="00D23C9C" w:rsidP="00310555" w:rsidRDefault="00D23C9C" w14:paraId="7CE76A56" w14:textId="2E8A1266">
      <w:pPr>
        <w:spacing w:after="0" w:line="240" w:lineRule="auto"/>
        <w:ind w:firstLine="720"/>
        <w:jc w:val="both"/>
        <w:rPr>
          <w:rFonts w:ascii="Times New Roman" w:hAnsi="Times New Roman" w:cs="Times New Roman"/>
          <w:sz w:val="24"/>
          <w:szCs w:val="24"/>
          <w:shd w:val="clear" w:color="auto" w:fill="FFFFFF"/>
        </w:rPr>
      </w:pPr>
      <w:r w:rsidRPr="00310555">
        <w:rPr>
          <w:rFonts w:ascii="Times New Roman" w:hAnsi="Times New Roman" w:cs="Times New Roman"/>
          <w:sz w:val="24"/>
          <w:szCs w:val="24"/>
          <w:shd w:val="clear" w:color="auto" w:fill="FFFFFF"/>
        </w:rPr>
        <w:t xml:space="preserve">Statistikas dati apliecina, ka valstīs, kuras jau sasniegušas atzīstamu vakcinācijas līmeni, piemēram, Izraēla, Apvienotā Karaliste, saslimstība iet mazumā, kas </w:t>
      </w:r>
      <w:r w:rsidRPr="00310555" w:rsidR="00FA75FF">
        <w:rPr>
          <w:rFonts w:ascii="Times New Roman" w:hAnsi="Times New Roman" w:cs="Times New Roman"/>
          <w:sz w:val="24"/>
          <w:szCs w:val="24"/>
          <w:shd w:val="clear" w:color="auto" w:fill="FFFFFF"/>
        </w:rPr>
        <w:t>vienlaikus uzlabo</w:t>
      </w:r>
      <w:r w:rsidRPr="00310555">
        <w:rPr>
          <w:rFonts w:ascii="Times New Roman" w:hAnsi="Times New Roman" w:cs="Times New Roman"/>
          <w:sz w:val="24"/>
          <w:szCs w:val="24"/>
          <w:shd w:val="clear" w:color="auto" w:fill="FFFFFF"/>
        </w:rPr>
        <w:t xml:space="preserve"> arī ekonomikas perspektīvas. </w:t>
      </w:r>
    </w:p>
    <w:p w:rsidRPr="00310555" w:rsidR="00D23C9C" w:rsidP="00310555" w:rsidRDefault="00D23C9C" w14:paraId="4DACC6D5" w14:textId="76C3D802">
      <w:pPr>
        <w:spacing w:after="0" w:line="240" w:lineRule="auto"/>
        <w:ind w:firstLine="720"/>
        <w:jc w:val="both"/>
        <w:rPr>
          <w:rFonts w:ascii="Times New Roman" w:hAnsi="Times New Roman" w:cs="Times New Roman"/>
          <w:sz w:val="24"/>
          <w:szCs w:val="24"/>
        </w:rPr>
      </w:pPr>
      <w:r w:rsidRPr="00310555">
        <w:rPr>
          <w:rFonts w:ascii="Times New Roman" w:hAnsi="Times New Roman" w:cs="Times New Roman"/>
          <w:sz w:val="24"/>
          <w:szCs w:val="24"/>
        </w:rPr>
        <w:t xml:space="preserve">Arī starptautisko organizāciju </w:t>
      </w:r>
      <w:r w:rsidRPr="00310555">
        <w:rPr>
          <w:rFonts w:ascii="Times New Roman" w:hAnsi="Times New Roman" w:eastAsia="Times New Roman" w:cs="Times New Roman"/>
          <w:sz w:val="24"/>
          <w:szCs w:val="24"/>
        </w:rPr>
        <w:t xml:space="preserve">(Eiropas Komisija, OECD, SVF) </w:t>
      </w:r>
      <w:r w:rsidRPr="00310555">
        <w:rPr>
          <w:rFonts w:ascii="Times New Roman" w:hAnsi="Times New Roman" w:cs="Times New Roman"/>
          <w:sz w:val="24"/>
          <w:szCs w:val="24"/>
        </w:rPr>
        <w:t xml:space="preserve">prognozēs ir iekļauti apsvērumi par vakcinācijas tempa ietekmi uz ekonomikas atveseļošanos. Starptautiskas organizācijas kopumā balstās uz izaugsmes prognozes scenārijiem ar masveida vakcināciju un bez masveida vakcināciju. Riski globālai izaugsmei ir saistīti ar nevienmērīgu vakcinācijas tempu dažādās valstīs, kas negatīvi ietekmē gan investīcijas, gan ārējo tirdzniecību. </w:t>
      </w:r>
    </w:p>
    <w:p w:rsidRPr="00310555" w:rsidR="00D23C9C" w:rsidP="00310555" w:rsidRDefault="00D23C9C" w14:paraId="6321ABE3" w14:textId="62396EF5">
      <w:pPr>
        <w:spacing w:after="0" w:line="240" w:lineRule="auto"/>
        <w:ind w:firstLine="720"/>
        <w:jc w:val="both"/>
        <w:rPr>
          <w:rFonts w:ascii="Times New Roman" w:hAnsi="Times New Roman" w:eastAsia="Times New Roman" w:cs="Times New Roman"/>
          <w:sz w:val="24"/>
          <w:szCs w:val="24"/>
        </w:rPr>
      </w:pPr>
      <w:r w:rsidRPr="00310555">
        <w:rPr>
          <w:rFonts w:ascii="Times New Roman" w:hAnsi="Times New Roman" w:eastAsia="Times New Roman" w:cs="Times New Roman"/>
          <w:sz w:val="24"/>
          <w:szCs w:val="24"/>
        </w:rPr>
        <w:lastRenderedPageBreak/>
        <w:t xml:space="preserve">Minētās </w:t>
      </w:r>
      <w:r w:rsidRPr="00310555" w:rsidR="000957B3">
        <w:rPr>
          <w:rFonts w:ascii="Times New Roman" w:hAnsi="Times New Roman" w:eastAsia="Times New Roman" w:cs="Times New Roman"/>
          <w:sz w:val="24"/>
          <w:szCs w:val="24"/>
        </w:rPr>
        <w:t>starptautisk</w:t>
      </w:r>
      <w:r w:rsidR="000957B3">
        <w:rPr>
          <w:rFonts w:ascii="Times New Roman" w:hAnsi="Times New Roman" w:eastAsia="Times New Roman" w:cs="Times New Roman"/>
          <w:sz w:val="24"/>
          <w:szCs w:val="24"/>
        </w:rPr>
        <w:t>ā</w:t>
      </w:r>
      <w:r w:rsidRPr="00310555" w:rsidR="000957B3">
        <w:rPr>
          <w:rFonts w:ascii="Times New Roman" w:hAnsi="Times New Roman" w:eastAsia="Times New Roman" w:cs="Times New Roman"/>
          <w:sz w:val="24"/>
          <w:szCs w:val="24"/>
        </w:rPr>
        <w:t xml:space="preserve">s </w:t>
      </w:r>
      <w:r w:rsidRPr="00310555">
        <w:rPr>
          <w:rFonts w:ascii="Times New Roman" w:hAnsi="Times New Roman" w:eastAsia="Times New Roman" w:cs="Times New Roman"/>
          <w:sz w:val="24"/>
          <w:szCs w:val="24"/>
        </w:rPr>
        <w:t>organizācijas prognozē straujāku izaugsmi valstīs, kurās tiks sasniegts straujš iedzīvotāju vakcinācijas temps. Piemēram, saskaņā ar OECD prognozēm straujš vakcinācijas temps kopā ar valsts atbalsta pasākumiem ASV varētu palielināt IKP izaugsmi par 3 procentpunktiem 2021.gadā, kas ir salīdzinoši daudz.</w:t>
      </w:r>
    </w:p>
    <w:p w:rsidRPr="00310555" w:rsidR="00D23C9C" w:rsidP="00310555" w:rsidRDefault="00D23C9C" w14:paraId="37BB543F" w14:textId="088ED44A">
      <w:pPr>
        <w:spacing w:after="0" w:line="240" w:lineRule="auto"/>
        <w:ind w:firstLine="720"/>
        <w:jc w:val="both"/>
        <w:rPr>
          <w:rFonts w:ascii="Times New Roman" w:hAnsi="Times New Roman" w:eastAsia="Times New Roman" w:cs="Times New Roman"/>
          <w:sz w:val="24"/>
          <w:szCs w:val="24"/>
        </w:rPr>
      </w:pPr>
      <w:r w:rsidRPr="00310555">
        <w:rPr>
          <w:rFonts w:ascii="Times New Roman" w:hAnsi="Times New Roman" w:eastAsia="Times New Roman" w:cs="Times New Roman"/>
          <w:sz w:val="24"/>
          <w:szCs w:val="24"/>
        </w:rPr>
        <w:t xml:space="preserve">Kopumā jāsecina, ka globālā </w:t>
      </w:r>
      <w:r w:rsidRPr="00310555" w:rsidR="00326E4F">
        <w:rPr>
          <w:rFonts w:ascii="Times New Roman" w:hAnsi="Times New Roman" w:eastAsia="Times New Roman" w:cs="Times New Roman"/>
          <w:sz w:val="24"/>
          <w:szCs w:val="24"/>
        </w:rPr>
        <w:t>Covid</w:t>
      </w:r>
      <w:r w:rsidRPr="00310555">
        <w:rPr>
          <w:rFonts w:ascii="Times New Roman" w:hAnsi="Times New Roman" w:eastAsia="Times New Roman" w:cs="Times New Roman"/>
          <w:sz w:val="24"/>
          <w:szCs w:val="24"/>
        </w:rPr>
        <w:t xml:space="preserve">-19 </w:t>
      </w:r>
      <w:r w:rsidRPr="00310555" w:rsidR="00326E4F">
        <w:rPr>
          <w:rFonts w:ascii="Times New Roman" w:hAnsi="Times New Roman" w:eastAsia="Times New Roman" w:cs="Times New Roman"/>
          <w:sz w:val="24"/>
          <w:szCs w:val="24"/>
        </w:rPr>
        <w:t>infekcijas</w:t>
      </w:r>
      <w:r w:rsidRPr="00310555">
        <w:rPr>
          <w:rFonts w:ascii="Times New Roman" w:hAnsi="Times New Roman" w:eastAsia="Times New Roman" w:cs="Times New Roman"/>
          <w:sz w:val="24"/>
          <w:szCs w:val="24"/>
        </w:rPr>
        <w:t xml:space="preserve"> pandēmija izraisīja lielu nenoteiktību visā pasaulē, negatīvi ietekmēja investoru, uzņēmēju un iedzīvotāju konfidenci, kā rezultātā investori neiegulda līdzekļus dažādos attīstības projektos, uzņēmēji nogaida un neattīsta uzņēmējdarbību, iedzīvotājiem veidojas lieli uzkrājumi un privātais patēriņš nepieaug. No C</w:t>
      </w:r>
      <w:r w:rsidRPr="00310555" w:rsidR="00326E4F">
        <w:rPr>
          <w:rFonts w:ascii="Times New Roman" w:hAnsi="Times New Roman" w:eastAsia="Times New Roman" w:cs="Times New Roman"/>
          <w:sz w:val="24"/>
          <w:szCs w:val="24"/>
        </w:rPr>
        <w:t>ovid</w:t>
      </w:r>
      <w:r w:rsidRPr="00310555">
        <w:rPr>
          <w:rFonts w:ascii="Times New Roman" w:hAnsi="Times New Roman" w:eastAsia="Times New Roman" w:cs="Times New Roman"/>
          <w:sz w:val="24"/>
          <w:szCs w:val="24"/>
        </w:rPr>
        <w:t xml:space="preserve">-19 </w:t>
      </w:r>
      <w:r w:rsidRPr="00310555" w:rsidR="00326E4F">
        <w:rPr>
          <w:rFonts w:ascii="Times New Roman" w:hAnsi="Times New Roman" w:eastAsia="Times New Roman" w:cs="Times New Roman"/>
          <w:sz w:val="24"/>
          <w:szCs w:val="24"/>
        </w:rPr>
        <w:t xml:space="preserve">infekcijas </w:t>
      </w:r>
      <w:r w:rsidRPr="00310555">
        <w:rPr>
          <w:rFonts w:ascii="Times New Roman" w:hAnsi="Times New Roman" w:eastAsia="Times New Roman" w:cs="Times New Roman"/>
          <w:sz w:val="24"/>
          <w:szCs w:val="24"/>
        </w:rPr>
        <w:t>pandēmijas cieš vairākas nozares (transporta pārvadājumi, tūrisms, izmitināšanas un ēdināšanas pakalpojumi, mākslas un izklaides nozares), kā rezultātā daudzi uzņēmēji ir spiesti slēgt savu biznesu, atlaist darbiniekus, kā rezultātā pieaug bezdarbs un sociālā spriedze.</w:t>
      </w:r>
    </w:p>
    <w:p w:rsidRPr="00310555" w:rsidR="00D23C9C" w:rsidP="00310555" w:rsidRDefault="00D23C9C" w14:paraId="7CCF41CF" w14:textId="38D67754">
      <w:pPr>
        <w:spacing w:after="0" w:line="240" w:lineRule="auto"/>
        <w:ind w:firstLine="720"/>
        <w:jc w:val="both"/>
        <w:rPr>
          <w:rFonts w:ascii="Times New Roman" w:hAnsi="Times New Roman" w:eastAsia="Times New Roman" w:cs="Times New Roman"/>
          <w:sz w:val="24"/>
          <w:szCs w:val="24"/>
        </w:rPr>
      </w:pPr>
      <w:r w:rsidRPr="00310555">
        <w:rPr>
          <w:rFonts w:ascii="Times New Roman" w:hAnsi="Times New Roman" w:eastAsia="Times New Roman" w:cs="Times New Roman"/>
          <w:sz w:val="24"/>
          <w:szCs w:val="24"/>
        </w:rPr>
        <w:t>Augstākminēto faktoru rezultātā strauji krīt valsts budžeta ieņēmumi, valdības ir spiestas tērēt budžeta līdzekļus un aizņemties līdzekļus starptautiskajos finanšu tirgos, lai nodrošinātu atbalstu uzņēmējiem un iedzīvotājiem. Rezultātā strauji pieaug budžeta deficīts un valsts parāds, kas</w:t>
      </w:r>
      <w:r w:rsidRPr="00310555" w:rsidR="00FA75FF">
        <w:rPr>
          <w:rFonts w:ascii="Times New Roman" w:hAnsi="Times New Roman" w:eastAsia="Times New Roman" w:cs="Times New Roman"/>
          <w:sz w:val="24"/>
          <w:szCs w:val="24"/>
        </w:rPr>
        <w:t xml:space="preserve"> savukārt</w:t>
      </w:r>
      <w:r w:rsidRPr="00310555">
        <w:rPr>
          <w:rFonts w:ascii="Times New Roman" w:hAnsi="Times New Roman" w:eastAsia="Times New Roman" w:cs="Times New Roman"/>
          <w:sz w:val="24"/>
          <w:szCs w:val="24"/>
        </w:rPr>
        <w:t xml:space="preserve"> nozīmē to, ka valdības būs spiestas ar laiku palielināt nodokļus un īstenot ierobežojošo fiskālo politiku, kad ekonomika sāks pakāpeniski atveseļoties. Tas negatīvi ietekmēs gan uzņēmējdarbību, gan iedzīvotāju rīcībā esošos ienākumus.</w:t>
      </w:r>
    </w:p>
    <w:p w:rsidR="00D23C9C" w:rsidP="00310555" w:rsidRDefault="00D23C9C" w14:paraId="361C8E52" w14:textId="4AECD488">
      <w:pPr>
        <w:spacing w:after="0" w:line="240" w:lineRule="auto"/>
        <w:ind w:firstLine="720"/>
        <w:jc w:val="both"/>
        <w:rPr>
          <w:rFonts w:ascii="Times New Roman" w:hAnsi="Times New Roman" w:eastAsia="Times New Roman" w:cs="Times New Roman"/>
          <w:sz w:val="24"/>
          <w:szCs w:val="24"/>
        </w:rPr>
      </w:pPr>
      <w:r w:rsidRPr="00310555">
        <w:rPr>
          <w:rFonts w:ascii="Times New Roman" w:hAnsi="Times New Roman" w:eastAsia="Times New Roman" w:cs="Times New Roman"/>
          <w:sz w:val="24"/>
          <w:szCs w:val="24"/>
        </w:rPr>
        <w:t xml:space="preserve">Ņemot vērā augstākminēto, var secināt, ka jo ātrāk valstis sasniegs </w:t>
      </w:r>
      <w:r w:rsidRPr="00310555" w:rsidR="00326E4F">
        <w:rPr>
          <w:rFonts w:ascii="Times New Roman" w:hAnsi="Times New Roman" w:eastAsia="Times New Roman" w:cs="Times New Roman"/>
          <w:sz w:val="24"/>
          <w:szCs w:val="24"/>
        </w:rPr>
        <w:t>kolektīvo imunitāti</w:t>
      </w:r>
      <w:r w:rsidRPr="00310555">
        <w:rPr>
          <w:rFonts w:ascii="Times New Roman" w:hAnsi="Times New Roman" w:eastAsia="Times New Roman" w:cs="Times New Roman"/>
          <w:sz w:val="24"/>
          <w:szCs w:val="24"/>
        </w:rPr>
        <w:t>, jo ātrāk samazināsies nenoteiktība, tiks atcelti valstīs noteiktie ierobežojumi, kā rezultātā notiks ekonomikas atveseļošanās, ārējās tirdzniecības atkopšanās un investīciju tempa atjaunošana, kas rezultēsies zemākajos zaudējumos, izmaksās un mazākajos riskos gan uz valsts finansēm (budžeta deficīts un valsts parāds), gan uzņēmējiem, gan iedzīvotājiem.</w:t>
      </w:r>
    </w:p>
    <w:p w:rsidR="00560D33" w:rsidP="00310555" w:rsidRDefault="00560D33" w14:paraId="7AA23115" w14:textId="77777777">
      <w:pPr>
        <w:spacing w:after="0" w:line="240" w:lineRule="auto"/>
        <w:ind w:firstLine="720"/>
        <w:jc w:val="both"/>
        <w:rPr>
          <w:rFonts w:ascii="Times New Roman" w:hAnsi="Times New Roman" w:eastAsia="Times New Roman" w:cs="Times New Roman"/>
          <w:sz w:val="24"/>
          <w:szCs w:val="24"/>
        </w:rPr>
      </w:pPr>
    </w:p>
    <w:p w:rsidRPr="00560D33" w:rsidR="00491C3F" w:rsidP="00310555" w:rsidRDefault="00491C3F" w14:paraId="32FC7331" w14:textId="77777777">
      <w:pPr>
        <w:spacing w:after="0" w:line="240" w:lineRule="auto"/>
        <w:ind w:firstLine="720"/>
        <w:jc w:val="both"/>
        <w:rPr>
          <w:rFonts w:ascii="Times New Roman" w:hAnsi="Times New Roman" w:eastAsia="Times New Roman" w:cs="Times New Roman"/>
          <w:b/>
          <w:bCs/>
          <w:sz w:val="24"/>
          <w:szCs w:val="24"/>
        </w:rPr>
      </w:pPr>
    </w:p>
    <w:p w:rsidRPr="00310555" w:rsidR="00491C3F" w:rsidP="00491C3F" w:rsidRDefault="00435804" w14:paraId="42B8D294" w14:textId="44A04C89">
      <w:pPr>
        <w:pStyle w:val="Sarakstarindkopa"/>
        <w:spacing w:after="0" w:line="240" w:lineRule="auto"/>
        <w:ind w:left="1080"/>
        <w:jc w:val="center"/>
        <w:rPr>
          <w:rFonts w:ascii="Times New Roman" w:hAnsi="Times New Roman" w:eastAsia="Times New Roman" w:cs="Times New Roman"/>
          <w:b/>
          <w:bCs/>
          <w:color w:val="000000"/>
          <w:sz w:val="24"/>
          <w:szCs w:val="24"/>
          <w:lang w:eastAsia="lv-LV"/>
        </w:rPr>
      </w:pPr>
      <w:r>
        <w:rPr>
          <w:rFonts w:ascii="Times New Roman" w:hAnsi="Times New Roman" w:eastAsia="Times New Roman" w:cs="Times New Roman"/>
          <w:b/>
          <w:bCs/>
          <w:color w:val="000000"/>
          <w:sz w:val="24"/>
          <w:szCs w:val="24"/>
          <w:lang w:eastAsia="lv-LV"/>
        </w:rPr>
        <w:t>8</w:t>
      </w:r>
      <w:r w:rsidRPr="00310555" w:rsidR="00491C3F">
        <w:rPr>
          <w:rFonts w:ascii="Times New Roman" w:hAnsi="Times New Roman" w:eastAsia="Times New Roman" w:cs="Times New Roman"/>
          <w:b/>
          <w:bCs/>
          <w:color w:val="000000"/>
          <w:sz w:val="24"/>
          <w:szCs w:val="24"/>
          <w:lang w:eastAsia="lv-LV"/>
        </w:rPr>
        <w:t>. Komunikācija ar sabiedrību</w:t>
      </w:r>
    </w:p>
    <w:p w:rsidRPr="00310555" w:rsidR="00491C3F" w:rsidP="00491C3F" w:rsidRDefault="00491C3F" w14:paraId="47734F95" w14:textId="77777777">
      <w:pPr>
        <w:spacing w:after="0" w:line="240" w:lineRule="auto"/>
        <w:rPr>
          <w:rFonts w:ascii="Times New Roman" w:hAnsi="Times New Roman" w:eastAsia="Times New Roman" w:cs="Times New Roman"/>
          <w:b/>
          <w:bCs/>
          <w:color w:val="000000"/>
          <w:sz w:val="24"/>
          <w:szCs w:val="24"/>
          <w:lang w:eastAsia="lv-LV"/>
        </w:rPr>
      </w:pPr>
    </w:p>
    <w:p w:rsidRPr="00560D33" w:rsidR="007B0436" w:rsidP="006E53B2" w:rsidRDefault="007B0436" w14:paraId="11AEA46C" w14:textId="454E700F">
      <w:pPr>
        <w:spacing w:after="0" w:line="240" w:lineRule="auto"/>
        <w:ind w:firstLine="720"/>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 xml:space="preserve">Lai panāktu sabiedrības ieinteresētību, motivāciju un iesaisti vakcinācijas procesā, šī ziņojuma kontekstā komunikācijas mērķis ir panākt lielāku sabiedrības izpratni un ieinteresētību par vakcinēšanās ieguvumiem un uzticēšanos vakcīnai, </w:t>
      </w:r>
      <w:r w:rsidRPr="00560D33" w:rsidR="00435804">
        <w:rPr>
          <w:rFonts w:ascii="Times New Roman" w:hAnsi="Times New Roman" w:eastAsia="Times New Roman" w:cs="Times New Roman"/>
          <w:color w:val="000000"/>
          <w:sz w:val="24"/>
          <w:szCs w:val="24"/>
          <w:lang w:eastAsia="lv-LV"/>
        </w:rPr>
        <w:t>tādējādi</w:t>
      </w:r>
      <w:r w:rsidRPr="00560D33">
        <w:rPr>
          <w:rFonts w:ascii="Times New Roman" w:hAnsi="Times New Roman" w:eastAsia="Times New Roman" w:cs="Times New Roman"/>
          <w:color w:val="000000"/>
          <w:sz w:val="24"/>
          <w:szCs w:val="24"/>
          <w:lang w:eastAsia="lv-LV"/>
        </w:rPr>
        <w:t xml:space="preserve"> palielinot to cilvēku skaitu, kas vakcinējas, un solidāri aizsargā visu sabiedrības locekļu veselību.</w:t>
      </w:r>
    </w:p>
    <w:p w:rsidRPr="00560D33" w:rsidR="007B0436" w:rsidP="007B0436" w:rsidRDefault="007B0436" w14:paraId="73E68162" w14:textId="77777777">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Komunikācijas virzieni:</w:t>
      </w:r>
    </w:p>
    <w:p w:rsidRPr="00560D33" w:rsidR="007B0436" w:rsidP="007B0436" w:rsidRDefault="007B0436" w14:paraId="6CFE935C" w14:textId="77777777">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1.</w:t>
      </w:r>
      <w:r w:rsidRPr="00560D33">
        <w:rPr>
          <w:rFonts w:ascii="Times New Roman" w:hAnsi="Times New Roman" w:eastAsia="Times New Roman" w:cs="Times New Roman"/>
          <w:color w:val="000000"/>
          <w:sz w:val="24"/>
          <w:szCs w:val="24"/>
          <w:lang w:eastAsia="lv-LV"/>
        </w:rPr>
        <w:tab/>
        <w:t xml:space="preserve">Vakcinācija pret Covid-19 ir brīvprātīga. Uzticamība vakcīnām tiek veicināta ar caurspīdīgu un atklātu komunikāciju, kas balstīta zinātnē un klīniskos pētījumos. Tiek respektētas ikviena cilvēka tiesības un izvēle nevakcinēties, taču atsevišķās nozarēs un profesijās, kur drošību nevar nodrošināt citādi, iespējams izvērtēt un pārskatīt nevakcinētiem cilvēkiem individuālus profesionālos pienākumus, ņemot vērā valsts drošības intereses, darbu ar riska grupu cilvēkiem, ētiskos aspektus u.tml. Tāpat nevakcinētiem cilvēkiem jārēķinās ar papildu testēšanas un </w:t>
      </w:r>
      <w:proofErr w:type="spellStart"/>
      <w:r w:rsidRPr="00560D33">
        <w:rPr>
          <w:rFonts w:ascii="Times New Roman" w:hAnsi="Times New Roman" w:eastAsia="Times New Roman" w:cs="Times New Roman"/>
          <w:color w:val="000000"/>
          <w:sz w:val="24"/>
          <w:szCs w:val="24"/>
          <w:lang w:eastAsia="lv-LV"/>
        </w:rPr>
        <w:t>skrīninga</w:t>
      </w:r>
      <w:proofErr w:type="spellEnd"/>
      <w:r w:rsidRPr="00560D33">
        <w:rPr>
          <w:rFonts w:ascii="Times New Roman" w:hAnsi="Times New Roman" w:eastAsia="Times New Roman" w:cs="Times New Roman"/>
          <w:color w:val="000000"/>
          <w:sz w:val="24"/>
          <w:szCs w:val="24"/>
          <w:lang w:eastAsia="lv-LV"/>
        </w:rPr>
        <w:t xml:space="preserve"> prasībām un citiem epidemioloģiska rakstura ierobežojumiem, piemēram, masku lietošanu, </w:t>
      </w:r>
      <w:proofErr w:type="spellStart"/>
      <w:r w:rsidRPr="00560D33">
        <w:rPr>
          <w:rFonts w:ascii="Times New Roman" w:hAnsi="Times New Roman" w:eastAsia="Times New Roman" w:cs="Times New Roman"/>
          <w:color w:val="000000"/>
          <w:sz w:val="24"/>
          <w:szCs w:val="24"/>
          <w:lang w:eastAsia="lv-LV"/>
        </w:rPr>
        <w:t>pašizolācijas</w:t>
      </w:r>
      <w:proofErr w:type="spellEnd"/>
      <w:r w:rsidRPr="00560D33">
        <w:rPr>
          <w:rFonts w:ascii="Times New Roman" w:hAnsi="Times New Roman" w:eastAsia="Times New Roman" w:cs="Times New Roman"/>
          <w:color w:val="000000"/>
          <w:sz w:val="24"/>
          <w:szCs w:val="24"/>
          <w:lang w:eastAsia="lv-LV"/>
        </w:rPr>
        <w:t xml:space="preserve"> prasībām u.tml. </w:t>
      </w:r>
    </w:p>
    <w:p w:rsidRPr="00560D33" w:rsidR="007B0436" w:rsidP="007B0436" w:rsidRDefault="006E53B2" w14:paraId="7D68114D" w14:textId="758D21E0">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2</w:t>
      </w:r>
      <w:r w:rsidRPr="00560D33" w:rsidR="007B0436">
        <w:rPr>
          <w:rFonts w:ascii="Times New Roman" w:hAnsi="Times New Roman" w:eastAsia="Times New Roman" w:cs="Times New Roman"/>
          <w:color w:val="000000"/>
          <w:sz w:val="24"/>
          <w:szCs w:val="24"/>
          <w:lang w:eastAsia="lv-LV"/>
        </w:rPr>
        <w:t>.</w:t>
      </w:r>
      <w:r w:rsidRPr="00560D33" w:rsidR="007B0436">
        <w:rPr>
          <w:rFonts w:ascii="Times New Roman" w:hAnsi="Times New Roman" w:eastAsia="Times New Roman" w:cs="Times New Roman"/>
          <w:color w:val="000000"/>
          <w:sz w:val="24"/>
          <w:szCs w:val="24"/>
          <w:lang w:eastAsia="lv-LV"/>
        </w:rPr>
        <w:tab/>
        <w:t>Kolektīvās imunitātes sasniegšana ļauj cilvēkiem atgriezties dzīvē bez ierobežojumiem un ir ekonomiskās atveseļošanās priekšnoteikums. Jo ātrāk tiks sasniegta kolektīvā imunitāte, ko var panākt ar iedzīvotāju vakcinēšanos, epidemioloģisko drošības pasākumu ievērošanu un Covid-19 ārstēšanu, jo ātrāk samazināsies nenoteiktība un tiks atcelti valstī noteiktie ierobežojumi. Kolektīvās imunitātes sasniegšana veicinās ekonomikas atveseļošanos un uzlabos iedzīvotāju un uzņēmēju dzīves kvalitāti, ļaujot iedzīvotājiem pilnībā atgriezties darbā, savukārt uzņēmējiem atsākt uzņēmējdarbību. Gan iedzīvotājiem, gan valstij būs mazāki zaudējumi, izmaksas un riski, kas savukārt ietekmē budžeta deficītu un valsts parādu.</w:t>
      </w:r>
    </w:p>
    <w:p w:rsidRPr="00560D33" w:rsidR="007B0436" w:rsidP="007B0436" w:rsidRDefault="006E53B2" w14:paraId="1C6CB1EF" w14:textId="5B280CA9">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3</w:t>
      </w:r>
      <w:r w:rsidRPr="00560D33" w:rsidR="007B0436">
        <w:rPr>
          <w:rFonts w:ascii="Times New Roman" w:hAnsi="Times New Roman" w:eastAsia="Times New Roman" w:cs="Times New Roman"/>
          <w:color w:val="000000"/>
          <w:sz w:val="24"/>
          <w:szCs w:val="24"/>
          <w:lang w:eastAsia="lv-LV"/>
        </w:rPr>
        <w:t>.</w:t>
      </w:r>
      <w:r w:rsidRPr="00560D33" w:rsidR="007B0436">
        <w:rPr>
          <w:rFonts w:ascii="Times New Roman" w:hAnsi="Times New Roman" w:eastAsia="Times New Roman" w:cs="Times New Roman"/>
          <w:color w:val="000000"/>
          <w:sz w:val="24"/>
          <w:szCs w:val="24"/>
          <w:lang w:eastAsia="lv-LV"/>
        </w:rPr>
        <w:tab/>
        <w:t xml:space="preserve">Vakcinēto cilvēku priekšrocību ieviešana notiks, ievērojot vairākus būtiskus priekšnosacījumus: (1) vakcīnas ir pieejamas plašai sabiedrībai; (2) nodrošināta pietiekama savakcinēto cilvēku aptvere, īpaši riska grupās; (3) valstī ir atbilstoša epidemioloģiskā situācija un (4) notiek efektīva vakcinācijas fakta kontrole. Tā kā pašlaik vakcinācija nav vēl pieejama </w:t>
      </w:r>
      <w:r w:rsidRPr="00560D33" w:rsidR="007B0436">
        <w:rPr>
          <w:rFonts w:ascii="Times New Roman" w:hAnsi="Times New Roman" w:eastAsia="Times New Roman" w:cs="Times New Roman"/>
          <w:color w:val="000000"/>
          <w:sz w:val="24"/>
          <w:szCs w:val="24"/>
          <w:lang w:eastAsia="lv-LV"/>
        </w:rPr>
        <w:lastRenderedPageBreak/>
        <w:t>plašai sabiedrībai, visu sabiedrību aptverošus izņēmumus ieviesīs tad, kad vakcinācijas aptvere būs pietiekama un būs savakcinēts pietiekami liels cilvēku skaits un riska gr</w:t>
      </w:r>
      <w:r w:rsidRPr="00560D33">
        <w:rPr>
          <w:rFonts w:ascii="Times New Roman" w:hAnsi="Times New Roman" w:eastAsia="Times New Roman" w:cs="Times New Roman"/>
          <w:color w:val="000000"/>
          <w:sz w:val="24"/>
          <w:szCs w:val="24"/>
          <w:lang w:eastAsia="lv-LV"/>
        </w:rPr>
        <w:t>u</w:t>
      </w:r>
      <w:r w:rsidRPr="00560D33" w:rsidR="007B0436">
        <w:rPr>
          <w:rFonts w:ascii="Times New Roman" w:hAnsi="Times New Roman" w:eastAsia="Times New Roman" w:cs="Times New Roman"/>
          <w:color w:val="000000"/>
          <w:sz w:val="24"/>
          <w:szCs w:val="24"/>
          <w:lang w:eastAsia="lv-LV"/>
        </w:rPr>
        <w:t>pas. Saskaņā ar Covid-19 vakcinācijas plānu</w:t>
      </w:r>
      <w:r w:rsidRPr="00560D33">
        <w:rPr>
          <w:rFonts w:ascii="Times New Roman" w:hAnsi="Times New Roman" w:eastAsia="Times New Roman" w:cs="Times New Roman"/>
          <w:color w:val="000000"/>
          <w:sz w:val="24"/>
          <w:szCs w:val="24"/>
          <w:lang w:eastAsia="lv-LV"/>
        </w:rPr>
        <w:t xml:space="preserve"> </w:t>
      </w:r>
      <w:r w:rsidRPr="00560D33" w:rsidR="007B0436">
        <w:rPr>
          <w:rFonts w:ascii="Times New Roman" w:hAnsi="Times New Roman" w:eastAsia="Times New Roman" w:cs="Times New Roman"/>
          <w:color w:val="000000"/>
          <w:sz w:val="24"/>
          <w:szCs w:val="24"/>
          <w:lang w:eastAsia="lv-LV"/>
        </w:rPr>
        <w:t>vakcinētiem cilvēkiem ierobežojumus pakāpeniski varētu sākt atcelt, iespējams, jau jūnija mēnesī.</w:t>
      </w:r>
    </w:p>
    <w:p w:rsidRPr="00560D33" w:rsidR="007B0436" w:rsidP="007B0436" w:rsidRDefault="006E53B2" w14:paraId="10F2D427" w14:textId="034A0CC3">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4</w:t>
      </w:r>
      <w:r w:rsidRPr="00560D33" w:rsidR="007B0436">
        <w:rPr>
          <w:rFonts w:ascii="Times New Roman" w:hAnsi="Times New Roman" w:eastAsia="Times New Roman" w:cs="Times New Roman"/>
          <w:color w:val="000000"/>
          <w:sz w:val="24"/>
          <w:szCs w:val="24"/>
          <w:lang w:eastAsia="lv-LV"/>
        </w:rPr>
        <w:t>.</w:t>
      </w:r>
      <w:r w:rsidRPr="00560D33" w:rsidR="007B0436">
        <w:rPr>
          <w:rFonts w:ascii="Times New Roman" w:hAnsi="Times New Roman" w:eastAsia="Times New Roman" w:cs="Times New Roman"/>
          <w:color w:val="000000"/>
          <w:sz w:val="24"/>
          <w:szCs w:val="24"/>
          <w:lang w:eastAsia="lv-LV"/>
        </w:rPr>
        <w:tab/>
        <w:t>Pilnībā vakcinētām personām ierobežojumu atcelšana notiks pakāpeniski un pa posmiem. Pirmajā posmā</w:t>
      </w:r>
      <w:r w:rsidRPr="00560D33" w:rsidR="00553193">
        <w:rPr>
          <w:rFonts w:ascii="Times New Roman" w:hAnsi="Times New Roman" w:eastAsia="Times New Roman" w:cs="Times New Roman"/>
          <w:color w:val="000000"/>
          <w:sz w:val="24"/>
          <w:szCs w:val="24"/>
          <w:lang w:eastAsia="lv-LV"/>
        </w:rPr>
        <w:t xml:space="preserve"> </w:t>
      </w:r>
      <w:r w:rsidRPr="00560D33" w:rsidR="007B0436">
        <w:rPr>
          <w:rFonts w:ascii="Times New Roman" w:hAnsi="Times New Roman" w:eastAsia="Times New Roman" w:cs="Times New Roman"/>
          <w:color w:val="000000"/>
          <w:sz w:val="24"/>
          <w:szCs w:val="24"/>
          <w:lang w:eastAsia="lv-LV"/>
        </w:rPr>
        <w:t xml:space="preserve">uz atsevišķām pilnībā vakcinētām sabiedrības grupām pakāpeniski tiks attiecināti mērķēti izņēmumi, piemēram, neveikt obligāto </w:t>
      </w:r>
      <w:proofErr w:type="spellStart"/>
      <w:r w:rsidRPr="00560D33" w:rsidR="007B0436">
        <w:rPr>
          <w:rFonts w:ascii="Times New Roman" w:hAnsi="Times New Roman" w:eastAsia="Times New Roman" w:cs="Times New Roman"/>
          <w:color w:val="000000"/>
          <w:sz w:val="24"/>
          <w:szCs w:val="24"/>
          <w:lang w:eastAsia="lv-LV"/>
        </w:rPr>
        <w:t>skrīningu</w:t>
      </w:r>
      <w:proofErr w:type="spellEnd"/>
      <w:r w:rsidRPr="00560D33" w:rsidR="007B0436">
        <w:rPr>
          <w:rFonts w:ascii="Times New Roman" w:hAnsi="Times New Roman" w:eastAsia="Times New Roman" w:cs="Times New Roman"/>
          <w:color w:val="000000"/>
          <w:sz w:val="24"/>
          <w:szCs w:val="24"/>
          <w:lang w:eastAsia="lv-LV"/>
        </w:rPr>
        <w:t xml:space="preserve"> darba vietā, neievērot mājas karantīnu, mazināt drošības pasākumus sociālos aprūpes centros u.tml. Otrajā posmā tiks lemts par uz visu sabiedrību attiecinātiem izņēmumiem vakcinētām personām. Piemēram, plānots atļaut pulcēties sporta un kultūras pasākumos, iekštelpās apmeklēt kultūras un sporta pasākumus, izmantot ēdināšanas, sporta klubu un izklaides pakalpojumus, noteiktās situācijās nelietot sejas masku un citus individuālos aizsardzības līdzekļus u. tml. Visi ierobežojumu atvieglojumi tiks skatīti kontekstā ar epidemioloģisko situāciju un citiem drošības pasākumiem, kas jāievēro. </w:t>
      </w:r>
    </w:p>
    <w:p w:rsidRPr="00560D33" w:rsidR="007B0436" w:rsidP="007B0436" w:rsidRDefault="006E53B2" w14:paraId="4EC183BB" w14:textId="535200EC">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5</w:t>
      </w:r>
      <w:r w:rsidRPr="00560D33" w:rsidR="007B0436">
        <w:rPr>
          <w:rFonts w:ascii="Times New Roman" w:hAnsi="Times New Roman" w:eastAsia="Times New Roman" w:cs="Times New Roman"/>
          <w:color w:val="000000"/>
          <w:sz w:val="24"/>
          <w:szCs w:val="24"/>
          <w:lang w:eastAsia="lv-LV"/>
        </w:rPr>
        <w:t>.</w:t>
      </w:r>
      <w:r w:rsidRPr="00560D33" w:rsidR="007B0436">
        <w:rPr>
          <w:rFonts w:ascii="Times New Roman" w:hAnsi="Times New Roman" w:eastAsia="Times New Roman" w:cs="Times New Roman"/>
          <w:color w:val="000000"/>
          <w:sz w:val="24"/>
          <w:szCs w:val="24"/>
          <w:lang w:eastAsia="lv-LV"/>
        </w:rPr>
        <w:tab/>
        <w:t xml:space="preserve">Dažādu nozaru grupām būs papildu profesionālie nosacījumi. Papildu nosacījumi noteiktās profesijās tiks noteikti tikai profesijās, kur drošību nevar nodrošināt citādi, stingri izvērtējot, kurās profesijās un kāpēc šādi nosacījumi nepieciešami. Šo profesiju profesionālie nosacījumi tiks izstrādāti sadarbībā ar atbildīgo nozaru ministrijām un epidemioloģiskās drošības ekspertiem, veicot </w:t>
      </w:r>
      <w:proofErr w:type="spellStart"/>
      <w:r w:rsidRPr="00560D33" w:rsidR="007B0436">
        <w:rPr>
          <w:rFonts w:ascii="Times New Roman" w:hAnsi="Times New Roman" w:eastAsia="Times New Roman" w:cs="Times New Roman"/>
          <w:color w:val="000000"/>
          <w:sz w:val="24"/>
          <w:szCs w:val="24"/>
          <w:lang w:eastAsia="lv-LV"/>
        </w:rPr>
        <w:t>izvērtējumu</w:t>
      </w:r>
      <w:proofErr w:type="spellEnd"/>
      <w:r w:rsidRPr="00560D33" w:rsidR="007B0436">
        <w:rPr>
          <w:rFonts w:ascii="Times New Roman" w:hAnsi="Times New Roman" w:eastAsia="Times New Roman" w:cs="Times New Roman"/>
          <w:color w:val="000000"/>
          <w:sz w:val="24"/>
          <w:szCs w:val="24"/>
          <w:lang w:eastAsia="lv-LV"/>
        </w:rPr>
        <w:t>. Tās ir profesijas, kas ikdienas darbā saistītas ar ciešu kontaktu ar cilvēkiem, darbu noslēgtās telpās, darbu ar riska grupu, vīrusa vairāk apdraudēto grupu iedzīvotājiem u.tml.</w:t>
      </w:r>
    </w:p>
    <w:p w:rsidRPr="00560D33" w:rsidR="007B0436" w:rsidP="007B0436" w:rsidRDefault="006E53B2" w14:paraId="2CC721BC" w14:textId="129CD8C8">
      <w:pPr>
        <w:spacing w:after="0" w:line="240" w:lineRule="auto"/>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6</w:t>
      </w:r>
      <w:r w:rsidRPr="00560D33" w:rsidR="007B0436">
        <w:rPr>
          <w:rFonts w:ascii="Times New Roman" w:hAnsi="Times New Roman" w:eastAsia="Times New Roman" w:cs="Times New Roman"/>
          <w:color w:val="000000"/>
          <w:sz w:val="24"/>
          <w:szCs w:val="24"/>
          <w:lang w:eastAsia="lv-LV"/>
        </w:rPr>
        <w:t>.</w:t>
      </w:r>
      <w:r w:rsidRPr="00560D33" w:rsidR="007B0436">
        <w:rPr>
          <w:rFonts w:ascii="Times New Roman" w:hAnsi="Times New Roman" w:eastAsia="Times New Roman" w:cs="Times New Roman"/>
          <w:color w:val="000000"/>
          <w:sz w:val="24"/>
          <w:szCs w:val="24"/>
          <w:lang w:eastAsia="lv-LV"/>
        </w:rPr>
        <w:tab/>
        <w:t>Sabiedrības motivācijas veicināšanai vakcinēties plānots ieviest dažādus papildu motivējošus pasākumus, iesaistot uzņēmējus, pašvaldības un</w:t>
      </w:r>
      <w:r w:rsidRPr="00560D33" w:rsidR="0087471A">
        <w:rPr>
          <w:rFonts w:ascii="Times New Roman" w:hAnsi="Times New Roman" w:eastAsia="Times New Roman" w:cs="Times New Roman"/>
          <w:color w:val="000000"/>
          <w:sz w:val="24"/>
          <w:szCs w:val="24"/>
          <w:lang w:eastAsia="lv-LV"/>
        </w:rPr>
        <w:t xml:space="preserve"> </w:t>
      </w:r>
      <w:r w:rsidRPr="00560D33" w:rsidR="007B0436">
        <w:rPr>
          <w:rFonts w:ascii="Times New Roman" w:hAnsi="Times New Roman" w:eastAsia="Times New Roman" w:cs="Times New Roman"/>
          <w:color w:val="000000"/>
          <w:sz w:val="24"/>
          <w:szCs w:val="24"/>
          <w:lang w:eastAsia="lv-LV"/>
        </w:rPr>
        <w:t>nevalstiskās organizācijas. Piemēram, (1) blakusparādību gadījumā pēc vakcinācijas, kas ietekmē personas darbaspējas, paredzēt iespēju piešķirt uzreiz B darba nespējas lapu, lai novērstu zaudējumus vakcinējamiem un mazinātu slogu darba devējiem; (2) darba devējiem paredzēt motivācijas iespējas vakcinētiem cilvēkiem, paredzot darbiniekam brīvdienu vakcinācijas veikšanai u.tml.</w:t>
      </w:r>
    </w:p>
    <w:p w:rsidRPr="00560D33" w:rsidR="006E53B2" w:rsidP="007B0436" w:rsidRDefault="006E53B2" w14:paraId="6575DC2B" w14:textId="77777777">
      <w:pPr>
        <w:spacing w:after="0" w:line="240" w:lineRule="auto"/>
        <w:jc w:val="both"/>
        <w:rPr>
          <w:rFonts w:ascii="Times New Roman" w:hAnsi="Times New Roman" w:eastAsia="Times New Roman" w:cs="Times New Roman"/>
          <w:color w:val="000000"/>
          <w:sz w:val="24"/>
          <w:szCs w:val="24"/>
          <w:lang w:eastAsia="lv-LV"/>
        </w:rPr>
      </w:pPr>
    </w:p>
    <w:p w:rsidRPr="00560D33" w:rsidR="007B0436" w:rsidP="00560D33" w:rsidRDefault="007B0436" w14:paraId="6E65F38C" w14:textId="77777777">
      <w:pPr>
        <w:spacing w:after="0" w:line="240" w:lineRule="auto"/>
        <w:ind w:firstLine="720"/>
        <w:jc w:val="both"/>
        <w:rPr>
          <w:rFonts w:ascii="Times New Roman" w:hAnsi="Times New Roman" w:eastAsia="Times New Roman" w:cs="Times New Roman"/>
          <w:color w:val="000000"/>
          <w:sz w:val="24"/>
          <w:szCs w:val="24"/>
          <w:lang w:eastAsia="lv-LV"/>
        </w:rPr>
      </w:pPr>
      <w:r w:rsidRPr="00560D33">
        <w:rPr>
          <w:rFonts w:ascii="Times New Roman" w:hAnsi="Times New Roman" w:eastAsia="Times New Roman" w:cs="Times New Roman"/>
          <w:color w:val="000000"/>
          <w:sz w:val="24"/>
          <w:szCs w:val="24"/>
          <w:lang w:eastAsia="lv-LV"/>
        </w:rPr>
        <w:t xml:space="preserve">Lai nodrošinātu papildu motivējošo pasākumu komunikāciju par vakcinēto personu iespējamām priekšrocībām nākotnē, Vakcinācijas projekta birojs sadarbībā ar nozaru ministrijām un Valsts kanceleju, izstrādās komunikācijas plānu vakcinācijas priekšrocību komunikācijai, kas skar nozaru iekšējās un ārējās auditorijas. Valsts kancelejas Stratēģiskās komunikācijas un koordinācijas departaments nodrošinās atbalstu Vakcinācijas projekta birojam starpnozaru koordinācijai plāna izstrādē. Departaments arī nodrošinās ziņojumā minēto jautājumu monitoringu, iedzīvotāju attieksmes </w:t>
      </w:r>
      <w:proofErr w:type="spellStart"/>
      <w:r w:rsidRPr="00560D33">
        <w:rPr>
          <w:rFonts w:ascii="Times New Roman" w:hAnsi="Times New Roman" w:eastAsia="Times New Roman" w:cs="Times New Roman"/>
          <w:color w:val="000000"/>
          <w:sz w:val="24"/>
          <w:szCs w:val="24"/>
          <w:lang w:eastAsia="lv-LV"/>
        </w:rPr>
        <w:t>izvērtējumu</w:t>
      </w:r>
      <w:proofErr w:type="spellEnd"/>
      <w:r w:rsidRPr="00560D33">
        <w:rPr>
          <w:rFonts w:ascii="Times New Roman" w:hAnsi="Times New Roman" w:eastAsia="Times New Roman" w:cs="Times New Roman"/>
          <w:color w:val="000000"/>
          <w:sz w:val="24"/>
          <w:szCs w:val="24"/>
          <w:lang w:eastAsia="lv-LV"/>
        </w:rPr>
        <w:t xml:space="preserve"> pret vakcinācijas priekšrocībām un vadlīnijas vienotas izpratnes veicināšanai nozarēm, amatpersonām un sociālajiem partneriem. </w:t>
      </w:r>
    </w:p>
    <w:p w:rsidRPr="00560D33" w:rsidR="007B0436" w:rsidP="007B0436" w:rsidRDefault="007B0436" w14:paraId="583D4249" w14:textId="77777777">
      <w:pPr>
        <w:spacing w:after="0" w:line="240" w:lineRule="auto"/>
        <w:jc w:val="both"/>
        <w:rPr>
          <w:rFonts w:ascii="Times New Roman" w:hAnsi="Times New Roman" w:eastAsia="Times New Roman" w:cs="Times New Roman"/>
          <w:color w:val="000000"/>
          <w:sz w:val="24"/>
          <w:szCs w:val="24"/>
          <w:lang w:eastAsia="lv-LV"/>
        </w:rPr>
      </w:pPr>
    </w:p>
    <w:p w:rsidRPr="00310555" w:rsidR="00883A13" w:rsidP="00310555" w:rsidRDefault="00883A13" w14:paraId="5900E900" w14:textId="12F79805">
      <w:pPr>
        <w:spacing w:after="0" w:line="240" w:lineRule="auto"/>
        <w:jc w:val="both"/>
        <w:rPr>
          <w:rFonts w:ascii="Times New Roman" w:hAnsi="Times New Roman" w:eastAsia="Times New Roman" w:cs="Times New Roman"/>
          <w:b/>
          <w:bCs/>
          <w:color w:val="000000"/>
          <w:sz w:val="24"/>
          <w:szCs w:val="24"/>
          <w:lang w:eastAsia="lv-LV"/>
        </w:rPr>
      </w:pPr>
    </w:p>
    <w:p w:rsidR="006F412B" w:rsidP="00310555" w:rsidRDefault="0037007D" w14:paraId="07B90CBA" w14:textId="39911EA8">
      <w:pPr>
        <w:spacing w:after="0" w:line="240" w:lineRule="auto"/>
        <w:jc w:val="center"/>
        <w:rPr>
          <w:rFonts w:ascii="Times New Roman" w:hAnsi="Times New Roman" w:eastAsia="Times New Roman" w:cs="Times New Roman"/>
          <w:b/>
          <w:bCs/>
          <w:color w:val="000000"/>
          <w:sz w:val="24"/>
          <w:szCs w:val="24"/>
          <w:lang w:eastAsia="lv-LV"/>
        </w:rPr>
      </w:pPr>
      <w:r>
        <w:rPr>
          <w:rFonts w:ascii="Times New Roman" w:hAnsi="Times New Roman" w:eastAsia="Times New Roman" w:cs="Times New Roman"/>
          <w:b/>
          <w:bCs/>
          <w:color w:val="000000"/>
          <w:sz w:val="24"/>
          <w:szCs w:val="24"/>
          <w:lang w:eastAsia="lv-LV"/>
        </w:rPr>
        <w:t>9</w:t>
      </w:r>
      <w:r w:rsidRPr="00310555" w:rsidR="00883A13">
        <w:rPr>
          <w:rFonts w:ascii="Times New Roman" w:hAnsi="Times New Roman" w:eastAsia="Times New Roman" w:cs="Times New Roman"/>
          <w:b/>
          <w:bCs/>
          <w:color w:val="000000"/>
          <w:sz w:val="24"/>
          <w:szCs w:val="24"/>
          <w:lang w:eastAsia="lv-LV"/>
        </w:rPr>
        <w:t xml:space="preserve">. </w:t>
      </w:r>
      <w:r w:rsidRPr="00310555" w:rsidR="00745981">
        <w:rPr>
          <w:rFonts w:ascii="Times New Roman" w:hAnsi="Times New Roman" w:eastAsia="Times New Roman" w:cs="Times New Roman"/>
          <w:b/>
          <w:bCs/>
          <w:color w:val="000000"/>
          <w:sz w:val="24"/>
          <w:szCs w:val="24"/>
          <w:lang w:eastAsia="lv-LV"/>
        </w:rPr>
        <w:t>Kopsavilkums (secinājumi)</w:t>
      </w:r>
    </w:p>
    <w:p w:rsidR="00027CB7" w:rsidP="00310555" w:rsidRDefault="00027CB7" w14:paraId="796B04F7" w14:textId="19AA7DDB">
      <w:pPr>
        <w:spacing w:after="0" w:line="240" w:lineRule="auto"/>
        <w:jc w:val="center"/>
        <w:rPr>
          <w:rFonts w:ascii="Times New Roman" w:hAnsi="Times New Roman" w:eastAsia="Times New Roman" w:cs="Times New Roman"/>
          <w:b/>
          <w:bCs/>
          <w:color w:val="000000"/>
          <w:sz w:val="24"/>
          <w:szCs w:val="24"/>
          <w:lang w:eastAsia="lv-LV"/>
        </w:rPr>
      </w:pPr>
    </w:p>
    <w:p w:rsidRPr="00F76AD0" w:rsidR="00815D08" w:rsidP="00404332" w:rsidRDefault="00740DB5" w14:paraId="261B8401" w14:textId="0A18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F76AD0">
        <w:rPr>
          <w:rFonts w:ascii="Times New Roman" w:hAnsi="Times New Roman" w:eastAsia="Times New Roman" w:cs="Times New Roman"/>
          <w:color w:val="202124"/>
          <w:sz w:val="24"/>
          <w:szCs w:val="24"/>
        </w:rPr>
        <w:t>Lemjot par vakcinācijas ietekmi uz sabiedrību, jāņem vērā, ka mēdz</w:t>
      </w:r>
      <w:r w:rsidR="00560D33">
        <w:rPr>
          <w:rFonts w:ascii="Times New Roman" w:hAnsi="Times New Roman" w:eastAsia="Times New Roman" w:cs="Times New Roman"/>
          <w:color w:val="202124"/>
          <w:sz w:val="24"/>
          <w:szCs w:val="24"/>
        </w:rPr>
        <w:t xml:space="preserve"> būt</w:t>
      </w:r>
      <w:r w:rsidRPr="00F76AD0">
        <w:rPr>
          <w:rFonts w:ascii="Times New Roman" w:hAnsi="Times New Roman" w:eastAsia="Times New Roman" w:cs="Times New Roman"/>
          <w:color w:val="202124"/>
          <w:sz w:val="24"/>
          <w:szCs w:val="24"/>
        </w:rPr>
        <w:t xml:space="preserve"> reģistrēti SARS-CoV-2 inficēšanās gadījumi arī pilnīgi vakcinētu cilvēku vidū. Tāpat vīrusam ir tendences veidot mutācijas un veidot jaunus celmus, pret kuriem vakcīnu efektivitāte ir zemāka. Tādēļ, lai lemtu par piesardzības un drošības pasākumu mazināšanu vakcinētām personām ir jāapzinās vakcinācijas aptvere sabiedrībā kopumā (pēc citu valstu pieredzes, izņēmumi vakcinētām personām tiek ieviesti, kad vakcinācijas aptvere pārsniedz 30-40 līdz 50% no sabiedrības). Tā kā primāri vakcinācijas mērķis ir novērst smagas Covid-19 saslimšanas formas, kas rada papildu slodzi ārstniecības iestādēm un nāves gadījumus, tādēļ arī ir jāsasniedz pietiekama riska grupu (pers</w:t>
      </w:r>
      <w:r w:rsidRPr="00F76AD0" w:rsidR="00815D08">
        <w:rPr>
          <w:rFonts w:ascii="Times New Roman" w:hAnsi="Times New Roman" w:eastAsia="Times New Roman" w:cs="Times New Roman"/>
          <w:color w:val="202124"/>
          <w:sz w:val="24"/>
          <w:szCs w:val="24"/>
        </w:rPr>
        <w:t>o</w:t>
      </w:r>
      <w:r w:rsidRPr="00F76AD0">
        <w:rPr>
          <w:rFonts w:ascii="Times New Roman" w:hAnsi="Times New Roman" w:eastAsia="Times New Roman" w:cs="Times New Roman"/>
          <w:color w:val="202124"/>
          <w:sz w:val="24"/>
          <w:szCs w:val="24"/>
        </w:rPr>
        <w:t xml:space="preserve">nas vecumā virs 60 gadiem) vakcinācijas aptvere (virs 70%) un tāpat valstī jābūt </w:t>
      </w:r>
      <w:r w:rsidRPr="00F76AD0" w:rsidR="00815D08">
        <w:rPr>
          <w:rFonts w:ascii="Times New Roman" w:hAnsi="Times New Roman" w:eastAsia="Times New Roman" w:cs="Times New Roman"/>
          <w:color w:val="202124"/>
          <w:sz w:val="24"/>
          <w:szCs w:val="24"/>
        </w:rPr>
        <w:t xml:space="preserve">zemiem Covid-19 izplatības riskiem. </w:t>
      </w:r>
    </w:p>
    <w:p w:rsidRPr="00F76AD0" w:rsidR="00404332" w:rsidP="00404332" w:rsidRDefault="00740DB5" w14:paraId="7475C26D" w14:textId="08A3D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F76AD0">
        <w:rPr>
          <w:rFonts w:ascii="Times New Roman" w:hAnsi="Times New Roman" w:eastAsia="Times New Roman" w:cs="Times New Roman"/>
          <w:color w:val="202124"/>
          <w:sz w:val="24"/>
          <w:szCs w:val="24"/>
        </w:rPr>
        <w:t xml:space="preserve"> </w:t>
      </w:r>
      <w:r w:rsidRPr="00F76AD0" w:rsidR="00027CB7">
        <w:rPr>
          <w:rFonts w:ascii="Times New Roman" w:hAnsi="Times New Roman" w:eastAsia="Times New Roman" w:cs="Times New Roman"/>
          <w:color w:val="202124"/>
          <w:sz w:val="24"/>
          <w:szCs w:val="24"/>
        </w:rPr>
        <w:t xml:space="preserve">Ņemot vērā to, ka nav panākta ļoti plaša sabiedrības vakcinācijas aptvere, nav sasniegta arī pietiekama riska grupu vakcinācijas aptvere, vakcinācija joprojām nav pieejama visai </w:t>
      </w:r>
      <w:r w:rsidRPr="00F76AD0" w:rsidR="00027CB7">
        <w:rPr>
          <w:rFonts w:ascii="Times New Roman" w:hAnsi="Times New Roman" w:eastAsia="Times New Roman" w:cs="Times New Roman"/>
          <w:color w:val="202124"/>
          <w:sz w:val="24"/>
          <w:szCs w:val="24"/>
        </w:rPr>
        <w:lastRenderedPageBreak/>
        <w:t xml:space="preserve">sabiedrībai, tādēļ nav iespējams ieviest visu sabiedrību aptverošus izņēmumus vakcinētām personām. </w:t>
      </w:r>
    </w:p>
    <w:p w:rsidRPr="00F76AD0" w:rsidR="00815D08" w:rsidP="00404332" w:rsidRDefault="00815D08" w14:paraId="1158890B" w14:textId="3487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F76AD0">
        <w:rPr>
          <w:rFonts w:ascii="Times New Roman" w:hAnsi="Times New Roman" w:eastAsia="Times New Roman" w:cs="Times New Roman"/>
          <w:color w:val="202124"/>
          <w:sz w:val="24"/>
          <w:szCs w:val="24"/>
        </w:rPr>
        <w:t>Vadoties no iepriekš minētajiem zinātniskajiem pierādījumiem, izņēmumi vakcinētām pers</w:t>
      </w:r>
      <w:r w:rsidRPr="00F76AD0" w:rsidR="00B32559">
        <w:rPr>
          <w:rFonts w:ascii="Times New Roman" w:hAnsi="Times New Roman" w:eastAsia="Times New Roman" w:cs="Times New Roman"/>
          <w:color w:val="202124"/>
          <w:sz w:val="24"/>
          <w:szCs w:val="24"/>
        </w:rPr>
        <w:t>o</w:t>
      </w:r>
      <w:r w:rsidRPr="00F76AD0">
        <w:rPr>
          <w:rFonts w:ascii="Times New Roman" w:hAnsi="Times New Roman" w:eastAsia="Times New Roman" w:cs="Times New Roman"/>
          <w:color w:val="202124"/>
          <w:sz w:val="24"/>
          <w:szCs w:val="24"/>
        </w:rPr>
        <w:t xml:space="preserve">nām var tikt </w:t>
      </w:r>
      <w:r w:rsidRPr="00F76AD0" w:rsidR="00B32559">
        <w:rPr>
          <w:rFonts w:ascii="Times New Roman" w:hAnsi="Times New Roman" w:eastAsia="Times New Roman" w:cs="Times New Roman"/>
          <w:color w:val="202124"/>
          <w:sz w:val="24"/>
          <w:szCs w:val="24"/>
        </w:rPr>
        <w:t>balstīti uz izņēmumiem Covid-19 testēšanā, karantīnas nosacījumu ievērošanai un nosacījumiem</w:t>
      </w:r>
      <w:r w:rsidR="0037007D">
        <w:rPr>
          <w:rFonts w:ascii="Times New Roman" w:hAnsi="Times New Roman" w:eastAsia="Times New Roman" w:cs="Times New Roman"/>
          <w:color w:val="202124"/>
          <w:sz w:val="24"/>
          <w:szCs w:val="24"/>
        </w:rPr>
        <w:t>,</w:t>
      </w:r>
      <w:r w:rsidRPr="00F76AD0" w:rsidR="00B32559">
        <w:rPr>
          <w:rFonts w:ascii="Times New Roman" w:hAnsi="Times New Roman" w:eastAsia="Times New Roman" w:cs="Times New Roman"/>
          <w:color w:val="202124"/>
          <w:sz w:val="24"/>
          <w:szCs w:val="24"/>
        </w:rPr>
        <w:t xml:space="preserve"> tiekoties ar vakcinētām pers</w:t>
      </w:r>
      <w:r w:rsidR="00F75DDE">
        <w:rPr>
          <w:rFonts w:ascii="Times New Roman" w:hAnsi="Times New Roman" w:eastAsia="Times New Roman" w:cs="Times New Roman"/>
          <w:color w:val="202124"/>
          <w:sz w:val="24"/>
          <w:szCs w:val="24"/>
        </w:rPr>
        <w:t>o</w:t>
      </w:r>
      <w:r w:rsidRPr="00F76AD0" w:rsidR="00B32559">
        <w:rPr>
          <w:rFonts w:ascii="Times New Roman" w:hAnsi="Times New Roman" w:eastAsia="Times New Roman" w:cs="Times New Roman"/>
          <w:color w:val="202124"/>
          <w:sz w:val="24"/>
          <w:szCs w:val="24"/>
        </w:rPr>
        <w:t>nām (var nelietot sejas maskas</w:t>
      </w:r>
      <w:r w:rsidR="0037007D">
        <w:rPr>
          <w:rFonts w:ascii="Times New Roman" w:hAnsi="Times New Roman" w:eastAsia="Times New Roman" w:cs="Times New Roman"/>
          <w:color w:val="202124"/>
          <w:sz w:val="24"/>
          <w:szCs w:val="24"/>
        </w:rPr>
        <w:t>)</w:t>
      </w:r>
      <w:r w:rsidRPr="00F76AD0" w:rsidR="00B32559">
        <w:rPr>
          <w:rFonts w:ascii="Times New Roman" w:hAnsi="Times New Roman" w:eastAsia="Times New Roman" w:cs="Times New Roman"/>
          <w:color w:val="202124"/>
          <w:sz w:val="24"/>
          <w:szCs w:val="24"/>
        </w:rPr>
        <w:t>. Tajā pa</w:t>
      </w:r>
      <w:r w:rsidR="008725B2">
        <w:rPr>
          <w:rFonts w:ascii="Times New Roman" w:hAnsi="Times New Roman" w:eastAsia="Times New Roman" w:cs="Times New Roman"/>
          <w:color w:val="202124"/>
          <w:sz w:val="24"/>
          <w:szCs w:val="24"/>
        </w:rPr>
        <w:t>šā</w:t>
      </w:r>
      <w:r w:rsidRPr="00F76AD0" w:rsidR="00B32559">
        <w:rPr>
          <w:rFonts w:ascii="Times New Roman" w:hAnsi="Times New Roman" w:eastAsia="Times New Roman" w:cs="Times New Roman"/>
          <w:color w:val="202124"/>
          <w:sz w:val="24"/>
          <w:szCs w:val="24"/>
        </w:rPr>
        <w:t xml:space="preserve"> laikā ECDC un CDC norāda uz to, ka citi piesardzības</w:t>
      </w:r>
      <w:r w:rsidR="00F75DDE">
        <w:rPr>
          <w:rFonts w:ascii="Times New Roman" w:hAnsi="Times New Roman" w:eastAsia="Times New Roman" w:cs="Times New Roman"/>
          <w:color w:val="202124"/>
          <w:sz w:val="24"/>
          <w:szCs w:val="24"/>
        </w:rPr>
        <w:t xml:space="preserve"> </w:t>
      </w:r>
      <w:r w:rsidRPr="00F76AD0" w:rsidR="00B32559">
        <w:rPr>
          <w:rFonts w:ascii="Times New Roman" w:hAnsi="Times New Roman" w:eastAsia="Times New Roman" w:cs="Times New Roman"/>
          <w:color w:val="202124"/>
          <w:sz w:val="24"/>
          <w:szCs w:val="24"/>
        </w:rPr>
        <w:t xml:space="preserve">pasākumi, tai skaitā sejas masku lietošana, tiekoties ar </w:t>
      </w:r>
      <w:r w:rsidRPr="00F76AD0" w:rsidR="00745B10">
        <w:rPr>
          <w:rFonts w:ascii="Times New Roman" w:hAnsi="Times New Roman" w:eastAsia="Times New Roman" w:cs="Times New Roman"/>
          <w:color w:val="202124"/>
          <w:sz w:val="24"/>
          <w:szCs w:val="24"/>
        </w:rPr>
        <w:t>nevakcinētām personām ārpus mājsaimniecības</w:t>
      </w:r>
      <w:r w:rsidR="003C2C6B">
        <w:rPr>
          <w:rFonts w:ascii="Times New Roman" w:hAnsi="Times New Roman" w:eastAsia="Times New Roman" w:cs="Times New Roman"/>
          <w:color w:val="202124"/>
          <w:sz w:val="24"/>
          <w:szCs w:val="24"/>
        </w:rPr>
        <w:t>,</w:t>
      </w:r>
      <w:r w:rsidRPr="00F76AD0" w:rsidR="00745B10">
        <w:rPr>
          <w:rFonts w:ascii="Times New Roman" w:hAnsi="Times New Roman" w:eastAsia="Times New Roman" w:cs="Times New Roman"/>
          <w:color w:val="202124"/>
          <w:sz w:val="24"/>
          <w:szCs w:val="24"/>
        </w:rPr>
        <w:t xml:space="preserve"> ir jāsaglabā.</w:t>
      </w:r>
    </w:p>
    <w:p w:rsidRPr="00F76AD0" w:rsidR="00745B10" w:rsidP="00404332" w:rsidRDefault="00745B10" w14:paraId="7BA3A965" w14:textId="11B5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F76AD0">
        <w:rPr>
          <w:rFonts w:ascii="Times New Roman" w:hAnsi="Times New Roman" w:eastAsia="Times New Roman" w:cs="Times New Roman"/>
          <w:color w:val="202124"/>
          <w:sz w:val="24"/>
          <w:szCs w:val="24"/>
        </w:rPr>
        <w:t>Vadoties no minēta</w:t>
      </w:r>
      <w:r w:rsidR="00F75DDE">
        <w:rPr>
          <w:rFonts w:ascii="Times New Roman" w:hAnsi="Times New Roman" w:eastAsia="Times New Roman" w:cs="Times New Roman"/>
          <w:color w:val="202124"/>
          <w:sz w:val="24"/>
          <w:szCs w:val="24"/>
        </w:rPr>
        <w:t>j</w:t>
      </w:r>
      <w:r w:rsidRPr="00F76AD0">
        <w:rPr>
          <w:rFonts w:ascii="Times New Roman" w:hAnsi="Times New Roman" w:eastAsia="Times New Roman" w:cs="Times New Roman"/>
          <w:color w:val="202124"/>
          <w:sz w:val="24"/>
          <w:szCs w:val="24"/>
        </w:rPr>
        <w:t>iem apsvērumi</w:t>
      </w:r>
      <w:r w:rsidR="008725B2">
        <w:rPr>
          <w:rFonts w:ascii="Times New Roman" w:hAnsi="Times New Roman" w:eastAsia="Times New Roman" w:cs="Times New Roman"/>
          <w:color w:val="202124"/>
          <w:sz w:val="24"/>
          <w:szCs w:val="24"/>
        </w:rPr>
        <w:t>e</w:t>
      </w:r>
      <w:r w:rsidRPr="00F76AD0">
        <w:rPr>
          <w:rFonts w:ascii="Times New Roman" w:hAnsi="Times New Roman" w:eastAsia="Times New Roman" w:cs="Times New Roman"/>
          <w:color w:val="202124"/>
          <w:sz w:val="24"/>
          <w:szCs w:val="24"/>
        </w:rPr>
        <w:t>m</w:t>
      </w:r>
      <w:r w:rsidR="008725B2">
        <w:rPr>
          <w:rFonts w:ascii="Times New Roman" w:hAnsi="Times New Roman" w:eastAsia="Times New Roman" w:cs="Times New Roman"/>
          <w:color w:val="202124"/>
          <w:sz w:val="24"/>
          <w:szCs w:val="24"/>
        </w:rPr>
        <w:t>,</w:t>
      </w:r>
      <w:r w:rsidRPr="00F76AD0">
        <w:rPr>
          <w:rFonts w:ascii="Times New Roman" w:hAnsi="Times New Roman" w:eastAsia="Times New Roman" w:cs="Times New Roman"/>
          <w:color w:val="202124"/>
          <w:sz w:val="24"/>
          <w:szCs w:val="24"/>
        </w:rPr>
        <w:t xml:space="preserve"> tiek plānots ieviest izņēmumus vakcinētām personām divos soļos.</w:t>
      </w:r>
    </w:p>
    <w:p w:rsidRPr="00F76AD0" w:rsidR="00027CB7" w:rsidP="00027CB7" w:rsidRDefault="00027CB7" w14:paraId="5E9E8AE6" w14:textId="64B0B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p>
    <w:p w:rsidRPr="00F76AD0" w:rsidR="00027CB7" w:rsidP="00027CB7" w:rsidRDefault="00027CB7" w14:paraId="22891977" w14:textId="03B8F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F76AD0">
        <w:rPr>
          <w:rFonts w:ascii="Times New Roman" w:hAnsi="Times New Roman" w:eastAsia="Times New Roman" w:cs="Times New Roman"/>
          <w:color w:val="202124"/>
          <w:sz w:val="24"/>
          <w:szCs w:val="24"/>
        </w:rPr>
        <w:t>PIRMAIS SOLIS</w:t>
      </w:r>
    </w:p>
    <w:p w:rsidRPr="00F76AD0" w:rsidR="00027CB7" w:rsidP="00027CB7" w:rsidRDefault="00027CB7" w14:paraId="034378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eastAsia="Times New Roman" w:cs="Times New Roman"/>
          <w:color w:val="202124"/>
          <w:sz w:val="24"/>
          <w:szCs w:val="24"/>
        </w:rPr>
      </w:pPr>
      <w:r w:rsidRPr="00F76AD0">
        <w:rPr>
          <w:rFonts w:ascii="Times New Roman" w:hAnsi="Times New Roman" w:eastAsia="Times New Roman" w:cs="Times New Roman"/>
          <w:color w:val="202124"/>
          <w:sz w:val="24"/>
          <w:szCs w:val="24"/>
        </w:rPr>
        <w:t>Tomēr ir iespējams ieviest atsevišķus uz vakcinētām sabiedrības grupām mērķētus izņēmumus:</w:t>
      </w:r>
    </w:p>
    <w:p w:rsidRPr="00F76AD0" w:rsidR="00027CB7" w:rsidP="00027CB7" w:rsidRDefault="00027CB7" w14:paraId="4E723292" w14:textId="77777777">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paredzēt to, ka pilnībā vakcinētas personas var neveikt obligāto </w:t>
      </w:r>
      <w:proofErr w:type="spellStart"/>
      <w:r w:rsidRPr="00F76AD0">
        <w:rPr>
          <w:rFonts w:ascii="Times New Roman" w:hAnsi="Times New Roman" w:cs="Times New Roman"/>
          <w:color w:val="202124"/>
          <w:sz w:val="24"/>
          <w:szCs w:val="24"/>
        </w:rPr>
        <w:t>skrīningu</w:t>
      </w:r>
      <w:proofErr w:type="spellEnd"/>
      <w:r w:rsidRPr="00F76AD0">
        <w:rPr>
          <w:rFonts w:ascii="Times New Roman" w:hAnsi="Times New Roman" w:cs="Times New Roman"/>
          <w:color w:val="202124"/>
          <w:sz w:val="24"/>
          <w:szCs w:val="24"/>
        </w:rPr>
        <w:t xml:space="preserve"> darba vietās, izņemot situācijas, ja personai ir infekcijas pazīmes, konkrētajā iestādē ir uzliesmojums u. c. klīniskās vai epidemioloģiskās indikācijas, kad testēšana uz Covid-19 tomēr ir nepieciešama.</w:t>
      </w:r>
    </w:p>
    <w:p w:rsidRPr="00F76AD0" w:rsidR="00027CB7" w:rsidP="00027CB7" w:rsidRDefault="00027CB7" w14:paraId="0E0AD8BF" w14:textId="77777777">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paredzēt iespēju neievērot mājas karantīnu, ja persona bijusi kontaktā ar SARS-CoV-2 inficētu personu. Latvijas epidemiologi un infekciju slimību speciālisti uzskata, ka piesardzības nolūkā, lai varētu izsekot un savlaicīgi novērst jauno vīrus celmu izplatību, visām kontaktpersonām, arī vakcinētām personām, Covid-19 tests ir jāveic. Tādēļ šobrīd piesardzības nolūkā kontaktpersonām tiek rekomendēts veikt Coivd-19 testu un, ja testa rezultāts ir negatīvs, kontaktpersona var neievērot mājas karantīnu. Lai šo izņēmumu ieviestu, nepieciešams veikt grozījumus 2020. gada 9. jūnija Ministru kabineta noteikumos Nr. 360 “Epidemioloģiskās drošības pasākumi Covid-19 infekcijas izplatības ierobežošanai”, paredzot šo izņēmumu.</w:t>
      </w:r>
    </w:p>
    <w:p w:rsidRPr="00F76AD0" w:rsidR="00027CB7" w:rsidP="00027CB7" w:rsidRDefault="00027CB7" w14:paraId="5129C95D" w14:textId="0A03BB9F">
      <w:pPr>
        <w:pStyle w:val="Sarakstarindkop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Tāpat šobrīd var jau ieviest piesardzības un drošības pasākumu mazināšanu ilgstošas sociālās aprūpes centros, kur ir pietiekama klientu un darbinieku vakcinācijas aptvere. Lai to ieviestu, ir nepieciešams pārskatīt esošās rekomendācijas šīm institūcijām, paredzot iespējas apmeklējumiem pie vakcinētām personām, ievērojot epidemioloģiskās drošības prasības, paredzot iespējas vakcinētiem ilgstošas sociālās aprūpes centru klientiem doties ārpus iestādes, kā arī paredzot plašākas iespējas rīkot kopīgus pasākumus centru vakcinētajiem klientiem. Tajā pa</w:t>
      </w:r>
      <w:r w:rsidR="00EA1D3B">
        <w:rPr>
          <w:rFonts w:ascii="Times New Roman" w:hAnsi="Times New Roman" w:cs="Times New Roman"/>
          <w:color w:val="202124"/>
          <w:sz w:val="24"/>
          <w:szCs w:val="24"/>
        </w:rPr>
        <w:t>šā</w:t>
      </w:r>
      <w:r w:rsidRPr="00F76AD0">
        <w:rPr>
          <w:rFonts w:ascii="Times New Roman" w:hAnsi="Times New Roman" w:cs="Times New Roman"/>
          <w:color w:val="202124"/>
          <w:sz w:val="24"/>
          <w:szCs w:val="24"/>
        </w:rPr>
        <w:t xml:space="preserve"> laikā, ieviešot piesardzības pasākumu mazināšanu, ir jāatceras, ka šajos centros ir ļoti augsti Covid-19 izplatības riski un jāparedz nevakcinēto klientu aizsardzība, kā arī ir jārēķinās, ka gados vacākiem cilvēkiem vai cilvēkiem ar smagām hroniskām slimībām vakcīnu radītā aizsardzība var neveidoties pietiekamā apjomā kā pārējiem sabiedrības locekļiem. Tādēļ šeit pasākumu mazināšana ir jāveic piesardzīgi, vērtējot riskus, un pieejai jābūt individuālai.</w:t>
      </w:r>
    </w:p>
    <w:p w:rsidRPr="00F76AD0" w:rsidR="00027CB7" w:rsidP="00027CB7" w:rsidRDefault="00027CB7" w14:paraId="4B1ED48B" w14:textId="46AB8E36">
      <w:pPr>
        <w:pStyle w:val="Sarakstarindko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p>
    <w:p w:rsidRPr="00F76AD0" w:rsidR="00404332" w:rsidP="00404332" w:rsidRDefault="00404332" w14:paraId="23562D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Sabiedrības vakcinācijas aptveri var veicināt ne tikai, paredzot izņēmumus vakcinētām personām neievērot atsevišķas noteiktās drošības un piesardzības prasības, bet tie var būt arī citi motivējoši pasākumi.</w:t>
      </w:r>
    </w:p>
    <w:p w:rsidRPr="003331C5" w:rsidR="008D4B55" w:rsidP="003331C5" w:rsidRDefault="008D4B55" w14:paraId="7CF721CD"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p>
    <w:p w:rsidRPr="00F76AD0" w:rsidR="00027CB7" w:rsidP="00027CB7" w:rsidRDefault="00027CB7" w14:paraId="3B5F0553" w14:textId="06FEEDD8">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OTRAIS SOLIS </w:t>
      </w:r>
    </w:p>
    <w:p w:rsidRPr="00F76AD0" w:rsidR="00027CB7" w:rsidP="00027CB7" w:rsidRDefault="00027CB7" w14:paraId="78CCB794" w14:textId="2AF2A5D1">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Paplašinoties vakcinācijas pieejamībai sabiedrībā un paplašinoties vakcinācijas aptverei</w:t>
      </w:r>
      <w:r w:rsidRPr="00F76AD0" w:rsidR="00745B10">
        <w:rPr>
          <w:rFonts w:ascii="Times New Roman" w:hAnsi="Times New Roman" w:cs="Times New Roman"/>
          <w:color w:val="202124"/>
          <w:sz w:val="24"/>
          <w:szCs w:val="24"/>
        </w:rPr>
        <w:t xml:space="preserve"> gan sabiedrībā, gan riska grupās un, ja ir atbilstoša epidemioloģiskā situācija</w:t>
      </w:r>
      <w:r w:rsidRPr="00F76AD0">
        <w:rPr>
          <w:rFonts w:ascii="Times New Roman" w:hAnsi="Times New Roman" w:cs="Times New Roman"/>
          <w:color w:val="202124"/>
          <w:sz w:val="24"/>
          <w:szCs w:val="24"/>
        </w:rPr>
        <w:t>, var tikt lemts arī par uz visu sabiedrību attiecinātiem izņēmumiem vakcinētām personām. Lai šādi izņēmumi tiktu ieviesti, jāizpildās šādiem nosacījumiem:</w:t>
      </w:r>
    </w:p>
    <w:p w:rsidRPr="00F76AD0" w:rsidR="00027CB7" w:rsidP="00027CB7" w:rsidRDefault="00027CB7" w14:paraId="60AB95DC" w14:textId="77777777">
      <w:pPr>
        <w:pStyle w:val="Sarakstarindkop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vakcinācijai jābūt pieejamai visai sabiedrībai;</w:t>
      </w:r>
    </w:p>
    <w:p w:rsidRPr="00F76AD0" w:rsidR="00027CB7" w:rsidP="00027CB7" w:rsidRDefault="00027CB7" w14:paraId="31A104BF" w14:textId="77777777">
      <w:pPr>
        <w:pStyle w:val="Sarakstarindkop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jābūt pietiekamai sabiedrības un riska grupu vakcinācijas aptverei; </w:t>
      </w:r>
    </w:p>
    <w:p w:rsidRPr="00F76AD0" w:rsidR="00027CB7" w:rsidP="00027CB7" w:rsidRDefault="00027CB7" w14:paraId="093FD57A" w14:textId="77777777">
      <w:pPr>
        <w:pStyle w:val="Sarakstarindkop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lastRenderedPageBreak/>
        <w:t>jābūt atbilstošai epidemioloģiskajai situācijai, tai skaitā nedrīkst būt augsta stacionāro gultu noslodze;</w:t>
      </w:r>
    </w:p>
    <w:p w:rsidRPr="00F76AD0" w:rsidR="00027CB7" w:rsidP="00027CB7" w:rsidRDefault="00027CB7" w14:paraId="70ED64BC" w14:textId="77777777">
      <w:pPr>
        <w:pStyle w:val="Sarakstarindkopa"/>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jābūt ieviestai sistēmai efektīvai vakcinācijas fakta kontrolei.</w:t>
      </w:r>
    </w:p>
    <w:p w:rsidR="00E4029B" w:rsidP="00027CB7" w:rsidRDefault="00E4029B" w14:paraId="3A7A9423" w14:textId="77777777">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rPr>
      </w:pPr>
    </w:p>
    <w:p w:rsidRPr="00763E25" w:rsidR="00745B10" w:rsidP="00027CB7" w:rsidRDefault="00027CB7" w14:paraId="4BDDEA7C" w14:textId="04548B8F">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u w:val="single"/>
        </w:rPr>
      </w:pPr>
      <w:r w:rsidRPr="00763E25">
        <w:rPr>
          <w:rFonts w:ascii="Times New Roman" w:hAnsi="Times New Roman" w:cs="Times New Roman"/>
          <w:color w:val="202124"/>
          <w:sz w:val="24"/>
          <w:szCs w:val="24"/>
          <w:u w:val="single"/>
        </w:rPr>
        <w:t>Vadoties no citu valstu pieredzes un pierādījumiem, ka vakcinētas personas var droši uzturēties kopā ar citām vakcinētām personām, nākotnē varētu tik paredzēt</w:t>
      </w:r>
      <w:r w:rsidRPr="00763E25" w:rsidR="00745B10">
        <w:rPr>
          <w:rFonts w:ascii="Times New Roman" w:hAnsi="Times New Roman" w:cs="Times New Roman"/>
          <w:color w:val="202124"/>
          <w:sz w:val="24"/>
          <w:szCs w:val="24"/>
          <w:u w:val="single"/>
        </w:rPr>
        <w:t>i šādi izņēmumi vakcinētām personām:</w:t>
      </w:r>
    </w:p>
    <w:p w:rsidRPr="00F76AD0" w:rsidR="00745B10" w:rsidP="00745B10" w:rsidRDefault="00745B10" w14:paraId="2F94463A" w14:textId="77777777">
      <w:pPr>
        <w:pStyle w:val="Sarakstarindkopa"/>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izņēmumi pulcēšanās nosacījumu ievērošanai </w:t>
      </w:r>
    </w:p>
    <w:p w:rsidRPr="00F76AD0" w:rsidR="00745B10" w:rsidP="00745B10" w:rsidRDefault="00745B10" w14:paraId="0BAB49FB" w14:textId="70B628CD">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1.1. </w:t>
      </w:r>
      <w:r w:rsidRPr="00F76AD0" w:rsidR="00027CB7">
        <w:rPr>
          <w:rFonts w:ascii="Times New Roman" w:hAnsi="Times New Roman" w:cs="Times New Roman"/>
          <w:color w:val="202124"/>
          <w:sz w:val="24"/>
          <w:szCs w:val="24"/>
        </w:rPr>
        <w:t xml:space="preserve">vakcinētām personām varētu tikt paplašināta iespēja pulcēties brīvā dabā, piemēram, sporta nodarbībās un pasākumos, kultūras pasākumos u. tml. </w:t>
      </w:r>
    </w:p>
    <w:p w:rsidRPr="00F76AD0" w:rsidR="00745B10" w:rsidP="00745B10" w:rsidRDefault="00745B10" w14:paraId="21374005" w14:textId="0B91DC7C">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1.2. </w:t>
      </w:r>
      <w:r w:rsidR="00E4029B">
        <w:rPr>
          <w:rFonts w:ascii="Times New Roman" w:hAnsi="Times New Roman" w:cs="Times New Roman"/>
          <w:color w:val="202124"/>
          <w:sz w:val="24"/>
          <w:szCs w:val="24"/>
        </w:rPr>
        <w:t>v</w:t>
      </w:r>
      <w:r w:rsidRPr="00F76AD0" w:rsidR="00027CB7">
        <w:rPr>
          <w:rFonts w:ascii="Times New Roman" w:hAnsi="Times New Roman" w:cs="Times New Roman"/>
          <w:color w:val="202124"/>
          <w:sz w:val="24"/>
          <w:szCs w:val="24"/>
        </w:rPr>
        <w:t xml:space="preserve">akcinētām personām varētu tikt paredzētas iespējas iekštelpās apmeklēt kultūras pasākumus, izmantot ēdināšanas pakalpojumus, sporta klubu pakalpojumus un izklaides pakalpojumus. </w:t>
      </w:r>
    </w:p>
    <w:p w:rsidRPr="00F76AD0" w:rsidR="00745B10" w:rsidP="00745B10" w:rsidRDefault="00745B10" w14:paraId="1A0BE005" w14:textId="130CDC91">
      <w:pPr>
        <w:pStyle w:val="Sarakstarindkopa"/>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Izņēmumi indi</w:t>
      </w:r>
      <w:r w:rsidR="00831F91">
        <w:rPr>
          <w:rFonts w:ascii="Times New Roman" w:hAnsi="Times New Roman" w:cs="Times New Roman"/>
          <w:color w:val="202124"/>
          <w:sz w:val="24"/>
          <w:szCs w:val="24"/>
        </w:rPr>
        <w:t>vi</w:t>
      </w:r>
      <w:r w:rsidRPr="00F76AD0">
        <w:rPr>
          <w:rFonts w:ascii="Times New Roman" w:hAnsi="Times New Roman" w:cs="Times New Roman"/>
          <w:color w:val="202124"/>
          <w:sz w:val="24"/>
          <w:szCs w:val="24"/>
        </w:rPr>
        <w:t>duālo aizsardzības līdzekļu lietošanai:</w:t>
      </w:r>
    </w:p>
    <w:p w:rsidRPr="00F76AD0" w:rsidR="00745B10" w:rsidP="00745B10" w:rsidRDefault="00027CB7" w14:paraId="0C734BE5" w14:textId="28DF5E52">
      <w:pPr>
        <w:pStyle w:val="Sarakstarindkopa"/>
        <w:numPr>
          <w:ilvl w:val="1"/>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paredzēt iespēju, ka darba kolektīvos vakcinētas personas, atrodoties vienā telpā, var nelietot sejas maskas</w:t>
      </w:r>
    </w:p>
    <w:p w:rsidRPr="00F76AD0" w:rsidR="00027CB7" w:rsidP="00745B10" w:rsidRDefault="00027CB7" w14:paraId="5E3E8212" w14:textId="1C322D3C">
      <w:pPr>
        <w:pStyle w:val="Sarakstarindkopa"/>
        <w:numPr>
          <w:ilvl w:val="1"/>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 sniedzot individuālus pakalpojumus (</w:t>
      </w:r>
      <w:proofErr w:type="spellStart"/>
      <w:r w:rsidRPr="00F76AD0">
        <w:rPr>
          <w:rFonts w:ascii="Times New Roman" w:hAnsi="Times New Roman" w:cs="Times New Roman"/>
          <w:color w:val="202124"/>
          <w:sz w:val="24"/>
          <w:szCs w:val="24"/>
        </w:rPr>
        <w:t>skaistumkopšanas</w:t>
      </w:r>
      <w:proofErr w:type="spellEnd"/>
      <w:r w:rsidRPr="00F76AD0">
        <w:rPr>
          <w:rFonts w:ascii="Times New Roman" w:hAnsi="Times New Roman" w:cs="Times New Roman"/>
          <w:color w:val="202124"/>
          <w:sz w:val="24"/>
          <w:szCs w:val="24"/>
        </w:rPr>
        <w:t xml:space="preserve"> vai labsajūtas pakalpojumus u. tml.), ja telpā neatrodas citi klienti un pakalpojuma sniedzēji, var nelietot individuālos aizsardzības līdzekļus.</w:t>
      </w:r>
    </w:p>
    <w:p w:rsidRPr="00F76AD0" w:rsidR="00404332" w:rsidP="00745B10" w:rsidRDefault="00745B10" w14:paraId="7F50A8AA" w14:textId="2D55DA59">
      <w:pPr>
        <w:pStyle w:val="Sarakstarindkopa"/>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 xml:space="preserve">Izņēmumi ceļošanai, paredzot to, ka vakcinētas personas var neievērot </w:t>
      </w:r>
      <w:proofErr w:type="spellStart"/>
      <w:r w:rsidRPr="00F76AD0">
        <w:rPr>
          <w:rFonts w:ascii="Times New Roman" w:hAnsi="Times New Roman" w:cs="Times New Roman"/>
          <w:color w:val="202124"/>
          <w:sz w:val="24"/>
          <w:szCs w:val="24"/>
        </w:rPr>
        <w:t>pašizolāciju</w:t>
      </w:r>
      <w:proofErr w:type="spellEnd"/>
      <w:r w:rsidRPr="00F76AD0">
        <w:rPr>
          <w:rFonts w:ascii="Times New Roman" w:hAnsi="Times New Roman" w:cs="Times New Roman"/>
          <w:color w:val="202124"/>
          <w:sz w:val="24"/>
          <w:szCs w:val="24"/>
        </w:rPr>
        <w:t>, ja pirms ieceļošanas Latvijā ir veikts Covid-19 tests un tas ir negatīvs. Ņemot vērā to, ka vairākās valstīs šobrīd izplatās jaunie Covid-19 celmi, pret kuriem vakcinācija nav pietiekami efektīva, šī izņēmuma ieviešana ir jāveic piesardzīgi, vērtējot valstis, attiecībā pret kurām šo pasākumu var ieviest, un saglabājot Covid-19 testu veikšanu personām, kas iebrauc Latvijā.</w:t>
      </w:r>
    </w:p>
    <w:p w:rsidR="006D4CBC" w:rsidP="00CE6163" w:rsidRDefault="006D4CBC" w14:paraId="275B52FF" w14:textId="77777777">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color w:val="202124"/>
          <w:sz w:val="24"/>
          <w:szCs w:val="24"/>
          <w:highlight w:val="yellow"/>
        </w:rPr>
      </w:pPr>
    </w:p>
    <w:p w:rsidR="00027CB7" w:rsidP="00027CB7" w:rsidRDefault="00027CB7" w14:paraId="645F5DB0" w14:textId="399A2026">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highlight w:val="yellow"/>
        </w:rPr>
      </w:pPr>
    </w:p>
    <w:p w:rsidRPr="00E4029B" w:rsidR="00027CB7" w:rsidP="00E4029B" w:rsidRDefault="006D4CBC" w14:paraId="572AFED2" w14:textId="51EC8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u w:val="single"/>
        </w:rPr>
      </w:pPr>
      <w:r w:rsidRPr="00E4029B">
        <w:rPr>
          <w:rFonts w:ascii="Times New Roman" w:hAnsi="Times New Roman" w:cs="Times New Roman"/>
          <w:color w:val="202124"/>
          <w:sz w:val="24"/>
          <w:szCs w:val="24"/>
          <w:u w:val="single"/>
        </w:rPr>
        <w:t xml:space="preserve">Papildus </w:t>
      </w:r>
      <w:r w:rsidRPr="00E4029B" w:rsidR="00E4029B">
        <w:rPr>
          <w:rFonts w:ascii="Times New Roman" w:hAnsi="Times New Roman" w:cs="Times New Roman"/>
          <w:color w:val="202124"/>
          <w:sz w:val="24"/>
          <w:szCs w:val="24"/>
          <w:u w:val="single"/>
        </w:rPr>
        <w:t xml:space="preserve">izvērtējamie </w:t>
      </w:r>
      <w:r w:rsidRPr="00E4029B">
        <w:rPr>
          <w:rFonts w:ascii="Times New Roman" w:hAnsi="Times New Roman" w:cs="Times New Roman"/>
          <w:color w:val="202124"/>
          <w:sz w:val="24"/>
          <w:szCs w:val="24"/>
          <w:u w:val="single"/>
        </w:rPr>
        <w:t>pasākumi vakcinētām personām</w:t>
      </w:r>
      <w:r w:rsidR="00E4029B">
        <w:rPr>
          <w:rFonts w:ascii="Times New Roman" w:hAnsi="Times New Roman" w:cs="Times New Roman"/>
          <w:color w:val="202124"/>
          <w:sz w:val="24"/>
          <w:szCs w:val="24"/>
          <w:u w:val="single"/>
        </w:rPr>
        <w:t>:</w:t>
      </w:r>
    </w:p>
    <w:p w:rsidRPr="00F76AD0" w:rsidR="00027CB7" w:rsidP="00027CB7" w:rsidRDefault="00027CB7" w14:paraId="038957FE" w14:textId="019CE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Atsevišķos gadījumos pēc vakcinācijas pirmajā dienā var būt ar vakcīnas iedarbību saistītas veselības problēmas, piemēram, drudzis, kā rezultātā persona nav darbspējīga. Tādēļ varētu apsvērt iespēju personām, kurām ir veselības problēmas, pēc vakcinācijas, kuru rezultātā persona nevar veikt darba pienākumus, piešķirt B darbnespējas lapu. Tas mazinātu slogu uz darba devējiem un novērstu zaudējumus vakcinētajam, kas saistīti ar darbnespējas pirmo dienu. Tajā pa</w:t>
      </w:r>
      <w:r w:rsidR="00EA1D3B">
        <w:rPr>
          <w:rFonts w:ascii="Times New Roman" w:hAnsi="Times New Roman" w:cs="Times New Roman"/>
          <w:color w:val="202124"/>
          <w:sz w:val="24"/>
          <w:szCs w:val="24"/>
        </w:rPr>
        <w:t>šā</w:t>
      </w:r>
      <w:r w:rsidRPr="00F76AD0">
        <w:rPr>
          <w:rFonts w:ascii="Times New Roman" w:hAnsi="Times New Roman" w:cs="Times New Roman"/>
          <w:color w:val="202124"/>
          <w:sz w:val="24"/>
          <w:szCs w:val="24"/>
        </w:rPr>
        <w:t xml:space="preserve"> laikā jāņem vērā, ka tas var veicināt atsevišķu personu vēlmi šo iespēju izmatot savā labā, kā rezultātā veselības problēmas un darbnespēja pēc vakcinācijas varētu tikt simulēta. </w:t>
      </w:r>
    </w:p>
    <w:p w:rsidRPr="00F76AD0" w:rsidR="00027CB7" w:rsidP="00027CB7" w:rsidRDefault="00027CB7" w14:paraId="1BE46E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Motivācijas iespējas, lai veicinātu savu darbinieku vakcināciju, ir darba devējiem, paredzot darbiniekam brīvdienu vakcinācijas veikšanai u. tml. Savukārt valsts līmenī varētu tikt paredzēti pasākumi darba devēju, kuru kolektīvā ir augstākā atsaucība vakcinācijai, atzīmēšanai.</w:t>
      </w:r>
    </w:p>
    <w:p w:rsidRPr="00F76AD0" w:rsidR="00102DBB" w:rsidP="00F76AD0" w:rsidRDefault="00102DBB" w14:paraId="15046211" w14:textId="77777777">
      <w:pPr>
        <w:spacing w:after="0" w:line="240" w:lineRule="auto"/>
        <w:rPr>
          <w:rFonts w:ascii="Times New Roman" w:hAnsi="Times New Roman" w:eastAsia="Times New Roman" w:cs="Times New Roman"/>
          <w:color w:val="000000"/>
          <w:sz w:val="24"/>
          <w:szCs w:val="24"/>
          <w:lang w:eastAsia="lv-LV"/>
        </w:rPr>
      </w:pPr>
    </w:p>
    <w:p w:rsidRPr="00996865" w:rsidR="00B52A52" w:rsidP="0042368B" w:rsidRDefault="006D4CBC" w14:paraId="0B9EE254" w14:textId="3BDAD7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42368B">
        <w:rPr>
          <w:rFonts w:ascii="Times New Roman" w:hAnsi="Times New Roman" w:cs="Times New Roman"/>
          <w:color w:val="202124"/>
          <w:sz w:val="24"/>
          <w:szCs w:val="24"/>
          <w:u w:val="single"/>
        </w:rPr>
        <w:t xml:space="preserve">Vakcinācijas fakta </w:t>
      </w:r>
      <w:r w:rsidRPr="0042368B" w:rsidR="00B52A52">
        <w:rPr>
          <w:rFonts w:ascii="Times New Roman" w:hAnsi="Times New Roman" w:cs="Times New Roman"/>
          <w:color w:val="202124"/>
          <w:sz w:val="24"/>
          <w:szCs w:val="24"/>
          <w:u w:val="single"/>
        </w:rPr>
        <w:t>apliecinājums</w:t>
      </w:r>
    </w:p>
    <w:p w:rsidRPr="00F76AD0" w:rsidR="00B52A52" w:rsidP="0042368B" w:rsidRDefault="00B52A52" w14:paraId="40E2C126" w14:textId="4D59386C">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Šobrīd vakcinācijas faktu apliecina atzīme par vakcināciju e-veselībā. Pamatojoties uz e-veselībā pieejamo informāciju</w:t>
      </w:r>
      <w:r w:rsidR="0067103E">
        <w:rPr>
          <w:rFonts w:ascii="Times New Roman" w:hAnsi="Times New Roman" w:cs="Times New Roman"/>
          <w:color w:val="202124"/>
          <w:sz w:val="24"/>
          <w:szCs w:val="24"/>
        </w:rPr>
        <w:t>,</w:t>
      </w:r>
      <w:r w:rsidRPr="00F76AD0">
        <w:rPr>
          <w:rFonts w:ascii="Times New Roman" w:hAnsi="Times New Roman" w:cs="Times New Roman"/>
          <w:color w:val="202124"/>
          <w:sz w:val="24"/>
          <w:szCs w:val="24"/>
        </w:rPr>
        <w:t xml:space="preserve"> ārstniecības persona var izsniegt apliecinājumu vakcinētai personai par vakcinācijas faktu. Tomēr šis process rada papildu slogu ārstniecības personām un nav pietiekami efektīvs.</w:t>
      </w:r>
    </w:p>
    <w:p w:rsidRPr="00B52A52" w:rsidR="00B52A52" w:rsidP="00745B10" w:rsidRDefault="00B52A52" w14:paraId="4638F0E6" w14:textId="6CDE11EB">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4"/>
          <w:szCs w:val="24"/>
          <w:highlight w:val="yellow"/>
        </w:rPr>
      </w:pPr>
      <w:r w:rsidRPr="00F76AD0">
        <w:rPr>
          <w:rFonts w:ascii="Times New Roman" w:hAnsi="Times New Roman" w:cs="Times New Roman"/>
          <w:color w:val="202124"/>
          <w:sz w:val="24"/>
          <w:szCs w:val="24"/>
        </w:rPr>
        <w:t xml:space="preserve">Tādēļ </w:t>
      </w:r>
      <w:r w:rsidRPr="00B52A52">
        <w:rPr>
          <w:rFonts w:ascii="Times New Roman" w:hAnsi="Times New Roman" w:cs="Times New Roman"/>
          <w:sz w:val="24"/>
          <w:szCs w:val="24"/>
        </w:rPr>
        <w:t>Eiropas Komisija (turpmāk – EK) strādā pie vienota standartizēta ES līmeņa digitālā zaļā sertifikāta (</w:t>
      </w:r>
      <w:proofErr w:type="spellStart"/>
      <w:r w:rsidRPr="00B52A52">
        <w:rPr>
          <w:rFonts w:ascii="Times New Roman" w:hAnsi="Times New Roman" w:cs="Times New Roman"/>
          <w:i/>
          <w:iCs/>
          <w:sz w:val="24"/>
          <w:szCs w:val="24"/>
        </w:rPr>
        <w:t>Digital</w:t>
      </w:r>
      <w:proofErr w:type="spellEnd"/>
      <w:r w:rsidRPr="00B52A52">
        <w:rPr>
          <w:rFonts w:ascii="Times New Roman" w:hAnsi="Times New Roman" w:cs="Times New Roman"/>
          <w:i/>
          <w:iCs/>
          <w:sz w:val="24"/>
          <w:szCs w:val="24"/>
        </w:rPr>
        <w:t xml:space="preserve"> Green </w:t>
      </w:r>
      <w:proofErr w:type="spellStart"/>
      <w:r w:rsidRPr="00B52A52">
        <w:rPr>
          <w:rFonts w:ascii="Times New Roman" w:hAnsi="Times New Roman" w:cs="Times New Roman"/>
          <w:i/>
          <w:iCs/>
          <w:sz w:val="24"/>
          <w:szCs w:val="24"/>
        </w:rPr>
        <w:t>Certificate</w:t>
      </w:r>
      <w:proofErr w:type="spellEnd"/>
      <w:r w:rsidRPr="00B52A52">
        <w:rPr>
          <w:rFonts w:ascii="Times New Roman" w:hAnsi="Times New Roman" w:cs="Times New Roman"/>
          <w:sz w:val="24"/>
          <w:szCs w:val="24"/>
        </w:rPr>
        <w:t>) (turpmāk – DZS) izstrādes</w:t>
      </w:r>
      <w:r>
        <w:rPr>
          <w:rFonts w:ascii="Times New Roman" w:hAnsi="Times New Roman" w:cs="Times New Roman"/>
          <w:sz w:val="24"/>
          <w:szCs w:val="24"/>
        </w:rPr>
        <w:t xml:space="preserve">. </w:t>
      </w:r>
    </w:p>
    <w:p w:rsidRPr="00FA0B8C" w:rsidR="00FA0B8C" w:rsidP="00FA0B8C" w:rsidRDefault="00FA0B8C" w14:paraId="7494DB30" w14:textId="77777777">
      <w:pPr>
        <w:spacing w:after="0" w:line="240" w:lineRule="auto"/>
        <w:ind w:firstLine="709"/>
        <w:jc w:val="both"/>
        <w:rPr>
          <w:rFonts w:ascii="Times New Roman" w:hAnsi="Times New Roman" w:cs="Times New Roman"/>
          <w:sz w:val="24"/>
          <w:szCs w:val="24"/>
        </w:rPr>
      </w:pPr>
      <w:r w:rsidRPr="00FA0B8C">
        <w:rPr>
          <w:rFonts w:ascii="Times New Roman" w:hAnsi="Times New Roman" w:cs="Times New Roman"/>
          <w:sz w:val="24"/>
          <w:szCs w:val="24"/>
        </w:rPr>
        <w:t xml:space="preserve">Tiek paredzēts, ka </w:t>
      </w:r>
      <w:r w:rsidRPr="00FA0B8C">
        <w:rPr>
          <w:rFonts w:ascii="Times New Roman" w:hAnsi="Times New Roman" w:cs="Times New Roman"/>
          <w:b/>
          <w:bCs/>
          <w:sz w:val="24"/>
          <w:szCs w:val="24"/>
        </w:rPr>
        <w:t>DZS ietver trīs sertifikātu veidus</w:t>
      </w:r>
      <w:r w:rsidRPr="00FA0B8C">
        <w:rPr>
          <w:rFonts w:ascii="Times New Roman" w:hAnsi="Times New Roman" w:cs="Times New Roman"/>
          <w:sz w:val="24"/>
          <w:szCs w:val="24"/>
        </w:rPr>
        <w:t xml:space="preserve">: </w:t>
      </w:r>
    </w:p>
    <w:p w:rsidRPr="00FA0B8C" w:rsidR="00FA0B8C" w:rsidP="00FA0B8C" w:rsidRDefault="00FA0B8C" w14:paraId="0DA9C7D6" w14:textId="77777777">
      <w:pPr>
        <w:numPr>
          <w:ilvl w:val="1"/>
          <w:numId w:val="26"/>
        </w:numPr>
        <w:tabs>
          <w:tab w:val="clear" w:pos="1440"/>
        </w:tabs>
        <w:spacing w:after="0" w:line="240" w:lineRule="auto"/>
        <w:ind w:left="0" w:firstLine="567"/>
        <w:jc w:val="both"/>
        <w:rPr>
          <w:rFonts w:ascii="Times New Roman" w:hAnsi="Times New Roman" w:cs="Times New Roman"/>
          <w:sz w:val="24"/>
          <w:szCs w:val="24"/>
        </w:rPr>
      </w:pPr>
      <w:r w:rsidRPr="00FA0B8C">
        <w:rPr>
          <w:rFonts w:ascii="Times New Roman" w:hAnsi="Times New Roman" w:cs="Times New Roman"/>
          <w:sz w:val="24"/>
          <w:szCs w:val="24"/>
        </w:rPr>
        <w:t>Atveseļošanās sertifikāts jeb pārslimošanas sertifikāts (</w:t>
      </w:r>
      <w:r w:rsidRPr="00FA0B8C">
        <w:rPr>
          <w:rFonts w:ascii="Times New Roman" w:hAnsi="Times New Roman" w:cs="Times New Roman"/>
          <w:i/>
          <w:iCs/>
          <w:sz w:val="24"/>
          <w:szCs w:val="24"/>
          <w:lang w:val="en-US"/>
        </w:rPr>
        <w:t>certificate of recovery</w:t>
      </w:r>
      <w:r w:rsidRPr="00FA0B8C">
        <w:rPr>
          <w:rFonts w:ascii="Times New Roman" w:hAnsi="Times New Roman" w:cs="Times New Roman"/>
          <w:sz w:val="24"/>
          <w:szCs w:val="24"/>
        </w:rPr>
        <w:t>)</w:t>
      </w:r>
    </w:p>
    <w:p w:rsidRPr="00FA0B8C" w:rsidR="00FA0B8C" w:rsidP="00FA0B8C" w:rsidRDefault="00FA0B8C" w14:paraId="456418E9" w14:textId="77777777">
      <w:pPr>
        <w:numPr>
          <w:ilvl w:val="1"/>
          <w:numId w:val="26"/>
        </w:numPr>
        <w:tabs>
          <w:tab w:val="clear" w:pos="1440"/>
        </w:tabs>
        <w:spacing w:after="0" w:line="240" w:lineRule="auto"/>
        <w:ind w:left="0" w:firstLine="567"/>
        <w:jc w:val="both"/>
        <w:rPr>
          <w:rFonts w:ascii="Times New Roman" w:hAnsi="Times New Roman" w:cs="Times New Roman"/>
          <w:sz w:val="24"/>
          <w:szCs w:val="24"/>
        </w:rPr>
      </w:pPr>
      <w:r w:rsidRPr="00FA0B8C">
        <w:rPr>
          <w:rFonts w:ascii="Times New Roman" w:hAnsi="Times New Roman" w:cs="Times New Roman"/>
          <w:sz w:val="24"/>
          <w:szCs w:val="24"/>
        </w:rPr>
        <w:t>Vakcinācijas pret COVID-19 sertifikāts (</w:t>
      </w:r>
      <w:r w:rsidRPr="00FA0B8C">
        <w:rPr>
          <w:rFonts w:ascii="Times New Roman" w:hAnsi="Times New Roman" w:cs="Times New Roman"/>
          <w:i/>
          <w:iCs/>
          <w:sz w:val="24"/>
          <w:szCs w:val="24"/>
          <w:lang w:val="en-US"/>
        </w:rPr>
        <w:t>vaccination certificate</w:t>
      </w:r>
      <w:r w:rsidRPr="00FA0B8C">
        <w:rPr>
          <w:rFonts w:ascii="Times New Roman" w:hAnsi="Times New Roman" w:cs="Times New Roman"/>
          <w:sz w:val="24"/>
          <w:szCs w:val="24"/>
        </w:rPr>
        <w:t>)</w:t>
      </w:r>
    </w:p>
    <w:p w:rsidRPr="00FA0B8C" w:rsidR="00FA0B8C" w:rsidP="00FA0B8C" w:rsidRDefault="00FA0B8C" w14:paraId="2C1C7704" w14:textId="77777777">
      <w:pPr>
        <w:numPr>
          <w:ilvl w:val="1"/>
          <w:numId w:val="26"/>
        </w:numPr>
        <w:tabs>
          <w:tab w:val="clear" w:pos="1440"/>
        </w:tabs>
        <w:spacing w:after="0" w:line="240" w:lineRule="auto"/>
        <w:ind w:left="0" w:firstLine="567"/>
        <w:jc w:val="both"/>
        <w:rPr>
          <w:rFonts w:ascii="Times New Roman" w:hAnsi="Times New Roman" w:cs="Times New Roman"/>
          <w:sz w:val="24"/>
          <w:szCs w:val="24"/>
        </w:rPr>
      </w:pPr>
      <w:r w:rsidRPr="00FA0B8C">
        <w:rPr>
          <w:rFonts w:ascii="Times New Roman" w:hAnsi="Times New Roman" w:cs="Times New Roman"/>
          <w:sz w:val="24"/>
          <w:szCs w:val="24"/>
        </w:rPr>
        <w:t>COVID-19 testa sertifikāts (</w:t>
      </w:r>
      <w:r w:rsidRPr="00FA0B8C">
        <w:rPr>
          <w:rFonts w:ascii="Times New Roman" w:hAnsi="Times New Roman" w:cs="Times New Roman"/>
          <w:i/>
          <w:iCs/>
          <w:sz w:val="24"/>
          <w:szCs w:val="24"/>
          <w:lang w:val="en-US"/>
        </w:rPr>
        <w:t>test certificate</w:t>
      </w:r>
      <w:r w:rsidRPr="00FA0B8C">
        <w:rPr>
          <w:rFonts w:ascii="Times New Roman" w:hAnsi="Times New Roman" w:cs="Times New Roman"/>
          <w:sz w:val="24"/>
          <w:szCs w:val="24"/>
        </w:rPr>
        <w:t>)</w:t>
      </w:r>
    </w:p>
    <w:p w:rsidRPr="00F76AD0" w:rsidR="006D4CBC" w:rsidP="00745B10" w:rsidRDefault="00FA0B8C" w14:paraId="4048359D" w14:textId="671CB32E">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lastRenderedPageBreak/>
        <w:t>Vadoties no vienotās ES pieejas DZS izstrādē, arī Latvija ir uzsākusi darbu pie šāda el</w:t>
      </w:r>
      <w:r w:rsidR="00993757">
        <w:rPr>
          <w:rFonts w:ascii="Times New Roman" w:hAnsi="Times New Roman" w:cs="Times New Roman"/>
          <w:color w:val="202124"/>
          <w:sz w:val="24"/>
          <w:szCs w:val="24"/>
        </w:rPr>
        <w:t>e</w:t>
      </w:r>
      <w:r w:rsidRPr="00F76AD0">
        <w:rPr>
          <w:rFonts w:ascii="Times New Roman" w:hAnsi="Times New Roman" w:cs="Times New Roman"/>
          <w:color w:val="202124"/>
          <w:sz w:val="24"/>
          <w:szCs w:val="24"/>
        </w:rPr>
        <w:t xml:space="preserve">ktroniska apliecinājuma izstrādes un tā izmatošana Latvijā pakāpeniski varētu tikt uzsākta no jūnija sākuma. </w:t>
      </w:r>
    </w:p>
    <w:p w:rsidR="00FA0B8C" w:rsidP="00FA0B8C" w:rsidRDefault="00FA0B8C" w14:paraId="7AFAF303" w14:textId="3C3B6AB7">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color w:val="202124"/>
          <w:sz w:val="24"/>
          <w:szCs w:val="24"/>
        </w:rPr>
      </w:pPr>
      <w:r w:rsidRPr="00F76AD0">
        <w:rPr>
          <w:rFonts w:ascii="Times New Roman" w:hAnsi="Times New Roman" w:cs="Times New Roman"/>
          <w:color w:val="202124"/>
          <w:sz w:val="24"/>
          <w:szCs w:val="24"/>
        </w:rPr>
        <w:t>K</w:t>
      </w:r>
      <w:r w:rsidRPr="00F76AD0" w:rsidR="00745B10">
        <w:rPr>
          <w:rFonts w:ascii="Times New Roman" w:hAnsi="Times New Roman" w:cs="Times New Roman"/>
          <w:color w:val="202124"/>
          <w:sz w:val="24"/>
          <w:szCs w:val="24"/>
        </w:rPr>
        <w:t>ad ES un citās pasaules valstīs tiks ieviests zaļais sertifikāts, tas dotu iespēju efektīvi identificēt gan vakcinācijas faktu, gan to, ka persona ir pārslimojusi Covid-19, gan veiktā Covid-19 testa rezultātus.</w:t>
      </w:r>
      <w:r>
        <w:rPr>
          <w:rFonts w:ascii="Times New Roman" w:hAnsi="Times New Roman" w:cs="Times New Roman"/>
          <w:color w:val="202124"/>
          <w:sz w:val="24"/>
          <w:szCs w:val="24"/>
        </w:rPr>
        <w:t xml:space="preserve"> </w:t>
      </w:r>
    </w:p>
    <w:p w:rsidRPr="0053258B" w:rsidR="00FA0B8C" w:rsidP="00FA0B8C" w:rsidRDefault="00FA0B8C" w14:paraId="4E79CE3D" w14:textId="22FC17F8">
      <w:pPr>
        <w:pStyle w:val="Sarakstarindko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202124"/>
          <w:sz w:val="24"/>
          <w:szCs w:val="24"/>
        </w:rPr>
        <w:t>Tādējādi DZS ieviešana dotu iespēju efektīvāk verificēt vakcinācijas faktu un tādējādi efektīvāk varētu tikt ieviesti izņēmumi gan vakcinētām pers</w:t>
      </w:r>
      <w:r w:rsidR="00430954">
        <w:rPr>
          <w:rFonts w:ascii="Times New Roman" w:hAnsi="Times New Roman" w:cs="Times New Roman"/>
          <w:color w:val="202124"/>
          <w:sz w:val="24"/>
          <w:szCs w:val="24"/>
        </w:rPr>
        <w:t>o</w:t>
      </w:r>
      <w:r>
        <w:rPr>
          <w:rFonts w:ascii="Times New Roman" w:hAnsi="Times New Roman" w:cs="Times New Roman"/>
          <w:color w:val="202124"/>
          <w:sz w:val="24"/>
          <w:szCs w:val="24"/>
        </w:rPr>
        <w:t>nām, gan personām, kas pārslimojušas Covid-19</w:t>
      </w:r>
      <w:r w:rsidR="006C7DD5">
        <w:rPr>
          <w:rFonts w:ascii="Times New Roman" w:hAnsi="Times New Roman" w:cs="Times New Roman"/>
          <w:color w:val="202124"/>
          <w:sz w:val="24"/>
          <w:szCs w:val="24"/>
        </w:rPr>
        <w:t xml:space="preserve"> infekciju</w:t>
      </w:r>
      <w:r>
        <w:rPr>
          <w:rFonts w:ascii="Times New Roman" w:hAnsi="Times New Roman" w:cs="Times New Roman"/>
          <w:color w:val="202124"/>
          <w:sz w:val="24"/>
          <w:szCs w:val="24"/>
        </w:rPr>
        <w:t>.</w:t>
      </w:r>
    </w:p>
    <w:p w:rsidR="00745B10" w:rsidP="00310555" w:rsidRDefault="00745B10" w14:paraId="42CFEB6D" w14:textId="3D878B11">
      <w:pPr>
        <w:spacing w:after="0" w:line="240" w:lineRule="auto"/>
        <w:rPr>
          <w:rFonts w:ascii="Times New Roman" w:hAnsi="Times New Roman" w:cs="Times New Roman"/>
          <w:i/>
          <w:iCs/>
          <w:sz w:val="24"/>
          <w:szCs w:val="24"/>
        </w:rPr>
      </w:pPr>
    </w:p>
    <w:p w:rsidR="00A71425" w:rsidP="00A71425" w:rsidRDefault="00A71425" w14:paraId="20B8A4B6" w14:textId="15D1F3AB">
      <w:pPr>
        <w:spacing w:after="0" w:line="240" w:lineRule="auto"/>
        <w:rPr>
          <w:rFonts w:ascii="Times New Roman" w:hAnsi="Times New Roman" w:eastAsia="Times New Roman" w:cs="Times New Roman"/>
          <w:color w:val="000000"/>
          <w:sz w:val="24"/>
          <w:szCs w:val="24"/>
          <w:lang w:eastAsia="lv-LV"/>
        </w:rPr>
      </w:pPr>
      <w:bookmarkStart w:name="_Hlk70324193" w:id="1"/>
    </w:p>
    <w:p w:rsidRPr="00A71425" w:rsidR="00B5483D" w:rsidP="00A71425" w:rsidRDefault="00B5483D" w14:paraId="327D9EB8" w14:textId="77777777">
      <w:pPr>
        <w:spacing w:after="0" w:line="240" w:lineRule="auto"/>
        <w:rPr>
          <w:rFonts w:ascii="Times New Roman" w:hAnsi="Times New Roman" w:eastAsia="Times New Roman" w:cs="Times New Roman"/>
          <w:color w:val="000000"/>
          <w:sz w:val="24"/>
          <w:szCs w:val="24"/>
          <w:lang w:eastAsia="lv-LV"/>
        </w:rPr>
      </w:pPr>
    </w:p>
    <w:p w:rsidRPr="00A71425" w:rsidR="00A71425" w:rsidP="00A71425" w:rsidRDefault="00A71425" w14:paraId="6693A51E" w14:textId="77777777">
      <w:pPr>
        <w:spacing w:after="0" w:line="240" w:lineRule="auto"/>
        <w:rPr>
          <w:rFonts w:ascii="Times New Roman" w:hAnsi="Times New Roman" w:eastAsia="Times New Roman" w:cs="Times New Roman"/>
          <w:color w:val="000000"/>
          <w:sz w:val="24"/>
          <w:szCs w:val="24"/>
          <w:lang w:eastAsia="lv-LV"/>
        </w:rPr>
      </w:pPr>
      <w:r w:rsidRPr="00A71425">
        <w:rPr>
          <w:rFonts w:ascii="Times New Roman" w:hAnsi="Times New Roman" w:eastAsia="Times New Roman" w:cs="Times New Roman"/>
          <w:color w:val="000000"/>
          <w:sz w:val="24"/>
          <w:szCs w:val="24"/>
          <w:lang w:eastAsia="lv-LV"/>
        </w:rPr>
        <w:t>Ministru prezidenta biedrs,</w:t>
      </w:r>
    </w:p>
    <w:p w:rsidRPr="00310555" w:rsidR="0028082C" w:rsidP="00A71425" w:rsidRDefault="00A71425" w14:paraId="06BB2926" w14:textId="49326948">
      <w:pPr>
        <w:spacing w:after="0" w:line="240" w:lineRule="auto"/>
        <w:rPr>
          <w:rFonts w:ascii="Times New Roman" w:hAnsi="Times New Roman" w:eastAsia="Times New Roman" w:cs="Times New Roman"/>
          <w:color w:val="000000"/>
          <w:sz w:val="24"/>
          <w:szCs w:val="24"/>
          <w:lang w:eastAsia="lv-LV"/>
        </w:rPr>
      </w:pPr>
      <w:r w:rsidRPr="00A71425">
        <w:rPr>
          <w:rFonts w:ascii="Times New Roman" w:hAnsi="Times New Roman" w:eastAsia="Times New Roman" w:cs="Times New Roman"/>
          <w:color w:val="000000"/>
          <w:sz w:val="24"/>
          <w:szCs w:val="24"/>
          <w:lang w:eastAsia="lv-LV"/>
        </w:rPr>
        <w:t>tieslietu ministrs</w:t>
      </w:r>
      <w:bookmarkEnd w:id="1"/>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r>
      <w:r w:rsidRPr="00A71425">
        <w:rPr>
          <w:rFonts w:ascii="Times New Roman" w:hAnsi="Times New Roman" w:eastAsia="Times New Roman" w:cs="Times New Roman"/>
          <w:color w:val="000000"/>
          <w:sz w:val="24"/>
          <w:szCs w:val="24"/>
          <w:lang w:eastAsia="lv-LV"/>
        </w:rPr>
        <w:tab/>
        <w:t xml:space="preserve">J. </w:t>
      </w:r>
      <w:proofErr w:type="spellStart"/>
      <w:r w:rsidRPr="00A71425">
        <w:rPr>
          <w:rFonts w:ascii="Times New Roman" w:hAnsi="Times New Roman" w:eastAsia="Times New Roman" w:cs="Times New Roman"/>
          <w:color w:val="000000"/>
          <w:sz w:val="24"/>
          <w:szCs w:val="24"/>
          <w:lang w:eastAsia="lv-LV"/>
        </w:rPr>
        <w:t>Bordāns</w:t>
      </w:r>
      <w:proofErr w:type="spellEnd"/>
    </w:p>
    <w:p w:rsidRPr="00310555" w:rsidR="0028082C" w:rsidP="00310555" w:rsidRDefault="0028082C" w14:paraId="59FE2AC2" w14:textId="77777777">
      <w:pPr>
        <w:spacing w:after="0" w:line="240" w:lineRule="auto"/>
        <w:rPr>
          <w:rFonts w:ascii="Times New Roman" w:hAnsi="Times New Roman" w:eastAsia="Times New Roman" w:cs="Times New Roman"/>
          <w:color w:val="000000"/>
          <w:sz w:val="24"/>
          <w:szCs w:val="24"/>
          <w:lang w:eastAsia="lv-LV"/>
        </w:rPr>
      </w:pPr>
    </w:p>
    <w:p w:rsidRPr="00310555" w:rsidR="0028082C" w:rsidP="00310555" w:rsidRDefault="0028082C" w14:paraId="5B68C872" w14:textId="77777777">
      <w:pPr>
        <w:spacing w:after="0" w:line="240" w:lineRule="auto"/>
        <w:jc w:val="both"/>
        <w:rPr>
          <w:rFonts w:ascii="Times New Roman" w:hAnsi="Times New Roman" w:cs="Times New Roman"/>
          <w:i/>
          <w:iCs/>
          <w:sz w:val="24"/>
          <w:szCs w:val="24"/>
        </w:rPr>
      </w:pPr>
    </w:p>
    <w:p w:rsidRPr="00310555" w:rsidR="00472956" w:rsidP="00310555" w:rsidRDefault="00472956" w14:paraId="453A86F2" w14:textId="7157CB4D">
      <w:pPr>
        <w:spacing w:after="0" w:line="240" w:lineRule="auto"/>
        <w:jc w:val="both"/>
        <w:rPr>
          <w:rFonts w:ascii="Times New Roman" w:hAnsi="Times New Roman" w:cs="Times New Roman"/>
          <w:b/>
          <w:bCs/>
          <w:i/>
          <w:iCs/>
          <w:sz w:val="24"/>
          <w:szCs w:val="24"/>
        </w:rPr>
      </w:pPr>
    </w:p>
    <w:p w:rsidRPr="00310555" w:rsidR="00472956" w:rsidP="00310555" w:rsidRDefault="00472956" w14:paraId="501F3D8F" w14:textId="59898910">
      <w:pPr>
        <w:spacing w:after="0" w:line="240" w:lineRule="auto"/>
        <w:jc w:val="both"/>
        <w:rPr>
          <w:rFonts w:ascii="Times New Roman" w:hAnsi="Times New Roman" w:cs="Times New Roman"/>
          <w:b/>
          <w:bCs/>
          <w:sz w:val="24"/>
          <w:szCs w:val="24"/>
        </w:rPr>
      </w:pPr>
    </w:p>
    <w:p w:rsidRPr="00310555" w:rsidR="00156163" w:rsidP="00310555" w:rsidRDefault="00156163" w14:paraId="0CD0E98B" w14:textId="77777777">
      <w:pPr>
        <w:spacing w:after="0" w:line="240" w:lineRule="auto"/>
        <w:jc w:val="both"/>
        <w:rPr>
          <w:rFonts w:ascii="Times New Roman" w:hAnsi="Times New Roman" w:cs="Times New Roman"/>
          <w:b/>
          <w:bCs/>
          <w:sz w:val="24"/>
          <w:szCs w:val="24"/>
        </w:rPr>
      </w:pPr>
    </w:p>
    <w:sectPr w:rsidRPr="00310555" w:rsidR="00156163" w:rsidSect="00284A8E">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5CB9" w14:textId="77777777" w:rsidR="006A2FE8" w:rsidRDefault="006A2FE8" w:rsidP="00E74DAE">
      <w:pPr>
        <w:spacing w:after="0" w:line="240" w:lineRule="auto"/>
      </w:pPr>
      <w:r>
        <w:separator/>
      </w:r>
    </w:p>
  </w:endnote>
  <w:endnote w:type="continuationSeparator" w:id="0">
    <w:p w14:paraId="11823EE9" w14:textId="77777777" w:rsidR="006A2FE8" w:rsidRDefault="006A2FE8" w:rsidP="00E7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72484"/>
      <w:docPartObj>
        <w:docPartGallery w:val="Page Numbers (Bottom of Page)"/>
        <w:docPartUnique/>
      </w:docPartObj>
    </w:sdtPr>
    <w:sdtEndPr/>
    <w:sdtContent>
      <w:p w14:paraId="7C8AF674" w14:textId="611E3083" w:rsidR="00225FFC" w:rsidRDefault="00225FFC">
        <w:pPr>
          <w:pStyle w:val="Kjene"/>
          <w:jc w:val="center"/>
        </w:pPr>
        <w:r>
          <w:fldChar w:fldCharType="begin"/>
        </w:r>
        <w:r>
          <w:instrText>PAGE   \* MERGEFORMAT</w:instrText>
        </w:r>
        <w:r>
          <w:fldChar w:fldCharType="separate"/>
        </w:r>
        <w:r>
          <w:t>2</w:t>
        </w:r>
        <w:r>
          <w:fldChar w:fldCharType="end"/>
        </w:r>
      </w:p>
    </w:sdtContent>
  </w:sdt>
  <w:p w14:paraId="67C399E6" w14:textId="77777777" w:rsidR="00225FFC" w:rsidRDefault="00225F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48DB" w14:textId="77777777" w:rsidR="006A2FE8" w:rsidRDefault="006A2FE8" w:rsidP="00E74DAE">
      <w:pPr>
        <w:spacing w:after="0" w:line="240" w:lineRule="auto"/>
      </w:pPr>
      <w:r>
        <w:separator/>
      </w:r>
    </w:p>
  </w:footnote>
  <w:footnote w:type="continuationSeparator" w:id="0">
    <w:p w14:paraId="52954A77" w14:textId="77777777" w:rsidR="006A2FE8" w:rsidRDefault="006A2FE8" w:rsidP="00E74DAE">
      <w:pPr>
        <w:spacing w:after="0" w:line="240" w:lineRule="auto"/>
      </w:pPr>
      <w:r>
        <w:continuationSeparator/>
      </w:r>
    </w:p>
  </w:footnote>
  <w:footnote w:id="1">
    <w:p w14:paraId="32FF37A2" w14:textId="7D76A9D7" w:rsidR="00653D25" w:rsidRPr="009D2A3C" w:rsidRDefault="00653D25">
      <w:pPr>
        <w:pStyle w:val="Vresteksts"/>
      </w:pPr>
      <w:r w:rsidRPr="00CE6163">
        <w:rPr>
          <w:rStyle w:val="Vresatsauce"/>
        </w:rPr>
        <w:footnoteRef/>
      </w:r>
      <w:r w:rsidRPr="00CE6163">
        <w:t xml:space="preserve"> </w:t>
      </w:r>
      <w:hyperlink r:id="rId1" w:history="1">
        <w:r w:rsidRPr="00396CFC">
          <w:rPr>
            <w:rStyle w:val="Hipersaite"/>
            <w:rFonts w:ascii="Times New Roman" w:hAnsi="Times New Roman" w:cs="Times New Roman"/>
            <w:i/>
            <w:iCs/>
            <w:color w:val="auto"/>
          </w:rPr>
          <w:t>https://covid19.gov.lv/vakcina</w:t>
        </w:r>
      </w:hyperlink>
      <w:r w:rsidRPr="00396CFC">
        <w:rPr>
          <w:rFonts w:ascii="Times New Roman" w:hAnsi="Times New Roman" w:cs="Times New Roman"/>
          <w:i/>
          <w:iCs/>
        </w:rPr>
        <w:t xml:space="preserve">, </w:t>
      </w:r>
      <w:hyperlink r:id="rId2" w:history="1">
        <w:r w:rsidRPr="00396CFC">
          <w:rPr>
            <w:rStyle w:val="Hipersaite"/>
            <w:rFonts w:ascii="Times New Roman" w:hAnsi="Times New Roman" w:cs="Times New Roman"/>
            <w:i/>
            <w:iCs/>
            <w:color w:val="auto"/>
          </w:rPr>
          <w:t>https://www.spkc.gov.lv/lv/vakcinas-pret-covid-19</w:t>
        </w:r>
      </w:hyperlink>
      <w:r w:rsidRPr="00396CFC">
        <w:rPr>
          <w:rFonts w:ascii="Times New Roman" w:hAnsi="Times New Roman" w:cs="Times New Roman"/>
          <w:i/>
          <w:iCs/>
        </w:rPr>
        <w:t xml:space="preserve">, </w:t>
      </w:r>
      <w:hyperlink r:id="rId3" w:history="1">
        <w:r w:rsidRPr="00396CFC">
          <w:rPr>
            <w:rStyle w:val="Hipersaite"/>
            <w:rFonts w:ascii="Times New Roman" w:hAnsi="Times New Roman" w:cs="Times New Roman"/>
            <w:i/>
            <w:iCs/>
            <w:color w:val="auto"/>
          </w:rPr>
          <w:t>https://www.vm.gov.lv/lv/jaunums/gatavs-detalizets-plans-vakcinacijai-pret-covid-19-latvija u.c</w:t>
        </w:r>
      </w:hyperlink>
      <w:r w:rsidRPr="00396CFC">
        <w:rPr>
          <w:rFonts w:ascii="Times New Roman" w:hAnsi="Times New Roman" w:cs="Times New Roman"/>
          <w:i/>
          <w:iCs/>
        </w:rPr>
        <w:t>.)</w:t>
      </w:r>
    </w:p>
  </w:footnote>
  <w:footnote w:id="2">
    <w:p w14:paraId="63B49DA8" w14:textId="01CFE4A1" w:rsidR="00653D25" w:rsidRPr="009D2A3C" w:rsidRDefault="00653D25">
      <w:pPr>
        <w:pStyle w:val="Vresteksts"/>
      </w:pPr>
      <w:r>
        <w:rPr>
          <w:rStyle w:val="Vresatsauce"/>
        </w:rPr>
        <w:footnoteRef/>
      </w:r>
      <w:r>
        <w:t xml:space="preserve"> </w:t>
      </w:r>
      <w:r w:rsidRPr="00310555">
        <w:rPr>
          <w:rFonts w:ascii="Times New Roman" w:eastAsia="Times New Roman" w:hAnsi="Times New Roman" w:cs="Times New Roman"/>
          <w:sz w:val="24"/>
          <w:szCs w:val="24"/>
          <w:lang w:eastAsia="lv-LV"/>
        </w:rPr>
        <w:t>(</w:t>
      </w:r>
      <w:r w:rsidRPr="00CE6163">
        <w:rPr>
          <w:rFonts w:ascii="Times New Roman" w:eastAsia="Times New Roman" w:hAnsi="Times New Roman" w:cs="Times New Roman"/>
          <w:lang w:eastAsia="lv-LV"/>
        </w:rPr>
        <w:t>https://pace.coe.int/en/files/29004#trace-4)</w:t>
      </w:r>
    </w:p>
  </w:footnote>
  <w:footnote w:id="3">
    <w:p w14:paraId="1EF66BC7" w14:textId="76F66CCB" w:rsidR="00653D25" w:rsidRPr="009D2A3C" w:rsidRDefault="00653D25">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lang w:eastAsia="lv-LV"/>
        </w:rPr>
        <w:t xml:space="preserve">(Latvijas Republikas Satversmes komentāri: VIII nodaļa. Cilvēka </w:t>
      </w:r>
      <w:proofErr w:type="spellStart"/>
      <w:r w:rsidRPr="00CE6163">
        <w:rPr>
          <w:rFonts w:ascii="Times New Roman" w:eastAsia="Times New Roman" w:hAnsi="Times New Roman" w:cs="Times New Roman"/>
          <w:i/>
          <w:iCs/>
          <w:lang w:eastAsia="lv-LV"/>
        </w:rPr>
        <w:t>pamattiesības</w:t>
      </w:r>
      <w:proofErr w:type="spellEnd"/>
      <w:r w:rsidRPr="00CE6163">
        <w:rPr>
          <w:rFonts w:ascii="Times New Roman" w:eastAsia="Times New Roman" w:hAnsi="Times New Roman" w:cs="Times New Roman"/>
          <w:i/>
          <w:iCs/>
          <w:lang w:eastAsia="lv-LV"/>
        </w:rPr>
        <w:t xml:space="preserve">. Aut. kol. J. </w:t>
      </w:r>
      <w:proofErr w:type="spellStart"/>
      <w:r w:rsidRPr="00CE6163">
        <w:rPr>
          <w:rFonts w:ascii="Times New Roman" w:eastAsia="Times New Roman" w:hAnsi="Times New Roman" w:cs="Times New Roman"/>
          <w:i/>
          <w:iCs/>
          <w:lang w:eastAsia="lv-LV"/>
        </w:rPr>
        <w:t>Rudevskis</w:t>
      </w:r>
      <w:proofErr w:type="spellEnd"/>
      <w:r w:rsidRPr="00CE6163">
        <w:rPr>
          <w:rFonts w:ascii="Times New Roman" w:eastAsia="Times New Roman" w:hAnsi="Times New Roman" w:cs="Times New Roman"/>
          <w:i/>
          <w:iCs/>
          <w:lang w:eastAsia="lv-LV"/>
        </w:rPr>
        <w:t>, E. Levits, J. Briede u. c. Rīga: Latvijas Vēstnesis, 2011, 170.lpp.)</w:t>
      </w:r>
    </w:p>
  </w:footnote>
  <w:footnote w:id="4">
    <w:p w14:paraId="56717731" w14:textId="4FC36F46" w:rsidR="00653D25" w:rsidRPr="009D2A3C" w:rsidRDefault="00653D25">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lang w:eastAsia="lv-LV"/>
        </w:rPr>
        <w:t>(Satversmes tiesas 2018.gada 11.oktobra lietā Nr.2017-30-01</w:t>
      </w:r>
      <w:r w:rsidRPr="00CE6163">
        <w:rPr>
          <w:rFonts w:ascii="Times New Roman" w:hAnsi="Times New Roman" w:cs="Times New Roman"/>
          <w:i/>
          <w:iCs/>
        </w:rPr>
        <w:t xml:space="preserve"> 11.2.apakšpunkts, </w:t>
      </w:r>
      <w:r w:rsidRPr="00CE6163">
        <w:rPr>
          <w:rFonts w:ascii="Times New Roman" w:eastAsia="Times New Roman" w:hAnsi="Times New Roman" w:cs="Times New Roman"/>
          <w:i/>
          <w:iCs/>
          <w:lang w:eastAsia="lv-LV"/>
        </w:rPr>
        <w:t>2011.gada  14.marta  sprieduma  lietā  Nr.2010-51-01  13.punkts,   11.2.apakšpunkts)</w:t>
      </w:r>
    </w:p>
  </w:footnote>
  <w:footnote w:id="5">
    <w:p w14:paraId="274223D0" w14:textId="3D5BF142" w:rsidR="00653D25" w:rsidRPr="009D2A3C" w:rsidRDefault="00653D25">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lang w:eastAsia="lv-LV"/>
        </w:rPr>
        <w:t xml:space="preserve">(Covid-19 </w:t>
      </w:r>
      <w:proofErr w:type="spellStart"/>
      <w:r w:rsidR="008875CD">
        <w:rPr>
          <w:rFonts w:ascii="Times New Roman" w:eastAsia="Times New Roman" w:hAnsi="Times New Roman" w:cs="Times New Roman"/>
          <w:i/>
          <w:iCs/>
          <w:lang w:eastAsia="lv-LV"/>
        </w:rPr>
        <w:t>V</w:t>
      </w:r>
      <w:r w:rsidRPr="00CE6163">
        <w:rPr>
          <w:rFonts w:ascii="Times New Roman" w:eastAsia="Times New Roman" w:hAnsi="Times New Roman" w:cs="Times New Roman"/>
          <w:i/>
          <w:iCs/>
          <w:lang w:eastAsia="lv-LV"/>
        </w:rPr>
        <w:t>accines:</w:t>
      </w:r>
      <w:r w:rsidR="008875CD">
        <w:rPr>
          <w:rFonts w:ascii="Times New Roman" w:eastAsia="Times New Roman" w:hAnsi="Times New Roman" w:cs="Times New Roman"/>
          <w:i/>
          <w:iCs/>
          <w:lang w:eastAsia="lv-LV"/>
        </w:rPr>
        <w:t>E</w:t>
      </w:r>
      <w:r w:rsidRPr="00CE6163">
        <w:rPr>
          <w:rFonts w:ascii="Times New Roman" w:eastAsia="Times New Roman" w:hAnsi="Times New Roman" w:cs="Times New Roman"/>
          <w:i/>
          <w:iCs/>
          <w:lang w:eastAsia="lv-LV"/>
        </w:rPr>
        <w:t>thical</w:t>
      </w:r>
      <w:proofErr w:type="spellEnd"/>
      <w:r w:rsidRPr="00CE6163">
        <w:rPr>
          <w:rFonts w:ascii="Times New Roman" w:eastAsia="Times New Roman" w:hAnsi="Times New Roman" w:cs="Times New Roman"/>
          <w:i/>
          <w:iCs/>
          <w:lang w:eastAsia="lv-LV"/>
        </w:rPr>
        <w:t xml:space="preserve">, </w:t>
      </w:r>
      <w:r w:rsidR="008875CD">
        <w:rPr>
          <w:rFonts w:ascii="Times New Roman" w:eastAsia="Times New Roman" w:hAnsi="Times New Roman" w:cs="Times New Roman"/>
          <w:i/>
          <w:iCs/>
          <w:lang w:eastAsia="lv-LV"/>
        </w:rPr>
        <w:t>L</w:t>
      </w:r>
      <w:r w:rsidRPr="00CE6163">
        <w:rPr>
          <w:rFonts w:ascii="Times New Roman" w:eastAsia="Times New Roman" w:hAnsi="Times New Roman" w:cs="Times New Roman"/>
          <w:i/>
          <w:iCs/>
          <w:lang w:eastAsia="lv-LV"/>
        </w:rPr>
        <w:t xml:space="preserve">egal </w:t>
      </w:r>
      <w:proofErr w:type="spellStart"/>
      <w:r w:rsidRPr="00CE6163">
        <w:rPr>
          <w:rFonts w:ascii="Times New Roman" w:eastAsia="Times New Roman" w:hAnsi="Times New Roman" w:cs="Times New Roman"/>
          <w:i/>
          <w:iCs/>
          <w:lang w:eastAsia="lv-LV"/>
        </w:rPr>
        <w:t>and</w:t>
      </w:r>
      <w:proofErr w:type="spellEnd"/>
      <w:r w:rsidRPr="00CE6163">
        <w:rPr>
          <w:rFonts w:ascii="Times New Roman" w:eastAsia="Times New Roman" w:hAnsi="Times New Roman" w:cs="Times New Roman"/>
          <w:i/>
          <w:iCs/>
          <w:lang w:eastAsia="lv-LV"/>
        </w:rPr>
        <w:t xml:space="preserve"> </w:t>
      </w:r>
      <w:proofErr w:type="spellStart"/>
      <w:r w:rsidR="008875CD">
        <w:rPr>
          <w:rFonts w:ascii="Times New Roman" w:eastAsia="Times New Roman" w:hAnsi="Times New Roman" w:cs="Times New Roman"/>
          <w:i/>
          <w:iCs/>
          <w:lang w:eastAsia="lv-LV"/>
        </w:rPr>
        <w:t>P</w:t>
      </w:r>
      <w:r w:rsidRPr="00CE6163">
        <w:rPr>
          <w:rFonts w:ascii="Times New Roman" w:eastAsia="Times New Roman" w:hAnsi="Times New Roman" w:cs="Times New Roman"/>
          <w:i/>
          <w:iCs/>
          <w:lang w:eastAsia="lv-LV"/>
        </w:rPr>
        <w:t>ractical</w:t>
      </w:r>
      <w:proofErr w:type="spellEnd"/>
      <w:r w:rsidRPr="00CE6163">
        <w:rPr>
          <w:rFonts w:ascii="Times New Roman" w:eastAsia="Times New Roman" w:hAnsi="Times New Roman" w:cs="Times New Roman"/>
          <w:i/>
          <w:iCs/>
          <w:lang w:eastAsia="lv-LV"/>
        </w:rPr>
        <w:t xml:space="preserve"> </w:t>
      </w:r>
      <w:proofErr w:type="spellStart"/>
      <w:r w:rsidR="008875CD">
        <w:rPr>
          <w:rFonts w:ascii="Times New Roman" w:eastAsia="Times New Roman" w:hAnsi="Times New Roman" w:cs="Times New Roman"/>
          <w:i/>
          <w:iCs/>
          <w:lang w:eastAsia="lv-LV"/>
        </w:rPr>
        <w:t>C</w:t>
      </w:r>
      <w:r w:rsidRPr="00CE6163">
        <w:rPr>
          <w:rFonts w:ascii="Times New Roman" w:eastAsia="Times New Roman" w:hAnsi="Times New Roman" w:cs="Times New Roman"/>
          <w:i/>
          <w:iCs/>
          <w:lang w:eastAsia="lv-LV"/>
        </w:rPr>
        <w:t>onsiderations</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Explanatory</w:t>
      </w:r>
      <w:proofErr w:type="spellEnd"/>
      <w:r w:rsidRPr="00CE6163">
        <w:rPr>
          <w:rFonts w:ascii="Times New Roman" w:eastAsia="Times New Roman" w:hAnsi="Times New Roman" w:cs="Times New Roman"/>
          <w:i/>
          <w:iCs/>
          <w:lang w:eastAsia="lv-LV"/>
        </w:rPr>
        <w:t xml:space="preserve"> </w:t>
      </w:r>
      <w:proofErr w:type="spellStart"/>
      <w:r w:rsidR="008875CD">
        <w:rPr>
          <w:rFonts w:ascii="Times New Roman" w:eastAsia="Times New Roman" w:hAnsi="Times New Roman" w:cs="Times New Roman"/>
          <w:i/>
          <w:iCs/>
          <w:lang w:eastAsia="lv-LV"/>
        </w:rPr>
        <w:t>M</w:t>
      </w:r>
      <w:r w:rsidRPr="00CE6163">
        <w:rPr>
          <w:rFonts w:ascii="Times New Roman" w:eastAsia="Times New Roman" w:hAnsi="Times New Roman" w:cs="Times New Roman"/>
          <w:i/>
          <w:iCs/>
          <w:lang w:eastAsia="lv-LV"/>
        </w:rPr>
        <w:t>emorandum</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by</w:t>
      </w:r>
      <w:proofErr w:type="spellEnd"/>
      <w:r w:rsidRPr="00CE6163">
        <w:rPr>
          <w:rFonts w:ascii="Times New Roman" w:eastAsia="Times New Roman" w:hAnsi="Times New Roman" w:cs="Times New Roman"/>
          <w:i/>
          <w:iCs/>
          <w:lang w:eastAsia="lv-LV"/>
        </w:rPr>
        <w:t xml:space="preserve"> Ms </w:t>
      </w:r>
      <w:proofErr w:type="spellStart"/>
      <w:r w:rsidRPr="00CE6163">
        <w:rPr>
          <w:rFonts w:ascii="Times New Roman" w:eastAsia="Times New Roman" w:hAnsi="Times New Roman" w:cs="Times New Roman"/>
          <w:i/>
          <w:iCs/>
          <w:lang w:eastAsia="lv-LV"/>
        </w:rPr>
        <w:t>Jennifer</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De</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Temmerman</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rapporteur</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paragraph</w:t>
      </w:r>
      <w:proofErr w:type="spellEnd"/>
      <w:r w:rsidRPr="00CE6163">
        <w:rPr>
          <w:rFonts w:ascii="Times New Roman" w:eastAsia="Times New Roman" w:hAnsi="Times New Roman" w:cs="Times New Roman"/>
          <w:i/>
          <w:iCs/>
          <w:lang w:eastAsia="lv-LV"/>
        </w:rPr>
        <w:t xml:space="preserve"> 61., pieejams: https://www.quotidianosanita.it/allegati/allegato3318432.pdf</w:t>
      </w:r>
      <w:r w:rsidRPr="00CE6163">
        <w:rPr>
          <w:rFonts w:ascii="Times New Roman" w:eastAsia="Times New Roman" w:hAnsi="Times New Roman" w:cs="Times New Roman"/>
          <w:lang w:eastAsia="lv-LV"/>
        </w:rPr>
        <w:t>);</w:t>
      </w:r>
    </w:p>
  </w:footnote>
  <w:footnote w:id="6">
    <w:p w14:paraId="767C8089" w14:textId="64C12402" w:rsidR="00653D25" w:rsidRPr="009D2A3C" w:rsidRDefault="00653D25">
      <w:pPr>
        <w:pStyle w:val="Vresteksts"/>
      </w:pPr>
      <w:r>
        <w:rPr>
          <w:rStyle w:val="Vresatsauce"/>
        </w:rPr>
        <w:footnoteRef/>
      </w:r>
      <w:r>
        <w:t xml:space="preserve"> </w:t>
      </w:r>
      <w:r w:rsidRPr="00310555">
        <w:rPr>
          <w:rFonts w:ascii="Times New Roman" w:eastAsia="Times New Roman" w:hAnsi="Times New Roman" w:cs="Times New Roman"/>
          <w:i/>
          <w:iCs/>
          <w:sz w:val="24"/>
          <w:szCs w:val="24"/>
          <w:lang w:eastAsia="lv-LV"/>
        </w:rPr>
        <w:t>(</w:t>
      </w:r>
      <w:r w:rsidRPr="00CE6163">
        <w:rPr>
          <w:rFonts w:ascii="Times New Roman" w:eastAsia="Times New Roman" w:hAnsi="Times New Roman" w:cs="Times New Roman"/>
          <w:i/>
          <w:iCs/>
          <w:lang w:eastAsia="lv-LV"/>
        </w:rPr>
        <w:t>Satversmes tiesas 2017.gada 24.novembra sprieduma 13.1.apakšpunkts)</w:t>
      </w:r>
    </w:p>
  </w:footnote>
  <w:footnote w:id="7">
    <w:p w14:paraId="2D7E9314" w14:textId="2E8BF86B" w:rsidR="00A57088" w:rsidRDefault="00A57088">
      <w:pPr>
        <w:pStyle w:val="Vresteksts"/>
      </w:pPr>
      <w:r>
        <w:rPr>
          <w:rStyle w:val="Vresatsauce"/>
        </w:rPr>
        <w:footnoteRef/>
      </w:r>
      <w:r>
        <w:t xml:space="preserve"> </w:t>
      </w:r>
      <w:r w:rsidRPr="000939AB">
        <w:rPr>
          <w:rFonts w:ascii="Times New Roman" w:hAnsi="Times New Roman" w:cs="Times New Roman"/>
          <w:i/>
          <w:iCs/>
        </w:rPr>
        <w:t>Turpat</w:t>
      </w:r>
      <w:r w:rsidR="000939AB">
        <w:rPr>
          <w:rFonts w:ascii="Times New Roman" w:hAnsi="Times New Roman" w:cs="Times New Roman"/>
          <w:i/>
          <w:iCs/>
        </w:rPr>
        <w:t>.</w:t>
      </w:r>
    </w:p>
  </w:footnote>
  <w:footnote w:id="8">
    <w:p w14:paraId="76080D55" w14:textId="7F82DE6A" w:rsidR="00653D25" w:rsidRPr="009D2A3C" w:rsidRDefault="00653D25">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shd w:val="clear" w:color="auto" w:fill="FFFFFF"/>
          <w:lang w:eastAsia="lv-LV"/>
        </w:rPr>
        <w:t>(Satversmes tiesas 2008.gada 30.decembra spriedums lietā Nr. 2008-37-03.secinājumu daļas 11.2.punkts)</w:t>
      </w:r>
    </w:p>
  </w:footnote>
  <w:footnote w:id="9">
    <w:p w14:paraId="1C489AE6" w14:textId="5AB16D39" w:rsidR="00653D25" w:rsidRPr="009D2A3C" w:rsidRDefault="00653D25">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shd w:val="clear" w:color="auto" w:fill="FFFFFF"/>
          <w:lang w:eastAsia="lv-LV"/>
        </w:rPr>
        <w:t>(Satversmes tiesas 2002.gada 22.oktobra spriedums lietā Nr. 2002-04-03. Sprieduma secinājumu daļas 1.punkts.).</w:t>
      </w:r>
    </w:p>
  </w:footnote>
  <w:footnote w:id="10">
    <w:p w14:paraId="24D731E9" w14:textId="1245C410" w:rsidR="00653D25" w:rsidRPr="009D2A3C" w:rsidRDefault="00653D25">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lang w:eastAsia="lv-LV"/>
        </w:rPr>
        <w:t>(Satversmes tiesas 2015.gada 12.februāra sprieduma lietā Nr.2014-08-03 11.1.apakšpunkts).</w:t>
      </w:r>
    </w:p>
  </w:footnote>
  <w:footnote w:id="11">
    <w:p w14:paraId="427490B0" w14:textId="7CF7D0CA" w:rsidR="00653D25" w:rsidRPr="009D2A3C" w:rsidRDefault="00653D25">
      <w:pPr>
        <w:pStyle w:val="Vresteksts"/>
      </w:pPr>
      <w:r w:rsidRPr="009D2A3C">
        <w:rPr>
          <w:rStyle w:val="Vresatsauce"/>
        </w:rPr>
        <w:footnoteRef/>
      </w:r>
      <w:r w:rsidRPr="009D2A3C">
        <w:t xml:space="preserve"> </w:t>
      </w:r>
      <w:proofErr w:type="spellStart"/>
      <w:r w:rsidRPr="00CE6163">
        <w:rPr>
          <w:rFonts w:ascii="Times New Roman" w:eastAsia="Times New Roman" w:hAnsi="Times New Roman" w:cs="Times New Roman"/>
          <w:i/>
          <w:iCs/>
          <w:lang w:eastAsia="lv-LV"/>
        </w:rPr>
        <w:t>Committee</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on</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Economic</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Social</w:t>
      </w:r>
      <w:proofErr w:type="spellEnd"/>
      <w:r w:rsidRPr="00CE6163">
        <w:rPr>
          <w:rFonts w:ascii="Times New Roman" w:eastAsia="Times New Roman" w:hAnsi="Times New Roman" w:cs="Times New Roman"/>
          <w:i/>
          <w:iCs/>
          <w:lang w:eastAsia="lv-LV"/>
        </w:rPr>
        <w:t xml:space="preserve"> &amp; </w:t>
      </w:r>
      <w:proofErr w:type="spellStart"/>
      <w:r w:rsidRPr="00CE6163">
        <w:rPr>
          <w:rFonts w:ascii="Times New Roman" w:eastAsia="Times New Roman" w:hAnsi="Times New Roman" w:cs="Times New Roman"/>
          <w:i/>
          <w:iCs/>
          <w:lang w:eastAsia="lv-LV"/>
        </w:rPr>
        <w:t>Cultural</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Rights</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General</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Comment</w:t>
      </w:r>
      <w:proofErr w:type="spellEnd"/>
      <w:r w:rsidRPr="00CE6163">
        <w:rPr>
          <w:rFonts w:ascii="Times New Roman" w:eastAsia="Times New Roman" w:hAnsi="Times New Roman" w:cs="Times New Roman"/>
          <w:i/>
          <w:iCs/>
          <w:lang w:eastAsia="lv-LV"/>
        </w:rPr>
        <w:t xml:space="preserve"> 14. http://cesr.org/generalcomment14, </w:t>
      </w:r>
      <w:proofErr w:type="spellStart"/>
      <w:r w:rsidRPr="00CE6163">
        <w:rPr>
          <w:rFonts w:ascii="Times New Roman" w:eastAsia="Times New Roman" w:hAnsi="Times New Roman" w:cs="Times New Roman"/>
          <w:i/>
          <w:iCs/>
          <w:lang w:eastAsia="lv-LV"/>
        </w:rPr>
        <w:t>Paragraph</w:t>
      </w:r>
      <w:proofErr w:type="spellEnd"/>
      <w:r w:rsidRPr="00CE6163">
        <w:rPr>
          <w:rFonts w:ascii="Times New Roman" w:eastAsia="Times New Roman" w:hAnsi="Times New Roman" w:cs="Times New Roman"/>
          <w:i/>
          <w:iCs/>
          <w:lang w:eastAsia="lv-LV"/>
        </w:rPr>
        <w:t xml:space="preserve"> 8.,9.).</w:t>
      </w:r>
    </w:p>
  </w:footnote>
  <w:footnote w:id="12">
    <w:p w14:paraId="3F537690" w14:textId="31A3DA24" w:rsidR="009D2A3C" w:rsidRPr="009D2A3C" w:rsidRDefault="009D2A3C">
      <w:pPr>
        <w:pStyle w:val="Vresteksts"/>
      </w:pPr>
      <w:r w:rsidRPr="009D2A3C">
        <w:rPr>
          <w:rStyle w:val="Vresatsauce"/>
        </w:rPr>
        <w:footnoteRef/>
      </w:r>
      <w:r w:rsidRPr="009D2A3C">
        <w:t xml:space="preserve"> </w:t>
      </w:r>
      <w:r w:rsidRPr="00CE6163">
        <w:rPr>
          <w:rFonts w:ascii="Times New Roman" w:eastAsia="Times New Roman" w:hAnsi="Times New Roman" w:cs="Times New Roman"/>
          <w:i/>
          <w:iCs/>
          <w:lang w:eastAsia="lv-LV"/>
        </w:rPr>
        <w:t>(Satversmes tiesas 2020.gada 2.novembra sprieduma lietā Nr.2020-14-018.punkts)</w:t>
      </w:r>
    </w:p>
  </w:footnote>
  <w:footnote w:id="13">
    <w:p w14:paraId="686DE8A7" w14:textId="4000331F" w:rsidR="0094316B" w:rsidRPr="000E07F9" w:rsidRDefault="0094316B">
      <w:pPr>
        <w:pStyle w:val="Vresteksts"/>
      </w:pPr>
      <w:r>
        <w:rPr>
          <w:rStyle w:val="Vresatsauce"/>
        </w:rPr>
        <w:footnoteRef/>
      </w:r>
      <w:r>
        <w:t xml:space="preserve"> </w:t>
      </w:r>
      <w:r w:rsidRPr="00CE6163">
        <w:rPr>
          <w:rFonts w:ascii="Times New Roman" w:eastAsia="Times New Roman" w:hAnsi="Times New Roman" w:cs="Times New Roman"/>
          <w:i/>
          <w:iCs/>
          <w:shd w:val="clear" w:color="auto" w:fill="FFFFFF"/>
          <w:lang w:eastAsia="lv-LV"/>
        </w:rPr>
        <w:t xml:space="preserve">Latvijas Republikas Satversmes komentāri: VIII nodaļa. Cilvēka </w:t>
      </w:r>
      <w:proofErr w:type="spellStart"/>
      <w:r w:rsidRPr="00CE6163">
        <w:rPr>
          <w:rFonts w:ascii="Times New Roman" w:eastAsia="Times New Roman" w:hAnsi="Times New Roman" w:cs="Times New Roman"/>
          <w:i/>
          <w:iCs/>
          <w:shd w:val="clear" w:color="auto" w:fill="FFFFFF"/>
          <w:lang w:eastAsia="lv-LV"/>
        </w:rPr>
        <w:t>pamattiesības</w:t>
      </w:r>
      <w:proofErr w:type="spellEnd"/>
      <w:r w:rsidRPr="00CE6163">
        <w:rPr>
          <w:rFonts w:ascii="Times New Roman" w:eastAsia="Times New Roman" w:hAnsi="Times New Roman" w:cs="Times New Roman"/>
          <w:i/>
          <w:iCs/>
          <w:shd w:val="clear" w:color="auto" w:fill="FFFFFF"/>
          <w:lang w:eastAsia="lv-LV"/>
        </w:rPr>
        <w:t xml:space="preserve">. Aut. kol. J. </w:t>
      </w:r>
      <w:proofErr w:type="spellStart"/>
      <w:r w:rsidRPr="00CE6163">
        <w:rPr>
          <w:rFonts w:ascii="Times New Roman" w:eastAsia="Times New Roman" w:hAnsi="Times New Roman" w:cs="Times New Roman"/>
          <w:i/>
          <w:iCs/>
          <w:shd w:val="clear" w:color="auto" w:fill="FFFFFF"/>
          <w:lang w:eastAsia="lv-LV"/>
        </w:rPr>
        <w:t>Rudevskis</w:t>
      </w:r>
      <w:proofErr w:type="spellEnd"/>
      <w:r w:rsidRPr="00CE6163">
        <w:rPr>
          <w:rFonts w:ascii="Times New Roman" w:eastAsia="Times New Roman" w:hAnsi="Times New Roman" w:cs="Times New Roman"/>
          <w:i/>
          <w:iCs/>
          <w:shd w:val="clear" w:color="auto" w:fill="FFFFFF"/>
          <w:lang w:eastAsia="lv-LV"/>
        </w:rPr>
        <w:t>, E. Levits, J. Briede u. c. Rīga: Latvijas Vēstnesis, 2011, 762. lpp.)</w:t>
      </w:r>
    </w:p>
  </w:footnote>
  <w:footnote w:id="14">
    <w:p w14:paraId="3BEDC8C6" w14:textId="1D8A2ABA" w:rsidR="00514C12" w:rsidRDefault="00514C12">
      <w:pPr>
        <w:pStyle w:val="Vresteksts"/>
      </w:pPr>
      <w:r>
        <w:rPr>
          <w:rStyle w:val="Vresatsauce"/>
        </w:rPr>
        <w:footnoteRef/>
      </w:r>
      <w:r>
        <w:t xml:space="preserve"> </w:t>
      </w:r>
      <w:r w:rsidRPr="007A5B75">
        <w:rPr>
          <w:rFonts w:ascii="Times New Roman" w:hAnsi="Times New Roman" w:cs="Times New Roman"/>
          <w:i/>
          <w:iCs/>
        </w:rPr>
        <w:t>turpat, 763.lpp..</w:t>
      </w:r>
    </w:p>
  </w:footnote>
  <w:footnote w:id="15">
    <w:p w14:paraId="7A93B672" w14:textId="3026988F" w:rsidR="0094316B" w:rsidRPr="000E07F9" w:rsidRDefault="0094316B">
      <w:pPr>
        <w:pStyle w:val="Vresteksts"/>
      </w:pPr>
      <w:r>
        <w:rPr>
          <w:rStyle w:val="Vresatsauce"/>
        </w:rPr>
        <w:footnoteRef/>
      </w:r>
      <w:r>
        <w:t xml:space="preserve"> </w:t>
      </w:r>
      <w:r w:rsidRPr="00CE6163">
        <w:rPr>
          <w:rFonts w:ascii="Times New Roman" w:eastAsia="Times New Roman" w:hAnsi="Times New Roman" w:cs="Times New Roman"/>
          <w:i/>
          <w:iCs/>
          <w:shd w:val="clear" w:color="auto" w:fill="FFFFFF"/>
          <w:lang w:eastAsia="lv-LV"/>
        </w:rPr>
        <w:t xml:space="preserve">(skatīt, piemēram, </w:t>
      </w:r>
      <w:r w:rsidRPr="00CE6163">
        <w:rPr>
          <w:rFonts w:ascii="Times New Roman" w:hAnsi="Times New Roman" w:cs="Times New Roman"/>
          <w:i/>
          <w:iCs/>
        </w:rPr>
        <w:t>Satversmes tiesas 2011. gada 14. aprīļa sprieduma lietā Nr. 2010-62-03 8. punktu).</w:t>
      </w:r>
    </w:p>
  </w:footnote>
  <w:footnote w:id="16">
    <w:p w14:paraId="33F601DA" w14:textId="2C648573" w:rsidR="0094316B" w:rsidRPr="000E07F9" w:rsidRDefault="0094316B">
      <w:pPr>
        <w:pStyle w:val="Vresteksts"/>
      </w:pPr>
      <w:r w:rsidRPr="000E07F9">
        <w:rPr>
          <w:rStyle w:val="Vresatsauce"/>
        </w:rPr>
        <w:footnoteRef/>
      </w:r>
      <w:r w:rsidRPr="000E07F9">
        <w:t xml:space="preserve"> </w:t>
      </w:r>
      <w:r w:rsidRPr="00CE6163">
        <w:rPr>
          <w:rFonts w:ascii="Times New Roman" w:eastAsia="Times New Roman" w:hAnsi="Times New Roman" w:cs="Times New Roman"/>
          <w:i/>
          <w:iCs/>
          <w:shd w:val="clear" w:color="auto" w:fill="FFFFFF"/>
          <w:lang w:eastAsia="lv-LV"/>
        </w:rPr>
        <w:t>(Latvijas Republikas Satversme. Satversmes tiesas atziņas. Rīga: Latvijas Vēstnesis, 2019, 148. lpp.).</w:t>
      </w:r>
    </w:p>
  </w:footnote>
  <w:footnote w:id="17">
    <w:p w14:paraId="23439E19" w14:textId="515BCD77" w:rsidR="00604D9B" w:rsidRPr="000E07F9" w:rsidRDefault="00604D9B">
      <w:pPr>
        <w:pStyle w:val="Vresteksts"/>
      </w:pPr>
      <w:r>
        <w:rPr>
          <w:rStyle w:val="Vresatsauce"/>
        </w:rPr>
        <w:footnoteRef/>
      </w:r>
      <w:r>
        <w:t xml:space="preserve"> </w:t>
      </w:r>
      <w:r w:rsidRPr="00CE6163">
        <w:rPr>
          <w:rFonts w:ascii="Times New Roman" w:eastAsia="Times New Roman" w:hAnsi="Times New Roman" w:cs="Times New Roman"/>
          <w:i/>
          <w:iCs/>
          <w:color w:val="000000"/>
          <w:lang w:eastAsia="lv-LV"/>
        </w:rPr>
        <w:t xml:space="preserve">(Covid-19 </w:t>
      </w:r>
      <w:proofErr w:type="spellStart"/>
      <w:r w:rsidRPr="00CE6163">
        <w:rPr>
          <w:rFonts w:ascii="Times New Roman" w:eastAsia="Times New Roman" w:hAnsi="Times New Roman" w:cs="Times New Roman"/>
          <w:i/>
          <w:iCs/>
          <w:color w:val="000000"/>
          <w:lang w:eastAsia="lv-LV"/>
        </w:rPr>
        <w:t>vaccines</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ethical</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legal</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and</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practical</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considerations</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Explanatory</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memorandum</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by</w:t>
      </w:r>
      <w:proofErr w:type="spellEnd"/>
      <w:r w:rsidRPr="00CE6163">
        <w:rPr>
          <w:rFonts w:ascii="Times New Roman" w:eastAsia="Times New Roman" w:hAnsi="Times New Roman" w:cs="Times New Roman"/>
          <w:i/>
          <w:iCs/>
          <w:color w:val="000000"/>
          <w:lang w:eastAsia="lv-LV"/>
        </w:rPr>
        <w:t xml:space="preserve"> Ms </w:t>
      </w:r>
      <w:proofErr w:type="spellStart"/>
      <w:r w:rsidRPr="00CE6163">
        <w:rPr>
          <w:rFonts w:ascii="Times New Roman" w:eastAsia="Times New Roman" w:hAnsi="Times New Roman" w:cs="Times New Roman"/>
          <w:i/>
          <w:iCs/>
          <w:color w:val="000000"/>
          <w:lang w:eastAsia="lv-LV"/>
        </w:rPr>
        <w:t>Jennifer</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De</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Temmerman</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rapporteur</w:t>
      </w:r>
      <w:proofErr w:type="spellEnd"/>
      <w:r w:rsidRPr="00CE6163">
        <w:rPr>
          <w:rFonts w:ascii="Times New Roman" w:eastAsia="Times New Roman" w:hAnsi="Times New Roman" w:cs="Times New Roman"/>
          <w:i/>
          <w:iCs/>
          <w:color w:val="000000"/>
          <w:lang w:eastAsia="lv-LV"/>
        </w:rPr>
        <w:t xml:space="preserve">, </w:t>
      </w:r>
      <w:proofErr w:type="spellStart"/>
      <w:r w:rsidRPr="00CE6163">
        <w:rPr>
          <w:rFonts w:ascii="Times New Roman" w:eastAsia="Times New Roman" w:hAnsi="Times New Roman" w:cs="Times New Roman"/>
          <w:i/>
          <w:iCs/>
          <w:color w:val="000000"/>
          <w:lang w:eastAsia="lv-LV"/>
        </w:rPr>
        <w:t>paragraph</w:t>
      </w:r>
      <w:proofErr w:type="spellEnd"/>
      <w:r w:rsidRPr="00CE6163">
        <w:rPr>
          <w:rFonts w:ascii="Times New Roman" w:eastAsia="Times New Roman" w:hAnsi="Times New Roman" w:cs="Times New Roman"/>
          <w:i/>
          <w:iCs/>
          <w:color w:val="000000"/>
          <w:lang w:eastAsia="lv-LV"/>
        </w:rPr>
        <w:t xml:space="preserve"> 61., pieejams: https://www.quotidianosanita.it/allegati/allegato3318432.pdf)</w:t>
      </w:r>
    </w:p>
  </w:footnote>
  <w:footnote w:id="18">
    <w:p w14:paraId="1CB6168F" w14:textId="7F967CF3" w:rsidR="00604D9B" w:rsidRPr="00630511" w:rsidRDefault="00604D9B">
      <w:pPr>
        <w:pStyle w:val="Vresteksts"/>
      </w:pPr>
      <w:r>
        <w:rPr>
          <w:rStyle w:val="Vresatsauce"/>
        </w:rPr>
        <w:footnoteRef/>
      </w:r>
      <w:r>
        <w:t xml:space="preserve"> </w:t>
      </w:r>
      <w:r w:rsidRPr="00CE6163">
        <w:rPr>
          <w:rFonts w:ascii="Times New Roman" w:eastAsia="Times New Roman" w:hAnsi="Times New Roman" w:cs="Times New Roman"/>
          <w:i/>
          <w:iCs/>
          <w:color w:val="000000"/>
          <w:lang w:eastAsia="lv-LV"/>
        </w:rPr>
        <w:t xml:space="preserve">(skatīt </w:t>
      </w:r>
      <w:r w:rsidRPr="00CE6163">
        <w:rPr>
          <w:rFonts w:ascii="Times New Roman" w:eastAsia="Times New Roman" w:hAnsi="Times New Roman" w:cs="Times New Roman"/>
          <w:i/>
          <w:iCs/>
          <w:lang w:eastAsia="lv-LV"/>
        </w:rPr>
        <w:t xml:space="preserve">03.03.2021. publikāciju “COVID-19 </w:t>
      </w:r>
      <w:proofErr w:type="spellStart"/>
      <w:r w:rsidRPr="00CE6163">
        <w:rPr>
          <w:rFonts w:ascii="Times New Roman" w:eastAsia="Times New Roman" w:hAnsi="Times New Roman" w:cs="Times New Roman"/>
          <w:i/>
          <w:iCs/>
          <w:lang w:eastAsia="lv-LV"/>
        </w:rPr>
        <w:t>Vaccinations</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and</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Considerations</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for</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European</w:t>
      </w:r>
      <w:proofErr w:type="spellEnd"/>
      <w:r w:rsidRPr="00CE6163">
        <w:rPr>
          <w:rFonts w:ascii="Times New Roman" w:eastAsia="Times New Roman" w:hAnsi="Times New Roman" w:cs="Times New Roman"/>
          <w:i/>
          <w:iCs/>
          <w:lang w:eastAsia="lv-LV"/>
        </w:rPr>
        <w:t xml:space="preserve"> </w:t>
      </w:r>
      <w:proofErr w:type="spellStart"/>
      <w:r w:rsidRPr="00CE6163">
        <w:rPr>
          <w:rFonts w:ascii="Times New Roman" w:eastAsia="Times New Roman" w:hAnsi="Times New Roman" w:cs="Times New Roman"/>
          <w:i/>
          <w:iCs/>
          <w:lang w:eastAsia="lv-LV"/>
        </w:rPr>
        <w:t>Employers</w:t>
      </w:r>
      <w:proofErr w:type="spellEnd"/>
      <w:r w:rsidRPr="00CE6163">
        <w:rPr>
          <w:rFonts w:ascii="Times New Roman" w:eastAsia="Times New Roman" w:hAnsi="Times New Roman" w:cs="Times New Roman"/>
          <w:i/>
          <w:iCs/>
          <w:lang w:eastAsia="lv-LV"/>
        </w:rPr>
        <w:t xml:space="preserve">”, pieejams:  </w:t>
      </w:r>
      <w:hyperlink r:id="rId4" w:tgtFrame="_blank" w:history="1">
        <w:r w:rsidRPr="00CE6163">
          <w:rPr>
            <w:rFonts w:ascii="Times New Roman" w:eastAsia="Times New Roman" w:hAnsi="Times New Roman" w:cs="Times New Roman"/>
            <w:i/>
            <w:iCs/>
            <w:u w:val="single"/>
            <w:lang w:eastAsia="lv-LV"/>
          </w:rPr>
          <w:t>https://www.lexology.com/library/detail.aspx?g=636be72c-f398-4b34-a38c-4ebc838f4312</w:t>
        </w:r>
      </w:hyperlink>
      <w:r w:rsidRPr="00CE6163">
        <w:rPr>
          <w:rFonts w:ascii="Times New Roman" w:eastAsia="Times New Roman" w:hAnsi="Times New Roman" w:cs="Times New Roman"/>
          <w:i/>
          <w:iCs/>
          <w:lang w:eastAsia="lv-LV"/>
        </w:rPr>
        <w:t>)</w:t>
      </w:r>
    </w:p>
  </w:footnote>
  <w:footnote w:id="19">
    <w:p w14:paraId="65E26807" w14:textId="4519EA19" w:rsidR="00DE7ADE" w:rsidRDefault="00DE7ADE" w:rsidP="00240596">
      <w:pPr>
        <w:pStyle w:val="Vresteksts"/>
        <w:jc w:val="both"/>
      </w:pPr>
      <w:r>
        <w:rPr>
          <w:rStyle w:val="Vresatsauce"/>
        </w:rPr>
        <w:footnoteRef/>
      </w:r>
      <w:r>
        <w:t xml:space="preserve"> </w:t>
      </w:r>
      <w:r w:rsidRPr="00240596">
        <w:rPr>
          <w:rFonts w:ascii="Times New Roman" w:hAnsi="Times New Roman" w:cs="Times New Roman"/>
          <w:i/>
          <w:iCs/>
        </w:rPr>
        <w:t>https://www.ema.europa.eu/en/human-regulatory/research-development/compliance/good-manufacturing-practice/mutual-recognition-agreements-mra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849"/>
    <w:multiLevelType w:val="hybridMultilevel"/>
    <w:tmpl w:val="F10856C4"/>
    <w:lvl w:ilvl="0" w:tplc="D2DE47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53172B"/>
    <w:multiLevelType w:val="multilevel"/>
    <w:tmpl w:val="0DF4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11B4A"/>
    <w:multiLevelType w:val="multilevel"/>
    <w:tmpl w:val="B32A013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A0B78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456A9"/>
    <w:multiLevelType w:val="multilevel"/>
    <w:tmpl w:val="9CD412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B21E53"/>
    <w:multiLevelType w:val="hybridMultilevel"/>
    <w:tmpl w:val="2BFE21D2"/>
    <w:lvl w:ilvl="0" w:tplc="000633EC">
      <w:start w:val="1"/>
      <w:numFmt w:val="bullet"/>
      <w:lvlText w:val="•"/>
      <w:lvlJc w:val="left"/>
      <w:pPr>
        <w:tabs>
          <w:tab w:val="num" w:pos="720"/>
        </w:tabs>
        <w:ind w:left="720" w:hanging="360"/>
      </w:pPr>
      <w:rPr>
        <w:rFonts w:ascii="Arial" w:hAnsi="Arial" w:hint="default"/>
      </w:rPr>
    </w:lvl>
    <w:lvl w:ilvl="1" w:tplc="710A1DC8">
      <w:start w:val="462"/>
      <w:numFmt w:val="bullet"/>
      <w:lvlText w:val="•"/>
      <w:lvlJc w:val="left"/>
      <w:pPr>
        <w:tabs>
          <w:tab w:val="num" w:pos="1440"/>
        </w:tabs>
        <w:ind w:left="1440" w:hanging="360"/>
      </w:pPr>
      <w:rPr>
        <w:rFonts w:ascii="Arial" w:hAnsi="Arial" w:hint="default"/>
      </w:rPr>
    </w:lvl>
    <w:lvl w:ilvl="2" w:tplc="DD105EA6">
      <w:start w:val="462"/>
      <w:numFmt w:val="bullet"/>
      <w:lvlText w:val="•"/>
      <w:lvlJc w:val="left"/>
      <w:pPr>
        <w:tabs>
          <w:tab w:val="num" w:pos="2160"/>
        </w:tabs>
        <w:ind w:left="2160" w:hanging="360"/>
      </w:pPr>
      <w:rPr>
        <w:rFonts w:ascii="Arial" w:hAnsi="Arial" w:hint="default"/>
      </w:rPr>
    </w:lvl>
    <w:lvl w:ilvl="3" w:tplc="6C1A8420" w:tentative="1">
      <w:start w:val="1"/>
      <w:numFmt w:val="bullet"/>
      <w:lvlText w:val="•"/>
      <w:lvlJc w:val="left"/>
      <w:pPr>
        <w:tabs>
          <w:tab w:val="num" w:pos="2880"/>
        </w:tabs>
        <w:ind w:left="2880" w:hanging="360"/>
      </w:pPr>
      <w:rPr>
        <w:rFonts w:ascii="Arial" w:hAnsi="Arial" w:hint="default"/>
      </w:rPr>
    </w:lvl>
    <w:lvl w:ilvl="4" w:tplc="61C8CDC8" w:tentative="1">
      <w:start w:val="1"/>
      <w:numFmt w:val="bullet"/>
      <w:lvlText w:val="•"/>
      <w:lvlJc w:val="left"/>
      <w:pPr>
        <w:tabs>
          <w:tab w:val="num" w:pos="3600"/>
        </w:tabs>
        <w:ind w:left="3600" w:hanging="360"/>
      </w:pPr>
      <w:rPr>
        <w:rFonts w:ascii="Arial" w:hAnsi="Arial" w:hint="default"/>
      </w:rPr>
    </w:lvl>
    <w:lvl w:ilvl="5" w:tplc="EE1078F2" w:tentative="1">
      <w:start w:val="1"/>
      <w:numFmt w:val="bullet"/>
      <w:lvlText w:val="•"/>
      <w:lvlJc w:val="left"/>
      <w:pPr>
        <w:tabs>
          <w:tab w:val="num" w:pos="4320"/>
        </w:tabs>
        <w:ind w:left="4320" w:hanging="360"/>
      </w:pPr>
      <w:rPr>
        <w:rFonts w:ascii="Arial" w:hAnsi="Arial" w:hint="default"/>
      </w:rPr>
    </w:lvl>
    <w:lvl w:ilvl="6" w:tplc="3D3A2A44" w:tentative="1">
      <w:start w:val="1"/>
      <w:numFmt w:val="bullet"/>
      <w:lvlText w:val="•"/>
      <w:lvlJc w:val="left"/>
      <w:pPr>
        <w:tabs>
          <w:tab w:val="num" w:pos="5040"/>
        </w:tabs>
        <w:ind w:left="5040" w:hanging="360"/>
      </w:pPr>
      <w:rPr>
        <w:rFonts w:ascii="Arial" w:hAnsi="Arial" w:hint="default"/>
      </w:rPr>
    </w:lvl>
    <w:lvl w:ilvl="7" w:tplc="D2AA6AC4" w:tentative="1">
      <w:start w:val="1"/>
      <w:numFmt w:val="bullet"/>
      <w:lvlText w:val="•"/>
      <w:lvlJc w:val="left"/>
      <w:pPr>
        <w:tabs>
          <w:tab w:val="num" w:pos="5760"/>
        </w:tabs>
        <w:ind w:left="5760" w:hanging="360"/>
      </w:pPr>
      <w:rPr>
        <w:rFonts w:ascii="Arial" w:hAnsi="Arial" w:hint="default"/>
      </w:rPr>
    </w:lvl>
    <w:lvl w:ilvl="8" w:tplc="5F6AFD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6B296C"/>
    <w:multiLevelType w:val="hybridMultilevel"/>
    <w:tmpl w:val="C2E2EC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B5566E"/>
    <w:multiLevelType w:val="hybridMultilevel"/>
    <w:tmpl w:val="F9A6F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D71EE9"/>
    <w:multiLevelType w:val="hybridMultilevel"/>
    <w:tmpl w:val="22BA8F32"/>
    <w:lvl w:ilvl="0" w:tplc="E0A26AE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1C5FEA"/>
    <w:multiLevelType w:val="hybridMultilevel"/>
    <w:tmpl w:val="83ACCAFA"/>
    <w:lvl w:ilvl="0" w:tplc="8EB63F4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BD81EF3"/>
    <w:multiLevelType w:val="multilevel"/>
    <w:tmpl w:val="D7EC2F1C"/>
    <w:lvl w:ilvl="0">
      <w:start w:val="1"/>
      <w:numFmt w:val="decimal"/>
      <w:lvlText w:val="%1."/>
      <w:lvlJc w:val="left"/>
      <w:pPr>
        <w:tabs>
          <w:tab w:val="num" w:pos="1353"/>
        </w:tabs>
        <w:ind w:left="1353" w:hanging="360"/>
      </w:pPr>
      <w:rPr>
        <w:b/>
        <w:bCs/>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1197D"/>
    <w:multiLevelType w:val="hybridMultilevel"/>
    <w:tmpl w:val="2E82B8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B353DC"/>
    <w:multiLevelType w:val="multilevel"/>
    <w:tmpl w:val="F1B0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A3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96384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5021C7"/>
    <w:multiLevelType w:val="multilevel"/>
    <w:tmpl w:val="02B6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23944"/>
    <w:multiLevelType w:val="multilevel"/>
    <w:tmpl w:val="3E580E2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01F4228"/>
    <w:multiLevelType w:val="multilevel"/>
    <w:tmpl w:val="519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B70F2"/>
    <w:multiLevelType w:val="hybridMultilevel"/>
    <w:tmpl w:val="69CE8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2D43DC9"/>
    <w:multiLevelType w:val="hybridMultilevel"/>
    <w:tmpl w:val="5A7CA8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E861CB"/>
    <w:multiLevelType w:val="hybridMultilevel"/>
    <w:tmpl w:val="10F0315A"/>
    <w:lvl w:ilvl="0" w:tplc="C402F2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56D2749"/>
    <w:multiLevelType w:val="hybridMultilevel"/>
    <w:tmpl w:val="BAA293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C6536F"/>
    <w:multiLevelType w:val="hybridMultilevel"/>
    <w:tmpl w:val="C220EF6C"/>
    <w:lvl w:ilvl="0" w:tplc="E44AA0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9D654C5"/>
    <w:multiLevelType w:val="multilevel"/>
    <w:tmpl w:val="08AAA7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7ECA6E76"/>
    <w:multiLevelType w:val="hybridMultilevel"/>
    <w:tmpl w:val="EFDC7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400DC6"/>
    <w:multiLevelType w:val="multilevel"/>
    <w:tmpl w:val="06BA7EB6"/>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0"/>
  </w:num>
  <w:num w:numId="2">
    <w:abstractNumId w:val="4"/>
  </w:num>
  <w:num w:numId="3">
    <w:abstractNumId w:val="1"/>
  </w:num>
  <w:num w:numId="4">
    <w:abstractNumId w:val="17"/>
  </w:num>
  <w:num w:numId="5">
    <w:abstractNumId w:val="10"/>
  </w:num>
  <w:num w:numId="6">
    <w:abstractNumId w:val="0"/>
  </w:num>
  <w:num w:numId="7">
    <w:abstractNumId w:val="2"/>
  </w:num>
  <w:num w:numId="8">
    <w:abstractNumId w:val="7"/>
  </w:num>
  <w:num w:numId="9">
    <w:abstractNumId w:val="19"/>
  </w:num>
  <w:num w:numId="10">
    <w:abstractNumId w:val="16"/>
  </w:num>
  <w:num w:numId="11">
    <w:abstractNumId w:val="22"/>
  </w:num>
  <w:num w:numId="12">
    <w:abstractNumId w:val="9"/>
  </w:num>
  <w:num w:numId="13">
    <w:abstractNumId w:val="6"/>
  </w:num>
  <w:num w:numId="14">
    <w:abstractNumId w:val="12"/>
  </w:num>
  <w:num w:numId="15">
    <w:abstractNumId w:val="15"/>
  </w:num>
  <w:num w:numId="16">
    <w:abstractNumId w:val="25"/>
  </w:num>
  <w:num w:numId="17">
    <w:abstractNumId w:val="18"/>
  </w:num>
  <w:num w:numId="18">
    <w:abstractNumId w:val="24"/>
  </w:num>
  <w:num w:numId="19">
    <w:abstractNumId w:val="21"/>
  </w:num>
  <w:num w:numId="20">
    <w:abstractNumId w:val="11"/>
  </w:num>
  <w:num w:numId="21">
    <w:abstractNumId w:val="14"/>
  </w:num>
  <w:num w:numId="22">
    <w:abstractNumId w:val="8"/>
  </w:num>
  <w:num w:numId="23">
    <w:abstractNumId w:val="13"/>
  </w:num>
  <w:num w:numId="24">
    <w:abstractNumId w:val="3"/>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97"/>
    <w:rsid w:val="000016EA"/>
    <w:rsid w:val="000035CD"/>
    <w:rsid w:val="000045EC"/>
    <w:rsid w:val="000121FA"/>
    <w:rsid w:val="000143D3"/>
    <w:rsid w:val="000146C1"/>
    <w:rsid w:val="00015692"/>
    <w:rsid w:val="000161F3"/>
    <w:rsid w:val="00027CB7"/>
    <w:rsid w:val="000338B4"/>
    <w:rsid w:val="000341A4"/>
    <w:rsid w:val="000347A4"/>
    <w:rsid w:val="0004067E"/>
    <w:rsid w:val="000558F7"/>
    <w:rsid w:val="00067101"/>
    <w:rsid w:val="00075743"/>
    <w:rsid w:val="00076E4A"/>
    <w:rsid w:val="00084661"/>
    <w:rsid w:val="00085384"/>
    <w:rsid w:val="00086ED2"/>
    <w:rsid w:val="000921A7"/>
    <w:rsid w:val="00092A23"/>
    <w:rsid w:val="000939AB"/>
    <w:rsid w:val="000939CD"/>
    <w:rsid w:val="000957B3"/>
    <w:rsid w:val="000B1D89"/>
    <w:rsid w:val="000C4838"/>
    <w:rsid w:val="000C4E48"/>
    <w:rsid w:val="000D1308"/>
    <w:rsid w:val="000D1402"/>
    <w:rsid w:val="000D58D5"/>
    <w:rsid w:val="000D7AE8"/>
    <w:rsid w:val="000D7DF4"/>
    <w:rsid w:val="000E07F9"/>
    <w:rsid w:val="000E20B9"/>
    <w:rsid w:val="000E7115"/>
    <w:rsid w:val="000F345F"/>
    <w:rsid w:val="00102DBB"/>
    <w:rsid w:val="00112650"/>
    <w:rsid w:val="00126738"/>
    <w:rsid w:val="001304CA"/>
    <w:rsid w:val="001310CB"/>
    <w:rsid w:val="00133597"/>
    <w:rsid w:val="001351C9"/>
    <w:rsid w:val="00136466"/>
    <w:rsid w:val="00137D77"/>
    <w:rsid w:val="001532BD"/>
    <w:rsid w:val="00156163"/>
    <w:rsid w:val="00157B76"/>
    <w:rsid w:val="00161852"/>
    <w:rsid w:val="00163EC8"/>
    <w:rsid w:val="001654F2"/>
    <w:rsid w:val="00166E17"/>
    <w:rsid w:val="00170A85"/>
    <w:rsid w:val="001718E8"/>
    <w:rsid w:val="00187261"/>
    <w:rsid w:val="0019059A"/>
    <w:rsid w:val="001907F2"/>
    <w:rsid w:val="00193F9A"/>
    <w:rsid w:val="001B14B9"/>
    <w:rsid w:val="001B1720"/>
    <w:rsid w:val="001B3ED7"/>
    <w:rsid w:val="001B66C3"/>
    <w:rsid w:val="001C5A85"/>
    <w:rsid w:val="001D4807"/>
    <w:rsid w:val="001F1862"/>
    <w:rsid w:val="00206206"/>
    <w:rsid w:val="00207313"/>
    <w:rsid w:val="002147FD"/>
    <w:rsid w:val="002212C6"/>
    <w:rsid w:val="002233F1"/>
    <w:rsid w:val="002256A5"/>
    <w:rsid w:val="00225FFC"/>
    <w:rsid w:val="00230039"/>
    <w:rsid w:val="00240596"/>
    <w:rsid w:val="00240AC9"/>
    <w:rsid w:val="00242AB5"/>
    <w:rsid w:val="0024373F"/>
    <w:rsid w:val="002575F3"/>
    <w:rsid w:val="00260508"/>
    <w:rsid w:val="00263A3B"/>
    <w:rsid w:val="00267DA7"/>
    <w:rsid w:val="00271525"/>
    <w:rsid w:val="0028082C"/>
    <w:rsid w:val="00284A8E"/>
    <w:rsid w:val="00284F35"/>
    <w:rsid w:val="002B470E"/>
    <w:rsid w:val="002C14A0"/>
    <w:rsid w:val="002C264A"/>
    <w:rsid w:val="002C45A3"/>
    <w:rsid w:val="002D019E"/>
    <w:rsid w:val="002D3078"/>
    <w:rsid w:val="002E0D46"/>
    <w:rsid w:val="002E1E13"/>
    <w:rsid w:val="002F2A05"/>
    <w:rsid w:val="003000D9"/>
    <w:rsid w:val="003026FD"/>
    <w:rsid w:val="00304CA0"/>
    <w:rsid w:val="00307351"/>
    <w:rsid w:val="00307CFC"/>
    <w:rsid w:val="00310555"/>
    <w:rsid w:val="00312AD7"/>
    <w:rsid w:val="00312B47"/>
    <w:rsid w:val="00314BFF"/>
    <w:rsid w:val="00315B54"/>
    <w:rsid w:val="00316C0C"/>
    <w:rsid w:val="0032051F"/>
    <w:rsid w:val="003254BB"/>
    <w:rsid w:val="00326E4F"/>
    <w:rsid w:val="0033237E"/>
    <w:rsid w:val="00332C69"/>
    <w:rsid w:val="003331C5"/>
    <w:rsid w:val="00333B61"/>
    <w:rsid w:val="003372A8"/>
    <w:rsid w:val="00340682"/>
    <w:rsid w:val="00341871"/>
    <w:rsid w:val="0034226E"/>
    <w:rsid w:val="00345001"/>
    <w:rsid w:val="003464CC"/>
    <w:rsid w:val="0035215C"/>
    <w:rsid w:val="00353D3A"/>
    <w:rsid w:val="003546A7"/>
    <w:rsid w:val="00361008"/>
    <w:rsid w:val="0036300A"/>
    <w:rsid w:val="0037007D"/>
    <w:rsid w:val="003712F7"/>
    <w:rsid w:val="003816D3"/>
    <w:rsid w:val="00383905"/>
    <w:rsid w:val="0038782D"/>
    <w:rsid w:val="00396CFC"/>
    <w:rsid w:val="003B08C4"/>
    <w:rsid w:val="003B15E9"/>
    <w:rsid w:val="003B7E28"/>
    <w:rsid w:val="003C0746"/>
    <w:rsid w:val="003C076E"/>
    <w:rsid w:val="003C27D4"/>
    <w:rsid w:val="003C2C6B"/>
    <w:rsid w:val="003D4746"/>
    <w:rsid w:val="003D7716"/>
    <w:rsid w:val="003D7BEC"/>
    <w:rsid w:val="003D7C03"/>
    <w:rsid w:val="003E272B"/>
    <w:rsid w:val="003E588F"/>
    <w:rsid w:val="003F03D6"/>
    <w:rsid w:val="003F5623"/>
    <w:rsid w:val="003F6B23"/>
    <w:rsid w:val="004010AA"/>
    <w:rsid w:val="00404332"/>
    <w:rsid w:val="00413752"/>
    <w:rsid w:val="00416FA4"/>
    <w:rsid w:val="0042368B"/>
    <w:rsid w:val="00425D15"/>
    <w:rsid w:val="004267B9"/>
    <w:rsid w:val="00430954"/>
    <w:rsid w:val="004315F2"/>
    <w:rsid w:val="004325CA"/>
    <w:rsid w:val="00433690"/>
    <w:rsid w:val="004357FD"/>
    <w:rsid w:val="00435804"/>
    <w:rsid w:val="004435F4"/>
    <w:rsid w:val="00444B17"/>
    <w:rsid w:val="00456FB1"/>
    <w:rsid w:val="00463AF2"/>
    <w:rsid w:val="00472956"/>
    <w:rsid w:val="004729A2"/>
    <w:rsid w:val="00475427"/>
    <w:rsid w:val="00475D09"/>
    <w:rsid w:val="00476C4F"/>
    <w:rsid w:val="00484D22"/>
    <w:rsid w:val="00484DFA"/>
    <w:rsid w:val="00486ECF"/>
    <w:rsid w:val="004875FC"/>
    <w:rsid w:val="00490506"/>
    <w:rsid w:val="00491C3F"/>
    <w:rsid w:val="004920D6"/>
    <w:rsid w:val="004924A2"/>
    <w:rsid w:val="004A1317"/>
    <w:rsid w:val="004A6CA2"/>
    <w:rsid w:val="004A7FCD"/>
    <w:rsid w:val="004B0532"/>
    <w:rsid w:val="004B29C5"/>
    <w:rsid w:val="004C10A5"/>
    <w:rsid w:val="004C1B1A"/>
    <w:rsid w:val="004C3EDE"/>
    <w:rsid w:val="004C6759"/>
    <w:rsid w:val="004C7ADF"/>
    <w:rsid w:val="004D1927"/>
    <w:rsid w:val="004D25B7"/>
    <w:rsid w:val="004D417A"/>
    <w:rsid w:val="004E59F7"/>
    <w:rsid w:val="004E75D5"/>
    <w:rsid w:val="004F1974"/>
    <w:rsid w:val="004F1B4D"/>
    <w:rsid w:val="004F1D93"/>
    <w:rsid w:val="00501196"/>
    <w:rsid w:val="00502E8C"/>
    <w:rsid w:val="00503119"/>
    <w:rsid w:val="00506843"/>
    <w:rsid w:val="00506B4A"/>
    <w:rsid w:val="00507E16"/>
    <w:rsid w:val="00514C12"/>
    <w:rsid w:val="0051564A"/>
    <w:rsid w:val="005218B3"/>
    <w:rsid w:val="005257B7"/>
    <w:rsid w:val="005339E3"/>
    <w:rsid w:val="00536BAF"/>
    <w:rsid w:val="00541E05"/>
    <w:rsid w:val="0054319E"/>
    <w:rsid w:val="00543D9A"/>
    <w:rsid w:val="00545AFD"/>
    <w:rsid w:val="00546289"/>
    <w:rsid w:val="005462B5"/>
    <w:rsid w:val="00553193"/>
    <w:rsid w:val="00555FEE"/>
    <w:rsid w:val="00560D33"/>
    <w:rsid w:val="00563FE0"/>
    <w:rsid w:val="0056649F"/>
    <w:rsid w:val="00570E5A"/>
    <w:rsid w:val="00581F94"/>
    <w:rsid w:val="00582E99"/>
    <w:rsid w:val="005852AB"/>
    <w:rsid w:val="00593FE5"/>
    <w:rsid w:val="005955CA"/>
    <w:rsid w:val="005A234E"/>
    <w:rsid w:val="005A29AE"/>
    <w:rsid w:val="005B1804"/>
    <w:rsid w:val="005B1B51"/>
    <w:rsid w:val="005B2FE4"/>
    <w:rsid w:val="005C10C1"/>
    <w:rsid w:val="005C1F19"/>
    <w:rsid w:val="005C4147"/>
    <w:rsid w:val="005C6ACB"/>
    <w:rsid w:val="005C6DBB"/>
    <w:rsid w:val="005D2230"/>
    <w:rsid w:val="005D2CE8"/>
    <w:rsid w:val="005E613E"/>
    <w:rsid w:val="005F5F42"/>
    <w:rsid w:val="00604D9B"/>
    <w:rsid w:val="0061058D"/>
    <w:rsid w:val="0061607B"/>
    <w:rsid w:val="00616476"/>
    <w:rsid w:val="006253A5"/>
    <w:rsid w:val="00630511"/>
    <w:rsid w:val="006368A7"/>
    <w:rsid w:val="006433F2"/>
    <w:rsid w:val="00644737"/>
    <w:rsid w:val="00646BB0"/>
    <w:rsid w:val="00653D25"/>
    <w:rsid w:val="006544C9"/>
    <w:rsid w:val="006551CC"/>
    <w:rsid w:val="006577C8"/>
    <w:rsid w:val="00660D8C"/>
    <w:rsid w:val="006644DF"/>
    <w:rsid w:val="00670FF8"/>
    <w:rsid w:val="0067103E"/>
    <w:rsid w:val="0067121C"/>
    <w:rsid w:val="00674911"/>
    <w:rsid w:val="00675812"/>
    <w:rsid w:val="00681EF6"/>
    <w:rsid w:val="00690247"/>
    <w:rsid w:val="00690E1B"/>
    <w:rsid w:val="006A2FE8"/>
    <w:rsid w:val="006B09E8"/>
    <w:rsid w:val="006B418C"/>
    <w:rsid w:val="006B477B"/>
    <w:rsid w:val="006C0E18"/>
    <w:rsid w:val="006C2E8B"/>
    <w:rsid w:val="006C425C"/>
    <w:rsid w:val="006C7DD5"/>
    <w:rsid w:val="006C7DE7"/>
    <w:rsid w:val="006D4CBC"/>
    <w:rsid w:val="006E1645"/>
    <w:rsid w:val="006E2729"/>
    <w:rsid w:val="006E53B2"/>
    <w:rsid w:val="006F07A0"/>
    <w:rsid w:val="006F412B"/>
    <w:rsid w:val="006F6F66"/>
    <w:rsid w:val="00700A6B"/>
    <w:rsid w:val="0070373C"/>
    <w:rsid w:val="0070781C"/>
    <w:rsid w:val="00707F1A"/>
    <w:rsid w:val="0071415C"/>
    <w:rsid w:val="007156F0"/>
    <w:rsid w:val="007202A7"/>
    <w:rsid w:val="007233DB"/>
    <w:rsid w:val="00724043"/>
    <w:rsid w:val="00730864"/>
    <w:rsid w:val="00733652"/>
    <w:rsid w:val="00740DB5"/>
    <w:rsid w:val="00745981"/>
    <w:rsid w:val="00745B10"/>
    <w:rsid w:val="00753ADA"/>
    <w:rsid w:val="00754242"/>
    <w:rsid w:val="00763E25"/>
    <w:rsid w:val="00764F4E"/>
    <w:rsid w:val="00781159"/>
    <w:rsid w:val="00781B6B"/>
    <w:rsid w:val="00783F98"/>
    <w:rsid w:val="00791BAF"/>
    <w:rsid w:val="0079208E"/>
    <w:rsid w:val="007A18DB"/>
    <w:rsid w:val="007A2B0F"/>
    <w:rsid w:val="007A5B75"/>
    <w:rsid w:val="007A5DE9"/>
    <w:rsid w:val="007B0436"/>
    <w:rsid w:val="007B7814"/>
    <w:rsid w:val="007C1871"/>
    <w:rsid w:val="007C56C3"/>
    <w:rsid w:val="007D2029"/>
    <w:rsid w:val="007D75A7"/>
    <w:rsid w:val="007D7AAE"/>
    <w:rsid w:val="007E1F80"/>
    <w:rsid w:val="007F44EE"/>
    <w:rsid w:val="008005D1"/>
    <w:rsid w:val="008010EB"/>
    <w:rsid w:val="00804612"/>
    <w:rsid w:val="00815D08"/>
    <w:rsid w:val="0082673A"/>
    <w:rsid w:val="008277D1"/>
    <w:rsid w:val="00831F91"/>
    <w:rsid w:val="00836CCA"/>
    <w:rsid w:val="008401D5"/>
    <w:rsid w:val="008422A5"/>
    <w:rsid w:val="008446AA"/>
    <w:rsid w:val="00844C81"/>
    <w:rsid w:val="00852997"/>
    <w:rsid w:val="00854EC3"/>
    <w:rsid w:val="008637D2"/>
    <w:rsid w:val="0086460E"/>
    <w:rsid w:val="008725B2"/>
    <w:rsid w:val="0087471A"/>
    <w:rsid w:val="008818EC"/>
    <w:rsid w:val="00883A13"/>
    <w:rsid w:val="0088592D"/>
    <w:rsid w:val="008875CD"/>
    <w:rsid w:val="00890066"/>
    <w:rsid w:val="008950F0"/>
    <w:rsid w:val="008A165E"/>
    <w:rsid w:val="008A4CBC"/>
    <w:rsid w:val="008A77EA"/>
    <w:rsid w:val="008B0EA7"/>
    <w:rsid w:val="008C18D9"/>
    <w:rsid w:val="008D003C"/>
    <w:rsid w:val="008D20D2"/>
    <w:rsid w:val="008D4B55"/>
    <w:rsid w:val="008D72C1"/>
    <w:rsid w:val="008E7216"/>
    <w:rsid w:val="008E7B65"/>
    <w:rsid w:val="008F17AC"/>
    <w:rsid w:val="008F40C1"/>
    <w:rsid w:val="009055DD"/>
    <w:rsid w:val="00910598"/>
    <w:rsid w:val="00910866"/>
    <w:rsid w:val="00912D10"/>
    <w:rsid w:val="00913F85"/>
    <w:rsid w:val="00920BFC"/>
    <w:rsid w:val="009276C1"/>
    <w:rsid w:val="00931D1E"/>
    <w:rsid w:val="009324B7"/>
    <w:rsid w:val="00936664"/>
    <w:rsid w:val="009409C4"/>
    <w:rsid w:val="0094316B"/>
    <w:rsid w:val="009536F5"/>
    <w:rsid w:val="009707F0"/>
    <w:rsid w:val="009744FC"/>
    <w:rsid w:val="009768F0"/>
    <w:rsid w:val="009837BA"/>
    <w:rsid w:val="009904A7"/>
    <w:rsid w:val="00990E3B"/>
    <w:rsid w:val="0099148C"/>
    <w:rsid w:val="00993757"/>
    <w:rsid w:val="00996865"/>
    <w:rsid w:val="009A2E27"/>
    <w:rsid w:val="009A7CD2"/>
    <w:rsid w:val="009C15C8"/>
    <w:rsid w:val="009C3C48"/>
    <w:rsid w:val="009C7977"/>
    <w:rsid w:val="009D2816"/>
    <w:rsid w:val="009D2A3C"/>
    <w:rsid w:val="009D5E83"/>
    <w:rsid w:val="009E6923"/>
    <w:rsid w:val="009F0DD1"/>
    <w:rsid w:val="009F2A67"/>
    <w:rsid w:val="009F4812"/>
    <w:rsid w:val="009F7FC8"/>
    <w:rsid w:val="00A0439F"/>
    <w:rsid w:val="00A062C8"/>
    <w:rsid w:val="00A15C6D"/>
    <w:rsid w:val="00A165C6"/>
    <w:rsid w:val="00A225A9"/>
    <w:rsid w:val="00A3255A"/>
    <w:rsid w:val="00A3459A"/>
    <w:rsid w:val="00A3575B"/>
    <w:rsid w:val="00A40575"/>
    <w:rsid w:val="00A41B2D"/>
    <w:rsid w:val="00A448FC"/>
    <w:rsid w:val="00A50828"/>
    <w:rsid w:val="00A5352B"/>
    <w:rsid w:val="00A5465F"/>
    <w:rsid w:val="00A57088"/>
    <w:rsid w:val="00A63429"/>
    <w:rsid w:val="00A64AEC"/>
    <w:rsid w:val="00A7005F"/>
    <w:rsid w:val="00A71425"/>
    <w:rsid w:val="00A74E0D"/>
    <w:rsid w:val="00A81FA2"/>
    <w:rsid w:val="00A852CB"/>
    <w:rsid w:val="00AA5B56"/>
    <w:rsid w:val="00AA657C"/>
    <w:rsid w:val="00AB7A07"/>
    <w:rsid w:val="00AC0FAB"/>
    <w:rsid w:val="00AC3ABF"/>
    <w:rsid w:val="00AE4651"/>
    <w:rsid w:val="00AF7AC1"/>
    <w:rsid w:val="00B01570"/>
    <w:rsid w:val="00B01950"/>
    <w:rsid w:val="00B02502"/>
    <w:rsid w:val="00B02B92"/>
    <w:rsid w:val="00B0490F"/>
    <w:rsid w:val="00B062DF"/>
    <w:rsid w:val="00B17802"/>
    <w:rsid w:val="00B21CC9"/>
    <w:rsid w:val="00B230B7"/>
    <w:rsid w:val="00B23AAA"/>
    <w:rsid w:val="00B322BE"/>
    <w:rsid w:val="00B32559"/>
    <w:rsid w:val="00B337D1"/>
    <w:rsid w:val="00B34FED"/>
    <w:rsid w:val="00B36623"/>
    <w:rsid w:val="00B37899"/>
    <w:rsid w:val="00B52A52"/>
    <w:rsid w:val="00B5483D"/>
    <w:rsid w:val="00B57FA4"/>
    <w:rsid w:val="00B6045E"/>
    <w:rsid w:val="00B675F9"/>
    <w:rsid w:val="00B70429"/>
    <w:rsid w:val="00B7483E"/>
    <w:rsid w:val="00B74D29"/>
    <w:rsid w:val="00B86321"/>
    <w:rsid w:val="00B86477"/>
    <w:rsid w:val="00B9691D"/>
    <w:rsid w:val="00BA5247"/>
    <w:rsid w:val="00BB110B"/>
    <w:rsid w:val="00BC07D3"/>
    <w:rsid w:val="00BC1446"/>
    <w:rsid w:val="00BC280C"/>
    <w:rsid w:val="00BE4ECF"/>
    <w:rsid w:val="00BF1FFE"/>
    <w:rsid w:val="00BF6338"/>
    <w:rsid w:val="00C1359F"/>
    <w:rsid w:val="00C15455"/>
    <w:rsid w:val="00C251B0"/>
    <w:rsid w:val="00C2635E"/>
    <w:rsid w:val="00C37730"/>
    <w:rsid w:val="00C511B5"/>
    <w:rsid w:val="00C60B13"/>
    <w:rsid w:val="00C673CC"/>
    <w:rsid w:val="00C831A7"/>
    <w:rsid w:val="00C84D82"/>
    <w:rsid w:val="00C8502E"/>
    <w:rsid w:val="00C90B5F"/>
    <w:rsid w:val="00C95A69"/>
    <w:rsid w:val="00CA4714"/>
    <w:rsid w:val="00CA4B47"/>
    <w:rsid w:val="00CA6613"/>
    <w:rsid w:val="00CA77BB"/>
    <w:rsid w:val="00CC6FE9"/>
    <w:rsid w:val="00CC7674"/>
    <w:rsid w:val="00CD010F"/>
    <w:rsid w:val="00CD0331"/>
    <w:rsid w:val="00CD4903"/>
    <w:rsid w:val="00CD5161"/>
    <w:rsid w:val="00CE37C0"/>
    <w:rsid w:val="00CE56EF"/>
    <w:rsid w:val="00CE6163"/>
    <w:rsid w:val="00CE75EE"/>
    <w:rsid w:val="00CF6E65"/>
    <w:rsid w:val="00D03DE4"/>
    <w:rsid w:val="00D06145"/>
    <w:rsid w:val="00D10410"/>
    <w:rsid w:val="00D12221"/>
    <w:rsid w:val="00D1403A"/>
    <w:rsid w:val="00D14CEB"/>
    <w:rsid w:val="00D159EC"/>
    <w:rsid w:val="00D15E13"/>
    <w:rsid w:val="00D1734B"/>
    <w:rsid w:val="00D203D6"/>
    <w:rsid w:val="00D22D33"/>
    <w:rsid w:val="00D23C9C"/>
    <w:rsid w:val="00D40346"/>
    <w:rsid w:val="00D416BD"/>
    <w:rsid w:val="00D45223"/>
    <w:rsid w:val="00D453F5"/>
    <w:rsid w:val="00D46375"/>
    <w:rsid w:val="00D475D8"/>
    <w:rsid w:val="00D50D79"/>
    <w:rsid w:val="00D5188C"/>
    <w:rsid w:val="00D61D28"/>
    <w:rsid w:val="00D64E9B"/>
    <w:rsid w:val="00D671A2"/>
    <w:rsid w:val="00D7019C"/>
    <w:rsid w:val="00D770E4"/>
    <w:rsid w:val="00D863AC"/>
    <w:rsid w:val="00D90E10"/>
    <w:rsid w:val="00D91E97"/>
    <w:rsid w:val="00D94857"/>
    <w:rsid w:val="00D94B5D"/>
    <w:rsid w:val="00D95708"/>
    <w:rsid w:val="00D95C2A"/>
    <w:rsid w:val="00D96A6A"/>
    <w:rsid w:val="00DA4C91"/>
    <w:rsid w:val="00DA7A7D"/>
    <w:rsid w:val="00DB0BDF"/>
    <w:rsid w:val="00DB3CDB"/>
    <w:rsid w:val="00DB42A5"/>
    <w:rsid w:val="00DB630F"/>
    <w:rsid w:val="00DC16CE"/>
    <w:rsid w:val="00DC2318"/>
    <w:rsid w:val="00DC52DC"/>
    <w:rsid w:val="00DD0FA4"/>
    <w:rsid w:val="00DD3E7D"/>
    <w:rsid w:val="00DE25FD"/>
    <w:rsid w:val="00DE2B9A"/>
    <w:rsid w:val="00DE7ADE"/>
    <w:rsid w:val="00DF2C2F"/>
    <w:rsid w:val="00DF4D23"/>
    <w:rsid w:val="00E0597A"/>
    <w:rsid w:val="00E06FE5"/>
    <w:rsid w:val="00E11062"/>
    <w:rsid w:val="00E11AD1"/>
    <w:rsid w:val="00E21B3F"/>
    <w:rsid w:val="00E23E14"/>
    <w:rsid w:val="00E27784"/>
    <w:rsid w:val="00E3124A"/>
    <w:rsid w:val="00E330CB"/>
    <w:rsid w:val="00E35828"/>
    <w:rsid w:val="00E36C56"/>
    <w:rsid w:val="00E37FD3"/>
    <w:rsid w:val="00E4029B"/>
    <w:rsid w:val="00E41851"/>
    <w:rsid w:val="00E44556"/>
    <w:rsid w:val="00E4583D"/>
    <w:rsid w:val="00E5286A"/>
    <w:rsid w:val="00E57A2D"/>
    <w:rsid w:val="00E611BA"/>
    <w:rsid w:val="00E67DB8"/>
    <w:rsid w:val="00E74DAE"/>
    <w:rsid w:val="00E8445E"/>
    <w:rsid w:val="00E85698"/>
    <w:rsid w:val="00E902BC"/>
    <w:rsid w:val="00E91C72"/>
    <w:rsid w:val="00E92BA3"/>
    <w:rsid w:val="00E93319"/>
    <w:rsid w:val="00E9615C"/>
    <w:rsid w:val="00E96611"/>
    <w:rsid w:val="00E96660"/>
    <w:rsid w:val="00E9780F"/>
    <w:rsid w:val="00EA1A99"/>
    <w:rsid w:val="00EA1D3B"/>
    <w:rsid w:val="00EA2AD2"/>
    <w:rsid w:val="00EA718F"/>
    <w:rsid w:val="00EB21AB"/>
    <w:rsid w:val="00EE0831"/>
    <w:rsid w:val="00EE1B18"/>
    <w:rsid w:val="00EE64CF"/>
    <w:rsid w:val="00EF443D"/>
    <w:rsid w:val="00EF4F32"/>
    <w:rsid w:val="00EF6829"/>
    <w:rsid w:val="00EF6F6A"/>
    <w:rsid w:val="00F04EC1"/>
    <w:rsid w:val="00F05546"/>
    <w:rsid w:val="00F061CA"/>
    <w:rsid w:val="00F159E3"/>
    <w:rsid w:val="00F166D0"/>
    <w:rsid w:val="00F20085"/>
    <w:rsid w:val="00F23166"/>
    <w:rsid w:val="00F321DB"/>
    <w:rsid w:val="00F32573"/>
    <w:rsid w:val="00F377D8"/>
    <w:rsid w:val="00F44BF4"/>
    <w:rsid w:val="00F44EA5"/>
    <w:rsid w:val="00F478D3"/>
    <w:rsid w:val="00F47AA1"/>
    <w:rsid w:val="00F54051"/>
    <w:rsid w:val="00F64A60"/>
    <w:rsid w:val="00F75DDE"/>
    <w:rsid w:val="00F76AD0"/>
    <w:rsid w:val="00F77A2E"/>
    <w:rsid w:val="00F81BA8"/>
    <w:rsid w:val="00F8447F"/>
    <w:rsid w:val="00F86EA1"/>
    <w:rsid w:val="00F93F1C"/>
    <w:rsid w:val="00F958C6"/>
    <w:rsid w:val="00FA0B8C"/>
    <w:rsid w:val="00FA438D"/>
    <w:rsid w:val="00FA7213"/>
    <w:rsid w:val="00FA74DA"/>
    <w:rsid w:val="00FA75FF"/>
    <w:rsid w:val="00FB04F1"/>
    <w:rsid w:val="00FB72EB"/>
    <w:rsid w:val="00FC0368"/>
    <w:rsid w:val="00FC0BE3"/>
    <w:rsid w:val="00FC102A"/>
    <w:rsid w:val="00FC3EBB"/>
    <w:rsid w:val="00FC5E50"/>
    <w:rsid w:val="00FE135B"/>
    <w:rsid w:val="00FF1728"/>
    <w:rsid w:val="00FF2E71"/>
    <w:rsid w:val="00FF36A6"/>
    <w:rsid w:val="00FF4E0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681F"/>
  <w15:chartTrackingRefBased/>
  <w15:docId w15:val="{F8D4DF7B-4822-45C0-AD88-30A11A85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4332"/>
  </w:style>
  <w:style w:type="paragraph" w:styleId="Virsraksts2">
    <w:name w:val="heading 2"/>
    <w:basedOn w:val="Parasts"/>
    <w:link w:val="Virsraksts2Rakstz"/>
    <w:uiPriority w:val="9"/>
    <w:qFormat/>
    <w:rsid w:val="008E7B6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D7C03"/>
    <w:rPr>
      <w:sz w:val="16"/>
      <w:szCs w:val="16"/>
    </w:rPr>
  </w:style>
  <w:style w:type="paragraph" w:styleId="Komentrateksts">
    <w:name w:val="annotation text"/>
    <w:basedOn w:val="Parasts"/>
    <w:link w:val="KomentratekstsRakstz"/>
    <w:uiPriority w:val="99"/>
    <w:semiHidden/>
    <w:unhideWhenUsed/>
    <w:rsid w:val="003D7C0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C03"/>
    <w:rPr>
      <w:sz w:val="20"/>
      <w:szCs w:val="20"/>
    </w:rPr>
  </w:style>
  <w:style w:type="paragraph" w:styleId="Komentratma">
    <w:name w:val="annotation subject"/>
    <w:basedOn w:val="Komentrateksts"/>
    <w:next w:val="Komentrateksts"/>
    <w:link w:val="KomentratmaRakstz"/>
    <w:uiPriority w:val="99"/>
    <w:semiHidden/>
    <w:unhideWhenUsed/>
    <w:rsid w:val="003D7C03"/>
    <w:rPr>
      <w:b/>
      <w:bCs/>
    </w:rPr>
  </w:style>
  <w:style w:type="character" w:customStyle="1" w:styleId="KomentratmaRakstz">
    <w:name w:val="Komentāra tēma Rakstz."/>
    <w:basedOn w:val="KomentratekstsRakstz"/>
    <w:link w:val="Komentratma"/>
    <w:uiPriority w:val="99"/>
    <w:semiHidden/>
    <w:rsid w:val="003D7C03"/>
    <w:rPr>
      <w:b/>
      <w:bCs/>
      <w:sz w:val="20"/>
      <w:szCs w:val="20"/>
    </w:rPr>
  </w:style>
  <w:style w:type="paragraph" w:styleId="Balonteksts">
    <w:name w:val="Balloon Text"/>
    <w:basedOn w:val="Parasts"/>
    <w:link w:val="BalontekstsRakstz"/>
    <w:uiPriority w:val="99"/>
    <w:semiHidden/>
    <w:unhideWhenUsed/>
    <w:rsid w:val="003D7C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C03"/>
    <w:rPr>
      <w:rFonts w:ascii="Segoe UI" w:hAnsi="Segoe UI" w:cs="Segoe UI"/>
      <w:sz w:val="18"/>
      <w:szCs w:val="18"/>
    </w:rPr>
  </w:style>
  <w:style w:type="paragraph" w:styleId="Sarakstarindkopa">
    <w:name w:val="List Paragraph"/>
    <w:basedOn w:val="Parasts"/>
    <w:uiPriority w:val="34"/>
    <w:qFormat/>
    <w:rsid w:val="00D03DE4"/>
    <w:pPr>
      <w:ind w:left="720"/>
      <w:contextualSpacing/>
    </w:pPr>
  </w:style>
  <w:style w:type="paragraph" w:styleId="Paraststmeklis">
    <w:name w:val="Normal (Web)"/>
    <w:basedOn w:val="Parasts"/>
    <w:uiPriority w:val="99"/>
    <w:unhideWhenUsed/>
    <w:rsid w:val="00F325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F32573"/>
    <w:rPr>
      <w:color w:val="0000FF"/>
      <w:u w:val="single"/>
    </w:rPr>
  </w:style>
  <w:style w:type="character" w:customStyle="1" w:styleId="Virsraksts2Rakstz">
    <w:name w:val="Virsraksts 2 Rakstz."/>
    <w:basedOn w:val="Noklusjumarindkopasfonts"/>
    <w:link w:val="Virsraksts2"/>
    <w:uiPriority w:val="9"/>
    <w:rsid w:val="008E7B65"/>
    <w:rPr>
      <w:rFonts w:ascii="Times New Roman" w:eastAsia="Times New Roman" w:hAnsi="Times New Roman" w:cs="Times New Roman"/>
      <w:b/>
      <w:bCs/>
      <w:sz w:val="36"/>
      <w:szCs w:val="36"/>
      <w:lang w:eastAsia="lv-LV"/>
    </w:rPr>
  </w:style>
  <w:style w:type="paragraph" w:styleId="HTMLiepriekformattais">
    <w:name w:val="HTML Preformatted"/>
    <w:basedOn w:val="Parasts"/>
    <w:link w:val="HTMLiepriekformattaisRakstz"/>
    <w:uiPriority w:val="99"/>
    <w:semiHidden/>
    <w:unhideWhenUsed/>
    <w:rsid w:val="008E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8E7B65"/>
    <w:rPr>
      <w:rFonts w:ascii="Courier New" w:eastAsia="Times New Roman" w:hAnsi="Courier New" w:cs="Courier New"/>
      <w:sz w:val="20"/>
      <w:szCs w:val="20"/>
      <w:lang w:eastAsia="lv-LV"/>
    </w:rPr>
  </w:style>
  <w:style w:type="character" w:customStyle="1" w:styleId="xhighlight">
    <w:name w:val="x_highlight"/>
    <w:basedOn w:val="Noklusjumarindkopasfonts"/>
    <w:rsid w:val="00333B61"/>
  </w:style>
  <w:style w:type="character" w:styleId="Neatrisintapieminana">
    <w:name w:val="Unresolved Mention"/>
    <w:basedOn w:val="Noklusjumarindkopasfonts"/>
    <w:uiPriority w:val="99"/>
    <w:semiHidden/>
    <w:unhideWhenUsed/>
    <w:rsid w:val="00242AB5"/>
    <w:rPr>
      <w:color w:val="605E5C"/>
      <w:shd w:val="clear" w:color="auto" w:fill="E1DFDD"/>
    </w:rPr>
  </w:style>
  <w:style w:type="paragraph" w:customStyle="1" w:styleId="xtv213">
    <w:name w:val="x_tv213"/>
    <w:basedOn w:val="Parasts"/>
    <w:rsid w:val="006E27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E74DA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74DAE"/>
    <w:rPr>
      <w:sz w:val="20"/>
      <w:szCs w:val="20"/>
    </w:rPr>
  </w:style>
  <w:style w:type="character" w:styleId="Vresatsauce">
    <w:name w:val="footnote reference"/>
    <w:basedOn w:val="Noklusjumarindkopasfonts"/>
    <w:uiPriority w:val="99"/>
    <w:semiHidden/>
    <w:unhideWhenUsed/>
    <w:rsid w:val="00E74DAE"/>
    <w:rPr>
      <w:vertAlign w:val="superscript"/>
    </w:rPr>
  </w:style>
  <w:style w:type="character" w:styleId="Izmantotahipersaite">
    <w:name w:val="FollowedHyperlink"/>
    <w:basedOn w:val="Noklusjumarindkopasfonts"/>
    <w:uiPriority w:val="99"/>
    <w:semiHidden/>
    <w:unhideWhenUsed/>
    <w:rsid w:val="006644DF"/>
    <w:rPr>
      <w:color w:val="800080" w:themeColor="followedHyperlink"/>
      <w:u w:val="single"/>
    </w:rPr>
  </w:style>
  <w:style w:type="paragraph" w:styleId="Galvene">
    <w:name w:val="header"/>
    <w:basedOn w:val="Parasts"/>
    <w:link w:val="GalveneRakstz"/>
    <w:uiPriority w:val="99"/>
    <w:unhideWhenUsed/>
    <w:rsid w:val="00225F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5FFC"/>
  </w:style>
  <w:style w:type="paragraph" w:styleId="Kjene">
    <w:name w:val="footer"/>
    <w:basedOn w:val="Parasts"/>
    <w:link w:val="KjeneRakstz"/>
    <w:uiPriority w:val="99"/>
    <w:unhideWhenUsed/>
    <w:rsid w:val="00225F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5FFC"/>
  </w:style>
  <w:style w:type="table" w:styleId="Reatabula">
    <w:name w:val="Table Grid"/>
    <w:basedOn w:val="Parastatabula"/>
    <w:uiPriority w:val="59"/>
    <w:rsid w:val="002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454">
      <w:bodyDiv w:val="1"/>
      <w:marLeft w:val="0"/>
      <w:marRight w:val="0"/>
      <w:marTop w:val="0"/>
      <w:marBottom w:val="0"/>
      <w:divBdr>
        <w:top w:val="none" w:sz="0" w:space="0" w:color="auto"/>
        <w:left w:val="none" w:sz="0" w:space="0" w:color="auto"/>
        <w:bottom w:val="none" w:sz="0" w:space="0" w:color="auto"/>
        <w:right w:val="none" w:sz="0" w:space="0" w:color="auto"/>
      </w:divBdr>
    </w:div>
    <w:div w:id="18551280">
      <w:bodyDiv w:val="1"/>
      <w:marLeft w:val="0"/>
      <w:marRight w:val="0"/>
      <w:marTop w:val="0"/>
      <w:marBottom w:val="0"/>
      <w:divBdr>
        <w:top w:val="none" w:sz="0" w:space="0" w:color="auto"/>
        <w:left w:val="none" w:sz="0" w:space="0" w:color="auto"/>
        <w:bottom w:val="none" w:sz="0" w:space="0" w:color="auto"/>
        <w:right w:val="none" w:sz="0" w:space="0" w:color="auto"/>
      </w:divBdr>
      <w:divsChild>
        <w:div w:id="1204319564">
          <w:marLeft w:val="0"/>
          <w:marRight w:val="0"/>
          <w:marTop w:val="0"/>
          <w:marBottom w:val="0"/>
          <w:divBdr>
            <w:top w:val="none" w:sz="0" w:space="0" w:color="auto"/>
            <w:left w:val="none" w:sz="0" w:space="0" w:color="auto"/>
            <w:bottom w:val="none" w:sz="0" w:space="0" w:color="auto"/>
            <w:right w:val="none" w:sz="0" w:space="0" w:color="auto"/>
          </w:divBdr>
        </w:div>
      </w:divsChild>
    </w:div>
    <w:div w:id="51933499">
      <w:bodyDiv w:val="1"/>
      <w:marLeft w:val="0"/>
      <w:marRight w:val="0"/>
      <w:marTop w:val="0"/>
      <w:marBottom w:val="0"/>
      <w:divBdr>
        <w:top w:val="none" w:sz="0" w:space="0" w:color="auto"/>
        <w:left w:val="none" w:sz="0" w:space="0" w:color="auto"/>
        <w:bottom w:val="none" w:sz="0" w:space="0" w:color="auto"/>
        <w:right w:val="none" w:sz="0" w:space="0" w:color="auto"/>
      </w:divBdr>
      <w:divsChild>
        <w:div w:id="107287366">
          <w:marLeft w:val="0"/>
          <w:marRight w:val="0"/>
          <w:marTop w:val="0"/>
          <w:marBottom w:val="0"/>
          <w:divBdr>
            <w:top w:val="none" w:sz="0" w:space="0" w:color="auto"/>
            <w:left w:val="none" w:sz="0" w:space="0" w:color="auto"/>
            <w:bottom w:val="none" w:sz="0" w:space="0" w:color="auto"/>
            <w:right w:val="none" w:sz="0" w:space="0" w:color="auto"/>
          </w:divBdr>
          <w:divsChild>
            <w:div w:id="2056806090">
              <w:marLeft w:val="0"/>
              <w:marRight w:val="0"/>
              <w:marTop w:val="0"/>
              <w:marBottom w:val="0"/>
              <w:divBdr>
                <w:top w:val="none" w:sz="0" w:space="0" w:color="auto"/>
                <w:left w:val="none" w:sz="0" w:space="0" w:color="auto"/>
                <w:bottom w:val="none" w:sz="0" w:space="0" w:color="auto"/>
                <w:right w:val="none" w:sz="0" w:space="0" w:color="auto"/>
              </w:divBdr>
              <w:divsChild>
                <w:div w:id="343822455">
                  <w:marLeft w:val="0"/>
                  <w:marRight w:val="0"/>
                  <w:marTop w:val="0"/>
                  <w:marBottom w:val="0"/>
                  <w:divBdr>
                    <w:top w:val="none" w:sz="0" w:space="0" w:color="auto"/>
                    <w:left w:val="none" w:sz="0" w:space="0" w:color="auto"/>
                    <w:bottom w:val="none" w:sz="0" w:space="0" w:color="auto"/>
                    <w:right w:val="none" w:sz="0" w:space="0" w:color="auto"/>
                  </w:divBdr>
                  <w:divsChild>
                    <w:div w:id="1803109318">
                      <w:marLeft w:val="0"/>
                      <w:marRight w:val="0"/>
                      <w:marTop w:val="0"/>
                      <w:marBottom w:val="0"/>
                      <w:divBdr>
                        <w:top w:val="none" w:sz="0" w:space="0" w:color="auto"/>
                        <w:left w:val="none" w:sz="0" w:space="0" w:color="auto"/>
                        <w:bottom w:val="none" w:sz="0" w:space="0" w:color="auto"/>
                        <w:right w:val="none" w:sz="0" w:space="0" w:color="auto"/>
                      </w:divBdr>
                      <w:divsChild>
                        <w:div w:id="824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6874">
      <w:bodyDiv w:val="1"/>
      <w:marLeft w:val="0"/>
      <w:marRight w:val="0"/>
      <w:marTop w:val="0"/>
      <w:marBottom w:val="0"/>
      <w:divBdr>
        <w:top w:val="none" w:sz="0" w:space="0" w:color="auto"/>
        <w:left w:val="none" w:sz="0" w:space="0" w:color="auto"/>
        <w:bottom w:val="none" w:sz="0" w:space="0" w:color="auto"/>
        <w:right w:val="none" w:sz="0" w:space="0" w:color="auto"/>
      </w:divBdr>
    </w:div>
    <w:div w:id="201554243">
      <w:bodyDiv w:val="1"/>
      <w:marLeft w:val="0"/>
      <w:marRight w:val="0"/>
      <w:marTop w:val="0"/>
      <w:marBottom w:val="0"/>
      <w:divBdr>
        <w:top w:val="none" w:sz="0" w:space="0" w:color="auto"/>
        <w:left w:val="none" w:sz="0" w:space="0" w:color="auto"/>
        <w:bottom w:val="none" w:sz="0" w:space="0" w:color="auto"/>
        <w:right w:val="none" w:sz="0" w:space="0" w:color="auto"/>
      </w:divBdr>
      <w:divsChild>
        <w:div w:id="1145467730">
          <w:marLeft w:val="0"/>
          <w:marRight w:val="0"/>
          <w:marTop w:val="0"/>
          <w:marBottom w:val="0"/>
          <w:divBdr>
            <w:top w:val="none" w:sz="0" w:space="0" w:color="auto"/>
            <w:left w:val="none" w:sz="0" w:space="0" w:color="auto"/>
            <w:bottom w:val="none" w:sz="0" w:space="0" w:color="auto"/>
            <w:right w:val="none" w:sz="0" w:space="0" w:color="auto"/>
          </w:divBdr>
        </w:div>
        <w:div w:id="771248547">
          <w:marLeft w:val="0"/>
          <w:marRight w:val="0"/>
          <w:marTop w:val="0"/>
          <w:marBottom w:val="0"/>
          <w:divBdr>
            <w:top w:val="none" w:sz="0" w:space="0" w:color="auto"/>
            <w:left w:val="none" w:sz="0" w:space="0" w:color="auto"/>
            <w:bottom w:val="none" w:sz="0" w:space="0" w:color="auto"/>
            <w:right w:val="none" w:sz="0" w:space="0" w:color="auto"/>
          </w:divBdr>
        </w:div>
      </w:divsChild>
    </w:div>
    <w:div w:id="235474643">
      <w:bodyDiv w:val="1"/>
      <w:marLeft w:val="0"/>
      <w:marRight w:val="0"/>
      <w:marTop w:val="0"/>
      <w:marBottom w:val="0"/>
      <w:divBdr>
        <w:top w:val="none" w:sz="0" w:space="0" w:color="auto"/>
        <w:left w:val="none" w:sz="0" w:space="0" w:color="auto"/>
        <w:bottom w:val="none" w:sz="0" w:space="0" w:color="auto"/>
        <w:right w:val="none" w:sz="0" w:space="0" w:color="auto"/>
      </w:divBdr>
      <w:divsChild>
        <w:div w:id="1252083167">
          <w:marLeft w:val="0"/>
          <w:marRight w:val="0"/>
          <w:marTop w:val="0"/>
          <w:marBottom w:val="0"/>
          <w:divBdr>
            <w:top w:val="none" w:sz="0" w:space="0" w:color="auto"/>
            <w:left w:val="none" w:sz="0" w:space="0" w:color="auto"/>
            <w:bottom w:val="none" w:sz="0" w:space="0" w:color="auto"/>
            <w:right w:val="none" w:sz="0" w:space="0" w:color="auto"/>
          </w:divBdr>
        </w:div>
      </w:divsChild>
    </w:div>
    <w:div w:id="267809633">
      <w:bodyDiv w:val="1"/>
      <w:marLeft w:val="0"/>
      <w:marRight w:val="0"/>
      <w:marTop w:val="0"/>
      <w:marBottom w:val="0"/>
      <w:divBdr>
        <w:top w:val="none" w:sz="0" w:space="0" w:color="auto"/>
        <w:left w:val="none" w:sz="0" w:space="0" w:color="auto"/>
        <w:bottom w:val="none" w:sz="0" w:space="0" w:color="auto"/>
        <w:right w:val="none" w:sz="0" w:space="0" w:color="auto"/>
      </w:divBdr>
    </w:div>
    <w:div w:id="614750989">
      <w:bodyDiv w:val="1"/>
      <w:marLeft w:val="0"/>
      <w:marRight w:val="0"/>
      <w:marTop w:val="0"/>
      <w:marBottom w:val="0"/>
      <w:divBdr>
        <w:top w:val="none" w:sz="0" w:space="0" w:color="auto"/>
        <w:left w:val="none" w:sz="0" w:space="0" w:color="auto"/>
        <w:bottom w:val="none" w:sz="0" w:space="0" w:color="auto"/>
        <w:right w:val="none" w:sz="0" w:space="0" w:color="auto"/>
      </w:divBdr>
      <w:divsChild>
        <w:div w:id="662320279">
          <w:marLeft w:val="0"/>
          <w:marRight w:val="0"/>
          <w:marTop w:val="0"/>
          <w:marBottom w:val="0"/>
          <w:divBdr>
            <w:top w:val="none" w:sz="0" w:space="0" w:color="auto"/>
            <w:left w:val="none" w:sz="0" w:space="0" w:color="auto"/>
            <w:bottom w:val="none" w:sz="0" w:space="0" w:color="auto"/>
            <w:right w:val="none" w:sz="0" w:space="0" w:color="auto"/>
          </w:divBdr>
        </w:div>
      </w:divsChild>
    </w:div>
    <w:div w:id="773746489">
      <w:bodyDiv w:val="1"/>
      <w:marLeft w:val="0"/>
      <w:marRight w:val="0"/>
      <w:marTop w:val="0"/>
      <w:marBottom w:val="0"/>
      <w:divBdr>
        <w:top w:val="none" w:sz="0" w:space="0" w:color="auto"/>
        <w:left w:val="none" w:sz="0" w:space="0" w:color="auto"/>
        <w:bottom w:val="none" w:sz="0" w:space="0" w:color="auto"/>
        <w:right w:val="none" w:sz="0" w:space="0" w:color="auto"/>
      </w:divBdr>
      <w:divsChild>
        <w:div w:id="610019164">
          <w:marLeft w:val="0"/>
          <w:marRight w:val="0"/>
          <w:marTop w:val="0"/>
          <w:marBottom w:val="0"/>
          <w:divBdr>
            <w:top w:val="none" w:sz="0" w:space="0" w:color="auto"/>
            <w:left w:val="none" w:sz="0" w:space="0" w:color="auto"/>
            <w:bottom w:val="none" w:sz="0" w:space="0" w:color="auto"/>
            <w:right w:val="none" w:sz="0" w:space="0" w:color="auto"/>
          </w:divBdr>
          <w:divsChild>
            <w:div w:id="92094566">
              <w:marLeft w:val="0"/>
              <w:marRight w:val="0"/>
              <w:marTop w:val="0"/>
              <w:marBottom w:val="0"/>
              <w:divBdr>
                <w:top w:val="none" w:sz="0" w:space="0" w:color="auto"/>
                <w:left w:val="none" w:sz="0" w:space="0" w:color="auto"/>
                <w:bottom w:val="none" w:sz="0" w:space="0" w:color="auto"/>
                <w:right w:val="none" w:sz="0" w:space="0" w:color="auto"/>
              </w:divBdr>
              <w:divsChild>
                <w:div w:id="1960796614">
                  <w:marLeft w:val="0"/>
                  <w:marRight w:val="0"/>
                  <w:marTop w:val="0"/>
                  <w:marBottom w:val="0"/>
                  <w:divBdr>
                    <w:top w:val="none" w:sz="0" w:space="0" w:color="auto"/>
                    <w:left w:val="none" w:sz="0" w:space="0" w:color="auto"/>
                    <w:bottom w:val="none" w:sz="0" w:space="0" w:color="auto"/>
                    <w:right w:val="none" w:sz="0" w:space="0" w:color="auto"/>
                  </w:divBdr>
                  <w:divsChild>
                    <w:div w:id="1560552577">
                      <w:marLeft w:val="0"/>
                      <w:marRight w:val="0"/>
                      <w:marTop w:val="0"/>
                      <w:marBottom w:val="0"/>
                      <w:divBdr>
                        <w:top w:val="none" w:sz="0" w:space="0" w:color="auto"/>
                        <w:left w:val="none" w:sz="0" w:space="0" w:color="auto"/>
                        <w:bottom w:val="none" w:sz="0" w:space="0" w:color="auto"/>
                        <w:right w:val="none" w:sz="0" w:space="0" w:color="auto"/>
                      </w:divBdr>
                      <w:divsChild>
                        <w:div w:id="987827380">
                          <w:marLeft w:val="0"/>
                          <w:marRight w:val="0"/>
                          <w:marTop w:val="0"/>
                          <w:marBottom w:val="0"/>
                          <w:divBdr>
                            <w:top w:val="none" w:sz="0" w:space="0" w:color="auto"/>
                            <w:left w:val="none" w:sz="0" w:space="0" w:color="auto"/>
                            <w:bottom w:val="none" w:sz="0" w:space="0" w:color="auto"/>
                            <w:right w:val="none" w:sz="0" w:space="0" w:color="auto"/>
                          </w:divBdr>
                          <w:divsChild>
                            <w:div w:id="11046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80782">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1890914204">
                  <w:marLeft w:val="0"/>
                  <w:marRight w:val="0"/>
                  <w:marTop w:val="0"/>
                  <w:marBottom w:val="0"/>
                  <w:divBdr>
                    <w:top w:val="none" w:sz="0" w:space="0" w:color="auto"/>
                    <w:left w:val="none" w:sz="0" w:space="0" w:color="auto"/>
                    <w:bottom w:val="none" w:sz="0" w:space="0" w:color="auto"/>
                    <w:right w:val="none" w:sz="0" w:space="0" w:color="auto"/>
                  </w:divBdr>
                  <w:divsChild>
                    <w:div w:id="535579159">
                      <w:marLeft w:val="0"/>
                      <w:marRight w:val="0"/>
                      <w:marTop w:val="0"/>
                      <w:marBottom w:val="0"/>
                      <w:divBdr>
                        <w:top w:val="none" w:sz="0" w:space="0" w:color="auto"/>
                        <w:left w:val="none" w:sz="0" w:space="0" w:color="auto"/>
                        <w:bottom w:val="none" w:sz="0" w:space="0" w:color="auto"/>
                        <w:right w:val="none" w:sz="0" w:space="0" w:color="auto"/>
                      </w:divBdr>
                      <w:divsChild>
                        <w:div w:id="14253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5221">
      <w:bodyDiv w:val="1"/>
      <w:marLeft w:val="0"/>
      <w:marRight w:val="0"/>
      <w:marTop w:val="0"/>
      <w:marBottom w:val="0"/>
      <w:divBdr>
        <w:top w:val="none" w:sz="0" w:space="0" w:color="auto"/>
        <w:left w:val="none" w:sz="0" w:space="0" w:color="auto"/>
        <w:bottom w:val="none" w:sz="0" w:space="0" w:color="auto"/>
        <w:right w:val="none" w:sz="0" w:space="0" w:color="auto"/>
      </w:divBdr>
    </w:div>
    <w:div w:id="962153438">
      <w:bodyDiv w:val="1"/>
      <w:marLeft w:val="0"/>
      <w:marRight w:val="0"/>
      <w:marTop w:val="0"/>
      <w:marBottom w:val="0"/>
      <w:divBdr>
        <w:top w:val="none" w:sz="0" w:space="0" w:color="auto"/>
        <w:left w:val="none" w:sz="0" w:space="0" w:color="auto"/>
        <w:bottom w:val="none" w:sz="0" w:space="0" w:color="auto"/>
        <w:right w:val="none" w:sz="0" w:space="0" w:color="auto"/>
      </w:divBdr>
    </w:div>
    <w:div w:id="1038316351">
      <w:bodyDiv w:val="1"/>
      <w:marLeft w:val="0"/>
      <w:marRight w:val="0"/>
      <w:marTop w:val="0"/>
      <w:marBottom w:val="0"/>
      <w:divBdr>
        <w:top w:val="none" w:sz="0" w:space="0" w:color="auto"/>
        <w:left w:val="none" w:sz="0" w:space="0" w:color="auto"/>
        <w:bottom w:val="none" w:sz="0" w:space="0" w:color="auto"/>
        <w:right w:val="none" w:sz="0" w:space="0" w:color="auto"/>
      </w:divBdr>
    </w:div>
    <w:div w:id="1369842625">
      <w:bodyDiv w:val="1"/>
      <w:marLeft w:val="0"/>
      <w:marRight w:val="0"/>
      <w:marTop w:val="0"/>
      <w:marBottom w:val="0"/>
      <w:divBdr>
        <w:top w:val="none" w:sz="0" w:space="0" w:color="auto"/>
        <w:left w:val="none" w:sz="0" w:space="0" w:color="auto"/>
        <w:bottom w:val="none" w:sz="0" w:space="0" w:color="auto"/>
        <w:right w:val="none" w:sz="0" w:space="0" w:color="auto"/>
      </w:divBdr>
      <w:divsChild>
        <w:div w:id="1101874448">
          <w:marLeft w:val="0"/>
          <w:marRight w:val="0"/>
          <w:marTop w:val="0"/>
          <w:marBottom w:val="0"/>
          <w:divBdr>
            <w:top w:val="none" w:sz="0" w:space="0" w:color="auto"/>
            <w:left w:val="none" w:sz="0" w:space="0" w:color="auto"/>
            <w:bottom w:val="none" w:sz="0" w:space="0" w:color="auto"/>
            <w:right w:val="none" w:sz="0" w:space="0" w:color="auto"/>
          </w:divBdr>
        </w:div>
        <w:div w:id="484517372">
          <w:marLeft w:val="0"/>
          <w:marRight w:val="0"/>
          <w:marTop w:val="0"/>
          <w:marBottom w:val="0"/>
          <w:divBdr>
            <w:top w:val="none" w:sz="0" w:space="0" w:color="auto"/>
            <w:left w:val="none" w:sz="0" w:space="0" w:color="auto"/>
            <w:bottom w:val="none" w:sz="0" w:space="0" w:color="auto"/>
            <w:right w:val="none" w:sz="0" w:space="0" w:color="auto"/>
          </w:divBdr>
        </w:div>
        <w:div w:id="1282414450">
          <w:marLeft w:val="0"/>
          <w:marRight w:val="0"/>
          <w:marTop w:val="0"/>
          <w:marBottom w:val="0"/>
          <w:divBdr>
            <w:top w:val="none" w:sz="0" w:space="0" w:color="auto"/>
            <w:left w:val="none" w:sz="0" w:space="0" w:color="auto"/>
            <w:bottom w:val="none" w:sz="0" w:space="0" w:color="auto"/>
            <w:right w:val="none" w:sz="0" w:space="0" w:color="auto"/>
          </w:divBdr>
        </w:div>
        <w:div w:id="193275611">
          <w:marLeft w:val="0"/>
          <w:marRight w:val="0"/>
          <w:marTop w:val="0"/>
          <w:marBottom w:val="0"/>
          <w:divBdr>
            <w:top w:val="none" w:sz="0" w:space="0" w:color="auto"/>
            <w:left w:val="none" w:sz="0" w:space="0" w:color="auto"/>
            <w:bottom w:val="none" w:sz="0" w:space="0" w:color="auto"/>
            <w:right w:val="none" w:sz="0" w:space="0" w:color="auto"/>
          </w:divBdr>
        </w:div>
        <w:div w:id="952520940">
          <w:marLeft w:val="0"/>
          <w:marRight w:val="0"/>
          <w:marTop w:val="0"/>
          <w:marBottom w:val="0"/>
          <w:divBdr>
            <w:top w:val="none" w:sz="0" w:space="0" w:color="auto"/>
            <w:left w:val="none" w:sz="0" w:space="0" w:color="auto"/>
            <w:bottom w:val="none" w:sz="0" w:space="0" w:color="auto"/>
            <w:right w:val="none" w:sz="0" w:space="0" w:color="auto"/>
          </w:divBdr>
        </w:div>
        <w:div w:id="281762981">
          <w:marLeft w:val="0"/>
          <w:marRight w:val="0"/>
          <w:marTop w:val="0"/>
          <w:marBottom w:val="0"/>
          <w:divBdr>
            <w:top w:val="none" w:sz="0" w:space="0" w:color="auto"/>
            <w:left w:val="none" w:sz="0" w:space="0" w:color="auto"/>
            <w:bottom w:val="none" w:sz="0" w:space="0" w:color="auto"/>
            <w:right w:val="none" w:sz="0" w:space="0" w:color="auto"/>
          </w:divBdr>
        </w:div>
      </w:divsChild>
    </w:div>
    <w:div w:id="1376126847">
      <w:bodyDiv w:val="1"/>
      <w:marLeft w:val="0"/>
      <w:marRight w:val="0"/>
      <w:marTop w:val="0"/>
      <w:marBottom w:val="0"/>
      <w:divBdr>
        <w:top w:val="none" w:sz="0" w:space="0" w:color="auto"/>
        <w:left w:val="none" w:sz="0" w:space="0" w:color="auto"/>
        <w:bottom w:val="none" w:sz="0" w:space="0" w:color="auto"/>
        <w:right w:val="none" w:sz="0" w:space="0" w:color="auto"/>
      </w:divBdr>
    </w:div>
    <w:div w:id="1452944149">
      <w:bodyDiv w:val="1"/>
      <w:marLeft w:val="0"/>
      <w:marRight w:val="0"/>
      <w:marTop w:val="0"/>
      <w:marBottom w:val="0"/>
      <w:divBdr>
        <w:top w:val="none" w:sz="0" w:space="0" w:color="auto"/>
        <w:left w:val="none" w:sz="0" w:space="0" w:color="auto"/>
        <w:bottom w:val="none" w:sz="0" w:space="0" w:color="auto"/>
        <w:right w:val="none" w:sz="0" w:space="0" w:color="auto"/>
      </w:divBdr>
    </w:div>
    <w:div w:id="1560241089">
      <w:bodyDiv w:val="1"/>
      <w:marLeft w:val="0"/>
      <w:marRight w:val="0"/>
      <w:marTop w:val="0"/>
      <w:marBottom w:val="0"/>
      <w:divBdr>
        <w:top w:val="none" w:sz="0" w:space="0" w:color="auto"/>
        <w:left w:val="none" w:sz="0" w:space="0" w:color="auto"/>
        <w:bottom w:val="none" w:sz="0" w:space="0" w:color="auto"/>
        <w:right w:val="none" w:sz="0" w:space="0" w:color="auto"/>
      </w:divBdr>
    </w:div>
    <w:div w:id="1602180038">
      <w:bodyDiv w:val="1"/>
      <w:marLeft w:val="0"/>
      <w:marRight w:val="0"/>
      <w:marTop w:val="0"/>
      <w:marBottom w:val="0"/>
      <w:divBdr>
        <w:top w:val="none" w:sz="0" w:space="0" w:color="auto"/>
        <w:left w:val="none" w:sz="0" w:space="0" w:color="auto"/>
        <w:bottom w:val="none" w:sz="0" w:space="0" w:color="auto"/>
        <w:right w:val="none" w:sz="0" w:space="0" w:color="auto"/>
      </w:divBdr>
    </w:div>
    <w:div w:id="1620137733">
      <w:bodyDiv w:val="1"/>
      <w:marLeft w:val="0"/>
      <w:marRight w:val="0"/>
      <w:marTop w:val="0"/>
      <w:marBottom w:val="0"/>
      <w:divBdr>
        <w:top w:val="none" w:sz="0" w:space="0" w:color="auto"/>
        <w:left w:val="none" w:sz="0" w:space="0" w:color="auto"/>
        <w:bottom w:val="none" w:sz="0" w:space="0" w:color="auto"/>
        <w:right w:val="none" w:sz="0" w:space="0" w:color="auto"/>
      </w:divBdr>
    </w:div>
    <w:div w:id="1634362762">
      <w:bodyDiv w:val="1"/>
      <w:marLeft w:val="0"/>
      <w:marRight w:val="0"/>
      <w:marTop w:val="0"/>
      <w:marBottom w:val="0"/>
      <w:divBdr>
        <w:top w:val="none" w:sz="0" w:space="0" w:color="auto"/>
        <w:left w:val="none" w:sz="0" w:space="0" w:color="auto"/>
        <w:bottom w:val="none" w:sz="0" w:space="0" w:color="auto"/>
        <w:right w:val="none" w:sz="0" w:space="0" w:color="auto"/>
      </w:divBdr>
    </w:div>
    <w:div w:id="1793356746">
      <w:bodyDiv w:val="1"/>
      <w:marLeft w:val="0"/>
      <w:marRight w:val="0"/>
      <w:marTop w:val="0"/>
      <w:marBottom w:val="0"/>
      <w:divBdr>
        <w:top w:val="none" w:sz="0" w:space="0" w:color="auto"/>
        <w:left w:val="none" w:sz="0" w:space="0" w:color="auto"/>
        <w:bottom w:val="none" w:sz="0" w:space="0" w:color="auto"/>
        <w:right w:val="none" w:sz="0" w:space="0" w:color="auto"/>
      </w:divBdr>
      <w:divsChild>
        <w:div w:id="584534362">
          <w:marLeft w:val="0"/>
          <w:marRight w:val="0"/>
          <w:marTop w:val="0"/>
          <w:marBottom w:val="0"/>
          <w:divBdr>
            <w:top w:val="none" w:sz="0" w:space="0" w:color="auto"/>
            <w:left w:val="none" w:sz="0" w:space="0" w:color="auto"/>
            <w:bottom w:val="none" w:sz="0" w:space="0" w:color="auto"/>
            <w:right w:val="none" w:sz="0" w:space="0" w:color="auto"/>
          </w:divBdr>
        </w:div>
        <w:div w:id="328825540">
          <w:marLeft w:val="0"/>
          <w:marRight w:val="0"/>
          <w:marTop w:val="0"/>
          <w:marBottom w:val="0"/>
          <w:divBdr>
            <w:top w:val="none" w:sz="0" w:space="0" w:color="auto"/>
            <w:left w:val="none" w:sz="0" w:space="0" w:color="auto"/>
            <w:bottom w:val="none" w:sz="0" w:space="0" w:color="auto"/>
            <w:right w:val="none" w:sz="0" w:space="0" w:color="auto"/>
          </w:divBdr>
        </w:div>
        <w:div w:id="1785924788">
          <w:marLeft w:val="0"/>
          <w:marRight w:val="0"/>
          <w:marTop w:val="0"/>
          <w:marBottom w:val="0"/>
          <w:divBdr>
            <w:top w:val="none" w:sz="0" w:space="0" w:color="auto"/>
            <w:left w:val="none" w:sz="0" w:space="0" w:color="auto"/>
            <w:bottom w:val="none" w:sz="0" w:space="0" w:color="auto"/>
            <w:right w:val="none" w:sz="0" w:space="0" w:color="auto"/>
          </w:divBdr>
        </w:div>
      </w:divsChild>
    </w:div>
    <w:div w:id="1890263119">
      <w:bodyDiv w:val="1"/>
      <w:marLeft w:val="0"/>
      <w:marRight w:val="0"/>
      <w:marTop w:val="0"/>
      <w:marBottom w:val="0"/>
      <w:divBdr>
        <w:top w:val="none" w:sz="0" w:space="0" w:color="auto"/>
        <w:left w:val="none" w:sz="0" w:space="0" w:color="auto"/>
        <w:bottom w:val="none" w:sz="0" w:space="0" w:color="auto"/>
        <w:right w:val="none" w:sz="0" w:space="0" w:color="auto"/>
      </w:divBdr>
    </w:div>
    <w:div w:id="190586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7560">
          <w:marLeft w:val="0"/>
          <w:marRight w:val="0"/>
          <w:marTop w:val="0"/>
          <w:marBottom w:val="0"/>
          <w:divBdr>
            <w:top w:val="none" w:sz="0" w:space="0" w:color="auto"/>
            <w:left w:val="none" w:sz="0" w:space="0" w:color="auto"/>
            <w:bottom w:val="none" w:sz="0" w:space="0" w:color="auto"/>
            <w:right w:val="none" w:sz="0" w:space="0" w:color="auto"/>
          </w:divBdr>
        </w:div>
        <w:div w:id="448479421">
          <w:marLeft w:val="0"/>
          <w:marRight w:val="0"/>
          <w:marTop w:val="0"/>
          <w:marBottom w:val="0"/>
          <w:divBdr>
            <w:top w:val="none" w:sz="0" w:space="0" w:color="auto"/>
            <w:left w:val="none" w:sz="0" w:space="0" w:color="auto"/>
            <w:bottom w:val="none" w:sz="0" w:space="0" w:color="auto"/>
            <w:right w:val="none" w:sz="0" w:space="0" w:color="auto"/>
          </w:divBdr>
        </w:div>
        <w:div w:id="554127699">
          <w:marLeft w:val="0"/>
          <w:marRight w:val="0"/>
          <w:marTop w:val="0"/>
          <w:marBottom w:val="0"/>
          <w:divBdr>
            <w:top w:val="none" w:sz="0" w:space="0" w:color="auto"/>
            <w:left w:val="none" w:sz="0" w:space="0" w:color="auto"/>
            <w:bottom w:val="none" w:sz="0" w:space="0" w:color="auto"/>
            <w:right w:val="none" w:sz="0" w:space="0" w:color="auto"/>
          </w:divBdr>
          <w:divsChild>
            <w:div w:id="723329485">
              <w:marLeft w:val="0"/>
              <w:marRight w:val="0"/>
              <w:marTop w:val="0"/>
              <w:marBottom w:val="0"/>
              <w:divBdr>
                <w:top w:val="none" w:sz="0" w:space="0" w:color="auto"/>
                <w:left w:val="none" w:sz="0" w:space="0" w:color="auto"/>
                <w:bottom w:val="none" w:sz="0" w:space="0" w:color="auto"/>
                <w:right w:val="none" w:sz="0" w:space="0" w:color="auto"/>
              </w:divBdr>
            </w:div>
            <w:div w:id="1087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m.gov.lv/lv/jaunums/gatavs-detalizets-plans-vakcinacijai-pret-covid-19-latvija%20u.c" TargetMode="External"/><Relationship Id="rId2" Type="http://schemas.openxmlformats.org/officeDocument/2006/relationships/hyperlink" Target="https://www.spkc.gov.lv/lv/vakcinas-pret-covid-19" TargetMode="External"/><Relationship Id="rId1" Type="http://schemas.openxmlformats.org/officeDocument/2006/relationships/hyperlink" Target="https://covid19.gov.lv/vakcina" TargetMode="External"/><Relationship Id="rId4" Type="http://schemas.openxmlformats.org/officeDocument/2006/relationships/hyperlink" Target="https://www.lexology.com/library/detail.aspx?g=636be72c-f398-4b34-a38c-4ebc838f431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31703186392842E-3"/>
          <c:y val="4.9655469422911283E-2"/>
          <c:w val="0.98593759026491812"/>
          <c:h val="0.43958182601205859"/>
        </c:manualLayout>
      </c:layout>
      <c:barChart>
        <c:barDir val="col"/>
        <c:grouping val="clustered"/>
        <c:varyColors val="0"/>
        <c:ser>
          <c:idx val="0"/>
          <c:order val="0"/>
          <c:spPr>
            <a:solidFill>
              <a:schemeClr val="accent2">
                <a:lumMod val="75000"/>
              </a:schemeClr>
            </a:solidFill>
          </c:spPr>
          <c:invertIfNegative val="0"/>
          <c:dPt>
            <c:idx val="0"/>
            <c:invertIfNegative val="0"/>
            <c:bubble3D val="0"/>
            <c:extLst>
              <c:ext xmlns:c16="http://schemas.microsoft.com/office/drawing/2014/chart" uri="{C3380CC4-5D6E-409C-BE32-E72D297353CC}">
                <c16:uniqueId val="{00000000-35B2-44C8-8219-8213E8D00DF5}"/>
              </c:ext>
            </c:extLst>
          </c:dPt>
          <c:dPt>
            <c:idx val="2"/>
            <c:invertIfNegative val="0"/>
            <c:bubble3D val="0"/>
            <c:extLst>
              <c:ext xmlns:c16="http://schemas.microsoft.com/office/drawing/2014/chart" uri="{C3380CC4-5D6E-409C-BE32-E72D297353CC}">
                <c16:uniqueId val="{00000001-35B2-44C8-8219-8213E8D00DF5}"/>
              </c:ext>
            </c:extLst>
          </c:dPt>
          <c:dPt>
            <c:idx val="6"/>
            <c:invertIfNegative val="0"/>
            <c:bubble3D val="0"/>
            <c:extLst>
              <c:ext xmlns:c16="http://schemas.microsoft.com/office/drawing/2014/chart" uri="{C3380CC4-5D6E-409C-BE32-E72D297353CC}">
                <c16:uniqueId val="{00000002-35B2-44C8-8219-8213E8D00DF5}"/>
              </c:ext>
            </c:extLst>
          </c:dPt>
          <c:dPt>
            <c:idx val="8"/>
            <c:invertIfNegative val="0"/>
            <c:bubble3D val="0"/>
            <c:extLst>
              <c:ext xmlns:c16="http://schemas.microsoft.com/office/drawing/2014/chart" uri="{C3380CC4-5D6E-409C-BE32-E72D297353CC}">
                <c16:uniqueId val="{00000003-35B2-44C8-8219-8213E8D00DF5}"/>
              </c:ext>
            </c:extLst>
          </c:dPt>
          <c:dPt>
            <c:idx val="10"/>
            <c:invertIfNegative val="0"/>
            <c:bubble3D val="0"/>
            <c:extLst>
              <c:ext xmlns:c16="http://schemas.microsoft.com/office/drawing/2014/chart" uri="{C3380CC4-5D6E-409C-BE32-E72D297353CC}">
                <c16:uniqueId val="{00000004-35B2-44C8-8219-8213E8D00DF5}"/>
              </c:ext>
            </c:extLst>
          </c:dPt>
          <c:dPt>
            <c:idx val="11"/>
            <c:invertIfNegative val="0"/>
            <c:bubble3D val="0"/>
            <c:extLst>
              <c:ext xmlns:c16="http://schemas.microsoft.com/office/drawing/2014/chart" uri="{C3380CC4-5D6E-409C-BE32-E72D297353CC}">
                <c16:uniqueId val="{00000005-35B2-44C8-8219-8213E8D00DF5}"/>
              </c:ext>
            </c:extLst>
          </c:dPt>
          <c:dPt>
            <c:idx val="12"/>
            <c:invertIfNegative val="0"/>
            <c:bubble3D val="0"/>
            <c:extLst>
              <c:ext xmlns:c16="http://schemas.microsoft.com/office/drawing/2014/chart" uri="{C3380CC4-5D6E-409C-BE32-E72D297353CC}">
                <c16:uniqueId val="{00000006-35B2-44C8-8219-8213E8D00DF5}"/>
              </c:ext>
            </c:extLst>
          </c:dPt>
          <c:dPt>
            <c:idx val="15"/>
            <c:invertIfNegative val="0"/>
            <c:bubble3D val="0"/>
            <c:extLst>
              <c:ext xmlns:c16="http://schemas.microsoft.com/office/drawing/2014/chart" uri="{C3380CC4-5D6E-409C-BE32-E72D297353CC}">
                <c16:uniqueId val="{00000007-35B2-44C8-8219-8213E8D00DF5}"/>
              </c:ext>
            </c:extLst>
          </c:dPt>
          <c:dPt>
            <c:idx val="16"/>
            <c:invertIfNegative val="0"/>
            <c:bubble3D val="0"/>
            <c:extLst>
              <c:ext xmlns:c16="http://schemas.microsoft.com/office/drawing/2014/chart" uri="{C3380CC4-5D6E-409C-BE32-E72D297353CC}">
                <c16:uniqueId val="{00000008-35B2-44C8-8219-8213E8D00DF5}"/>
              </c:ext>
            </c:extLst>
          </c:dPt>
          <c:dPt>
            <c:idx val="17"/>
            <c:invertIfNegative val="0"/>
            <c:bubble3D val="0"/>
            <c:extLst>
              <c:ext xmlns:c16="http://schemas.microsoft.com/office/drawing/2014/chart" uri="{C3380CC4-5D6E-409C-BE32-E72D297353CC}">
                <c16:uniqueId val="{00000009-35B2-44C8-8219-8213E8D00DF5}"/>
              </c:ext>
            </c:extLst>
          </c:dPt>
          <c:dPt>
            <c:idx val="19"/>
            <c:invertIfNegative val="0"/>
            <c:bubble3D val="0"/>
            <c:extLst>
              <c:ext xmlns:c16="http://schemas.microsoft.com/office/drawing/2014/chart" uri="{C3380CC4-5D6E-409C-BE32-E72D297353CC}">
                <c16:uniqueId val="{0000000A-35B2-44C8-8219-8213E8D00DF5}"/>
              </c:ext>
            </c:extLst>
          </c:dPt>
          <c:dPt>
            <c:idx val="20"/>
            <c:invertIfNegative val="0"/>
            <c:bubble3D val="0"/>
            <c:extLst>
              <c:ext xmlns:c16="http://schemas.microsoft.com/office/drawing/2014/chart" uri="{C3380CC4-5D6E-409C-BE32-E72D297353CC}">
                <c16:uniqueId val="{0000000B-35B2-44C8-8219-8213E8D00DF5}"/>
              </c:ext>
            </c:extLst>
          </c:dPt>
          <c:dPt>
            <c:idx val="21"/>
            <c:invertIfNegative val="0"/>
            <c:bubble3D val="0"/>
            <c:extLst>
              <c:ext xmlns:c16="http://schemas.microsoft.com/office/drawing/2014/chart" uri="{C3380CC4-5D6E-409C-BE32-E72D297353CC}">
                <c16:uniqueId val="{0000000C-35B2-44C8-8219-8213E8D00DF5}"/>
              </c:ext>
            </c:extLst>
          </c:dPt>
          <c:dPt>
            <c:idx val="23"/>
            <c:invertIfNegative val="0"/>
            <c:bubble3D val="0"/>
            <c:extLst>
              <c:ext xmlns:c16="http://schemas.microsoft.com/office/drawing/2014/chart" uri="{C3380CC4-5D6E-409C-BE32-E72D297353CC}">
                <c16:uniqueId val="{0000000D-35B2-44C8-8219-8213E8D00DF5}"/>
              </c:ext>
            </c:extLst>
          </c:dPt>
          <c:dPt>
            <c:idx val="24"/>
            <c:invertIfNegative val="0"/>
            <c:bubble3D val="0"/>
            <c:extLst>
              <c:ext xmlns:c16="http://schemas.microsoft.com/office/drawing/2014/chart" uri="{C3380CC4-5D6E-409C-BE32-E72D297353CC}">
                <c16:uniqueId val="{0000000E-35B2-44C8-8219-8213E8D00DF5}"/>
              </c:ext>
            </c:extLst>
          </c:dPt>
          <c:dPt>
            <c:idx val="26"/>
            <c:invertIfNegative val="0"/>
            <c:bubble3D val="0"/>
            <c:extLst>
              <c:ext xmlns:c16="http://schemas.microsoft.com/office/drawing/2014/chart" uri="{C3380CC4-5D6E-409C-BE32-E72D297353CC}">
                <c16:uniqueId val="{0000000F-35B2-44C8-8219-8213E8D00DF5}"/>
              </c:ext>
            </c:extLst>
          </c:dPt>
          <c:dPt>
            <c:idx val="28"/>
            <c:invertIfNegative val="0"/>
            <c:bubble3D val="0"/>
            <c:extLst>
              <c:ext xmlns:c16="http://schemas.microsoft.com/office/drawing/2014/chart" uri="{C3380CC4-5D6E-409C-BE32-E72D297353CC}">
                <c16:uniqueId val="{00000010-35B2-44C8-8219-8213E8D00DF5}"/>
              </c:ext>
            </c:extLst>
          </c:dPt>
          <c:dPt>
            <c:idx val="29"/>
            <c:invertIfNegative val="0"/>
            <c:bubble3D val="0"/>
            <c:extLst>
              <c:ext xmlns:c16="http://schemas.microsoft.com/office/drawing/2014/chart" uri="{C3380CC4-5D6E-409C-BE32-E72D297353CC}">
                <c16:uniqueId val="{00000011-35B2-44C8-8219-8213E8D00DF5}"/>
              </c:ext>
            </c:extLst>
          </c:dPt>
          <c:dPt>
            <c:idx val="30"/>
            <c:invertIfNegative val="0"/>
            <c:bubble3D val="0"/>
            <c:extLst>
              <c:ext xmlns:c16="http://schemas.microsoft.com/office/drawing/2014/chart" uri="{C3380CC4-5D6E-409C-BE32-E72D297353CC}">
                <c16:uniqueId val="{00000012-35B2-44C8-8219-8213E8D00DF5}"/>
              </c:ext>
            </c:extLst>
          </c:dPt>
          <c:dPt>
            <c:idx val="31"/>
            <c:invertIfNegative val="0"/>
            <c:bubble3D val="0"/>
            <c:extLst>
              <c:ext xmlns:c16="http://schemas.microsoft.com/office/drawing/2014/chart" uri="{C3380CC4-5D6E-409C-BE32-E72D297353CC}">
                <c16:uniqueId val="{00000013-35B2-44C8-8219-8213E8D00DF5}"/>
              </c:ext>
            </c:extLst>
          </c:dPt>
          <c:dPt>
            <c:idx val="33"/>
            <c:invertIfNegative val="0"/>
            <c:bubble3D val="0"/>
            <c:extLst>
              <c:ext xmlns:c16="http://schemas.microsoft.com/office/drawing/2014/chart" uri="{C3380CC4-5D6E-409C-BE32-E72D297353CC}">
                <c16:uniqueId val="{00000014-35B2-44C8-8219-8213E8D00DF5}"/>
              </c:ext>
            </c:extLst>
          </c:dPt>
          <c:dPt>
            <c:idx val="34"/>
            <c:invertIfNegative val="0"/>
            <c:bubble3D val="0"/>
            <c:extLst>
              <c:ext xmlns:c16="http://schemas.microsoft.com/office/drawing/2014/chart" uri="{C3380CC4-5D6E-409C-BE32-E72D297353CC}">
                <c16:uniqueId val="{00000015-35B2-44C8-8219-8213E8D00DF5}"/>
              </c:ext>
            </c:extLst>
          </c:dPt>
          <c:dPt>
            <c:idx val="35"/>
            <c:invertIfNegative val="0"/>
            <c:bubble3D val="0"/>
            <c:extLst>
              <c:ext xmlns:c16="http://schemas.microsoft.com/office/drawing/2014/chart" uri="{C3380CC4-5D6E-409C-BE32-E72D297353CC}">
                <c16:uniqueId val="{00000016-35B2-44C8-8219-8213E8D00DF5}"/>
              </c:ext>
            </c:extLst>
          </c:dPt>
          <c:dPt>
            <c:idx val="36"/>
            <c:invertIfNegative val="0"/>
            <c:bubble3D val="0"/>
            <c:extLst>
              <c:ext xmlns:c16="http://schemas.microsoft.com/office/drawing/2014/chart" uri="{C3380CC4-5D6E-409C-BE32-E72D297353CC}">
                <c16:uniqueId val="{00000017-35B2-44C8-8219-8213E8D00DF5}"/>
              </c:ext>
            </c:extLst>
          </c:dPt>
          <c:dPt>
            <c:idx val="37"/>
            <c:invertIfNegative val="0"/>
            <c:bubble3D val="0"/>
            <c:extLst>
              <c:ext xmlns:c16="http://schemas.microsoft.com/office/drawing/2014/chart" uri="{C3380CC4-5D6E-409C-BE32-E72D297353CC}">
                <c16:uniqueId val="{00000018-35B2-44C8-8219-8213E8D00DF5}"/>
              </c:ext>
            </c:extLst>
          </c:dPt>
          <c:dPt>
            <c:idx val="38"/>
            <c:invertIfNegative val="0"/>
            <c:bubble3D val="0"/>
            <c:extLst>
              <c:ext xmlns:c16="http://schemas.microsoft.com/office/drawing/2014/chart" uri="{C3380CC4-5D6E-409C-BE32-E72D297353CC}">
                <c16:uniqueId val="{00000019-35B2-44C8-8219-8213E8D00DF5}"/>
              </c:ext>
            </c:extLst>
          </c:dPt>
          <c:dPt>
            <c:idx val="39"/>
            <c:invertIfNegative val="0"/>
            <c:bubble3D val="0"/>
            <c:extLst>
              <c:ext xmlns:c16="http://schemas.microsoft.com/office/drawing/2014/chart" uri="{C3380CC4-5D6E-409C-BE32-E72D297353CC}">
                <c16:uniqueId val="{0000001A-35B2-44C8-8219-8213E8D00DF5}"/>
              </c:ext>
            </c:extLst>
          </c:dPt>
          <c:dPt>
            <c:idx val="40"/>
            <c:invertIfNegative val="0"/>
            <c:bubble3D val="0"/>
            <c:extLst>
              <c:ext xmlns:c16="http://schemas.microsoft.com/office/drawing/2014/chart" uri="{C3380CC4-5D6E-409C-BE32-E72D297353CC}">
                <c16:uniqueId val="{0000001B-35B2-44C8-8219-8213E8D00DF5}"/>
              </c:ext>
            </c:extLst>
          </c:dPt>
          <c:dPt>
            <c:idx val="42"/>
            <c:invertIfNegative val="0"/>
            <c:bubble3D val="0"/>
            <c:extLst>
              <c:ext xmlns:c16="http://schemas.microsoft.com/office/drawing/2014/chart" uri="{C3380CC4-5D6E-409C-BE32-E72D297353CC}">
                <c16:uniqueId val="{0000001C-35B2-44C8-8219-8213E8D00DF5}"/>
              </c:ext>
            </c:extLst>
          </c:dPt>
          <c:dPt>
            <c:idx val="43"/>
            <c:invertIfNegative val="0"/>
            <c:bubble3D val="0"/>
            <c:extLst>
              <c:ext xmlns:c16="http://schemas.microsoft.com/office/drawing/2014/chart" uri="{C3380CC4-5D6E-409C-BE32-E72D297353CC}">
                <c16:uniqueId val="{0000001D-35B2-44C8-8219-8213E8D00DF5}"/>
              </c:ext>
            </c:extLst>
          </c:dPt>
          <c:dPt>
            <c:idx val="47"/>
            <c:invertIfNegative val="0"/>
            <c:bubble3D val="0"/>
            <c:extLst>
              <c:ext xmlns:c16="http://schemas.microsoft.com/office/drawing/2014/chart" uri="{C3380CC4-5D6E-409C-BE32-E72D297353CC}">
                <c16:uniqueId val="{0000001E-35B2-44C8-8219-8213E8D00DF5}"/>
              </c:ext>
            </c:extLst>
          </c:dPt>
          <c:dPt>
            <c:idx val="48"/>
            <c:invertIfNegative val="0"/>
            <c:bubble3D val="0"/>
            <c:extLst>
              <c:ext xmlns:c16="http://schemas.microsoft.com/office/drawing/2014/chart" uri="{C3380CC4-5D6E-409C-BE32-E72D297353CC}">
                <c16:uniqueId val="{0000001F-35B2-44C8-8219-8213E8D00DF5}"/>
              </c:ext>
            </c:extLst>
          </c:dPt>
          <c:dPt>
            <c:idx val="50"/>
            <c:invertIfNegative val="0"/>
            <c:bubble3D val="0"/>
            <c:extLst>
              <c:ext xmlns:c16="http://schemas.microsoft.com/office/drawing/2014/chart" uri="{C3380CC4-5D6E-409C-BE32-E72D297353CC}">
                <c16:uniqueId val="{00000020-35B2-44C8-8219-8213E8D00DF5}"/>
              </c:ext>
            </c:extLst>
          </c:dPt>
          <c:dPt>
            <c:idx val="51"/>
            <c:invertIfNegative val="0"/>
            <c:bubble3D val="0"/>
            <c:extLst>
              <c:ext xmlns:c16="http://schemas.microsoft.com/office/drawing/2014/chart" uri="{C3380CC4-5D6E-409C-BE32-E72D297353CC}">
                <c16:uniqueId val="{00000021-35B2-44C8-8219-8213E8D00DF5}"/>
              </c:ext>
            </c:extLst>
          </c:dPt>
          <c:dPt>
            <c:idx val="54"/>
            <c:invertIfNegative val="0"/>
            <c:bubble3D val="0"/>
            <c:extLst>
              <c:ext xmlns:c16="http://schemas.microsoft.com/office/drawing/2014/chart" uri="{C3380CC4-5D6E-409C-BE32-E72D297353CC}">
                <c16:uniqueId val="{00000022-35B2-44C8-8219-8213E8D00DF5}"/>
              </c:ext>
            </c:extLst>
          </c:dPt>
          <c:dLbls>
            <c:dLbl>
              <c:idx val="8"/>
              <c:spPr>
                <a:noFill/>
                <a:ln>
                  <a:noFill/>
                </a:ln>
                <a:effectLst/>
              </c:spPr>
              <c:txPr>
                <a:bodyPr wrap="square" lIns="38100" tIns="54000" rIns="38100" bIns="0" anchor="ctr">
                  <a:spAutoFit/>
                </a:bodyPr>
                <a:lstStyle/>
                <a:p>
                  <a:pPr>
                    <a:defRPr sz="800"/>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5B2-44C8-8219-8213E8D00DF5}"/>
                </c:ext>
              </c:extLst>
            </c:dLbl>
            <c:dLbl>
              <c:idx val="24"/>
              <c:spPr>
                <a:noFill/>
                <a:ln>
                  <a:noFill/>
                </a:ln>
                <a:effectLst/>
              </c:spPr>
              <c:txPr>
                <a:bodyPr wrap="square" lIns="38100" tIns="0" rIns="38100" bIns="19050" anchor="ctr">
                  <a:spAutoFit/>
                </a:bodyPr>
                <a:lstStyle/>
                <a:p>
                  <a:pPr>
                    <a:defRPr sz="800"/>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35B2-44C8-8219-8213E8D00DF5}"/>
                </c:ext>
              </c:extLst>
            </c:dLbl>
            <c:spPr>
              <a:noFill/>
              <a:ln>
                <a:noFill/>
              </a:ln>
              <a:effectLst/>
            </c:spPr>
            <c:txPr>
              <a:bodyPr wrap="square" lIns="38100" tIns="19050" rIns="38100" bIns="19050" anchor="ctr">
                <a:spAutoFit/>
              </a:bodyPr>
              <a:lstStyle/>
              <a:p>
                <a:pPr>
                  <a:defRPr sz="8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Sheet1!$A$2:$A$58</c:f>
              <c:strCache>
                <c:ptCount val="57"/>
                <c:pt idx="0">
                  <c:v>Gaisa transports</c:v>
                </c:pt>
                <c:pt idx="1">
                  <c:v>Ceļojumu biroju, tūrisma operatoru pakalpojumi</c:v>
                </c:pt>
                <c:pt idx="2">
                  <c:v>Izmitināšana</c:v>
                </c:pt>
                <c:pt idx="3">
                  <c:v>Izklaides un atpūtas darbība</c:v>
                </c:pt>
                <c:pt idx="4">
                  <c:v>Azartspēles un derības</c:v>
                </c:pt>
                <c:pt idx="5">
                  <c:v>Radošas, mākslinieciskas un izklaides darbības</c:v>
                </c:pt>
                <c:pt idx="6">
                  <c:v>Ēdināšanas pakalpojumi</c:v>
                </c:pt>
                <c:pt idx="7">
                  <c:v>Kinofilmu, TV programmu un skaņu ierakstu producēšana</c:v>
                </c:pt>
                <c:pt idx="8">
                  <c:v>Iekārtu un ierīču remonts un uzstādīšana</c:v>
                </c:pt>
                <c:pt idx="9">
                  <c:v>Sporta nodarbības</c:v>
                </c:pt>
                <c:pt idx="10">
                  <c:v>Metālu ražošana</c:v>
                </c:pt>
                <c:pt idx="11">
                  <c:v>Sauszemes un cauruļvadu transports</c:v>
                </c:pt>
                <c:pt idx="12">
                  <c:v>Ūdens transports</c:v>
                </c:pt>
                <c:pt idx="13">
                  <c:v>Automobiļu, piekabju un puspiekabju ražošana</c:v>
                </c:pt>
                <c:pt idx="14">
                  <c:v>Bibliotēku, arhīvu, muzeju, kultūras iestāžu darbība</c:v>
                </c:pt>
                <c:pt idx="15">
                  <c:v>Uzglabāšanas un transporta palīgdarbības</c:v>
                </c:pt>
                <c:pt idx="16">
                  <c:v>Radio un televīzijas programmu izstrāde un apraide</c:v>
                </c:pt>
                <c:pt idx="17">
                  <c:v>Apsardzes pakalpojumi un izmeklēšana</c:v>
                </c:pt>
                <c:pt idx="18">
                  <c:v>Pārējo individuālo pakalpojumu sniegšana</c:v>
                </c:pt>
                <c:pt idx="19">
                  <c:v>Tekstilizstrādājumu ražošana</c:v>
                </c:pt>
                <c:pt idx="20">
                  <c:v>Pasta un kurjeru darbība</c:v>
                </c:pt>
                <c:pt idx="21">
                  <c:v>Telekomunikācija</c:v>
                </c:pt>
                <c:pt idx="22">
                  <c:v>Cita veida ražošana</c:v>
                </c:pt>
                <c:pt idx="23">
                  <c:v>Dzērienu ražošana</c:v>
                </c:pt>
                <c:pt idx="24">
                  <c:v>Apģērbu ražošana</c:v>
                </c:pt>
                <c:pt idx="25">
                  <c:v>Informācijas pakalpojumi</c:v>
                </c:pt>
                <c:pt idx="26">
                  <c:v>ektroenerģija un gāzes apgāde</c:v>
                </c:pt>
                <c:pt idx="27">
                  <c:v>Izdevējdarbība</c:v>
                </c:pt>
                <c:pt idx="28">
                  <c:v>Darbaspēka meklēšana un nodrošināšana ar personālu</c:v>
                </c:pt>
                <c:pt idx="29">
                  <c:v>Arhitektūras un inženiertehniskie pakalpojumi</c:v>
                </c:pt>
                <c:pt idx="30">
                  <c:v>Gatavo metālizstrādājumu ražošana</c:v>
                </c:pt>
                <c:pt idx="31">
                  <c:v>Citi profesionālie, zinātniskie un tehniskie pakalpojumi</c:v>
                </c:pt>
                <c:pt idx="32">
                  <c:v>Individuālās lietošanas priekšmetu un piederumu remonts</c:v>
                </c:pt>
                <c:pt idx="33">
                  <c:v>Vairumtirdzniecība</c:v>
                </c:pt>
                <c:pt idx="34">
                  <c:v>Iekārtu, mehānismu un darba mašīnu ražošana</c:v>
                </c:pt>
                <c:pt idx="35">
                  <c:v>Datorprogrammēšana, konsultēšana</c:v>
                </c:pt>
                <c:pt idx="36">
                  <c:v>Reklāmas un tirgus izpētes pakalpojumi</c:v>
                </c:pt>
                <c:pt idx="37">
                  <c:v>Nemetālisko minerālu izstrādājumu ražošana</c:v>
                </c:pt>
                <c:pt idx="38">
                  <c:v>Mēbeļu ražošana</c:v>
                </c:pt>
                <c:pt idx="39">
                  <c:v>Biroju administratīvās darbības</c:v>
                </c:pt>
                <c:pt idx="40">
                  <c:v>Pārtikas produktu ražošana</c:v>
                </c:pt>
                <c:pt idx="41">
                  <c:v>Profesionālie, zinātniskie un tehniskie pakalpojumi</c:v>
                </c:pt>
                <c:pt idx="42">
                  <c:v>Papīra izstrādājumu ražošana</c:v>
                </c:pt>
                <c:pt idx="43">
                  <c:v>Vadības konsultāciju pakalpojumi</c:v>
                </c:pt>
                <c:pt idx="44">
                  <c:v>Mazumtirdzniecība</c:v>
                </c:pt>
                <c:pt idx="45">
                  <c:v>Lauksaimniecība, mežsaimniecība un zivsaimniecība</c:v>
                </c:pt>
                <c:pt idx="46">
                  <c:v>Būvniecības un ainavu arhitektu pakalpojumi</c:v>
                </c:pt>
                <c:pt idx="47">
                  <c:v>Ķīmisko vielu un ķīmisko produktu ražošana</c:v>
                </c:pt>
                <c:pt idx="48">
                  <c:v>Operācijas ar nekustamo īpašumu</c:v>
                </c:pt>
                <c:pt idx="49">
                  <c:v>Gumijas un plastmasas izstrādājumu ražošana</c:v>
                </c:pt>
                <c:pt idx="50">
                  <c:v>Juridiskie un grāmatvedības pakalpojumi</c:v>
                </c:pt>
                <c:pt idx="51">
                  <c:v>Kokapstrāde</c:v>
                </c:pt>
                <c:pt idx="52">
                  <c:v>Elektrisko iekārtu ražošana</c:v>
                </c:pt>
                <c:pt idx="53">
                  <c:v>Iznomāšana un ekspluatācijas līzings</c:v>
                </c:pt>
                <c:pt idx="54">
                  <c:v>Poligrāfija un ierakstu reproducēšana</c:v>
                </c:pt>
                <c:pt idx="55">
                  <c:v>Ieguves rūpniecība un karjeru izstrāde</c:v>
                </c:pt>
                <c:pt idx="56">
                  <c:v>Veterinārie pakalpojumi</c:v>
                </c:pt>
              </c:strCache>
            </c:strRef>
          </c:cat>
          <c:val>
            <c:numRef>
              <c:f>Sheet1!$B$2:$B$58</c:f>
              <c:numCache>
                <c:formatCode>0.0</c:formatCode>
                <c:ptCount val="57"/>
                <c:pt idx="0">
                  <c:v>-70.450336700336706</c:v>
                </c:pt>
                <c:pt idx="1">
                  <c:v>-61.131887309897778</c:v>
                </c:pt>
                <c:pt idx="2">
                  <c:v>-52.313120752744382</c:v>
                </c:pt>
              </c:numCache>
            </c:numRef>
          </c:val>
          <c:extLst>
            <c:ext xmlns:c16="http://schemas.microsoft.com/office/drawing/2014/chart" uri="{C3380CC4-5D6E-409C-BE32-E72D297353CC}">
              <c16:uniqueId val="{00000023-35B2-44C8-8219-8213E8D00DF5}"/>
            </c:ext>
          </c:extLst>
        </c:ser>
        <c:ser>
          <c:idx val="1"/>
          <c:order val="1"/>
          <c:invertIfNegative val="0"/>
          <c:dLbls>
            <c:spPr>
              <a:noFill/>
              <a:ln>
                <a:noFill/>
              </a:ln>
              <a:effectLst/>
            </c:spPr>
            <c:txPr>
              <a:bodyPr wrap="square" lIns="38100" tIns="19050" rIns="38100" bIns="19050" anchor="ctr">
                <a:spAutoFit/>
              </a:bodyPr>
              <a:lstStyle/>
              <a:p>
                <a:pPr>
                  <a:defRPr sz="8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Sheet1!$A$2:$A$58</c:f>
              <c:strCache>
                <c:ptCount val="57"/>
                <c:pt idx="0">
                  <c:v>Gaisa transports</c:v>
                </c:pt>
                <c:pt idx="1">
                  <c:v>Ceļojumu biroju, tūrisma operatoru pakalpojumi</c:v>
                </c:pt>
                <c:pt idx="2">
                  <c:v>Izmitināšana</c:v>
                </c:pt>
                <c:pt idx="3">
                  <c:v>Izklaides un atpūtas darbība</c:v>
                </c:pt>
                <c:pt idx="4">
                  <c:v>Azartspēles un derības</c:v>
                </c:pt>
                <c:pt idx="5">
                  <c:v>Radošas, mākslinieciskas un izklaides darbības</c:v>
                </c:pt>
                <c:pt idx="6">
                  <c:v>Ēdināšanas pakalpojumi</c:v>
                </c:pt>
                <c:pt idx="7">
                  <c:v>Kinofilmu, TV programmu un skaņu ierakstu producēšana</c:v>
                </c:pt>
                <c:pt idx="8">
                  <c:v>Iekārtu un ierīču remonts un uzstādīšana</c:v>
                </c:pt>
                <c:pt idx="9">
                  <c:v>Sporta nodarbības</c:v>
                </c:pt>
                <c:pt idx="10">
                  <c:v>Metālu ražošana</c:v>
                </c:pt>
                <c:pt idx="11">
                  <c:v>Sauszemes un cauruļvadu transports</c:v>
                </c:pt>
                <c:pt idx="12">
                  <c:v>Ūdens transports</c:v>
                </c:pt>
                <c:pt idx="13">
                  <c:v>Automobiļu, piekabju un puspiekabju ražošana</c:v>
                </c:pt>
                <c:pt idx="14">
                  <c:v>Bibliotēku, arhīvu, muzeju, kultūras iestāžu darbība</c:v>
                </c:pt>
                <c:pt idx="15">
                  <c:v>Uzglabāšanas un transporta palīgdarbības</c:v>
                </c:pt>
                <c:pt idx="16">
                  <c:v>Radio un televīzijas programmu izstrāde un apraide</c:v>
                </c:pt>
                <c:pt idx="17">
                  <c:v>Apsardzes pakalpojumi un izmeklēšana</c:v>
                </c:pt>
                <c:pt idx="18">
                  <c:v>Pārējo individuālo pakalpojumu sniegšana</c:v>
                </c:pt>
                <c:pt idx="19">
                  <c:v>Tekstilizstrādājumu ražošana</c:v>
                </c:pt>
                <c:pt idx="20">
                  <c:v>Pasta un kurjeru darbība</c:v>
                </c:pt>
                <c:pt idx="21">
                  <c:v>Telekomunikācija</c:v>
                </c:pt>
                <c:pt idx="22">
                  <c:v>Cita veida ražošana</c:v>
                </c:pt>
                <c:pt idx="23">
                  <c:v>Dzērienu ražošana</c:v>
                </c:pt>
                <c:pt idx="24">
                  <c:v>Apģērbu ražošana</c:v>
                </c:pt>
                <c:pt idx="25">
                  <c:v>Informācijas pakalpojumi</c:v>
                </c:pt>
                <c:pt idx="26">
                  <c:v>ektroenerģija un gāzes apgāde</c:v>
                </c:pt>
                <c:pt idx="27">
                  <c:v>Izdevējdarbība</c:v>
                </c:pt>
                <c:pt idx="28">
                  <c:v>Darbaspēka meklēšana un nodrošināšana ar personālu</c:v>
                </c:pt>
                <c:pt idx="29">
                  <c:v>Arhitektūras un inženiertehniskie pakalpojumi</c:v>
                </c:pt>
                <c:pt idx="30">
                  <c:v>Gatavo metālizstrādājumu ražošana</c:v>
                </c:pt>
                <c:pt idx="31">
                  <c:v>Citi profesionālie, zinātniskie un tehniskie pakalpojumi</c:v>
                </c:pt>
                <c:pt idx="32">
                  <c:v>Individuālās lietošanas priekšmetu un piederumu remonts</c:v>
                </c:pt>
                <c:pt idx="33">
                  <c:v>Vairumtirdzniecība</c:v>
                </c:pt>
                <c:pt idx="34">
                  <c:v>Iekārtu, mehānismu un darba mašīnu ražošana</c:v>
                </c:pt>
                <c:pt idx="35">
                  <c:v>Datorprogrammēšana, konsultēšana</c:v>
                </c:pt>
                <c:pt idx="36">
                  <c:v>Reklāmas un tirgus izpētes pakalpojumi</c:v>
                </c:pt>
                <c:pt idx="37">
                  <c:v>Nemetālisko minerālu izstrādājumu ražošana</c:v>
                </c:pt>
                <c:pt idx="38">
                  <c:v>Mēbeļu ražošana</c:v>
                </c:pt>
                <c:pt idx="39">
                  <c:v>Biroju administratīvās darbības</c:v>
                </c:pt>
                <c:pt idx="40">
                  <c:v>Pārtikas produktu ražošana</c:v>
                </c:pt>
                <c:pt idx="41">
                  <c:v>Profesionālie, zinātniskie un tehniskie pakalpojumi</c:v>
                </c:pt>
                <c:pt idx="42">
                  <c:v>Papīra izstrādājumu ražošana</c:v>
                </c:pt>
                <c:pt idx="43">
                  <c:v>Vadības konsultāciju pakalpojumi</c:v>
                </c:pt>
                <c:pt idx="44">
                  <c:v>Mazumtirdzniecība</c:v>
                </c:pt>
                <c:pt idx="45">
                  <c:v>Lauksaimniecība, mežsaimniecība un zivsaimniecība</c:v>
                </c:pt>
                <c:pt idx="46">
                  <c:v>Būvniecības un ainavu arhitektu pakalpojumi</c:v>
                </c:pt>
                <c:pt idx="47">
                  <c:v>Ķīmisko vielu un ķīmisko produktu ražošana</c:v>
                </c:pt>
                <c:pt idx="48">
                  <c:v>Operācijas ar nekustamo īpašumu</c:v>
                </c:pt>
                <c:pt idx="49">
                  <c:v>Gumijas un plastmasas izstrādājumu ražošana</c:v>
                </c:pt>
                <c:pt idx="50">
                  <c:v>Juridiskie un grāmatvedības pakalpojumi</c:v>
                </c:pt>
                <c:pt idx="51">
                  <c:v>Kokapstrāde</c:v>
                </c:pt>
                <c:pt idx="52">
                  <c:v>Elektrisko iekārtu ražošana</c:v>
                </c:pt>
                <c:pt idx="53">
                  <c:v>Iznomāšana un ekspluatācijas līzings</c:v>
                </c:pt>
                <c:pt idx="54">
                  <c:v>Poligrāfija un ierakstu reproducēšana</c:v>
                </c:pt>
                <c:pt idx="55">
                  <c:v>Ieguves rūpniecība un karjeru izstrāde</c:v>
                </c:pt>
                <c:pt idx="56">
                  <c:v>Veterinārie pakalpojumi</c:v>
                </c:pt>
              </c:strCache>
            </c:strRef>
          </c:cat>
          <c:val>
            <c:numRef>
              <c:f>Sheet1!$C$2:$C$58</c:f>
              <c:numCache>
                <c:formatCode>General</c:formatCode>
                <c:ptCount val="57"/>
                <c:pt idx="3" formatCode="0.0">
                  <c:v>-46.259271202837802</c:v>
                </c:pt>
                <c:pt idx="4" formatCode="0.0">
                  <c:v>-41.290758574083462</c:v>
                </c:pt>
                <c:pt idx="5" formatCode="0.0">
                  <c:v>-37.693335879320223</c:v>
                </c:pt>
                <c:pt idx="6" formatCode="0.0">
                  <c:v>-32.094135902243508</c:v>
                </c:pt>
                <c:pt idx="7" formatCode="0.0">
                  <c:v>-30.789268038551725</c:v>
                </c:pt>
                <c:pt idx="8" formatCode="0.0">
                  <c:v>-29.492252721565478</c:v>
                </c:pt>
                <c:pt idx="9" formatCode="0.0">
                  <c:v>-27.342465753424662</c:v>
                </c:pt>
                <c:pt idx="10" formatCode="0.0">
                  <c:v>-22.48252177112721</c:v>
                </c:pt>
                <c:pt idx="11" formatCode="0.0">
                  <c:v>-21.616289720284641</c:v>
                </c:pt>
                <c:pt idx="12" formatCode="0.0">
                  <c:v>-19.60738761760949</c:v>
                </c:pt>
                <c:pt idx="13" formatCode="0.0">
                  <c:v>-17.319767654639847</c:v>
                </c:pt>
                <c:pt idx="14" formatCode="0.0">
                  <c:v>-16.048579483843</c:v>
                </c:pt>
                <c:pt idx="15" formatCode="0.0">
                  <c:v>-15.174876247666987</c:v>
                </c:pt>
                <c:pt idx="16" formatCode="0.0">
                  <c:v>-15.056771433272999</c:v>
                </c:pt>
              </c:numCache>
            </c:numRef>
          </c:val>
          <c:extLst>
            <c:ext xmlns:c16="http://schemas.microsoft.com/office/drawing/2014/chart" uri="{C3380CC4-5D6E-409C-BE32-E72D297353CC}">
              <c16:uniqueId val="{00000024-35B2-44C8-8219-8213E8D00DF5}"/>
            </c:ext>
          </c:extLst>
        </c:ser>
        <c:ser>
          <c:idx val="2"/>
          <c:order val="2"/>
          <c:spPr>
            <a:solidFill>
              <a:schemeClr val="accent4"/>
            </a:solidFill>
          </c:spPr>
          <c:invertIfNegative val="0"/>
          <c:dLbls>
            <c:spPr>
              <a:noFill/>
              <a:ln>
                <a:noFill/>
              </a:ln>
              <a:effectLst/>
            </c:spPr>
            <c:txPr>
              <a:bodyPr wrap="square" lIns="38100" tIns="19050" rIns="38100" bIns="19050" anchor="ctr">
                <a:spAutoFit/>
              </a:bodyPr>
              <a:lstStyle/>
              <a:p>
                <a:pPr>
                  <a:defRPr sz="8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Sheet1!$A$2:$A$58</c:f>
              <c:strCache>
                <c:ptCount val="57"/>
                <c:pt idx="0">
                  <c:v>Gaisa transports</c:v>
                </c:pt>
                <c:pt idx="1">
                  <c:v>Ceļojumu biroju, tūrisma operatoru pakalpojumi</c:v>
                </c:pt>
                <c:pt idx="2">
                  <c:v>Izmitināšana</c:v>
                </c:pt>
                <c:pt idx="3">
                  <c:v>Izklaides un atpūtas darbība</c:v>
                </c:pt>
                <c:pt idx="4">
                  <c:v>Azartspēles un derības</c:v>
                </c:pt>
                <c:pt idx="5">
                  <c:v>Radošas, mākslinieciskas un izklaides darbības</c:v>
                </c:pt>
                <c:pt idx="6">
                  <c:v>Ēdināšanas pakalpojumi</c:v>
                </c:pt>
                <c:pt idx="7">
                  <c:v>Kinofilmu, TV programmu un skaņu ierakstu producēšana</c:v>
                </c:pt>
                <c:pt idx="8">
                  <c:v>Iekārtu un ierīču remonts un uzstādīšana</c:v>
                </c:pt>
                <c:pt idx="9">
                  <c:v>Sporta nodarbības</c:v>
                </c:pt>
                <c:pt idx="10">
                  <c:v>Metālu ražošana</c:v>
                </c:pt>
                <c:pt idx="11">
                  <c:v>Sauszemes un cauruļvadu transports</c:v>
                </c:pt>
                <c:pt idx="12">
                  <c:v>Ūdens transports</c:v>
                </c:pt>
                <c:pt idx="13">
                  <c:v>Automobiļu, piekabju un puspiekabju ražošana</c:v>
                </c:pt>
                <c:pt idx="14">
                  <c:v>Bibliotēku, arhīvu, muzeju, kultūras iestāžu darbība</c:v>
                </c:pt>
                <c:pt idx="15">
                  <c:v>Uzglabāšanas un transporta palīgdarbības</c:v>
                </c:pt>
                <c:pt idx="16">
                  <c:v>Radio un televīzijas programmu izstrāde un apraide</c:v>
                </c:pt>
                <c:pt idx="17">
                  <c:v>Apsardzes pakalpojumi un izmeklēšana</c:v>
                </c:pt>
                <c:pt idx="18">
                  <c:v>Pārējo individuālo pakalpojumu sniegšana</c:v>
                </c:pt>
                <c:pt idx="19">
                  <c:v>Tekstilizstrādājumu ražošana</c:v>
                </c:pt>
                <c:pt idx="20">
                  <c:v>Pasta un kurjeru darbība</c:v>
                </c:pt>
                <c:pt idx="21">
                  <c:v>Telekomunikācija</c:v>
                </c:pt>
                <c:pt idx="22">
                  <c:v>Cita veida ražošana</c:v>
                </c:pt>
                <c:pt idx="23">
                  <c:v>Dzērienu ražošana</c:v>
                </c:pt>
                <c:pt idx="24">
                  <c:v>Apģērbu ražošana</c:v>
                </c:pt>
                <c:pt idx="25">
                  <c:v>Informācijas pakalpojumi</c:v>
                </c:pt>
                <c:pt idx="26">
                  <c:v>ektroenerģija un gāzes apgāde</c:v>
                </c:pt>
                <c:pt idx="27">
                  <c:v>Izdevējdarbība</c:v>
                </c:pt>
                <c:pt idx="28">
                  <c:v>Darbaspēka meklēšana un nodrošināšana ar personālu</c:v>
                </c:pt>
                <c:pt idx="29">
                  <c:v>Arhitektūras un inženiertehniskie pakalpojumi</c:v>
                </c:pt>
                <c:pt idx="30">
                  <c:v>Gatavo metālizstrādājumu ražošana</c:v>
                </c:pt>
                <c:pt idx="31">
                  <c:v>Citi profesionālie, zinātniskie un tehniskie pakalpojumi</c:v>
                </c:pt>
                <c:pt idx="32">
                  <c:v>Individuālās lietošanas priekšmetu un piederumu remonts</c:v>
                </c:pt>
                <c:pt idx="33">
                  <c:v>Vairumtirdzniecība</c:v>
                </c:pt>
                <c:pt idx="34">
                  <c:v>Iekārtu, mehānismu un darba mašīnu ražošana</c:v>
                </c:pt>
                <c:pt idx="35">
                  <c:v>Datorprogrammēšana, konsultēšana</c:v>
                </c:pt>
                <c:pt idx="36">
                  <c:v>Reklāmas un tirgus izpētes pakalpojumi</c:v>
                </c:pt>
                <c:pt idx="37">
                  <c:v>Nemetālisko minerālu izstrādājumu ražošana</c:v>
                </c:pt>
                <c:pt idx="38">
                  <c:v>Mēbeļu ražošana</c:v>
                </c:pt>
                <c:pt idx="39">
                  <c:v>Biroju administratīvās darbības</c:v>
                </c:pt>
                <c:pt idx="40">
                  <c:v>Pārtikas produktu ražošana</c:v>
                </c:pt>
                <c:pt idx="41">
                  <c:v>Profesionālie, zinātniskie un tehniskie pakalpojumi</c:v>
                </c:pt>
                <c:pt idx="42">
                  <c:v>Papīra izstrādājumu ražošana</c:v>
                </c:pt>
                <c:pt idx="43">
                  <c:v>Vadības konsultāciju pakalpojumi</c:v>
                </c:pt>
                <c:pt idx="44">
                  <c:v>Mazumtirdzniecība</c:v>
                </c:pt>
                <c:pt idx="45">
                  <c:v>Lauksaimniecība, mežsaimniecība un zivsaimniecība</c:v>
                </c:pt>
                <c:pt idx="46">
                  <c:v>Būvniecības un ainavu arhitektu pakalpojumi</c:v>
                </c:pt>
                <c:pt idx="47">
                  <c:v>Ķīmisko vielu un ķīmisko produktu ražošana</c:v>
                </c:pt>
                <c:pt idx="48">
                  <c:v>Operācijas ar nekustamo īpašumu</c:v>
                </c:pt>
                <c:pt idx="49">
                  <c:v>Gumijas un plastmasas izstrādājumu ražošana</c:v>
                </c:pt>
                <c:pt idx="50">
                  <c:v>Juridiskie un grāmatvedības pakalpojumi</c:v>
                </c:pt>
                <c:pt idx="51">
                  <c:v>Kokapstrāde</c:v>
                </c:pt>
                <c:pt idx="52">
                  <c:v>Elektrisko iekārtu ražošana</c:v>
                </c:pt>
                <c:pt idx="53">
                  <c:v>Iznomāšana un ekspluatācijas līzings</c:v>
                </c:pt>
                <c:pt idx="54">
                  <c:v>Poligrāfija un ierakstu reproducēšana</c:v>
                </c:pt>
                <c:pt idx="55">
                  <c:v>Ieguves rūpniecība un karjeru izstrāde</c:v>
                </c:pt>
                <c:pt idx="56">
                  <c:v>Veterinārie pakalpojumi</c:v>
                </c:pt>
              </c:strCache>
            </c:strRef>
          </c:cat>
          <c:val>
            <c:numRef>
              <c:f>Sheet1!$D$2:$D$58</c:f>
              <c:numCache>
                <c:formatCode>General</c:formatCode>
                <c:ptCount val="57"/>
                <c:pt idx="17" formatCode="0.0">
                  <c:v>-12.647028208597874</c:v>
                </c:pt>
                <c:pt idx="18" formatCode="0.0">
                  <c:v>-11.999156474061564</c:v>
                </c:pt>
                <c:pt idx="19" formatCode="0.0">
                  <c:v>-11.316812857489396</c:v>
                </c:pt>
                <c:pt idx="20" formatCode="0.0">
                  <c:v>-10.748966445534094</c:v>
                </c:pt>
                <c:pt idx="21" formatCode="0.0">
                  <c:v>-10.399004433382586</c:v>
                </c:pt>
                <c:pt idx="22" formatCode="0.0">
                  <c:v>-8.396128071481769</c:v>
                </c:pt>
                <c:pt idx="23" formatCode="0.0">
                  <c:v>-8.1486519532921733</c:v>
                </c:pt>
                <c:pt idx="24" formatCode="0.0">
                  <c:v>-8.1183024005195676</c:v>
                </c:pt>
              </c:numCache>
            </c:numRef>
          </c:val>
          <c:extLst>
            <c:ext xmlns:c16="http://schemas.microsoft.com/office/drawing/2014/chart" uri="{C3380CC4-5D6E-409C-BE32-E72D297353CC}">
              <c16:uniqueId val="{00000025-35B2-44C8-8219-8213E8D00DF5}"/>
            </c:ext>
          </c:extLst>
        </c:ser>
        <c:ser>
          <c:idx val="3"/>
          <c:order val="3"/>
          <c:spPr>
            <a:solidFill>
              <a:schemeClr val="accent5"/>
            </a:solidFill>
          </c:spPr>
          <c:invertIfNegative val="0"/>
          <c:dLbls>
            <c:spPr>
              <a:noFill/>
              <a:ln>
                <a:noFill/>
              </a:ln>
              <a:effectLst/>
            </c:spPr>
            <c:txPr>
              <a:bodyPr wrap="square" lIns="38100" tIns="19050" rIns="38100" bIns="19050" anchor="ctr">
                <a:spAutoFit/>
              </a:bodyPr>
              <a:lstStyle/>
              <a:p>
                <a:pPr>
                  <a:defRPr sz="8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Sheet1!$A$2:$A$58</c:f>
              <c:strCache>
                <c:ptCount val="57"/>
                <c:pt idx="0">
                  <c:v>Gaisa transports</c:v>
                </c:pt>
                <c:pt idx="1">
                  <c:v>Ceļojumu biroju, tūrisma operatoru pakalpojumi</c:v>
                </c:pt>
                <c:pt idx="2">
                  <c:v>Izmitināšana</c:v>
                </c:pt>
                <c:pt idx="3">
                  <c:v>Izklaides un atpūtas darbība</c:v>
                </c:pt>
                <c:pt idx="4">
                  <c:v>Azartspēles un derības</c:v>
                </c:pt>
                <c:pt idx="5">
                  <c:v>Radošas, mākslinieciskas un izklaides darbības</c:v>
                </c:pt>
                <c:pt idx="6">
                  <c:v>Ēdināšanas pakalpojumi</c:v>
                </c:pt>
                <c:pt idx="7">
                  <c:v>Kinofilmu, TV programmu un skaņu ierakstu producēšana</c:v>
                </c:pt>
                <c:pt idx="8">
                  <c:v>Iekārtu un ierīču remonts un uzstādīšana</c:v>
                </c:pt>
                <c:pt idx="9">
                  <c:v>Sporta nodarbības</c:v>
                </c:pt>
                <c:pt idx="10">
                  <c:v>Metālu ražošana</c:v>
                </c:pt>
                <c:pt idx="11">
                  <c:v>Sauszemes un cauruļvadu transports</c:v>
                </c:pt>
                <c:pt idx="12">
                  <c:v>Ūdens transports</c:v>
                </c:pt>
                <c:pt idx="13">
                  <c:v>Automobiļu, piekabju un puspiekabju ražošana</c:v>
                </c:pt>
                <c:pt idx="14">
                  <c:v>Bibliotēku, arhīvu, muzeju, kultūras iestāžu darbība</c:v>
                </c:pt>
                <c:pt idx="15">
                  <c:v>Uzglabāšanas un transporta palīgdarbības</c:v>
                </c:pt>
                <c:pt idx="16">
                  <c:v>Radio un televīzijas programmu izstrāde un apraide</c:v>
                </c:pt>
                <c:pt idx="17">
                  <c:v>Apsardzes pakalpojumi un izmeklēšana</c:v>
                </c:pt>
                <c:pt idx="18">
                  <c:v>Pārējo individuālo pakalpojumu sniegšana</c:v>
                </c:pt>
                <c:pt idx="19">
                  <c:v>Tekstilizstrādājumu ražošana</c:v>
                </c:pt>
                <c:pt idx="20">
                  <c:v>Pasta un kurjeru darbība</c:v>
                </c:pt>
                <c:pt idx="21">
                  <c:v>Telekomunikācija</c:v>
                </c:pt>
                <c:pt idx="22">
                  <c:v>Cita veida ražošana</c:v>
                </c:pt>
                <c:pt idx="23">
                  <c:v>Dzērienu ražošana</c:v>
                </c:pt>
                <c:pt idx="24">
                  <c:v>Apģērbu ražošana</c:v>
                </c:pt>
                <c:pt idx="25">
                  <c:v>Informācijas pakalpojumi</c:v>
                </c:pt>
                <c:pt idx="26">
                  <c:v>ektroenerģija un gāzes apgāde</c:v>
                </c:pt>
                <c:pt idx="27">
                  <c:v>Izdevējdarbība</c:v>
                </c:pt>
                <c:pt idx="28">
                  <c:v>Darbaspēka meklēšana un nodrošināšana ar personālu</c:v>
                </c:pt>
                <c:pt idx="29">
                  <c:v>Arhitektūras un inženiertehniskie pakalpojumi</c:v>
                </c:pt>
                <c:pt idx="30">
                  <c:v>Gatavo metālizstrādājumu ražošana</c:v>
                </c:pt>
                <c:pt idx="31">
                  <c:v>Citi profesionālie, zinātniskie un tehniskie pakalpojumi</c:v>
                </c:pt>
                <c:pt idx="32">
                  <c:v>Individuālās lietošanas priekšmetu un piederumu remonts</c:v>
                </c:pt>
                <c:pt idx="33">
                  <c:v>Vairumtirdzniecība</c:v>
                </c:pt>
                <c:pt idx="34">
                  <c:v>Iekārtu, mehānismu un darba mašīnu ražošana</c:v>
                </c:pt>
                <c:pt idx="35">
                  <c:v>Datorprogrammēšana, konsultēšana</c:v>
                </c:pt>
                <c:pt idx="36">
                  <c:v>Reklāmas un tirgus izpētes pakalpojumi</c:v>
                </c:pt>
                <c:pt idx="37">
                  <c:v>Nemetālisko minerālu izstrādājumu ražošana</c:v>
                </c:pt>
                <c:pt idx="38">
                  <c:v>Mēbeļu ražošana</c:v>
                </c:pt>
                <c:pt idx="39">
                  <c:v>Biroju administratīvās darbības</c:v>
                </c:pt>
                <c:pt idx="40">
                  <c:v>Pārtikas produktu ražošana</c:v>
                </c:pt>
                <c:pt idx="41">
                  <c:v>Profesionālie, zinātniskie un tehniskie pakalpojumi</c:v>
                </c:pt>
                <c:pt idx="42">
                  <c:v>Papīra izstrādājumu ražošana</c:v>
                </c:pt>
                <c:pt idx="43">
                  <c:v>Vadības konsultāciju pakalpojumi</c:v>
                </c:pt>
                <c:pt idx="44">
                  <c:v>Mazumtirdzniecība</c:v>
                </c:pt>
                <c:pt idx="45">
                  <c:v>Lauksaimniecība, mežsaimniecība un zivsaimniecība</c:v>
                </c:pt>
                <c:pt idx="46">
                  <c:v>Būvniecības un ainavu arhitektu pakalpojumi</c:v>
                </c:pt>
                <c:pt idx="47">
                  <c:v>Ķīmisko vielu un ķīmisko produktu ražošana</c:v>
                </c:pt>
                <c:pt idx="48">
                  <c:v>Operācijas ar nekustamo īpašumu</c:v>
                </c:pt>
                <c:pt idx="49">
                  <c:v>Gumijas un plastmasas izstrādājumu ražošana</c:v>
                </c:pt>
                <c:pt idx="50">
                  <c:v>Juridiskie un grāmatvedības pakalpojumi</c:v>
                </c:pt>
                <c:pt idx="51">
                  <c:v>Kokapstrāde</c:v>
                </c:pt>
                <c:pt idx="52">
                  <c:v>Elektrisko iekārtu ražošana</c:v>
                </c:pt>
                <c:pt idx="53">
                  <c:v>Iznomāšana un ekspluatācijas līzings</c:v>
                </c:pt>
                <c:pt idx="54">
                  <c:v>Poligrāfija un ierakstu reproducēšana</c:v>
                </c:pt>
                <c:pt idx="55">
                  <c:v>Ieguves rūpniecība un karjeru izstrāde</c:v>
                </c:pt>
                <c:pt idx="56">
                  <c:v>Veterinārie pakalpojumi</c:v>
                </c:pt>
              </c:strCache>
            </c:strRef>
          </c:cat>
          <c:val>
            <c:numRef>
              <c:f>Sheet1!$E$2:$E$58</c:f>
              <c:numCache>
                <c:formatCode>General</c:formatCode>
                <c:ptCount val="57"/>
                <c:pt idx="25" formatCode="0.0">
                  <c:v>-7.5623849133278327</c:v>
                </c:pt>
                <c:pt idx="26" formatCode="0.0">
                  <c:v>-7.1718956113892176</c:v>
                </c:pt>
                <c:pt idx="27" formatCode="0.0">
                  <c:v>-6.9242540168324496</c:v>
                </c:pt>
                <c:pt idx="28" formatCode="0.0">
                  <c:v>-5.1450792701166534</c:v>
                </c:pt>
                <c:pt idx="29" formatCode="0.0">
                  <c:v>-4.8282043621153008</c:v>
                </c:pt>
                <c:pt idx="30" formatCode="0.0">
                  <c:v>-3.3482731347218646</c:v>
                </c:pt>
                <c:pt idx="31" formatCode="0.0">
                  <c:v>-3.1706992821058151</c:v>
                </c:pt>
                <c:pt idx="32" formatCode="0.0">
                  <c:v>-2.8472394156969614</c:v>
                </c:pt>
                <c:pt idx="33" formatCode="0.0">
                  <c:v>-2.7494108405341677</c:v>
                </c:pt>
                <c:pt idx="34" formatCode="0.0">
                  <c:v>-2.7207605598163838</c:v>
                </c:pt>
                <c:pt idx="35" formatCode="0.0">
                  <c:v>-1.8771236005124479</c:v>
                </c:pt>
                <c:pt idx="36" formatCode="0.0">
                  <c:v>-1.8470890811316423</c:v>
                </c:pt>
                <c:pt idx="37" formatCode="0.0">
                  <c:v>-1.4012264118982216</c:v>
                </c:pt>
                <c:pt idx="38" formatCode="0.0">
                  <c:v>-1.1750202257580042</c:v>
                </c:pt>
                <c:pt idx="39" formatCode="0.0">
                  <c:v>-0.62401550951167906</c:v>
                </c:pt>
                <c:pt idx="40" formatCode="0.0">
                  <c:v>-0.33810270482163673</c:v>
                </c:pt>
                <c:pt idx="41" formatCode="0.0">
                  <c:v>-0.16411737674785343</c:v>
                </c:pt>
              </c:numCache>
            </c:numRef>
          </c:val>
          <c:extLst>
            <c:ext xmlns:c16="http://schemas.microsoft.com/office/drawing/2014/chart" uri="{C3380CC4-5D6E-409C-BE32-E72D297353CC}">
              <c16:uniqueId val="{00000026-35B2-44C8-8219-8213E8D00DF5}"/>
            </c:ext>
          </c:extLst>
        </c:ser>
        <c:ser>
          <c:idx val="4"/>
          <c:order val="4"/>
          <c:spPr>
            <a:solidFill>
              <a:schemeClr val="accent6"/>
            </a:solidFill>
          </c:spPr>
          <c:invertIfNegative val="0"/>
          <c:dLbls>
            <c:spPr>
              <a:noFill/>
              <a:ln>
                <a:noFill/>
              </a:ln>
              <a:effectLst/>
            </c:spPr>
            <c:txPr>
              <a:bodyPr wrap="square" lIns="38100" tIns="19050" rIns="38100" bIns="19050" anchor="ctr">
                <a:spAutoFit/>
              </a:bodyPr>
              <a:lstStyle/>
              <a:p>
                <a:pPr>
                  <a:defRPr sz="8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Sheet1!$A$2:$A$58</c:f>
              <c:strCache>
                <c:ptCount val="57"/>
                <c:pt idx="0">
                  <c:v>Gaisa transports</c:v>
                </c:pt>
                <c:pt idx="1">
                  <c:v>Ceļojumu biroju, tūrisma operatoru pakalpojumi</c:v>
                </c:pt>
                <c:pt idx="2">
                  <c:v>Izmitināšana</c:v>
                </c:pt>
                <c:pt idx="3">
                  <c:v>Izklaides un atpūtas darbība</c:v>
                </c:pt>
                <c:pt idx="4">
                  <c:v>Azartspēles un derības</c:v>
                </c:pt>
                <c:pt idx="5">
                  <c:v>Radošas, mākslinieciskas un izklaides darbības</c:v>
                </c:pt>
                <c:pt idx="6">
                  <c:v>Ēdināšanas pakalpojumi</c:v>
                </c:pt>
                <c:pt idx="7">
                  <c:v>Kinofilmu, TV programmu un skaņu ierakstu producēšana</c:v>
                </c:pt>
                <c:pt idx="8">
                  <c:v>Iekārtu un ierīču remonts un uzstādīšana</c:v>
                </c:pt>
                <c:pt idx="9">
                  <c:v>Sporta nodarbības</c:v>
                </c:pt>
                <c:pt idx="10">
                  <c:v>Metālu ražošana</c:v>
                </c:pt>
                <c:pt idx="11">
                  <c:v>Sauszemes un cauruļvadu transports</c:v>
                </c:pt>
                <c:pt idx="12">
                  <c:v>Ūdens transports</c:v>
                </c:pt>
                <c:pt idx="13">
                  <c:v>Automobiļu, piekabju un puspiekabju ražošana</c:v>
                </c:pt>
                <c:pt idx="14">
                  <c:v>Bibliotēku, arhīvu, muzeju, kultūras iestāžu darbība</c:v>
                </c:pt>
                <c:pt idx="15">
                  <c:v>Uzglabāšanas un transporta palīgdarbības</c:v>
                </c:pt>
                <c:pt idx="16">
                  <c:v>Radio un televīzijas programmu izstrāde un apraide</c:v>
                </c:pt>
                <c:pt idx="17">
                  <c:v>Apsardzes pakalpojumi un izmeklēšana</c:v>
                </c:pt>
                <c:pt idx="18">
                  <c:v>Pārējo individuālo pakalpojumu sniegšana</c:v>
                </c:pt>
                <c:pt idx="19">
                  <c:v>Tekstilizstrādājumu ražošana</c:v>
                </c:pt>
                <c:pt idx="20">
                  <c:v>Pasta un kurjeru darbība</c:v>
                </c:pt>
                <c:pt idx="21">
                  <c:v>Telekomunikācija</c:v>
                </c:pt>
                <c:pt idx="22">
                  <c:v>Cita veida ražošana</c:v>
                </c:pt>
                <c:pt idx="23">
                  <c:v>Dzērienu ražošana</c:v>
                </c:pt>
                <c:pt idx="24">
                  <c:v>Apģērbu ražošana</c:v>
                </c:pt>
                <c:pt idx="25">
                  <c:v>Informācijas pakalpojumi</c:v>
                </c:pt>
                <c:pt idx="26">
                  <c:v>ektroenerģija un gāzes apgāde</c:v>
                </c:pt>
                <c:pt idx="27">
                  <c:v>Izdevējdarbība</c:v>
                </c:pt>
                <c:pt idx="28">
                  <c:v>Darbaspēka meklēšana un nodrošināšana ar personālu</c:v>
                </c:pt>
                <c:pt idx="29">
                  <c:v>Arhitektūras un inženiertehniskie pakalpojumi</c:v>
                </c:pt>
                <c:pt idx="30">
                  <c:v>Gatavo metālizstrādājumu ražošana</c:v>
                </c:pt>
                <c:pt idx="31">
                  <c:v>Citi profesionālie, zinātniskie un tehniskie pakalpojumi</c:v>
                </c:pt>
                <c:pt idx="32">
                  <c:v>Individuālās lietošanas priekšmetu un piederumu remonts</c:v>
                </c:pt>
                <c:pt idx="33">
                  <c:v>Vairumtirdzniecība</c:v>
                </c:pt>
                <c:pt idx="34">
                  <c:v>Iekārtu, mehānismu un darba mašīnu ražošana</c:v>
                </c:pt>
                <c:pt idx="35">
                  <c:v>Datorprogrammēšana, konsultēšana</c:v>
                </c:pt>
                <c:pt idx="36">
                  <c:v>Reklāmas un tirgus izpētes pakalpojumi</c:v>
                </c:pt>
                <c:pt idx="37">
                  <c:v>Nemetālisko minerālu izstrādājumu ražošana</c:v>
                </c:pt>
                <c:pt idx="38">
                  <c:v>Mēbeļu ražošana</c:v>
                </c:pt>
                <c:pt idx="39">
                  <c:v>Biroju administratīvās darbības</c:v>
                </c:pt>
                <c:pt idx="40">
                  <c:v>Pārtikas produktu ražošana</c:v>
                </c:pt>
                <c:pt idx="41">
                  <c:v>Profesionālie, zinātniskie un tehniskie pakalpojumi</c:v>
                </c:pt>
                <c:pt idx="42">
                  <c:v>Papīra izstrādājumu ražošana</c:v>
                </c:pt>
                <c:pt idx="43">
                  <c:v>Vadības konsultāciju pakalpojumi</c:v>
                </c:pt>
                <c:pt idx="44">
                  <c:v>Mazumtirdzniecība</c:v>
                </c:pt>
                <c:pt idx="45">
                  <c:v>Lauksaimniecība, mežsaimniecība un zivsaimniecība</c:v>
                </c:pt>
                <c:pt idx="46">
                  <c:v>Būvniecības un ainavu arhitektu pakalpojumi</c:v>
                </c:pt>
                <c:pt idx="47">
                  <c:v>Ķīmisko vielu un ķīmisko produktu ražošana</c:v>
                </c:pt>
                <c:pt idx="48">
                  <c:v>Operācijas ar nekustamo īpašumu</c:v>
                </c:pt>
                <c:pt idx="49">
                  <c:v>Gumijas un plastmasas izstrādājumu ražošana</c:v>
                </c:pt>
                <c:pt idx="50">
                  <c:v>Juridiskie un grāmatvedības pakalpojumi</c:v>
                </c:pt>
                <c:pt idx="51">
                  <c:v>Kokapstrāde</c:v>
                </c:pt>
                <c:pt idx="52">
                  <c:v>Elektrisko iekārtu ražošana</c:v>
                </c:pt>
                <c:pt idx="53">
                  <c:v>Iznomāšana un ekspluatācijas līzings</c:v>
                </c:pt>
                <c:pt idx="54">
                  <c:v>Poligrāfija un ierakstu reproducēšana</c:v>
                </c:pt>
                <c:pt idx="55">
                  <c:v>Ieguves rūpniecība un karjeru izstrāde</c:v>
                </c:pt>
                <c:pt idx="56">
                  <c:v>Veterinārie pakalpojumi</c:v>
                </c:pt>
              </c:strCache>
            </c:strRef>
          </c:cat>
          <c:val>
            <c:numRef>
              <c:f>Sheet1!$F$2:$F$58</c:f>
              <c:numCache>
                <c:formatCode>General</c:formatCode>
                <c:ptCount val="57"/>
                <c:pt idx="42" formatCode="0.0">
                  <c:v>3.9412336900014111E-2</c:v>
                </c:pt>
                <c:pt idx="43" formatCode="0.0">
                  <c:v>1.0012966431349781</c:v>
                </c:pt>
                <c:pt idx="44" formatCode="0.0">
                  <c:v>1.544231193470111</c:v>
                </c:pt>
                <c:pt idx="45" formatCode="0.0">
                  <c:v>1.789909052254913</c:v>
                </c:pt>
                <c:pt idx="46" formatCode="0.0">
                  <c:v>3.0743956817648126</c:v>
                </c:pt>
                <c:pt idx="47" formatCode="0.0">
                  <c:v>3.2231308562615339</c:v>
                </c:pt>
                <c:pt idx="48" formatCode="0.0">
                  <c:v>3.5739362449094045</c:v>
                </c:pt>
                <c:pt idx="49" formatCode="0.0">
                  <c:v>3.6042741341193647</c:v>
                </c:pt>
                <c:pt idx="50" formatCode="0.0">
                  <c:v>3.6046163069544264</c:v>
                </c:pt>
                <c:pt idx="51" formatCode="0.0">
                  <c:v>4.4553202871415039</c:v>
                </c:pt>
                <c:pt idx="52" formatCode="0.0">
                  <c:v>5.7990922925673232</c:v>
                </c:pt>
                <c:pt idx="53" formatCode="0.0">
                  <c:v>6.055706238264122</c:v>
                </c:pt>
                <c:pt idx="54" formatCode="0.0">
                  <c:v>6.7898333273075764</c:v>
                </c:pt>
                <c:pt idx="55" formatCode="0.0">
                  <c:v>8.7962370862997261</c:v>
                </c:pt>
                <c:pt idx="56" formatCode="0.0">
                  <c:v>24.1</c:v>
                </c:pt>
              </c:numCache>
            </c:numRef>
          </c:val>
          <c:extLst>
            <c:ext xmlns:c16="http://schemas.microsoft.com/office/drawing/2014/chart" uri="{C3380CC4-5D6E-409C-BE32-E72D297353CC}">
              <c16:uniqueId val="{00000027-35B2-44C8-8219-8213E8D00DF5}"/>
            </c:ext>
          </c:extLst>
        </c:ser>
        <c:dLbls>
          <c:showLegendKey val="0"/>
          <c:showVal val="0"/>
          <c:showCatName val="0"/>
          <c:showSerName val="0"/>
          <c:showPercent val="0"/>
          <c:showBubbleSize val="0"/>
        </c:dLbls>
        <c:gapWidth val="20"/>
        <c:overlap val="100"/>
        <c:axId val="265297168"/>
        <c:axId val="265297952"/>
      </c:barChart>
      <c:catAx>
        <c:axId val="265297168"/>
        <c:scaling>
          <c:orientation val="minMax"/>
        </c:scaling>
        <c:delete val="0"/>
        <c:axPos val="b"/>
        <c:numFmt formatCode="General" sourceLinked="1"/>
        <c:majorTickMark val="none"/>
        <c:minorTickMark val="none"/>
        <c:tickLblPos val="low"/>
        <c:spPr>
          <a:ln w="3175"/>
        </c:spPr>
        <c:txPr>
          <a:bodyPr rot="-5400000" vert="horz"/>
          <a:lstStyle/>
          <a:p>
            <a:pPr>
              <a:defRPr sz="600">
                <a:latin typeface="Gill Sans Nova Cond Lt" panose="020B0306020104020203" pitchFamily="34" charset="0"/>
              </a:defRPr>
            </a:pPr>
            <a:endParaRPr lang="lv-LV"/>
          </a:p>
        </c:txPr>
        <c:crossAx val="265297952"/>
        <c:crosses val="autoZero"/>
        <c:auto val="1"/>
        <c:lblAlgn val="ctr"/>
        <c:lblOffset val="500"/>
        <c:tickLblSkip val="1"/>
        <c:noMultiLvlLbl val="1"/>
      </c:catAx>
      <c:valAx>
        <c:axId val="265297952"/>
        <c:scaling>
          <c:orientation val="minMax"/>
          <c:max val="25"/>
          <c:min val="-80"/>
        </c:scaling>
        <c:delete val="1"/>
        <c:axPos val="l"/>
        <c:numFmt formatCode="0" sourceLinked="0"/>
        <c:majorTickMark val="out"/>
        <c:minorTickMark val="none"/>
        <c:tickLblPos val="nextTo"/>
        <c:crossAx val="265297168"/>
        <c:crosses val="autoZero"/>
        <c:crossBetween val="between"/>
        <c:majorUnit val="20"/>
      </c:valAx>
      <c:spPr>
        <a:noFill/>
        <a:ln w="24758">
          <a:noFill/>
        </a:ln>
      </c:spPr>
    </c:plotArea>
    <c:plotVisOnly val="1"/>
    <c:dispBlanksAs val="gap"/>
    <c:showDLblsOverMax val="0"/>
  </c:chart>
  <c:spPr>
    <a:noFill/>
    <a:ln>
      <a:noFill/>
    </a:ln>
  </c:spPr>
  <c:txPr>
    <a:bodyPr/>
    <a:lstStyle/>
    <a:p>
      <a:pPr>
        <a:defRPr sz="1200" b="0" i="0" u="none" strike="noStrike" baseline="0">
          <a:solidFill>
            <a:srgbClr val="000000"/>
          </a:solidFill>
          <a:latin typeface="Gill Sans Nova Cond Lt" panose="020B0306020104020203" pitchFamily="34" charset="0"/>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49AB-5E97-4191-87DF-C653CCA1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34858</Words>
  <Characters>19870</Characters>
  <Application>Microsoft Office Word</Application>
  <DocSecurity>0</DocSecurity>
  <Lines>165</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dc:creator>
  <cp:keywords/>
  <dc:description/>
  <cp:lastModifiedBy>Liene</cp:lastModifiedBy>
  <cp:revision>57</cp:revision>
  <dcterms:created xsi:type="dcterms:W3CDTF">2021-04-26T05:59:00Z</dcterms:created>
  <dcterms:modified xsi:type="dcterms:W3CDTF">2021-04-26T10:50:00Z</dcterms:modified>
</cp:coreProperties>
</file>