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A2" w:rsidRPr="003B4F98" w:rsidRDefault="00422589" w:rsidP="00ED73AB">
      <w:pPr>
        <w:spacing w:after="0" w:line="240" w:lineRule="auto"/>
        <w:ind w:right="140"/>
        <w:jc w:val="center"/>
        <w:rPr>
          <w:rFonts w:ascii="Times New Roman" w:hAnsi="Times New Roman"/>
          <w:b/>
          <w:sz w:val="28"/>
          <w:szCs w:val="28"/>
        </w:rPr>
      </w:pPr>
      <w:bookmarkStart w:id="0" w:name="OLE_LINK1"/>
      <w:bookmarkStart w:id="1" w:name="OLE_LINK2"/>
      <w:r w:rsidRPr="003B4F98">
        <w:rPr>
          <w:rFonts w:ascii="Times New Roman" w:hAnsi="Times New Roman"/>
          <w:b/>
          <w:sz w:val="28"/>
          <w:szCs w:val="28"/>
        </w:rPr>
        <w:t xml:space="preserve">Ministru kabineta </w:t>
      </w:r>
      <w:r w:rsidRPr="00A73CCC">
        <w:rPr>
          <w:rFonts w:ascii="Times New Roman" w:hAnsi="Times New Roman"/>
          <w:b/>
          <w:sz w:val="28"/>
          <w:szCs w:val="28"/>
        </w:rPr>
        <w:t xml:space="preserve">noteikumu projekts </w:t>
      </w:r>
      <w:r w:rsidR="00CA42BA">
        <w:rPr>
          <w:rFonts w:ascii="Times New Roman" w:hAnsi="Times New Roman"/>
          <w:b/>
          <w:sz w:val="28"/>
          <w:szCs w:val="28"/>
        </w:rPr>
        <w:t>“</w:t>
      </w:r>
      <w:r w:rsidR="00CA42BA" w:rsidRPr="00CA42BA">
        <w:rPr>
          <w:rFonts w:ascii="Times New Roman" w:hAnsi="Times New Roman"/>
          <w:b/>
          <w:sz w:val="28"/>
          <w:szCs w:val="28"/>
        </w:rPr>
        <w:t xml:space="preserve">Grozījumi </w:t>
      </w:r>
      <w:r w:rsidR="008B1460" w:rsidRPr="008B1460">
        <w:rPr>
          <w:rFonts w:ascii="Times New Roman" w:hAnsi="Times New Roman"/>
          <w:b/>
          <w:sz w:val="28"/>
          <w:szCs w:val="28"/>
        </w:rPr>
        <w:t>Ministru kabineta 2014. gada 30. septembra noteikumos Nr. 598 „Noteikumi par valsts un Eiropas Savienības atbalsta piešķiršanu, administrēšanu un uzraudzību lauku un zivsaimniecības attīstībai 2014.–2020.gada plānošanas periodā”</w:t>
      </w:r>
      <w:r w:rsidR="00CA42BA">
        <w:rPr>
          <w:rFonts w:ascii="Times New Roman" w:hAnsi="Times New Roman"/>
          <w:b/>
          <w:sz w:val="28"/>
          <w:szCs w:val="28"/>
        </w:rPr>
        <w:t>”</w:t>
      </w:r>
      <w:r w:rsidRPr="00A73CCC">
        <w:rPr>
          <w:rFonts w:ascii="Times New Roman" w:hAnsi="Times New Roman"/>
          <w:b/>
          <w:sz w:val="28"/>
          <w:szCs w:val="28"/>
        </w:rPr>
        <w:t xml:space="preserve"> </w:t>
      </w:r>
      <w:r w:rsidRPr="00A73CCC">
        <w:rPr>
          <w:rFonts w:ascii="Times New Roman" w:hAnsi="Times New Roman"/>
          <w:b/>
          <w:bCs/>
          <w:sz w:val="28"/>
          <w:szCs w:val="28"/>
        </w:rPr>
        <w:t>sākotnējās ietekm</w:t>
      </w:r>
      <w:r w:rsidRPr="003B4F98">
        <w:rPr>
          <w:rFonts w:ascii="Times New Roman" w:hAnsi="Times New Roman"/>
          <w:b/>
          <w:bCs/>
          <w:sz w:val="28"/>
          <w:szCs w:val="28"/>
        </w:rPr>
        <w:t>es novērtējuma ziņojums</w:t>
      </w:r>
      <w:r w:rsidRPr="003B4F98">
        <w:rPr>
          <w:rFonts w:ascii="Times New Roman" w:hAnsi="Times New Roman"/>
          <w:b/>
          <w:sz w:val="28"/>
          <w:szCs w:val="28"/>
        </w:rPr>
        <w:t xml:space="preserve"> (anotācija)</w:t>
      </w:r>
      <w:bookmarkEnd w:id="0"/>
      <w:bookmarkEnd w:id="1"/>
    </w:p>
    <w:p w:rsidR="000179E0" w:rsidRPr="003B4F98" w:rsidRDefault="000179E0" w:rsidP="00ED73AB">
      <w:pPr>
        <w:spacing w:after="0" w:line="240" w:lineRule="auto"/>
        <w:ind w:right="140"/>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4"/>
        <w:gridCol w:w="6371"/>
      </w:tblGrid>
      <w:tr w:rsidR="00B91A42" w:rsidRPr="003B4F98" w:rsidTr="00E2592D">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B91A42" w:rsidRPr="003B4F98" w:rsidRDefault="00B91A42" w:rsidP="00ED73AB">
            <w:pPr>
              <w:spacing w:after="0" w:line="240" w:lineRule="auto"/>
              <w:ind w:right="140"/>
              <w:jc w:val="center"/>
              <w:rPr>
                <w:rFonts w:ascii="Times New Roman" w:hAnsi="Times New Roman" w:cs="Times New Roman"/>
                <w:b/>
                <w:bCs/>
                <w:sz w:val="24"/>
                <w:szCs w:val="24"/>
              </w:rPr>
            </w:pPr>
            <w:r w:rsidRPr="003B4F98">
              <w:rPr>
                <w:rFonts w:ascii="Times New Roman" w:hAnsi="Times New Roman" w:cs="Times New Roman"/>
                <w:b/>
                <w:bCs/>
                <w:sz w:val="24"/>
                <w:szCs w:val="24"/>
              </w:rPr>
              <w:t>Tiesību akta projekta anotācijas kopsavilkums</w:t>
            </w:r>
          </w:p>
        </w:tc>
      </w:tr>
      <w:tr w:rsidR="00B91A42" w:rsidRPr="000E7529" w:rsidTr="00E2592D">
        <w:tc>
          <w:tcPr>
            <w:tcW w:w="1482" w:type="pct"/>
            <w:tcBorders>
              <w:top w:val="outset" w:sz="6" w:space="0" w:color="414142"/>
              <w:left w:val="outset" w:sz="6" w:space="0" w:color="414142"/>
              <w:bottom w:val="outset" w:sz="6" w:space="0" w:color="414142"/>
              <w:right w:val="outset" w:sz="6" w:space="0" w:color="414142"/>
            </w:tcBorders>
            <w:hideMark/>
          </w:tcPr>
          <w:p w:rsidR="00B91A42" w:rsidRPr="000E7529" w:rsidRDefault="00B91A42" w:rsidP="00ED73AB">
            <w:pPr>
              <w:spacing w:after="0" w:line="240" w:lineRule="auto"/>
              <w:ind w:right="140"/>
              <w:jc w:val="both"/>
              <w:rPr>
                <w:rFonts w:ascii="Times New Roman" w:hAnsi="Times New Roman" w:cs="Times New Roman"/>
                <w:sz w:val="24"/>
                <w:szCs w:val="24"/>
              </w:rPr>
            </w:pPr>
            <w:r w:rsidRPr="000E7529">
              <w:rPr>
                <w:rFonts w:ascii="Times New Roman" w:hAnsi="Times New Roman" w:cs="Times New Roman"/>
                <w:sz w:val="24"/>
                <w:szCs w:val="24"/>
              </w:rPr>
              <w:t>Mērķis, risinājums un projekta spēkā stāšanās laiks (500 zīmes bez atstarpēm)</w:t>
            </w:r>
          </w:p>
        </w:tc>
        <w:tc>
          <w:tcPr>
            <w:tcW w:w="3518" w:type="pct"/>
            <w:tcBorders>
              <w:top w:val="outset" w:sz="6" w:space="0" w:color="414142"/>
              <w:left w:val="outset" w:sz="6" w:space="0" w:color="414142"/>
              <w:bottom w:val="outset" w:sz="6" w:space="0" w:color="414142"/>
              <w:right w:val="outset" w:sz="6" w:space="0" w:color="414142"/>
            </w:tcBorders>
            <w:hideMark/>
          </w:tcPr>
          <w:p w:rsidR="00A12344" w:rsidRPr="000E7529" w:rsidRDefault="0073509D" w:rsidP="00ED73AB">
            <w:pPr>
              <w:spacing w:after="0" w:line="240" w:lineRule="auto"/>
              <w:ind w:right="140"/>
              <w:jc w:val="both"/>
              <w:rPr>
                <w:rFonts w:ascii="Times New Roman" w:hAnsi="Times New Roman" w:cs="Times New Roman"/>
                <w:sz w:val="24"/>
                <w:szCs w:val="24"/>
              </w:rPr>
            </w:pPr>
            <w:r w:rsidRPr="000E7529">
              <w:rPr>
                <w:rFonts w:ascii="Times New Roman" w:hAnsi="Times New Roman" w:cs="Times New Roman"/>
                <w:sz w:val="24"/>
                <w:szCs w:val="24"/>
              </w:rPr>
              <w:t>Ministru kabineta noteikumu projekta „</w:t>
            </w:r>
            <w:r w:rsidR="0018516E" w:rsidRPr="0018516E">
              <w:rPr>
                <w:rFonts w:ascii="Times New Roman" w:hAnsi="Times New Roman" w:cs="Times New Roman"/>
                <w:sz w:val="24"/>
                <w:szCs w:val="24"/>
              </w:rPr>
              <w:t>Grozījumi Ministru kabineta 2014. gada 30. septembra noteikumos Nr. 598 „Noteikumi par valsts un Eiropas Savienības atbalsta piešķiršanu, administrēšanu un uzraudzību lauku un zivsaimniecības attīstībai 2014.–2020.gada plānošanas periodā”</w:t>
            </w:r>
            <w:r w:rsidR="00CA42BA" w:rsidRPr="00CA42BA">
              <w:rPr>
                <w:rFonts w:ascii="Times New Roman" w:hAnsi="Times New Roman" w:cs="Times New Roman"/>
                <w:sz w:val="24"/>
                <w:szCs w:val="24"/>
              </w:rPr>
              <w:t>”</w:t>
            </w:r>
            <w:r w:rsidRPr="000E7529">
              <w:rPr>
                <w:rFonts w:ascii="Times New Roman" w:hAnsi="Times New Roman" w:cs="Times New Roman"/>
                <w:sz w:val="24"/>
                <w:szCs w:val="24"/>
              </w:rPr>
              <w:t xml:space="preserve"> mērķis ir </w:t>
            </w:r>
            <w:r w:rsidR="00CA42BA">
              <w:rPr>
                <w:rFonts w:ascii="Times New Roman" w:hAnsi="Times New Roman" w:cs="Times New Roman"/>
                <w:sz w:val="24"/>
                <w:szCs w:val="24"/>
              </w:rPr>
              <w:t>precizēt atbalsta saņemšanas nosacījumus</w:t>
            </w:r>
            <w:r w:rsidR="00664877" w:rsidRPr="000E7529">
              <w:rPr>
                <w:rFonts w:ascii="Times New Roman" w:hAnsi="Times New Roman" w:cs="Times New Roman"/>
                <w:sz w:val="24"/>
                <w:szCs w:val="24"/>
              </w:rPr>
              <w:t xml:space="preserve"> pārejas laikā starp diviem daudzgadu budžeta plānošanas periodiem – 2021. un 2022. gadā. </w:t>
            </w:r>
          </w:p>
        </w:tc>
      </w:tr>
    </w:tbl>
    <w:p w:rsidR="00472586" w:rsidRPr="000E7529" w:rsidRDefault="00472586" w:rsidP="00E11699">
      <w:pPr>
        <w:spacing w:after="0" w:line="240" w:lineRule="auto"/>
        <w:jc w:val="center"/>
        <w:rPr>
          <w:sz w:val="20"/>
          <w:szCs w:val="20"/>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0E7529" w:rsidTr="00237EDC">
        <w:trPr>
          <w:trHeight w:val="419"/>
        </w:trPr>
        <w:tc>
          <w:tcPr>
            <w:tcW w:w="5000" w:type="pct"/>
            <w:gridSpan w:val="3"/>
            <w:vAlign w:val="center"/>
          </w:tcPr>
          <w:p w:rsidR="000330A2" w:rsidRPr="000E7529" w:rsidRDefault="000330A2" w:rsidP="00ED73AB">
            <w:pPr>
              <w:pStyle w:val="naisnod"/>
              <w:spacing w:before="0" w:beforeAutospacing="0" w:after="0" w:afterAutospacing="0"/>
              <w:ind w:left="57" w:right="140"/>
              <w:jc w:val="center"/>
              <w:rPr>
                <w:b/>
              </w:rPr>
            </w:pPr>
            <w:r w:rsidRPr="000E7529">
              <w:rPr>
                <w:b/>
              </w:rPr>
              <w:t>I. Tiesību akta projekta izstrādes nepieciešamība</w:t>
            </w:r>
          </w:p>
        </w:tc>
      </w:tr>
      <w:tr w:rsidR="000330A2" w:rsidRPr="000E7529" w:rsidTr="00237EDC">
        <w:trPr>
          <w:trHeight w:val="415"/>
        </w:trPr>
        <w:tc>
          <w:tcPr>
            <w:tcW w:w="226" w:type="pct"/>
          </w:tcPr>
          <w:p w:rsidR="000330A2" w:rsidRPr="000E7529" w:rsidRDefault="000330A2" w:rsidP="00ED73AB">
            <w:pPr>
              <w:pStyle w:val="naiskr"/>
              <w:spacing w:before="0" w:beforeAutospacing="0" w:after="0" w:afterAutospacing="0"/>
              <w:ind w:left="57" w:right="140"/>
              <w:jc w:val="center"/>
            </w:pPr>
            <w:r w:rsidRPr="000E7529">
              <w:t>1.</w:t>
            </w:r>
          </w:p>
        </w:tc>
        <w:tc>
          <w:tcPr>
            <w:tcW w:w="1257" w:type="pct"/>
          </w:tcPr>
          <w:p w:rsidR="000330A2" w:rsidRPr="000E7529" w:rsidRDefault="000330A2" w:rsidP="00ED73AB">
            <w:pPr>
              <w:pStyle w:val="naiskr"/>
              <w:spacing w:before="0" w:beforeAutospacing="0" w:after="0" w:afterAutospacing="0"/>
              <w:ind w:left="57" w:right="140"/>
            </w:pPr>
            <w:r w:rsidRPr="000E7529">
              <w:t>Pamatojums</w:t>
            </w:r>
          </w:p>
        </w:tc>
        <w:tc>
          <w:tcPr>
            <w:tcW w:w="3517" w:type="pct"/>
          </w:tcPr>
          <w:p w:rsidR="000330A2" w:rsidRPr="000E7529" w:rsidRDefault="00E25DE7" w:rsidP="00E2592D">
            <w:pPr>
              <w:spacing w:after="0" w:line="240" w:lineRule="auto"/>
              <w:ind w:left="57" w:right="142"/>
              <w:jc w:val="both"/>
              <w:rPr>
                <w:rFonts w:ascii="Times New Roman" w:hAnsi="Times New Roman"/>
                <w:sz w:val="24"/>
                <w:szCs w:val="24"/>
              </w:rPr>
            </w:pPr>
            <w:r>
              <w:rPr>
                <w:rFonts w:ascii="Times New Roman" w:hAnsi="Times New Roman"/>
                <w:sz w:val="24"/>
                <w:szCs w:val="24"/>
              </w:rPr>
              <w:t>Zem</w:t>
            </w:r>
            <w:r w:rsidR="00BE3A8B">
              <w:rPr>
                <w:rFonts w:ascii="Times New Roman" w:hAnsi="Times New Roman"/>
                <w:sz w:val="24"/>
                <w:szCs w:val="24"/>
              </w:rPr>
              <w:t>k</w:t>
            </w:r>
            <w:r>
              <w:rPr>
                <w:rFonts w:ascii="Times New Roman" w:hAnsi="Times New Roman"/>
                <w:sz w:val="24"/>
                <w:szCs w:val="24"/>
              </w:rPr>
              <w:t>opības ministrijas iniciatīva.</w:t>
            </w:r>
          </w:p>
          <w:p w:rsidR="00C724CE" w:rsidRPr="000E7529" w:rsidRDefault="00C724CE" w:rsidP="00E2592D">
            <w:pPr>
              <w:spacing w:after="0" w:line="240" w:lineRule="auto"/>
              <w:ind w:left="57" w:right="142"/>
              <w:jc w:val="both"/>
              <w:rPr>
                <w:rFonts w:ascii="Times New Roman" w:hAnsi="Times New Roman" w:cs="Times New Roman"/>
                <w:sz w:val="24"/>
                <w:szCs w:val="24"/>
                <w:shd w:val="clear" w:color="auto" w:fill="FFFFFF"/>
              </w:rPr>
            </w:pPr>
            <w:r w:rsidRPr="000E7529">
              <w:rPr>
                <w:rFonts w:ascii="Times New Roman" w:hAnsi="Times New Roman"/>
                <w:sz w:val="24"/>
                <w:szCs w:val="24"/>
              </w:rPr>
              <w:t>Eiropas Parlamenta un Padomes 2020. gada 23. decembra Regulu (ES) Nr. 2020/2220 ar ko nosaka dažus pārejas noteikumus atbalstam no Eiropas Lauksaimniecības fonda lauku attīstībai (ELFLA) un Eiropas Lauksaimniecības garantiju fonda (ELGF) 2021. un 2022. gadā un ar ko attiecībā uz līdzekļiem un piemērošanu 2021. un 2022. gadā groza Regulas (ES) Nr. 1305/2013, (ES) Nr. 1306/2013 un (ES) Nr. 1307/2013, un attiecībā uz līdzekļiem un šāda atbalsta sadalījumu 2021. un 2022. gadā groza Regulu (ES) Nr. 1308/2013.</w:t>
            </w:r>
          </w:p>
        </w:tc>
      </w:tr>
      <w:tr w:rsidR="000330A2" w:rsidRPr="003B4F98" w:rsidTr="00237EDC">
        <w:trPr>
          <w:trHeight w:val="472"/>
        </w:trPr>
        <w:tc>
          <w:tcPr>
            <w:tcW w:w="226" w:type="pct"/>
          </w:tcPr>
          <w:p w:rsidR="000330A2" w:rsidRPr="003B4F98" w:rsidRDefault="000330A2" w:rsidP="00ED73AB">
            <w:pPr>
              <w:pStyle w:val="naiskr"/>
              <w:spacing w:before="0" w:beforeAutospacing="0" w:after="0" w:afterAutospacing="0"/>
              <w:ind w:left="57" w:right="140"/>
              <w:jc w:val="center"/>
            </w:pPr>
            <w:r w:rsidRPr="003B4F98">
              <w:t>2.</w:t>
            </w:r>
          </w:p>
        </w:tc>
        <w:tc>
          <w:tcPr>
            <w:tcW w:w="1257" w:type="pct"/>
          </w:tcPr>
          <w:p w:rsidR="000330A2" w:rsidRPr="003B4F98" w:rsidRDefault="00726B5C" w:rsidP="00ED73AB">
            <w:pPr>
              <w:spacing w:line="240" w:lineRule="auto"/>
              <w:ind w:right="140"/>
            </w:pPr>
            <w:r w:rsidRPr="003B4F98">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rsidR="00726B5C" w:rsidRPr="003B4F98" w:rsidRDefault="00726B5C" w:rsidP="00E2592D">
            <w:pPr>
              <w:spacing w:after="0" w:line="240" w:lineRule="auto"/>
              <w:ind w:right="142"/>
              <w:jc w:val="both"/>
              <w:rPr>
                <w:rFonts w:ascii="Times New Roman" w:eastAsia="Calibri" w:hAnsi="Times New Roman" w:cs="Times New Roman"/>
                <w:sz w:val="24"/>
                <w:lang w:eastAsia="en-US"/>
              </w:rPr>
            </w:pPr>
            <w:r w:rsidRPr="003B4F98">
              <w:rPr>
                <w:rFonts w:ascii="Times New Roman" w:eastAsia="Calibri" w:hAnsi="Times New Roman" w:cs="Times New Roman"/>
                <w:sz w:val="24"/>
                <w:lang w:eastAsia="en-US"/>
              </w:rPr>
              <w:t xml:space="preserve">Sagatavotais </w:t>
            </w:r>
            <w:r w:rsidR="00A12344" w:rsidRPr="003B4F98">
              <w:rPr>
                <w:rFonts w:ascii="Times New Roman" w:hAnsi="Times New Roman" w:cs="Times New Roman"/>
                <w:sz w:val="24"/>
                <w:szCs w:val="24"/>
              </w:rPr>
              <w:t>Ministru kabineta noteikumu projekt</w:t>
            </w:r>
            <w:r w:rsidR="006C485A" w:rsidRPr="003B4F98">
              <w:rPr>
                <w:rFonts w:ascii="Times New Roman" w:hAnsi="Times New Roman" w:cs="Times New Roman"/>
                <w:sz w:val="24"/>
                <w:szCs w:val="24"/>
              </w:rPr>
              <w:t>s</w:t>
            </w:r>
            <w:r w:rsidR="00A12344" w:rsidRPr="003B4F98">
              <w:rPr>
                <w:rFonts w:ascii="Times New Roman" w:hAnsi="Times New Roman" w:cs="Times New Roman"/>
                <w:sz w:val="24"/>
                <w:szCs w:val="24"/>
              </w:rPr>
              <w:t xml:space="preserve"> </w:t>
            </w:r>
            <w:r w:rsidR="009C1F46" w:rsidRPr="000E7529">
              <w:rPr>
                <w:rFonts w:ascii="Times New Roman" w:hAnsi="Times New Roman" w:cs="Times New Roman"/>
                <w:sz w:val="24"/>
                <w:szCs w:val="24"/>
              </w:rPr>
              <w:t>„</w:t>
            </w:r>
            <w:r w:rsidR="009C1F46" w:rsidRPr="0018516E">
              <w:rPr>
                <w:rFonts w:ascii="Times New Roman" w:hAnsi="Times New Roman" w:cs="Times New Roman"/>
                <w:sz w:val="24"/>
                <w:szCs w:val="24"/>
              </w:rPr>
              <w:t>Grozījumi Ministru kabineta 2014. gada 30. septembra noteikumos Nr. 598 „Noteikumi par valsts un Eiropas Savienības atbalsta piešķiršanu, administrēšanu un uzraudzību lauku un zivsaimniecības attīstībai 2014.–2020.gada plānošanas periodā”</w:t>
            </w:r>
            <w:r w:rsidR="00A12344" w:rsidRPr="003B4F98">
              <w:rPr>
                <w:rFonts w:ascii="Times New Roman" w:hAnsi="Times New Roman" w:cs="Times New Roman"/>
                <w:sz w:val="24"/>
                <w:szCs w:val="24"/>
              </w:rPr>
              <w:t xml:space="preserve">” (turpmāk – </w:t>
            </w:r>
            <w:r w:rsidRPr="003B4F98">
              <w:rPr>
                <w:rFonts w:ascii="Times New Roman" w:eastAsia="Calibri" w:hAnsi="Times New Roman" w:cs="Times New Roman"/>
                <w:sz w:val="24"/>
                <w:lang w:eastAsia="en-US"/>
              </w:rPr>
              <w:t>noteikumu projekts</w:t>
            </w:r>
            <w:r w:rsidR="00A12344" w:rsidRPr="003B4F98">
              <w:rPr>
                <w:rFonts w:ascii="Times New Roman" w:eastAsia="Calibri" w:hAnsi="Times New Roman" w:cs="Times New Roman"/>
                <w:sz w:val="24"/>
                <w:lang w:eastAsia="en-US"/>
              </w:rPr>
              <w:t>)</w:t>
            </w:r>
            <w:r w:rsidRPr="003B4F98">
              <w:rPr>
                <w:rFonts w:ascii="Times New Roman" w:eastAsia="Calibri" w:hAnsi="Times New Roman" w:cs="Times New Roman"/>
                <w:sz w:val="24"/>
                <w:lang w:eastAsia="en-US"/>
              </w:rPr>
              <w:t xml:space="preserve"> attiecas uz dabas resursu, lauksaimnieciskās ražošanas un pārstrādes politikas jomu.</w:t>
            </w:r>
          </w:p>
          <w:p w:rsidR="00E31D85" w:rsidRPr="00E31D85" w:rsidRDefault="00C724CE" w:rsidP="00E2592D">
            <w:pPr>
              <w:spacing w:after="0" w:line="240" w:lineRule="auto"/>
              <w:ind w:right="140"/>
              <w:jc w:val="both"/>
              <w:rPr>
                <w:rFonts w:ascii="Times New Roman" w:hAnsi="Times New Roman" w:cs="Times New Roman"/>
                <w:sz w:val="24"/>
                <w:szCs w:val="24"/>
              </w:rPr>
            </w:pPr>
            <w:r w:rsidRPr="00683B0F">
              <w:rPr>
                <w:rFonts w:ascii="Times New Roman" w:hAnsi="Times New Roman"/>
                <w:sz w:val="24"/>
                <w:szCs w:val="24"/>
              </w:rPr>
              <w:t xml:space="preserve">Patlaban Ministru </w:t>
            </w:r>
            <w:r w:rsidR="00A05AF5" w:rsidRPr="0018516E">
              <w:rPr>
                <w:rFonts w:ascii="Times New Roman" w:hAnsi="Times New Roman" w:cs="Times New Roman"/>
                <w:sz w:val="24"/>
                <w:szCs w:val="24"/>
              </w:rPr>
              <w:t>2014. gada 30. septembra noteikum</w:t>
            </w:r>
            <w:r w:rsidR="00A05AF5">
              <w:rPr>
                <w:rFonts w:ascii="Times New Roman" w:hAnsi="Times New Roman" w:cs="Times New Roman"/>
                <w:sz w:val="24"/>
                <w:szCs w:val="24"/>
              </w:rPr>
              <w:t>i</w:t>
            </w:r>
            <w:r w:rsidR="00A05AF5" w:rsidRPr="0018516E">
              <w:rPr>
                <w:rFonts w:ascii="Times New Roman" w:hAnsi="Times New Roman" w:cs="Times New Roman"/>
                <w:sz w:val="24"/>
                <w:szCs w:val="24"/>
              </w:rPr>
              <w:t xml:space="preserve"> Nr. 598 „Noteikumi par valsts un Eiropas Savienības atbalsta piešķiršanu, administrēšanu un uzraudzību lauku un zivsaimniecības attīstībai 2014.–2020.gada plānošanas periodā</w:t>
            </w:r>
            <w:r w:rsidR="00A05AF5">
              <w:rPr>
                <w:rFonts w:ascii="Times New Roman" w:hAnsi="Times New Roman" w:cs="Times New Roman"/>
                <w:sz w:val="24"/>
                <w:szCs w:val="24"/>
              </w:rPr>
              <w:t>”</w:t>
            </w:r>
            <w:r w:rsidRPr="000E7529">
              <w:rPr>
                <w:rFonts w:ascii="Times New Roman" w:hAnsi="Times New Roman"/>
                <w:sz w:val="24"/>
                <w:szCs w:val="24"/>
              </w:rPr>
              <w:t xml:space="preserve"> (turpmāk – noteikumi Nr.</w:t>
            </w:r>
            <w:r w:rsidR="00A05AF5">
              <w:rPr>
                <w:rFonts w:ascii="Times New Roman" w:hAnsi="Times New Roman"/>
                <w:sz w:val="24"/>
                <w:szCs w:val="24"/>
              </w:rPr>
              <w:t>598</w:t>
            </w:r>
            <w:r w:rsidRPr="000E7529">
              <w:rPr>
                <w:rFonts w:ascii="Times New Roman" w:hAnsi="Times New Roman"/>
                <w:sz w:val="24"/>
                <w:szCs w:val="24"/>
              </w:rPr>
              <w:t>)</w:t>
            </w:r>
            <w:r w:rsidR="00E34DC6" w:rsidRPr="000E7529">
              <w:rPr>
                <w:rFonts w:ascii="Times New Roman" w:hAnsi="Times New Roman"/>
                <w:sz w:val="24"/>
                <w:szCs w:val="24"/>
              </w:rPr>
              <w:t xml:space="preserve"> paredz</w:t>
            </w:r>
            <w:r w:rsidR="002D6731" w:rsidRPr="000E7529">
              <w:rPr>
                <w:rFonts w:ascii="Times New Roman" w:hAnsi="Times New Roman" w:cs="Times New Roman"/>
                <w:sz w:val="24"/>
                <w:szCs w:val="24"/>
              </w:rPr>
              <w:t xml:space="preserve"> </w:t>
            </w:r>
            <w:r w:rsidR="00E857D5">
              <w:rPr>
                <w:rFonts w:ascii="Times New Roman" w:hAnsi="Times New Roman" w:cs="Times New Roman"/>
                <w:sz w:val="24"/>
                <w:szCs w:val="24"/>
              </w:rPr>
              <w:t xml:space="preserve">atbalsta saņemšanu </w:t>
            </w:r>
            <w:r w:rsidR="004E24CE" w:rsidRPr="000E7529">
              <w:rPr>
                <w:rFonts w:ascii="Times New Roman" w:hAnsi="Times New Roman" w:cs="Times New Roman"/>
                <w:sz w:val="24"/>
                <w:szCs w:val="24"/>
              </w:rPr>
              <w:t>tikai līdz 2020.</w:t>
            </w:r>
            <w:r w:rsidR="004E24CE" w:rsidRPr="00E31D85">
              <w:rPr>
                <w:rFonts w:ascii="Times New Roman" w:hAnsi="Times New Roman" w:cs="Times New Roman"/>
                <w:sz w:val="24"/>
                <w:szCs w:val="24"/>
              </w:rPr>
              <w:t xml:space="preserve">gada </w:t>
            </w:r>
            <w:r w:rsidR="00E857D5" w:rsidRPr="00E31D85">
              <w:rPr>
                <w:rFonts w:ascii="Times New Roman" w:hAnsi="Times New Roman" w:cs="Times New Roman"/>
                <w:sz w:val="24"/>
                <w:szCs w:val="24"/>
              </w:rPr>
              <w:t>31.decembrim</w:t>
            </w:r>
            <w:r w:rsidR="0007200B">
              <w:rPr>
                <w:rFonts w:ascii="Times New Roman" w:hAnsi="Times New Roman" w:cs="Times New Roman"/>
                <w:sz w:val="24"/>
                <w:szCs w:val="24"/>
              </w:rPr>
              <w:t>. Ņ</w:t>
            </w:r>
            <w:r w:rsidR="004E24CE" w:rsidRPr="00E31D85">
              <w:rPr>
                <w:rFonts w:ascii="Times New Roman" w:hAnsi="Times New Roman" w:cs="Times New Roman"/>
                <w:sz w:val="24"/>
                <w:szCs w:val="24"/>
              </w:rPr>
              <w:t xml:space="preserve">emot vērā, ka </w:t>
            </w:r>
            <w:r w:rsidR="00E31D85" w:rsidRPr="00E31D85">
              <w:rPr>
                <w:rFonts w:ascii="Times New Roman" w:hAnsi="Times New Roman" w:cs="Times New Roman"/>
                <w:bCs/>
                <w:spacing w:val="-4"/>
                <w:kern w:val="16"/>
                <w:sz w:val="24"/>
                <w:szCs w:val="24"/>
                <w:lang w:eastAsia="en-IE"/>
              </w:rPr>
              <w:t>saistībā ar Daudzgadu finanšu ietvara 2021.-2027. gadam lēmumu pieņemšanas kavēšanos, kā arī paredzēto Kopējās Lauksaimniecības politikas (turpmāk – KLP) reformu, nav savlaicīgi pieņemti Eiropas Savienības tiesību akti, lai nodrošinātu savlaicīgu KLP jaunā plānošanas perioda uzsākšanu 2021. gadā, tiek pagarināta esošā plānošanas perioda Lauku attīstības programmu 2014.-2020. gadam īstenošana, nosakot 2021. un 2022. gadu kā pārejas periodu.</w:t>
            </w:r>
          </w:p>
          <w:p w:rsidR="000D5B8B" w:rsidRDefault="00E31D85" w:rsidP="00E31D85">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lastRenderedPageBreak/>
              <w:t>Attiecīgi</w:t>
            </w:r>
            <w:r w:rsidR="004E24CE" w:rsidRPr="000E7529">
              <w:rPr>
                <w:rFonts w:ascii="Times New Roman" w:hAnsi="Times New Roman" w:cs="Times New Roman"/>
                <w:sz w:val="24"/>
                <w:szCs w:val="24"/>
              </w:rPr>
              <w:t xml:space="preserve"> nepieciešams atbilstoši precizēt dalībvalstu normatīvos aktus</w:t>
            </w:r>
            <w:r w:rsidR="004033B9" w:rsidRPr="000E7529">
              <w:rPr>
                <w:rFonts w:ascii="Times New Roman" w:hAnsi="Times New Roman" w:cs="Times New Roman"/>
                <w:sz w:val="24"/>
                <w:szCs w:val="24"/>
              </w:rPr>
              <w:t xml:space="preserve"> par atbilstošu rīcību pārejas laikā.</w:t>
            </w:r>
            <w:r>
              <w:rPr>
                <w:rFonts w:ascii="Times New Roman" w:hAnsi="Times New Roman" w:cs="Times New Roman"/>
                <w:sz w:val="24"/>
                <w:szCs w:val="24"/>
              </w:rPr>
              <w:t xml:space="preserve"> </w:t>
            </w:r>
            <w:r w:rsidR="00E857D5" w:rsidRPr="00E31D85">
              <w:rPr>
                <w:rFonts w:ascii="Times New Roman" w:hAnsi="Times New Roman" w:cs="Times New Roman"/>
                <w:sz w:val="24"/>
                <w:szCs w:val="24"/>
              </w:rPr>
              <w:t>Tāpēc noteikumu projektu tika precizēti termi</w:t>
            </w:r>
            <w:r w:rsidR="004444D5" w:rsidRPr="00E31D85">
              <w:rPr>
                <w:rFonts w:ascii="Times New Roman" w:hAnsi="Times New Roman" w:cs="Times New Roman"/>
                <w:sz w:val="24"/>
                <w:szCs w:val="24"/>
              </w:rPr>
              <w:t>ņ</w:t>
            </w:r>
            <w:r w:rsidR="00E857D5" w:rsidRPr="00E31D85">
              <w:rPr>
                <w:rFonts w:ascii="Times New Roman" w:hAnsi="Times New Roman" w:cs="Times New Roman"/>
                <w:sz w:val="24"/>
                <w:szCs w:val="24"/>
              </w:rPr>
              <w:t xml:space="preserve">i kas attiecās uz </w:t>
            </w:r>
            <w:r w:rsidR="00A05AF5" w:rsidRPr="00A05AF5">
              <w:rPr>
                <w:rFonts w:ascii="Times New Roman" w:hAnsi="Times New Roman" w:cs="Times New Roman"/>
                <w:sz w:val="24"/>
                <w:szCs w:val="24"/>
              </w:rPr>
              <w:t>datu uzglabā</w:t>
            </w:r>
            <w:r w:rsidR="00A05AF5">
              <w:rPr>
                <w:rFonts w:ascii="Times New Roman" w:hAnsi="Times New Roman" w:cs="Times New Roman"/>
                <w:sz w:val="24"/>
                <w:szCs w:val="24"/>
              </w:rPr>
              <w:t>šanu.</w:t>
            </w:r>
          </w:p>
          <w:p w:rsidR="00A05AF5" w:rsidRDefault="00A05AF5" w:rsidP="00A05AF5">
            <w:pPr>
              <w:spacing w:after="0" w:line="240" w:lineRule="auto"/>
              <w:ind w:right="140"/>
              <w:jc w:val="both"/>
              <w:rPr>
                <w:rFonts w:ascii="Times New Roman" w:hAnsi="Times New Roman" w:cs="Times New Roman"/>
                <w:sz w:val="24"/>
                <w:szCs w:val="24"/>
              </w:rPr>
            </w:pPr>
          </w:p>
          <w:p w:rsidR="00A05AF5" w:rsidRPr="00A05AF5" w:rsidRDefault="00A05AF5" w:rsidP="00A05AF5">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Papildu minētām</w:t>
            </w:r>
            <w:r>
              <w:t xml:space="preserve"> </w:t>
            </w:r>
            <w:r>
              <w:rPr>
                <w:rFonts w:ascii="Times New Roman" w:hAnsi="Times New Roman" w:cs="Times New Roman"/>
                <w:sz w:val="24"/>
                <w:szCs w:val="24"/>
              </w:rPr>
              <w:t>n</w:t>
            </w:r>
            <w:r w:rsidRPr="00A05AF5">
              <w:rPr>
                <w:rFonts w:ascii="Times New Roman" w:hAnsi="Times New Roman" w:cs="Times New Roman"/>
                <w:sz w:val="24"/>
                <w:szCs w:val="24"/>
              </w:rPr>
              <w:t xml:space="preserve">oteikumus Nr. 598 ir nepieciešams papildināt, lai noteiktu ka tehnikas </w:t>
            </w:r>
            <w:r w:rsidR="00131913">
              <w:rPr>
                <w:rFonts w:ascii="Times New Roman" w:hAnsi="Times New Roman" w:cs="Times New Roman"/>
                <w:sz w:val="24"/>
                <w:szCs w:val="24"/>
              </w:rPr>
              <w:t xml:space="preserve">un iekārtu </w:t>
            </w:r>
            <w:r w:rsidRPr="00A05AF5">
              <w:rPr>
                <w:rFonts w:ascii="Times New Roman" w:hAnsi="Times New Roman" w:cs="Times New Roman"/>
                <w:sz w:val="24"/>
                <w:szCs w:val="24"/>
              </w:rPr>
              <w:t>vienību, ka arī sagatavošanas un vispārējo izmaksu noteikšanai, noteikt</w:t>
            </w:r>
            <w:r>
              <w:rPr>
                <w:rFonts w:ascii="Times New Roman" w:hAnsi="Times New Roman" w:cs="Times New Roman"/>
                <w:sz w:val="24"/>
                <w:szCs w:val="24"/>
              </w:rPr>
              <w:t>aj</w:t>
            </w:r>
            <w:r w:rsidRPr="00A05AF5">
              <w:rPr>
                <w:rFonts w:ascii="Times New Roman" w:hAnsi="Times New Roman" w:cs="Times New Roman"/>
                <w:sz w:val="24"/>
                <w:szCs w:val="24"/>
              </w:rPr>
              <w:t>os Latvijas Lauku attīstības programmas 2014.-2020.gadam (turpmāk LAP 2014-2020) pasākumos tiks piemērotas:</w:t>
            </w:r>
          </w:p>
          <w:p w:rsidR="00A05AF5" w:rsidRPr="00A05AF5" w:rsidRDefault="00A05AF5" w:rsidP="00A05AF5">
            <w:pPr>
              <w:spacing w:after="0" w:line="240" w:lineRule="auto"/>
              <w:ind w:right="140"/>
              <w:jc w:val="both"/>
              <w:rPr>
                <w:rFonts w:ascii="Times New Roman" w:hAnsi="Times New Roman" w:cs="Times New Roman"/>
                <w:sz w:val="24"/>
                <w:szCs w:val="24"/>
              </w:rPr>
            </w:pPr>
            <w:r w:rsidRPr="00A05AF5">
              <w:rPr>
                <w:rFonts w:ascii="Times New Roman" w:hAnsi="Times New Roman" w:cs="Times New Roman"/>
                <w:sz w:val="24"/>
                <w:szCs w:val="24"/>
              </w:rPr>
              <w:t>•</w:t>
            </w:r>
            <w:r w:rsidRPr="00A05AF5">
              <w:rPr>
                <w:rFonts w:ascii="Times New Roman" w:hAnsi="Times New Roman" w:cs="Times New Roman"/>
                <w:sz w:val="24"/>
                <w:szCs w:val="24"/>
              </w:rPr>
              <w:tab/>
              <w:t xml:space="preserve">tehnikas </w:t>
            </w:r>
            <w:r w:rsidR="00131913">
              <w:rPr>
                <w:rFonts w:ascii="Times New Roman" w:hAnsi="Times New Roman" w:cs="Times New Roman"/>
                <w:sz w:val="24"/>
                <w:szCs w:val="24"/>
              </w:rPr>
              <w:t xml:space="preserve">un iekārtu </w:t>
            </w:r>
            <w:r w:rsidRPr="00A05AF5">
              <w:rPr>
                <w:rFonts w:ascii="Times New Roman" w:hAnsi="Times New Roman" w:cs="Times New Roman"/>
                <w:sz w:val="24"/>
                <w:szCs w:val="24"/>
              </w:rPr>
              <w:t>vienības izmaksu standarta likmes noteikšana un tās iekļaušana Lauku atbalsta dienesta elektroniskās pieteikšanās sistēmas elektroniskā rīkā «Tehnikas</w:t>
            </w:r>
            <w:r w:rsidR="00131913">
              <w:rPr>
                <w:rFonts w:ascii="Times New Roman" w:hAnsi="Times New Roman" w:cs="Times New Roman"/>
                <w:sz w:val="24"/>
                <w:szCs w:val="24"/>
              </w:rPr>
              <w:t xml:space="preserve"> un iekārtu</w:t>
            </w:r>
            <w:r w:rsidRPr="00A05AF5">
              <w:rPr>
                <w:rFonts w:ascii="Times New Roman" w:hAnsi="Times New Roman" w:cs="Times New Roman"/>
                <w:sz w:val="24"/>
                <w:szCs w:val="24"/>
              </w:rPr>
              <w:t xml:space="preserve"> katalogs». Vienkāršota izmaksa ir noteikta pamatojoties uz metodiku “Metodika “Tehnikas </w:t>
            </w:r>
            <w:r w:rsidR="00131913">
              <w:rPr>
                <w:rFonts w:ascii="Times New Roman" w:hAnsi="Times New Roman" w:cs="Times New Roman"/>
                <w:sz w:val="24"/>
                <w:szCs w:val="24"/>
              </w:rPr>
              <w:t xml:space="preserve">un iekārtu </w:t>
            </w:r>
            <w:r w:rsidRPr="00A05AF5">
              <w:rPr>
                <w:rFonts w:ascii="Times New Roman" w:hAnsi="Times New Roman" w:cs="Times New Roman"/>
                <w:sz w:val="24"/>
                <w:szCs w:val="24"/>
              </w:rPr>
              <w:t xml:space="preserve">vienību izmaksu standarta likmes noteikšana un tās iekļaušana Tehnikas </w:t>
            </w:r>
            <w:r w:rsidR="00131913">
              <w:rPr>
                <w:rFonts w:ascii="Times New Roman" w:hAnsi="Times New Roman" w:cs="Times New Roman"/>
                <w:sz w:val="24"/>
                <w:szCs w:val="24"/>
              </w:rPr>
              <w:t xml:space="preserve">un iekārtu </w:t>
            </w:r>
            <w:r w:rsidRPr="00A05AF5">
              <w:rPr>
                <w:rFonts w:ascii="Times New Roman" w:hAnsi="Times New Roman" w:cs="Times New Roman"/>
                <w:sz w:val="24"/>
                <w:szCs w:val="24"/>
              </w:rPr>
              <w:t xml:space="preserve">katalogā Latvijas Lauku attīstības programmas 2014.-2020. gadam atbalsta pasākuma M04 “Ieguldījumi materiālajos aktīvos” </w:t>
            </w:r>
            <w:proofErr w:type="spellStart"/>
            <w:r w:rsidRPr="00A05AF5">
              <w:rPr>
                <w:rFonts w:ascii="Times New Roman" w:hAnsi="Times New Roman" w:cs="Times New Roman"/>
                <w:sz w:val="24"/>
                <w:szCs w:val="24"/>
              </w:rPr>
              <w:t>apakšpasākuma</w:t>
            </w:r>
            <w:proofErr w:type="spellEnd"/>
            <w:r w:rsidRPr="00A05AF5">
              <w:rPr>
                <w:rFonts w:ascii="Times New Roman" w:hAnsi="Times New Roman" w:cs="Times New Roman"/>
                <w:sz w:val="24"/>
                <w:szCs w:val="24"/>
              </w:rPr>
              <w:t xml:space="preserve"> 4.1. “Atbalsts ieguldījumiem lauku saimniecībās” īstenošanai”. Metodika ir izstrādāta saskaņā ar Vispārējās regulas Nr. 1303/2013 67.panta 1.punkta b) apakšpunktu un 5.punkta a) apakšpunktu.</w:t>
            </w:r>
          </w:p>
          <w:p w:rsidR="00A05AF5" w:rsidRPr="00A05AF5" w:rsidRDefault="00A05AF5" w:rsidP="00A05AF5">
            <w:pPr>
              <w:spacing w:after="0" w:line="240" w:lineRule="auto"/>
              <w:ind w:right="140"/>
              <w:jc w:val="both"/>
              <w:rPr>
                <w:rFonts w:ascii="Times New Roman" w:hAnsi="Times New Roman" w:cs="Times New Roman"/>
                <w:sz w:val="24"/>
                <w:szCs w:val="24"/>
              </w:rPr>
            </w:pPr>
            <w:r w:rsidRPr="00A05AF5">
              <w:rPr>
                <w:rFonts w:ascii="Times New Roman" w:hAnsi="Times New Roman" w:cs="Times New Roman"/>
                <w:sz w:val="24"/>
                <w:szCs w:val="24"/>
              </w:rPr>
              <w:t>•</w:t>
            </w:r>
            <w:r w:rsidRPr="00A05AF5">
              <w:rPr>
                <w:rFonts w:ascii="Times New Roman" w:hAnsi="Times New Roman" w:cs="Times New Roman"/>
                <w:sz w:val="24"/>
                <w:szCs w:val="24"/>
              </w:rPr>
              <w:tab/>
              <w:t xml:space="preserve">vienotas likmes finansējums. Vienkāršota izmaksa, kas ir noteikta pamatojoties uz metodiku “Vienotas likmes finansējums Lauku attīstības projektu sagatavošanas un pārējām vispārējam izmaksām”, tiks piemērota LAP 2014-2020 pasākuma M4 “Ieguldījumi materiālajos aktīvos” un </w:t>
            </w:r>
            <w:proofErr w:type="spellStart"/>
            <w:r w:rsidRPr="00A05AF5">
              <w:rPr>
                <w:rFonts w:ascii="Times New Roman" w:hAnsi="Times New Roman" w:cs="Times New Roman"/>
                <w:sz w:val="24"/>
                <w:szCs w:val="24"/>
              </w:rPr>
              <w:t>apakšpasākuma</w:t>
            </w:r>
            <w:proofErr w:type="spellEnd"/>
            <w:r w:rsidRPr="00A05AF5">
              <w:rPr>
                <w:rFonts w:ascii="Times New Roman" w:hAnsi="Times New Roman" w:cs="Times New Roman"/>
                <w:sz w:val="24"/>
                <w:szCs w:val="24"/>
              </w:rPr>
              <w:t xml:space="preserve"> M19.2.“Atbalsts darbību īstenošanai saskaņā ar SVVA stratēģiju” administrēšanai. Metodika ir izstrādāta, saskaņā ar  Vispārējās regulas Nr. 1303/2013 67.panta 1.punkta d) apakšpunktu un 5.punkta a) apakšpunktu.</w:t>
            </w:r>
          </w:p>
          <w:p w:rsidR="00A05AF5" w:rsidRDefault="00A05AF5" w:rsidP="00A05AF5">
            <w:pPr>
              <w:spacing w:after="0" w:line="240" w:lineRule="auto"/>
              <w:ind w:right="140"/>
              <w:jc w:val="both"/>
              <w:rPr>
                <w:rFonts w:ascii="Times New Roman" w:hAnsi="Times New Roman" w:cs="Times New Roman"/>
                <w:sz w:val="24"/>
                <w:szCs w:val="24"/>
              </w:rPr>
            </w:pPr>
            <w:r w:rsidRPr="00A05AF5">
              <w:rPr>
                <w:rFonts w:ascii="Times New Roman" w:hAnsi="Times New Roman" w:cs="Times New Roman"/>
                <w:sz w:val="24"/>
                <w:szCs w:val="24"/>
              </w:rPr>
              <w:t>Vienkāršotu izmaksu ieviešana ir būtiska LAP 2014.-2020.gadam pasākumu īstenošanai administrēšanai, lai mazinātu administratīvo slogu un pārietu no fokusēšanās no finanšu dokumentu pārbaudes uz sasniegto rezultātu pārbaudi.</w:t>
            </w:r>
          </w:p>
          <w:p w:rsidR="002F5506" w:rsidRDefault="002F5506" w:rsidP="00A05AF5">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Papildu minētām, n</w:t>
            </w:r>
            <w:r w:rsidRPr="002F5506">
              <w:rPr>
                <w:rFonts w:ascii="Times New Roman" w:hAnsi="Times New Roman" w:cs="Times New Roman"/>
                <w:sz w:val="24"/>
                <w:szCs w:val="24"/>
              </w:rPr>
              <w:t>oteikumu projekts paredz izmaiņas rēķinu priekšapmaksas saņemšanai atbalsta saņēmējiem - biedrībām, nodibinājumiem un reliģiskām organizācijām, aizstājot norēķinu kontu Valsts kasē ar atbalsta saņēmēja komercbankas norēķinu kontu. Tas atbalsta saņēmējiem atvieglo ar projektu saistīto maksājumu veikšanu, nav jāveic pārskaitījumi starp norēķinu kontiem, kā arī projekta administrēšana ir pārskatāmāka, jo visi darījumi notiek viena norēķinu konta ietvaros.</w:t>
            </w:r>
          </w:p>
          <w:p w:rsidR="00A05AF5" w:rsidRPr="00E31D85" w:rsidRDefault="009337B2" w:rsidP="00E31D85">
            <w:pPr>
              <w:spacing w:after="0" w:line="240" w:lineRule="auto"/>
              <w:ind w:right="140"/>
              <w:jc w:val="both"/>
              <w:rPr>
                <w:rFonts w:ascii="Times New Roman" w:hAnsi="Times New Roman" w:cs="Times New Roman"/>
                <w:b/>
                <w:bCs/>
                <w:sz w:val="24"/>
                <w:szCs w:val="24"/>
              </w:rPr>
            </w:pPr>
            <w:r>
              <w:rPr>
                <w:rFonts w:ascii="Times New Roman" w:hAnsi="Times New Roman" w:cs="Times New Roman"/>
                <w:sz w:val="24"/>
                <w:szCs w:val="24"/>
              </w:rPr>
              <w:t>N</w:t>
            </w:r>
            <w:r w:rsidR="00611CBD">
              <w:rPr>
                <w:rFonts w:ascii="Times New Roman" w:hAnsi="Times New Roman" w:cs="Times New Roman"/>
                <w:sz w:val="24"/>
                <w:szCs w:val="24"/>
              </w:rPr>
              <w:t xml:space="preserve">oteikumu </w:t>
            </w:r>
            <w:r w:rsidR="003474B0">
              <w:rPr>
                <w:rFonts w:ascii="Times New Roman" w:hAnsi="Times New Roman" w:cs="Times New Roman"/>
                <w:sz w:val="24"/>
                <w:szCs w:val="24"/>
              </w:rPr>
              <w:t xml:space="preserve">projektā </w:t>
            </w:r>
            <w:r>
              <w:rPr>
                <w:rFonts w:ascii="Times New Roman" w:hAnsi="Times New Roman" w:cs="Times New Roman"/>
                <w:sz w:val="24"/>
                <w:szCs w:val="24"/>
              </w:rPr>
              <w:t xml:space="preserve">tehniski precizējumi 1., 6 un </w:t>
            </w:r>
            <w:r w:rsidR="00611CBD" w:rsidRPr="00611CBD">
              <w:rPr>
                <w:rFonts w:ascii="Times New Roman" w:hAnsi="Times New Roman" w:cs="Times New Roman"/>
                <w:sz w:val="24"/>
                <w:szCs w:val="24"/>
              </w:rPr>
              <w:t>9.pielikumā</w:t>
            </w:r>
            <w:r w:rsidR="00611CBD">
              <w:rPr>
                <w:rFonts w:ascii="Times New Roman" w:hAnsi="Times New Roman" w:cs="Times New Roman"/>
                <w:sz w:val="24"/>
                <w:szCs w:val="24"/>
              </w:rPr>
              <w:t>.</w:t>
            </w:r>
          </w:p>
        </w:tc>
      </w:tr>
      <w:tr w:rsidR="000330A2" w:rsidRPr="003B4F98" w:rsidTr="00237EDC">
        <w:trPr>
          <w:trHeight w:val="476"/>
        </w:trPr>
        <w:tc>
          <w:tcPr>
            <w:tcW w:w="226" w:type="pct"/>
          </w:tcPr>
          <w:p w:rsidR="000330A2" w:rsidRPr="003B4F98" w:rsidRDefault="000330A2" w:rsidP="00ED73AB">
            <w:pPr>
              <w:pStyle w:val="naiskr"/>
              <w:spacing w:before="0" w:beforeAutospacing="0" w:after="0" w:afterAutospacing="0"/>
              <w:ind w:left="57" w:right="140"/>
              <w:jc w:val="center"/>
            </w:pPr>
            <w:r w:rsidRPr="003B4F98">
              <w:lastRenderedPageBreak/>
              <w:t>3.</w:t>
            </w:r>
          </w:p>
        </w:tc>
        <w:tc>
          <w:tcPr>
            <w:tcW w:w="1257" w:type="pct"/>
          </w:tcPr>
          <w:p w:rsidR="000330A2" w:rsidRPr="003B4F98" w:rsidRDefault="009F3688" w:rsidP="00ED73AB">
            <w:pPr>
              <w:pStyle w:val="naiskr"/>
              <w:spacing w:before="0" w:beforeAutospacing="0" w:after="0" w:afterAutospacing="0"/>
              <w:ind w:left="57" w:right="140"/>
            </w:pPr>
            <w:r w:rsidRPr="003B4F98">
              <w:t>Projekta izstrādē iesaistītās institūcijas un publiskas personas kapitālsabiedrības</w:t>
            </w:r>
          </w:p>
        </w:tc>
        <w:tc>
          <w:tcPr>
            <w:tcW w:w="3517" w:type="pct"/>
          </w:tcPr>
          <w:p w:rsidR="000330A2" w:rsidRPr="003B4F98" w:rsidRDefault="007F0225" w:rsidP="00ED73AB">
            <w:pPr>
              <w:spacing w:after="0" w:line="240" w:lineRule="auto"/>
              <w:ind w:left="57" w:right="140"/>
              <w:rPr>
                <w:rFonts w:ascii="Times New Roman" w:hAnsi="Times New Roman" w:cs="Times New Roman"/>
                <w:b/>
                <w:sz w:val="24"/>
                <w:szCs w:val="24"/>
              </w:rPr>
            </w:pPr>
            <w:r w:rsidRPr="003B4F98">
              <w:rPr>
                <w:rFonts w:ascii="Times New Roman" w:hAnsi="Times New Roman"/>
                <w:sz w:val="24"/>
                <w:szCs w:val="24"/>
              </w:rPr>
              <w:t>Zemkopības ministrija</w:t>
            </w:r>
            <w:r w:rsidR="00D17A50">
              <w:rPr>
                <w:rFonts w:ascii="Times New Roman" w:hAnsi="Times New Roman"/>
                <w:sz w:val="24"/>
                <w:szCs w:val="24"/>
              </w:rPr>
              <w:t xml:space="preserve"> un </w:t>
            </w:r>
            <w:r w:rsidRPr="003B4F98">
              <w:rPr>
                <w:rFonts w:ascii="Times New Roman" w:hAnsi="Times New Roman"/>
                <w:sz w:val="24"/>
                <w:szCs w:val="24"/>
              </w:rPr>
              <w:t xml:space="preserve">Lauku atbalsta dienests </w:t>
            </w:r>
          </w:p>
        </w:tc>
      </w:tr>
      <w:tr w:rsidR="000330A2" w:rsidRPr="003B4F98" w:rsidTr="00237EDC">
        <w:tc>
          <w:tcPr>
            <w:tcW w:w="226" w:type="pct"/>
          </w:tcPr>
          <w:p w:rsidR="000330A2" w:rsidRPr="003B4F98" w:rsidRDefault="000330A2" w:rsidP="00ED73AB">
            <w:pPr>
              <w:pStyle w:val="naiskr"/>
              <w:spacing w:before="0" w:beforeAutospacing="0" w:after="0" w:afterAutospacing="0"/>
              <w:ind w:left="57" w:right="140"/>
              <w:jc w:val="center"/>
            </w:pPr>
            <w:r w:rsidRPr="003B4F98">
              <w:t>4.</w:t>
            </w:r>
          </w:p>
        </w:tc>
        <w:tc>
          <w:tcPr>
            <w:tcW w:w="1257" w:type="pct"/>
          </w:tcPr>
          <w:p w:rsidR="000330A2" w:rsidRPr="003B4F98" w:rsidRDefault="000330A2" w:rsidP="00ED73AB">
            <w:pPr>
              <w:pStyle w:val="naiskr"/>
              <w:spacing w:before="0" w:beforeAutospacing="0" w:after="0" w:afterAutospacing="0"/>
              <w:ind w:left="57" w:right="140"/>
            </w:pPr>
            <w:r w:rsidRPr="003B4F98">
              <w:t>Cita informācija</w:t>
            </w:r>
          </w:p>
        </w:tc>
        <w:tc>
          <w:tcPr>
            <w:tcW w:w="3517" w:type="pct"/>
          </w:tcPr>
          <w:p w:rsidR="000330A2" w:rsidRPr="003B4F98" w:rsidRDefault="00E857D5" w:rsidP="00E857D5">
            <w:pPr>
              <w:spacing w:after="0" w:line="240" w:lineRule="auto"/>
              <w:ind w:right="140"/>
              <w:jc w:val="both"/>
            </w:pPr>
            <w:r>
              <w:rPr>
                <w:rFonts w:ascii="Times New Roman" w:hAnsi="Times New Roman"/>
                <w:sz w:val="24"/>
                <w:szCs w:val="24"/>
              </w:rPr>
              <w:t xml:space="preserve"> </w:t>
            </w:r>
            <w:r w:rsidRPr="005A0ECE">
              <w:rPr>
                <w:rFonts w:ascii="Times New Roman" w:hAnsi="Times New Roman"/>
                <w:sz w:val="24"/>
                <w:szCs w:val="24"/>
              </w:rPr>
              <w:t>Nav</w:t>
            </w:r>
            <w:r>
              <w:rPr>
                <w:rFonts w:ascii="Times New Roman" w:hAnsi="Times New Roman"/>
                <w:sz w:val="24"/>
                <w:szCs w:val="24"/>
              </w:rPr>
              <w:t>.</w:t>
            </w:r>
          </w:p>
        </w:tc>
      </w:tr>
    </w:tbl>
    <w:p w:rsidR="000330A2" w:rsidRPr="003B4F98" w:rsidRDefault="000330A2" w:rsidP="00ED73AB">
      <w:pPr>
        <w:spacing w:after="0" w:line="240" w:lineRule="auto"/>
        <w:ind w:right="140"/>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8"/>
        <w:gridCol w:w="6378"/>
      </w:tblGrid>
      <w:tr w:rsidR="000330A2" w:rsidRPr="003B4F98" w:rsidTr="00472586">
        <w:trPr>
          <w:trHeight w:val="556"/>
        </w:trPr>
        <w:tc>
          <w:tcPr>
            <w:tcW w:w="9067" w:type="dxa"/>
            <w:gridSpan w:val="3"/>
            <w:vAlign w:val="center"/>
          </w:tcPr>
          <w:p w:rsidR="000330A2" w:rsidRPr="003B4F98" w:rsidRDefault="009F3688" w:rsidP="00ED73AB">
            <w:pPr>
              <w:pStyle w:val="naisnod"/>
              <w:spacing w:before="0" w:beforeAutospacing="0" w:after="0" w:afterAutospacing="0"/>
              <w:ind w:left="57" w:right="140"/>
              <w:jc w:val="center"/>
              <w:rPr>
                <w:b/>
              </w:rPr>
            </w:pPr>
            <w:r w:rsidRPr="003B4F98">
              <w:rPr>
                <w:b/>
                <w:bCs/>
              </w:rPr>
              <w:lastRenderedPageBreak/>
              <w:t>II. Tiesību akta projekta ietekme uz sabiedrību, tautsaimniecības attīstību un administratīvo slogu</w:t>
            </w:r>
          </w:p>
        </w:tc>
      </w:tr>
      <w:tr w:rsidR="000330A2" w:rsidRPr="003B4F98" w:rsidTr="00E2592D">
        <w:trPr>
          <w:trHeight w:val="467"/>
        </w:trPr>
        <w:tc>
          <w:tcPr>
            <w:tcW w:w="431" w:type="dxa"/>
          </w:tcPr>
          <w:p w:rsidR="000330A2" w:rsidRPr="003B4F98" w:rsidRDefault="000330A2" w:rsidP="00ED73AB">
            <w:pPr>
              <w:pStyle w:val="naiskr"/>
              <w:spacing w:before="0" w:beforeAutospacing="0" w:after="0" w:afterAutospacing="0"/>
              <w:ind w:left="57" w:right="140"/>
              <w:jc w:val="both"/>
            </w:pPr>
            <w:r w:rsidRPr="003B4F98">
              <w:t>1.</w:t>
            </w:r>
          </w:p>
        </w:tc>
        <w:tc>
          <w:tcPr>
            <w:tcW w:w="2258" w:type="dxa"/>
          </w:tcPr>
          <w:p w:rsidR="000330A2" w:rsidRPr="003B4F98" w:rsidRDefault="009F3688" w:rsidP="00ED73AB">
            <w:pPr>
              <w:pStyle w:val="naiskr"/>
              <w:spacing w:before="0" w:beforeAutospacing="0" w:after="0" w:afterAutospacing="0"/>
              <w:ind w:left="57" w:right="140"/>
            </w:pPr>
            <w:r w:rsidRPr="003B4F98">
              <w:t>Sabiedrības mērķgrupas, kuras tiesiskais regulējums ietekmē vai varētu ietekmēt</w:t>
            </w:r>
          </w:p>
        </w:tc>
        <w:tc>
          <w:tcPr>
            <w:tcW w:w="6378" w:type="dxa"/>
          </w:tcPr>
          <w:p w:rsidR="002C548A" w:rsidRPr="00D17A50" w:rsidRDefault="00994B0E" w:rsidP="00E857D5">
            <w:pPr>
              <w:pStyle w:val="naiskr"/>
              <w:spacing w:before="0" w:beforeAutospacing="0" w:after="0" w:afterAutospacing="0"/>
              <w:jc w:val="both"/>
            </w:pPr>
            <w:bookmarkStart w:id="2" w:name="p21"/>
            <w:bookmarkEnd w:id="2"/>
            <w:r w:rsidRPr="00994B0E">
              <w:rPr>
                <w:rFonts w:eastAsiaTheme="minorEastAsia" w:cstheme="minorBidi"/>
                <w:color w:val="000000"/>
              </w:rPr>
              <w:t>Noteikumu projektā ietvertais tiesiskais regulējums attieksies uz atbalsta pretendentiem, kas iesniegs projektu iesniegumus valsts un Eiropas Savienības atbalstam atklātu projektu iesniegumu konkursu un kompensāciju maksājumu veidā lauku un zivsaimniecības attīstībai.</w:t>
            </w:r>
          </w:p>
        </w:tc>
      </w:tr>
      <w:tr w:rsidR="000330A2" w:rsidRPr="003B4F98" w:rsidTr="00E2592D">
        <w:trPr>
          <w:trHeight w:val="523"/>
        </w:trPr>
        <w:tc>
          <w:tcPr>
            <w:tcW w:w="431" w:type="dxa"/>
          </w:tcPr>
          <w:p w:rsidR="000330A2" w:rsidRPr="003B4F98" w:rsidRDefault="000330A2" w:rsidP="00ED73AB">
            <w:pPr>
              <w:pStyle w:val="naiskr"/>
              <w:spacing w:before="0" w:beforeAutospacing="0" w:after="0" w:afterAutospacing="0"/>
              <w:ind w:left="57" w:right="140"/>
              <w:jc w:val="both"/>
            </w:pPr>
            <w:r w:rsidRPr="003B4F98">
              <w:t>2.</w:t>
            </w:r>
          </w:p>
        </w:tc>
        <w:tc>
          <w:tcPr>
            <w:tcW w:w="2258" w:type="dxa"/>
          </w:tcPr>
          <w:p w:rsidR="000330A2" w:rsidRPr="003B4F98" w:rsidRDefault="009F3688" w:rsidP="00ED73AB">
            <w:pPr>
              <w:pStyle w:val="naiskr"/>
              <w:spacing w:before="0" w:beforeAutospacing="0" w:after="0" w:afterAutospacing="0"/>
              <w:ind w:left="57" w:right="140"/>
            </w:pPr>
            <w:r w:rsidRPr="003B4F98">
              <w:t>Tiesiskā regulējuma ietekme uz tautsaimniecību un administratīvo slogu</w:t>
            </w:r>
          </w:p>
        </w:tc>
        <w:tc>
          <w:tcPr>
            <w:tcW w:w="6378" w:type="dxa"/>
          </w:tcPr>
          <w:p w:rsidR="00534DFD" w:rsidRDefault="00C534C8" w:rsidP="00534DFD">
            <w:pPr>
              <w:pStyle w:val="naiskr"/>
              <w:spacing w:before="0" w:beforeAutospacing="0" w:after="0" w:afterAutospacing="0"/>
              <w:jc w:val="both"/>
            </w:pPr>
            <w:r w:rsidRPr="00AC5974">
              <w:t>Noteikumu projekta pieņemšana dos iespēju piešķirt</w:t>
            </w:r>
            <w:r w:rsidR="00534DFD">
              <w:t xml:space="preserve"> finansējumu </w:t>
            </w:r>
            <w:r w:rsidRPr="00AC5974">
              <w:t>pretendentiem, kas atbildīs atbalsta saņemšanas nosacījumiem</w:t>
            </w:r>
            <w:r w:rsidR="00530D6B">
              <w:t>.</w:t>
            </w:r>
          </w:p>
          <w:p w:rsidR="00530D6B" w:rsidRPr="003B4F98" w:rsidRDefault="00530D6B" w:rsidP="00534DFD">
            <w:pPr>
              <w:pStyle w:val="naiskr"/>
              <w:spacing w:before="0" w:beforeAutospacing="0" w:after="0" w:afterAutospacing="0"/>
              <w:jc w:val="both"/>
            </w:pPr>
            <w:r w:rsidRPr="00530D6B">
              <w:t>Administratīvais slogs tiek samazināts, jo</w:t>
            </w:r>
            <w:r w:rsidR="00303284">
              <w:t xml:space="preserve"> v</w:t>
            </w:r>
            <w:r w:rsidR="00303284" w:rsidRPr="00303284">
              <w:t xml:space="preserve">ienkāršotu izmaksu </w:t>
            </w:r>
            <w:r w:rsidR="00303284">
              <w:t>piemērošana atvieglo gan atbalstu administrēšanu (</w:t>
            </w:r>
            <w:proofErr w:type="spellStart"/>
            <w:r w:rsidR="00303284">
              <w:t>pārēja</w:t>
            </w:r>
            <w:proofErr w:type="spellEnd"/>
            <w:r w:rsidR="00303284">
              <w:t xml:space="preserve"> no fokusēšanās uz finanšu dokumentu pārbaudes uz sasniegto rezultātu pārbaudi), gan samazina administratīvo slogu atbalsta pretendentiem (ja, piemēram, atbalsta pretendents izmanto Tehnikas katalogu tehnikas vienības iegādei).</w:t>
            </w:r>
          </w:p>
        </w:tc>
      </w:tr>
      <w:tr w:rsidR="000330A2" w:rsidRPr="003B4F98" w:rsidTr="00E2592D">
        <w:trPr>
          <w:trHeight w:val="523"/>
        </w:trPr>
        <w:tc>
          <w:tcPr>
            <w:tcW w:w="431" w:type="dxa"/>
          </w:tcPr>
          <w:p w:rsidR="000330A2" w:rsidRPr="003B4F98" w:rsidRDefault="000330A2" w:rsidP="00ED73AB">
            <w:pPr>
              <w:pStyle w:val="naiskr"/>
              <w:spacing w:before="0" w:beforeAutospacing="0" w:after="0" w:afterAutospacing="0"/>
              <w:ind w:left="57" w:right="140"/>
              <w:jc w:val="both"/>
            </w:pPr>
            <w:r w:rsidRPr="003B4F98">
              <w:t>3.</w:t>
            </w:r>
          </w:p>
        </w:tc>
        <w:tc>
          <w:tcPr>
            <w:tcW w:w="2258" w:type="dxa"/>
          </w:tcPr>
          <w:p w:rsidR="000330A2" w:rsidRPr="003B4F98" w:rsidRDefault="009F3688" w:rsidP="00ED73AB">
            <w:pPr>
              <w:pStyle w:val="naiskr"/>
              <w:spacing w:before="0" w:beforeAutospacing="0" w:after="0" w:afterAutospacing="0"/>
              <w:ind w:left="57" w:right="140"/>
            </w:pPr>
            <w:r w:rsidRPr="003B4F98">
              <w:t>Administratīvo izmaksu monetārs novērtējums</w:t>
            </w:r>
          </w:p>
        </w:tc>
        <w:tc>
          <w:tcPr>
            <w:tcW w:w="6378" w:type="dxa"/>
          </w:tcPr>
          <w:p w:rsidR="000330A2" w:rsidRPr="003B4F98" w:rsidRDefault="00092D6C" w:rsidP="00C534C8">
            <w:pPr>
              <w:pStyle w:val="naiskr"/>
              <w:spacing w:before="0" w:beforeAutospacing="0" w:after="0" w:afterAutospacing="0"/>
              <w:jc w:val="both"/>
            </w:pPr>
            <w:r w:rsidRPr="003B4F98">
              <w:t>Projekts šo jomu neskar.</w:t>
            </w:r>
          </w:p>
        </w:tc>
      </w:tr>
      <w:tr w:rsidR="009F3688" w:rsidRPr="003B4F98" w:rsidTr="00E2592D">
        <w:trPr>
          <w:trHeight w:val="523"/>
        </w:trPr>
        <w:tc>
          <w:tcPr>
            <w:tcW w:w="431" w:type="dxa"/>
          </w:tcPr>
          <w:p w:rsidR="009F3688" w:rsidRPr="003B4F98" w:rsidRDefault="009F3688" w:rsidP="00ED73AB">
            <w:pPr>
              <w:pStyle w:val="naiskr"/>
              <w:spacing w:before="0" w:beforeAutospacing="0" w:after="0" w:afterAutospacing="0"/>
              <w:ind w:left="57" w:right="140"/>
              <w:jc w:val="both"/>
            </w:pPr>
            <w:r w:rsidRPr="003B4F98">
              <w:t>4.</w:t>
            </w:r>
          </w:p>
        </w:tc>
        <w:tc>
          <w:tcPr>
            <w:tcW w:w="2258" w:type="dxa"/>
          </w:tcPr>
          <w:p w:rsidR="009F3688" w:rsidRPr="003B4F98" w:rsidRDefault="009F3688" w:rsidP="00ED73AB">
            <w:pPr>
              <w:pStyle w:val="naiskr"/>
              <w:spacing w:before="0" w:beforeAutospacing="0" w:after="0" w:afterAutospacing="0"/>
              <w:ind w:left="57" w:right="140"/>
            </w:pPr>
            <w:r w:rsidRPr="003B4F98">
              <w:t>Atbilstības izmaksu monetārs novērtējums</w:t>
            </w:r>
          </w:p>
        </w:tc>
        <w:tc>
          <w:tcPr>
            <w:tcW w:w="6378" w:type="dxa"/>
          </w:tcPr>
          <w:p w:rsidR="009F3688" w:rsidRPr="003B4F98" w:rsidRDefault="009F3688" w:rsidP="00ED73AB">
            <w:pPr>
              <w:shd w:val="clear" w:color="auto" w:fill="FFFFFF"/>
              <w:spacing w:after="0" w:line="240" w:lineRule="auto"/>
              <w:ind w:left="57" w:right="140"/>
              <w:rPr>
                <w:rFonts w:ascii="Times New Roman" w:hAnsi="Times New Roman"/>
                <w:sz w:val="24"/>
                <w:szCs w:val="24"/>
              </w:rPr>
            </w:pPr>
            <w:r w:rsidRPr="003B4F98">
              <w:rPr>
                <w:rFonts w:ascii="Times New Roman" w:hAnsi="Times New Roman"/>
                <w:sz w:val="24"/>
                <w:szCs w:val="24"/>
              </w:rPr>
              <w:t>Projekts šo jomu neskar.</w:t>
            </w:r>
          </w:p>
        </w:tc>
      </w:tr>
      <w:tr w:rsidR="000330A2" w:rsidRPr="003B4F98" w:rsidTr="00E2592D">
        <w:trPr>
          <w:trHeight w:val="357"/>
        </w:trPr>
        <w:tc>
          <w:tcPr>
            <w:tcW w:w="431" w:type="dxa"/>
          </w:tcPr>
          <w:p w:rsidR="000330A2" w:rsidRPr="003B4F98" w:rsidRDefault="009F3688" w:rsidP="00ED73AB">
            <w:pPr>
              <w:pStyle w:val="naiskr"/>
              <w:spacing w:before="0" w:beforeAutospacing="0" w:after="0" w:afterAutospacing="0"/>
              <w:ind w:left="57" w:right="140"/>
              <w:jc w:val="both"/>
            </w:pPr>
            <w:r w:rsidRPr="003B4F98">
              <w:t>5</w:t>
            </w:r>
            <w:r w:rsidR="000330A2" w:rsidRPr="003B4F98">
              <w:t>.</w:t>
            </w:r>
          </w:p>
        </w:tc>
        <w:tc>
          <w:tcPr>
            <w:tcW w:w="2258" w:type="dxa"/>
          </w:tcPr>
          <w:p w:rsidR="000330A2" w:rsidRPr="003B4F98" w:rsidRDefault="000330A2" w:rsidP="00ED73AB">
            <w:pPr>
              <w:pStyle w:val="naiskr"/>
              <w:spacing w:before="0" w:beforeAutospacing="0" w:after="0" w:afterAutospacing="0"/>
              <w:ind w:left="57" w:right="140"/>
            </w:pPr>
            <w:r w:rsidRPr="003B4F98">
              <w:t>Cita informācija</w:t>
            </w:r>
          </w:p>
        </w:tc>
        <w:tc>
          <w:tcPr>
            <w:tcW w:w="6378" w:type="dxa"/>
          </w:tcPr>
          <w:p w:rsidR="000330A2" w:rsidRPr="003B4F98" w:rsidRDefault="00092D6C" w:rsidP="00C534C8">
            <w:pPr>
              <w:pStyle w:val="naiskr"/>
              <w:spacing w:before="0" w:after="0"/>
              <w:jc w:val="both"/>
            </w:pPr>
            <w:r>
              <w:t xml:space="preserve"> Nav.</w:t>
            </w:r>
          </w:p>
        </w:tc>
      </w:tr>
    </w:tbl>
    <w:p w:rsidR="00CF2F13" w:rsidRDefault="00CF2F13" w:rsidP="00ED73AB">
      <w:pPr>
        <w:spacing w:after="0" w:line="240" w:lineRule="auto"/>
        <w:ind w:right="140"/>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72"/>
      </w:tblGrid>
      <w:tr w:rsidR="00101B73" w:rsidRPr="003B4F98" w:rsidTr="00303284">
        <w:trPr>
          <w:cantSplit/>
        </w:trPr>
        <w:tc>
          <w:tcPr>
            <w:tcW w:w="9072" w:type="dxa"/>
            <w:shd w:val="clear" w:color="auto" w:fill="auto"/>
            <w:vAlign w:val="center"/>
            <w:hideMark/>
          </w:tcPr>
          <w:p w:rsidR="00101B73" w:rsidRPr="00101B73" w:rsidRDefault="00101B73" w:rsidP="00AE2C0F">
            <w:pPr>
              <w:spacing w:after="0" w:line="240" w:lineRule="auto"/>
              <w:ind w:right="140"/>
              <w:rPr>
                <w:rFonts w:ascii="Times New Roman" w:hAnsi="Times New Roman" w:cs="Times New Roman"/>
                <w:b/>
                <w:bCs/>
                <w:sz w:val="24"/>
                <w:szCs w:val="24"/>
              </w:rPr>
            </w:pPr>
            <w:r w:rsidRPr="00101B73">
              <w:rPr>
                <w:rFonts w:ascii="Times New Roman" w:hAnsi="Times New Roman" w:cs="Times New Roman"/>
                <w:b/>
                <w:bCs/>
                <w:sz w:val="24"/>
                <w:szCs w:val="24"/>
              </w:rPr>
              <w:t>III. Tiesību akta projekta ietekme uz valsts budžetu un pašvaldību budžetiem</w:t>
            </w:r>
          </w:p>
        </w:tc>
      </w:tr>
    </w:tbl>
    <w:tbl>
      <w:tblPr>
        <w:tblStyle w:val="Reatabula"/>
        <w:tblW w:w="0" w:type="auto"/>
        <w:tblLook w:val="04A0" w:firstRow="1" w:lastRow="0" w:firstColumn="1" w:lastColumn="0" w:noHBand="0" w:noVBand="1"/>
      </w:tblPr>
      <w:tblGrid>
        <w:gridCol w:w="9061"/>
      </w:tblGrid>
      <w:tr w:rsidR="00800322" w:rsidRPr="003B4F98" w:rsidTr="00852127">
        <w:tc>
          <w:tcPr>
            <w:tcW w:w="9061" w:type="dxa"/>
            <w:tcBorders>
              <w:bottom w:val="single" w:sz="4" w:space="0" w:color="auto"/>
            </w:tcBorders>
          </w:tcPr>
          <w:p w:rsidR="00800322" w:rsidRPr="003B4F98" w:rsidRDefault="008C56EF" w:rsidP="00ED73AB">
            <w:pPr>
              <w:ind w:right="140"/>
              <w:jc w:val="center"/>
              <w:rPr>
                <w:rFonts w:ascii="Times New Roman" w:hAnsi="Times New Roman" w:cs="Times New Roman"/>
                <w:sz w:val="24"/>
                <w:szCs w:val="24"/>
              </w:rPr>
            </w:pPr>
            <w:r>
              <w:rPr>
                <w:rFonts w:ascii="Times New Roman" w:hAnsi="Times New Roman" w:cs="Times New Roman"/>
                <w:sz w:val="24"/>
                <w:szCs w:val="24"/>
              </w:rPr>
              <w:t xml:space="preserve">Ietekme ir </w:t>
            </w:r>
            <w:r w:rsidRPr="008C56EF">
              <w:rPr>
                <w:rFonts w:ascii="Times New Roman" w:hAnsi="Times New Roman" w:cs="Times New Roman"/>
                <w:sz w:val="24"/>
                <w:szCs w:val="24"/>
              </w:rPr>
              <w:t>noteikt</w:t>
            </w:r>
            <w:r>
              <w:rPr>
                <w:rFonts w:ascii="Times New Roman" w:hAnsi="Times New Roman" w:cs="Times New Roman"/>
                <w:sz w:val="24"/>
                <w:szCs w:val="24"/>
              </w:rPr>
              <w:t>a</w:t>
            </w:r>
            <w:r w:rsidRPr="008C56EF">
              <w:rPr>
                <w:rFonts w:ascii="Times New Roman" w:hAnsi="Times New Roman" w:cs="Times New Roman"/>
                <w:sz w:val="24"/>
                <w:szCs w:val="24"/>
              </w:rPr>
              <w:t xml:space="preserve"> specifiskajos pasākumu noteikumos</w:t>
            </w:r>
          </w:p>
        </w:tc>
      </w:tr>
      <w:tr w:rsidR="00852127" w:rsidRPr="008938D8" w:rsidTr="00852127">
        <w:tc>
          <w:tcPr>
            <w:tcW w:w="9061" w:type="dxa"/>
            <w:tcBorders>
              <w:bottom w:val="single" w:sz="4" w:space="0" w:color="auto"/>
            </w:tcBorders>
          </w:tcPr>
          <w:p w:rsidR="00852127" w:rsidRPr="00852127" w:rsidRDefault="00852127" w:rsidP="00852127">
            <w:pPr>
              <w:spacing w:before="100" w:beforeAutospacing="1" w:after="100" w:afterAutospacing="1" w:line="293" w:lineRule="atLeast"/>
              <w:jc w:val="center"/>
              <w:rPr>
                <w:rFonts w:ascii="Times New Roman" w:hAnsi="Times New Roman" w:cs="Times New Roman"/>
                <w:b/>
                <w:bCs/>
                <w:sz w:val="24"/>
                <w:szCs w:val="24"/>
              </w:rPr>
            </w:pPr>
          </w:p>
        </w:tc>
      </w:tr>
      <w:tr w:rsidR="00852127" w:rsidRPr="008938D8" w:rsidTr="00852127">
        <w:tc>
          <w:tcPr>
            <w:tcW w:w="9061" w:type="dxa"/>
            <w:tcBorders>
              <w:top w:val="single" w:sz="4" w:space="0" w:color="auto"/>
            </w:tcBorders>
            <w:hideMark/>
          </w:tcPr>
          <w:p w:rsidR="00852127" w:rsidRPr="008938D8" w:rsidRDefault="00852127" w:rsidP="00B56FF7">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852127">
              <w:rPr>
                <w:rFonts w:ascii="Times New Roman" w:hAnsi="Times New Roman" w:cs="Times New Roman"/>
                <w:b/>
                <w:bCs/>
                <w:sz w:val="24"/>
                <w:szCs w:val="24"/>
              </w:rPr>
              <w:t>IV. Tiesību akta projekta ietekme uz spēkā esošo tiesību normu sistēmu</w:t>
            </w:r>
          </w:p>
        </w:tc>
      </w:tr>
      <w:tr w:rsidR="00852127" w:rsidRPr="008938D8" w:rsidTr="00852127">
        <w:tc>
          <w:tcPr>
            <w:tcW w:w="9061" w:type="dxa"/>
            <w:hideMark/>
          </w:tcPr>
          <w:p w:rsidR="00852127" w:rsidRPr="008938D8" w:rsidRDefault="00852127" w:rsidP="00852127">
            <w:pPr>
              <w:jc w:val="center"/>
              <w:rPr>
                <w:rFonts w:ascii="Times New Roman" w:eastAsia="Times New Roman" w:hAnsi="Times New Roman" w:cs="Times New Roman"/>
                <w:color w:val="414142"/>
                <w:sz w:val="24"/>
                <w:szCs w:val="24"/>
              </w:rPr>
            </w:pPr>
            <w:r w:rsidRPr="00C36A40">
              <w:rPr>
                <w:rFonts w:ascii="Times New Roman" w:eastAsia="Times New Roman" w:hAnsi="Times New Roman" w:cs="Times New Roman"/>
                <w:color w:val="414142"/>
                <w:sz w:val="24"/>
                <w:szCs w:val="24"/>
              </w:rPr>
              <w:t>Projekts šo jomu neskar.</w:t>
            </w:r>
          </w:p>
        </w:tc>
      </w:tr>
    </w:tbl>
    <w:p w:rsidR="0078218F" w:rsidRPr="003B4F98" w:rsidRDefault="0078218F" w:rsidP="0078218F">
      <w:pPr>
        <w:spacing w:after="0" w:line="240" w:lineRule="auto"/>
        <w:ind w:right="140"/>
        <w:rPr>
          <w:rFonts w:ascii="Times New Roman" w:hAnsi="Times New Roman" w:cs="Times New Roman"/>
          <w:sz w:val="24"/>
          <w:szCs w:val="24"/>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7"/>
      </w:tblGrid>
      <w:tr w:rsidR="006B6DF8" w:rsidRPr="00152E1C" w:rsidTr="006B6DF8">
        <w:trPr>
          <w:trHeight w:val="278"/>
          <w:jc w:val="center"/>
        </w:trPr>
        <w:tc>
          <w:tcPr>
            <w:tcW w:w="9077" w:type="dxa"/>
            <w:tcBorders>
              <w:top w:val="single" w:sz="4" w:space="0" w:color="auto"/>
              <w:left w:val="single" w:sz="4" w:space="0" w:color="auto"/>
              <w:bottom w:val="single" w:sz="4" w:space="0" w:color="auto"/>
              <w:right w:val="single" w:sz="4" w:space="0" w:color="auto"/>
            </w:tcBorders>
            <w:vAlign w:val="center"/>
            <w:hideMark/>
          </w:tcPr>
          <w:p w:rsidR="006B6DF8" w:rsidRPr="000D5B8B" w:rsidRDefault="006B6DF8" w:rsidP="00737296">
            <w:pPr>
              <w:spacing w:after="0" w:line="240" w:lineRule="auto"/>
              <w:rPr>
                <w:rFonts w:ascii="Times New Roman" w:eastAsia="Times New Roman" w:hAnsi="Times New Roman"/>
                <w:b/>
                <w:sz w:val="24"/>
                <w:szCs w:val="24"/>
              </w:rPr>
            </w:pPr>
            <w:r w:rsidRPr="000D5B8B">
              <w:t xml:space="preserve">  </w:t>
            </w:r>
            <w:r w:rsidRPr="000D5B8B">
              <w:rPr>
                <w:rFonts w:ascii="Times New Roman" w:eastAsia="Times New Roman" w:hAnsi="Times New Roman"/>
                <w:b/>
                <w:sz w:val="24"/>
                <w:szCs w:val="24"/>
              </w:rPr>
              <w:t>V. Tiesību akta projekta atbilstība Latvijas Republikas starptautiskajām saistībām</w:t>
            </w:r>
          </w:p>
        </w:tc>
      </w:tr>
      <w:tr w:rsidR="006B6DF8" w:rsidRPr="00523AD7" w:rsidTr="006B6DF8">
        <w:trPr>
          <w:trHeight w:val="278"/>
          <w:jc w:val="center"/>
        </w:trPr>
        <w:tc>
          <w:tcPr>
            <w:tcW w:w="9077" w:type="dxa"/>
            <w:tcBorders>
              <w:top w:val="single" w:sz="4" w:space="0" w:color="auto"/>
              <w:left w:val="single" w:sz="4" w:space="0" w:color="auto"/>
              <w:bottom w:val="single" w:sz="4" w:space="0" w:color="auto"/>
              <w:right w:val="single" w:sz="4" w:space="0" w:color="auto"/>
            </w:tcBorders>
            <w:vAlign w:val="center"/>
          </w:tcPr>
          <w:p w:rsidR="006B6DF8" w:rsidRPr="000D5B8B" w:rsidRDefault="006B6DF8" w:rsidP="00737296">
            <w:pPr>
              <w:spacing w:after="0" w:line="240" w:lineRule="auto"/>
              <w:jc w:val="center"/>
              <w:rPr>
                <w:rFonts w:ascii="Times New Roman" w:eastAsia="Times New Roman" w:hAnsi="Times New Roman"/>
                <w:b/>
                <w:sz w:val="24"/>
                <w:szCs w:val="24"/>
              </w:rPr>
            </w:pPr>
            <w:r w:rsidRPr="000D5B8B">
              <w:rPr>
                <w:rFonts w:ascii="Times New Roman" w:eastAsia="Times New Roman" w:hAnsi="Times New Roman"/>
                <w:spacing w:val="-4"/>
                <w:sz w:val="24"/>
                <w:szCs w:val="24"/>
              </w:rPr>
              <w:t>Projekts šo jomu neskar.</w:t>
            </w:r>
          </w:p>
        </w:tc>
      </w:tr>
    </w:tbl>
    <w:p w:rsidR="006B6DF8" w:rsidRDefault="006B6DF8"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3B4F98" w:rsidTr="00472586">
        <w:trPr>
          <w:trHeight w:val="421"/>
          <w:jc w:val="center"/>
        </w:trPr>
        <w:tc>
          <w:tcPr>
            <w:tcW w:w="9067" w:type="dxa"/>
            <w:gridSpan w:val="3"/>
            <w:vAlign w:val="center"/>
          </w:tcPr>
          <w:p w:rsidR="000330A2" w:rsidRPr="003B4F98" w:rsidRDefault="000330A2" w:rsidP="00ED73AB">
            <w:pPr>
              <w:pStyle w:val="naisnod"/>
              <w:spacing w:before="0" w:beforeAutospacing="0" w:after="0" w:afterAutospacing="0"/>
              <w:ind w:left="57" w:right="140"/>
              <w:jc w:val="center"/>
            </w:pPr>
            <w:r w:rsidRPr="003B4F98">
              <w:rPr>
                <w:b/>
              </w:rPr>
              <w:t>VI. Sabiedrības līdzdalība un komunikācijas aktivitātes</w:t>
            </w:r>
          </w:p>
        </w:tc>
      </w:tr>
      <w:tr w:rsidR="000330A2" w:rsidRPr="003B4F98" w:rsidTr="006B6DF8">
        <w:trPr>
          <w:trHeight w:val="1185"/>
          <w:jc w:val="center"/>
        </w:trPr>
        <w:tc>
          <w:tcPr>
            <w:tcW w:w="476" w:type="dxa"/>
          </w:tcPr>
          <w:p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1.</w:t>
            </w:r>
          </w:p>
        </w:tc>
        <w:tc>
          <w:tcPr>
            <w:tcW w:w="2842" w:type="dxa"/>
          </w:tcPr>
          <w:p w:rsidR="000330A2" w:rsidRPr="003B4F98" w:rsidRDefault="000330A2" w:rsidP="00ED73AB">
            <w:pPr>
              <w:tabs>
                <w:tab w:val="left" w:pos="170"/>
              </w:tabs>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Plānotās sabiedrības līdzdalības un komunikācijas aktivitātes saistībā ar projektu</w:t>
            </w:r>
          </w:p>
        </w:tc>
        <w:tc>
          <w:tcPr>
            <w:tcW w:w="5749" w:type="dxa"/>
          </w:tcPr>
          <w:p w:rsidR="000330A2" w:rsidRPr="003B4F98" w:rsidRDefault="00D753B9" w:rsidP="00612A2B">
            <w:pPr>
              <w:shd w:val="clear" w:color="auto" w:fill="FFFFFF"/>
              <w:spacing w:after="0" w:line="240" w:lineRule="auto"/>
              <w:ind w:right="140"/>
              <w:jc w:val="both"/>
              <w:rPr>
                <w:rFonts w:ascii="Times New Roman" w:hAnsi="Times New Roman" w:cs="Times New Roman"/>
                <w:sz w:val="24"/>
                <w:szCs w:val="24"/>
              </w:rPr>
            </w:pPr>
            <w:bookmarkStart w:id="3" w:name="p61"/>
            <w:bookmarkEnd w:id="3"/>
            <w:r w:rsidRPr="003B4F98">
              <w:rPr>
                <w:rFonts w:ascii="Times New Roman" w:hAnsi="Times New Roman" w:cs="Times New Roman"/>
                <w:sz w:val="24"/>
                <w:szCs w:val="24"/>
              </w:rPr>
              <w:t xml:space="preserve">Informācija par noteikumu projektu ievietota tīmekļvietnē </w:t>
            </w:r>
            <w:hyperlink r:id="rId8" w:history="1">
              <w:r w:rsidR="001D6210" w:rsidRPr="00111139">
                <w:rPr>
                  <w:rStyle w:val="Hipersaite"/>
                  <w:rFonts w:ascii="Times New Roman" w:hAnsi="Times New Roman" w:cs="Times New Roman"/>
                  <w:sz w:val="24"/>
                  <w:szCs w:val="24"/>
                </w:rPr>
                <w:t>www.zm.gov.lv</w:t>
              </w:r>
            </w:hyperlink>
            <w:r w:rsidRPr="003B4F98">
              <w:rPr>
                <w:rFonts w:ascii="Times New Roman" w:hAnsi="Times New Roman" w:cs="Times New Roman"/>
                <w:sz w:val="24"/>
                <w:szCs w:val="24"/>
              </w:rPr>
              <w:t xml:space="preserve">. </w:t>
            </w:r>
            <w:r w:rsidR="003474B0">
              <w:rPr>
                <w:rFonts w:ascii="Times New Roman" w:hAnsi="Times New Roman" w:cs="Times New Roman"/>
                <w:sz w:val="24"/>
                <w:szCs w:val="24"/>
              </w:rPr>
              <w:t>Iebildumi netika saņemti.</w:t>
            </w:r>
          </w:p>
        </w:tc>
      </w:tr>
      <w:tr w:rsidR="000330A2" w:rsidRPr="003B4F98" w:rsidTr="00472586">
        <w:trPr>
          <w:trHeight w:val="339"/>
          <w:jc w:val="center"/>
        </w:trPr>
        <w:tc>
          <w:tcPr>
            <w:tcW w:w="476" w:type="dxa"/>
          </w:tcPr>
          <w:p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2.</w:t>
            </w:r>
          </w:p>
        </w:tc>
        <w:tc>
          <w:tcPr>
            <w:tcW w:w="2842" w:type="dxa"/>
          </w:tcPr>
          <w:p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 projekta izstrādē</w:t>
            </w:r>
          </w:p>
        </w:tc>
        <w:tc>
          <w:tcPr>
            <w:tcW w:w="5749" w:type="dxa"/>
          </w:tcPr>
          <w:p w:rsidR="00DB3A43" w:rsidRPr="003B4F98" w:rsidRDefault="00A45C49" w:rsidP="008E4F49">
            <w:pPr>
              <w:shd w:val="clear" w:color="auto" w:fill="FFFFFF"/>
              <w:spacing w:after="0" w:line="240" w:lineRule="auto"/>
              <w:ind w:right="140"/>
              <w:jc w:val="both"/>
              <w:rPr>
                <w:rFonts w:ascii="Times New Roman" w:hAnsi="Times New Roman" w:cs="Times New Roman"/>
                <w:sz w:val="24"/>
                <w:szCs w:val="24"/>
              </w:rPr>
            </w:pPr>
            <w:bookmarkStart w:id="4" w:name="p62"/>
            <w:bookmarkEnd w:id="4"/>
            <w:r>
              <w:rPr>
                <w:rFonts w:ascii="Times New Roman" w:hAnsi="Times New Roman" w:cs="Times New Roman"/>
                <w:sz w:val="24"/>
                <w:szCs w:val="24"/>
              </w:rPr>
              <w:t>-</w:t>
            </w:r>
          </w:p>
        </w:tc>
      </w:tr>
      <w:tr w:rsidR="000330A2" w:rsidRPr="003B4F98" w:rsidTr="00472586">
        <w:trPr>
          <w:trHeight w:val="476"/>
          <w:jc w:val="center"/>
        </w:trPr>
        <w:tc>
          <w:tcPr>
            <w:tcW w:w="476" w:type="dxa"/>
          </w:tcPr>
          <w:p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3.</w:t>
            </w:r>
          </w:p>
        </w:tc>
        <w:tc>
          <w:tcPr>
            <w:tcW w:w="2842" w:type="dxa"/>
          </w:tcPr>
          <w:p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līdzdalības rezultāti</w:t>
            </w:r>
          </w:p>
        </w:tc>
        <w:tc>
          <w:tcPr>
            <w:tcW w:w="5749" w:type="dxa"/>
          </w:tcPr>
          <w:p w:rsidR="00530E21" w:rsidRPr="003B4F98" w:rsidRDefault="00A45C49" w:rsidP="0090297D">
            <w:pPr>
              <w:shd w:val="clear" w:color="auto" w:fill="FFFFFF"/>
              <w:spacing w:after="0" w:line="240" w:lineRule="auto"/>
              <w:ind w:right="1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30A2" w:rsidRPr="003B4F98" w:rsidTr="00472586">
        <w:trPr>
          <w:trHeight w:val="476"/>
          <w:jc w:val="center"/>
        </w:trPr>
        <w:tc>
          <w:tcPr>
            <w:tcW w:w="476" w:type="dxa"/>
          </w:tcPr>
          <w:p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4.</w:t>
            </w:r>
          </w:p>
        </w:tc>
        <w:tc>
          <w:tcPr>
            <w:tcW w:w="2842" w:type="dxa"/>
          </w:tcPr>
          <w:p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Cita informācija</w:t>
            </w:r>
          </w:p>
        </w:tc>
        <w:tc>
          <w:tcPr>
            <w:tcW w:w="5749" w:type="dxa"/>
          </w:tcPr>
          <w:p w:rsidR="000330A2" w:rsidRPr="003B4F98" w:rsidRDefault="00897834" w:rsidP="00ED73AB">
            <w:pPr>
              <w:spacing w:after="0" w:line="240" w:lineRule="auto"/>
              <w:ind w:left="169"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rsidR="00472586" w:rsidRPr="003B4F98"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819"/>
        <w:gridCol w:w="5811"/>
      </w:tblGrid>
      <w:tr w:rsidR="000330A2" w:rsidRPr="003B4F98" w:rsidTr="00472586">
        <w:trPr>
          <w:trHeight w:val="381"/>
          <w:jc w:val="center"/>
        </w:trPr>
        <w:tc>
          <w:tcPr>
            <w:tcW w:w="9067" w:type="dxa"/>
            <w:gridSpan w:val="3"/>
            <w:vAlign w:val="center"/>
          </w:tcPr>
          <w:p w:rsidR="000330A2" w:rsidRPr="003B4F98" w:rsidRDefault="000330A2" w:rsidP="00ED73AB">
            <w:pPr>
              <w:pStyle w:val="naisnod"/>
              <w:spacing w:before="0" w:beforeAutospacing="0" w:after="0" w:afterAutospacing="0"/>
              <w:ind w:left="57" w:right="140"/>
              <w:jc w:val="center"/>
            </w:pPr>
            <w:r w:rsidRPr="003B4F98">
              <w:rPr>
                <w:b/>
              </w:rPr>
              <w:t>VII. Tiesību akta projekta izpildes nodrošināšana un tās ietekme uz institūcijām</w:t>
            </w:r>
          </w:p>
        </w:tc>
      </w:tr>
      <w:tr w:rsidR="00897834" w:rsidRPr="003B4F98" w:rsidTr="00E2592D">
        <w:trPr>
          <w:trHeight w:val="427"/>
          <w:jc w:val="center"/>
        </w:trPr>
        <w:tc>
          <w:tcPr>
            <w:tcW w:w="437" w:type="dxa"/>
          </w:tcPr>
          <w:p w:rsidR="00897834" w:rsidRPr="003B4F98" w:rsidRDefault="00897834" w:rsidP="00ED73AB">
            <w:pPr>
              <w:pStyle w:val="naisnod"/>
              <w:spacing w:before="0" w:beforeAutospacing="0" w:after="0" w:afterAutospacing="0"/>
              <w:ind w:left="57" w:right="140"/>
              <w:jc w:val="both"/>
            </w:pPr>
            <w:r w:rsidRPr="003B4F98">
              <w:t>1.</w:t>
            </w:r>
          </w:p>
        </w:tc>
        <w:tc>
          <w:tcPr>
            <w:tcW w:w="2819" w:type="dxa"/>
          </w:tcPr>
          <w:p w:rsidR="00897834" w:rsidRPr="003B4F98" w:rsidRDefault="00897834" w:rsidP="00ED73AB">
            <w:pPr>
              <w:pStyle w:val="naisf"/>
              <w:spacing w:before="0" w:beforeAutospacing="0" w:after="0" w:afterAutospacing="0"/>
              <w:ind w:left="57" w:right="140"/>
            </w:pPr>
            <w:r w:rsidRPr="003B4F98">
              <w:t>Projekta izpildē iesaistītās institūcijas</w:t>
            </w:r>
          </w:p>
        </w:tc>
        <w:tc>
          <w:tcPr>
            <w:tcW w:w="5811" w:type="dxa"/>
          </w:tcPr>
          <w:p w:rsidR="00897834" w:rsidRPr="003B4F98" w:rsidRDefault="00897834" w:rsidP="00FD580D">
            <w:pPr>
              <w:pStyle w:val="naisnod"/>
              <w:spacing w:before="0" w:after="0"/>
              <w:ind w:left="57" w:right="140" w:hanging="57"/>
              <w:jc w:val="both"/>
            </w:pPr>
            <w:bookmarkStart w:id="5" w:name="p66"/>
            <w:bookmarkStart w:id="6" w:name="p67"/>
            <w:bookmarkStart w:id="7" w:name="p68"/>
            <w:bookmarkStart w:id="8" w:name="p69"/>
            <w:bookmarkEnd w:id="5"/>
            <w:bookmarkEnd w:id="6"/>
            <w:bookmarkEnd w:id="7"/>
            <w:bookmarkEnd w:id="8"/>
            <w:r w:rsidRPr="003B4F98">
              <w:rPr>
                <w:iCs/>
              </w:rPr>
              <w:t>Noteikumu projekta izpildi nodrošinās Zemkopības ministrija un Lauku atbalsta dienests.</w:t>
            </w:r>
          </w:p>
        </w:tc>
      </w:tr>
      <w:tr w:rsidR="00897834" w:rsidRPr="003B4F98" w:rsidTr="00E2592D">
        <w:trPr>
          <w:trHeight w:val="463"/>
          <w:jc w:val="center"/>
        </w:trPr>
        <w:tc>
          <w:tcPr>
            <w:tcW w:w="437" w:type="dxa"/>
          </w:tcPr>
          <w:p w:rsidR="00897834" w:rsidRPr="003B4F98" w:rsidRDefault="00897834" w:rsidP="00ED73AB">
            <w:pPr>
              <w:pStyle w:val="naisnod"/>
              <w:spacing w:before="0" w:beforeAutospacing="0" w:after="0" w:afterAutospacing="0"/>
              <w:ind w:left="57" w:right="140"/>
              <w:jc w:val="both"/>
            </w:pPr>
            <w:r w:rsidRPr="003B4F98">
              <w:lastRenderedPageBreak/>
              <w:t>2.</w:t>
            </w:r>
          </w:p>
        </w:tc>
        <w:tc>
          <w:tcPr>
            <w:tcW w:w="2819" w:type="dxa"/>
          </w:tcPr>
          <w:p w:rsidR="00897834" w:rsidRPr="003B4F98" w:rsidRDefault="00897834" w:rsidP="00ED73AB">
            <w:pPr>
              <w:pStyle w:val="naisf"/>
              <w:spacing w:before="0" w:beforeAutospacing="0" w:after="0" w:afterAutospacing="0"/>
              <w:ind w:left="57" w:right="140"/>
            </w:pPr>
            <w:r w:rsidRPr="003B4F98">
              <w:t>Projekta izpildes ietekme uz pār</w:t>
            </w:r>
            <w:r w:rsidRPr="003B4F98">
              <w:softHyphen/>
              <w:t>valdes funkcijām un institucionālo struktūru.</w:t>
            </w:r>
          </w:p>
          <w:p w:rsidR="00897834" w:rsidRPr="003B4F98" w:rsidRDefault="00897834" w:rsidP="00ED73AB">
            <w:pPr>
              <w:pStyle w:val="naisf"/>
              <w:spacing w:before="0" w:beforeAutospacing="0" w:after="0" w:afterAutospacing="0"/>
              <w:ind w:left="57" w:right="140"/>
            </w:pPr>
            <w:r w:rsidRPr="003B4F98">
              <w:t>Jaunu institūciju izveide, esošu institūciju likvidācija vai reorga</w:t>
            </w:r>
            <w:r w:rsidRPr="003B4F98">
              <w:softHyphen/>
              <w:t>nizācija, to ietekme uz institūcijas cilvēkresursiem.</w:t>
            </w:r>
          </w:p>
        </w:tc>
        <w:tc>
          <w:tcPr>
            <w:tcW w:w="5811" w:type="dxa"/>
          </w:tcPr>
          <w:p w:rsidR="00897834" w:rsidRPr="003B4F98" w:rsidRDefault="00897834" w:rsidP="00FD580D">
            <w:pPr>
              <w:pStyle w:val="naisnod"/>
              <w:spacing w:before="0" w:after="0"/>
              <w:ind w:left="57" w:right="140" w:hanging="57"/>
              <w:jc w:val="both"/>
            </w:pPr>
            <w:r w:rsidRPr="003B4F98">
              <w:t xml:space="preserve">Projekts </w:t>
            </w:r>
            <w:r w:rsidR="008544EA" w:rsidRPr="003B4F98">
              <w:t xml:space="preserve">neietekmē pārvaldes funkcijas un uzdevumus, </w:t>
            </w:r>
            <w:r w:rsidR="006C485A" w:rsidRPr="003B4F98">
              <w:t>ne</w:t>
            </w:r>
            <w:r w:rsidR="008544EA" w:rsidRPr="003B4F98">
              <w:t xml:space="preserve"> arī institucionālo struktūru.</w:t>
            </w:r>
          </w:p>
        </w:tc>
      </w:tr>
      <w:tr w:rsidR="000330A2" w:rsidRPr="003B4F98" w:rsidTr="00E2592D">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3B4F98" w:rsidRDefault="000330A2" w:rsidP="00ED73AB">
            <w:pPr>
              <w:pStyle w:val="naisnod"/>
              <w:spacing w:before="0" w:beforeAutospacing="0" w:after="0" w:afterAutospacing="0"/>
              <w:ind w:left="57" w:right="140"/>
              <w:jc w:val="both"/>
            </w:pPr>
            <w:r w:rsidRPr="003B4F98">
              <w:t>3.</w:t>
            </w:r>
          </w:p>
        </w:tc>
        <w:tc>
          <w:tcPr>
            <w:tcW w:w="2819" w:type="dxa"/>
            <w:tcBorders>
              <w:top w:val="single" w:sz="4" w:space="0" w:color="auto"/>
              <w:left w:val="single" w:sz="4" w:space="0" w:color="auto"/>
              <w:bottom w:val="single" w:sz="4" w:space="0" w:color="auto"/>
              <w:right w:val="single" w:sz="4" w:space="0" w:color="auto"/>
            </w:tcBorders>
          </w:tcPr>
          <w:p w:rsidR="000330A2" w:rsidRPr="003B4F98" w:rsidRDefault="000330A2" w:rsidP="00ED73AB">
            <w:pPr>
              <w:pStyle w:val="naisf"/>
              <w:spacing w:before="0" w:beforeAutospacing="0" w:after="0" w:afterAutospacing="0"/>
              <w:ind w:left="57" w:right="140"/>
            </w:pPr>
            <w:r w:rsidRPr="003B4F98">
              <w:t>Cita informācija</w:t>
            </w:r>
          </w:p>
        </w:tc>
        <w:tc>
          <w:tcPr>
            <w:tcW w:w="5811" w:type="dxa"/>
            <w:tcBorders>
              <w:top w:val="single" w:sz="4" w:space="0" w:color="auto"/>
              <w:left w:val="single" w:sz="4" w:space="0" w:color="auto"/>
              <w:bottom w:val="single" w:sz="4" w:space="0" w:color="auto"/>
              <w:right w:val="single" w:sz="4" w:space="0" w:color="auto"/>
            </w:tcBorders>
          </w:tcPr>
          <w:p w:rsidR="000330A2" w:rsidRPr="003B4F98" w:rsidRDefault="00897834" w:rsidP="00ED73AB">
            <w:pPr>
              <w:spacing w:after="0" w:line="240" w:lineRule="auto"/>
              <w:ind w:left="57"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rsidR="00C56B69" w:rsidRDefault="00C56B69" w:rsidP="00ED73AB">
      <w:pPr>
        <w:spacing w:after="0" w:line="240" w:lineRule="auto"/>
        <w:ind w:right="140"/>
        <w:jc w:val="both"/>
        <w:rPr>
          <w:rFonts w:eastAsia="Calibri"/>
          <w:sz w:val="28"/>
          <w:szCs w:val="28"/>
          <w:lang w:eastAsia="en-US"/>
        </w:rPr>
      </w:pPr>
    </w:p>
    <w:p w:rsidR="00697844" w:rsidRDefault="000179E0" w:rsidP="00ED73AB">
      <w:pPr>
        <w:spacing w:after="0" w:line="240" w:lineRule="auto"/>
        <w:ind w:right="140"/>
        <w:rPr>
          <w:rFonts w:ascii="Times New Roman" w:eastAsia="Times New Roman" w:hAnsi="Times New Roman" w:cs="Times New Roman"/>
          <w:sz w:val="28"/>
          <w:szCs w:val="28"/>
        </w:rPr>
      </w:pPr>
      <w:r w:rsidRPr="003B4F98">
        <w:rPr>
          <w:rFonts w:ascii="Times New Roman" w:eastAsia="Times New Roman" w:hAnsi="Times New Roman" w:cs="Times New Roman"/>
          <w:sz w:val="28"/>
          <w:szCs w:val="28"/>
        </w:rPr>
        <w:tab/>
      </w:r>
    </w:p>
    <w:p w:rsidR="00697844" w:rsidRDefault="00697844" w:rsidP="00ED73AB">
      <w:pPr>
        <w:spacing w:after="0" w:line="240" w:lineRule="auto"/>
        <w:ind w:right="140"/>
        <w:rPr>
          <w:rFonts w:ascii="Times New Roman" w:eastAsia="Times New Roman" w:hAnsi="Times New Roman" w:cs="Times New Roman"/>
          <w:sz w:val="28"/>
          <w:szCs w:val="28"/>
        </w:rPr>
      </w:pPr>
    </w:p>
    <w:p w:rsidR="00360EDE" w:rsidRPr="003B4F98" w:rsidRDefault="00360EDE" w:rsidP="00697844">
      <w:pPr>
        <w:spacing w:after="0" w:line="240" w:lineRule="auto"/>
        <w:ind w:right="140"/>
        <w:jc w:val="center"/>
        <w:rPr>
          <w:rFonts w:ascii="Times New Roman" w:eastAsia="Times New Roman" w:hAnsi="Times New Roman" w:cs="Times New Roman"/>
          <w:sz w:val="28"/>
          <w:szCs w:val="28"/>
        </w:rPr>
      </w:pPr>
      <w:r w:rsidRPr="003B4F98">
        <w:rPr>
          <w:rFonts w:ascii="Times New Roman" w:eastAsia="Times New Roman" w:hAnsi="Times New Roman" w:cs="Times New Roman"/>
          <w:sz w:val="28"/>
          <w:szCs w:val="28"/>
        </w:rPr>
        <w:t>Zemkopības ministr</w:t>
      </w:r>
      <w:r w:rsidR="00CF7196" w:rsidRPr="003B4F98">
        <w:rPr>
          <w:rFonts w:ascii="Times New Roman" w:eastAsia="Times New Roman" w:hAnsi="Times New Roman" w:cs="Times New Roman"/>
          <w:sz w:val="28"/>
          <w:szCs w:val="28"/>
        </w:rPr>
        <w:t>s</w:t>
      </w:r>
      <w:r w:rsidRPr="003B4F98">
        <w:rPr>
          <w:rFonts w:ascii="Times New Roman" w:eastAsia="Times New Roman" w:hAnsi="Times New Roman" w:cs="Times New Roman"/>
          <w:sz w:val="28"/>
          <w:szCs w:val="28"/>
        </w:rPr>
        <w:t xml:space="preserve"> </w:t>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0A787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BC4BC9" w:rsidRPr="003B4F98">
        <w:rPr>
          <w:rFonts w:ascii="Times New Roman" w:eastAsia="Times New Roman" w:hAnsi="Times New Roman" w:cs="Times New Roman"/>
          <w:sz w:val="28"/>
          <w:szCs w:val="28"/>
        </w:rPr>
        <w:t>K</w:t>
      </w:r>
      <w:r w:rsidR="000A7878">
        <w:rPr>
          <w:rFonts w:ascii="Times New Roman" w:eastAsia="Times New Roman" w:hAnsi="Times New Roman" w:cs="Times New Roman"/>
          <w:sz w:val="28"/>
          <w:szCs w:val="28"/>
        </w:rPr>
        <w:t>.</w:t>
      </w:r>
      <w:r w:rsidR="00BC4BC9" w:rsidRPr="003B4F98">
        <w:rPr>
          <w:rFonts w:ascii="Times New Roman" w:eastAsia="Times New Roman" w:hAnsi="Times New Roman" w:cs="Times New Roman"/>
          <w:sz w:val="28"/>
          <w:szCs w:val="28"/>
        </w:rPr>
        <w:t xml:space="preserve"> Gerhards</w:t>
      </w:r>
    </w:p>
    <w:p w:rsidR="00BC4BC9" w:rsidRDefault="00BC4BC9" w:rsidP="00ED73AB">
      <w:pPr>
        <w:spacing w:after="0" w:line="240" w:lineRule="auto"/>
        <w:ind w:right="140"/>
        <w:rPr>
          <w:rFonts w:ascii="Times New Roman" w:hAnsi="Times New Roman" w:cs="Times New Roman"/>
          <w:sz w:val="20"/>
          <w:szCs w:val="20"/>
        </w:rPr>
      </w:pPr>
    </w:p>
    <w:p w:rsidR="00697844" w:rsidRDefault="00697844" w:rsidP="00E34DC6">
      <w:pPr>
        <w:spacing w:after="0" w:line="240" w:lineRule="auto"/>
        <w:ind w:right="140"/>
        <w:rPr>
          <w:rFonts w:ascii="Times New Roman" w:hAnsi="Times New Roman" w:cs="Times New Roman"/>
          <w:sz w:val="24"/>
          <w:szCs w:val="24"/>
        </w:rPr>
      </w:pPr>
    </w:p>
    <w:p w:rsidR="00697844" w:rsidRDefault="00697844" w:rsidP="00E34DC6">
      <w:pPr>
        <w:spacing w:after="0" w:line="240" w:lineRule="auto"/>
        <w:ind w:right="140"/>
        <w:rPr>
          <w:rFonts w:ascii="Times New Roman" w:hAnsi="Times New Roman" w:cs="Times New Roman"/>
          <w:sz w:val="24"/>
          <w:szCs w:val="24"/>
        </w:rPr>
      </w:pPr>
    </w:p>
    <w:p w:rsidR="00697844" w:rsidRDefault="00697844"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p>
    <w:p w:rsidR="00727812" w:rsidRDefault="00727812" w:rsidP="00E34DC6">
      <w:pPr>
        <w:spacing w:after="0" w:line="240" w:lineRule="auto"/>
        <w:ind w:right="140"/>
        <w:rPr>
          <w:rFonts w:ascii="Times New Roman" w:hAnsi="Times New Roman" w:cs="Times New Roman"/>
          <w:sz w:val="24"/>
          <w:szCs w:val="24"/>
        </w:rPr>
      </w:pPr>
      <w:bookmarkStart w:id="9" w:name="_GoBack"/>
      <w:bookmarkEnd w:id="9"/>
    </w:p>
    <w:p w:rsidR="00697844" w:rsidRDefault="00697844" w:rsidP="00E34DC6">
      <w:pPr>
        <w:spacing w:after="0" w:line="240" w:lineRule="auto"/>
        <w:ind w:right="140"/>
        <w:rPr>
          <w:rFonts w:ascii="Times New Roman" w:hAnsi="Times New Roman" w:cs="Times New Roman"/>
          <w:sz w:val="24"/>
          <w:szCs w:val="24"/>
        </w:rPr>
      </w:pPr>
    </w:p>
    <w:p w:rsidR="00E34DC6" w:rsidRPr="00E34DC6" w:rsidRDefault="00871880" w:rsidP="00E34DC6">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Baranovska</w:t>
      </w:r>
      <w:r w:rsidR="00E34DC6" w:rsidRPr="00E34DC6">
        <w:rPr>
          <w:rFonts w:ascii="Times New Roman" w:hAnsi="Times New Roman" w:cs="Times New Roman"/>
          <w:sz w:val="24"/>
          <w:szCs w:val="24"/>
        </w:rPr>
        <w:t xml:space="preserve"> </w:t>
      </w:r>
      <w:r w:rsidRPr="00871880">
        <w:rPr>
          <w:rFonts w:ascii="Times New Roman" w:hAnsi="Times New Roman" w:cs="Times New Roman"/>
          <w:sz w:val="24"/>
          <w:szCs w:val="24"/>
        </w:rPr>
        <w:t>67878726</w:t>
      </w:r>
    </w:p>
    <w:p w:rsidR="000330A2" w:rsidRPr="000179E0" w:rsidRDefault="00727812" w:rsidP="00E34DC6">
      <w:pPr>
        <w:spacing w:after="0" w:line="240" w:lineRule="auto"/>
        <w:ind w:right="140"/>
        <w:rPr>
          <w:rFonts w:ascii="Times New Roman" w:hAnsi="Times New Roman" w:cs="Times New Roman"/>
          <w:sz w:val="24"/>
          <w:szCs w:val="24"/>
        </w:rPr>
      </w:pPr>
      <w:hyperlink r:id="rId9" w:history="1">
        <w:r w:rsidR="00871880" w:rsidRPr="00D31778">
          <w:rPr>
            <w:rStyle w:val="Hipersaite"/>
            <w:rFonts w:ascii="Times New Roman" w:hAnsi="Times New Roman" w:cs="Times New Roman"/>
            <w:sz w:val="24"/>
            <w:szCs w:val="24"/>
          </w:rPr>
          <w:t>Karina.Baranovska@zm.gov.lv</w:t>
        </w:r>
      </w:hyperlink>
      <w:r w:rsidR="00871880">
        <w:rPr>
          <w:rFonts w:ascii="Times New Roman" w:hAnsi="Times New Roman" w:cs="Times New Roman"/>
          <w:sz w:val="24"/>
          <w:szCs w:val="24"/>
        </w:rPr>
        <w:t xml:space="preserve"> </w:t>
      </w:r>
    </w:p>
    <w:sectPr w:rsidR="000330A2" w:rsidRPr="000179E0" w:rsidSect="000A7878">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E94" w:rsidRDefault="00985E94" w:rsidP="00B43E45">
      <w:pPr>
        <w:spacing w:after="0" w:line="240" w:lineRule="auto"/>
      </w:pPr>
      <w:r>
        <w:separator/>
      </w:r>
    </w:p>
  </w:endnote>
  <w:endnote w:type="continuationSeparator" w:id="0">
    <w:p w:rsidR="00985E94" w:rsidRDefault="00985E94"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8D" w:rsidRPr="00727812" w:rsidRDefault="00727812" w:rsidP="00727812">
    <w:pPr>
      <w:pStyle w:val="Kjene"/>
    </w:pPr>
    <w:r w:rsidRPr="00727812">
      <w:rPr>
        <w:rFonts w:ascii="Times New Roman" w:hAnsi="Times New Roman" w:cs="Times New Roman"/>
        <w:sz w:val="20"/>
        <w:szCs w:val="20"/>
      </w:rPr>
      <w:t>ZManot_080421_Groz_598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8D" w:rsidRPr="00727812" w:rsidRDefault="00727812" w:rsidP="00727812">
    <w:pPr>
      <w:pStyle w:val="Kjene"/>
    </w:pPr>
    <w:r w:rsidRPr="00727812">
      <w:rPr>
        <w:rFonts w:ascii="Times New Roman" w:hAnsi="Times New Roman" w:cs="Times New Roman"/>
        <w:sz w:val="20"/>
        <w:szCs w:val="20"/>
      </w:rPr>
      <w:t>ZManot_080421_Groz_598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E94" w:rsidRDefault="00985E94" w:rsidP="00B43E45">
      <w:pPr>
        <w:spacing w:after="0" w:line="240" w:lineRule="auto"/>
      </w:pPr>
      <w:r>
        <w:separator/>
      </w:r>
    </w:p>
  </w:footnote>
  <w:footnote w:type="continuationSeparator" w:id="0">
    <w:p w:rsidR="00985E94" w:rsidRDefault="00985E94"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rsidR="001F378D" w:rsidRPr="00760B61" w:rsidRDefault="0004508B">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1F378D"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9337B2">
          <w:rPr>
            <w:rFonts w:ascii="Times New Roman" w:hAnsi="Times New Roman" w:cs="Times New Roman"/>
            <w:noProof/>
            <w:sz w:val="24"/>
          </w:rPr>
          <w:t>3</w:t>
        </w:r>
        <w:r w:rsidRPr="00760B61">
          <w:rPr>
            <w:rFonts w:ascii="Times New Roman" w:hAnsi="Times New Roman" w:cs="Times New Roman"/>
            <w:sz w:val="24"/>
          </w:rPr>
          <w:fldChar w:fldCharType="end"/>
        </w:r>
      </w:p>
    </w:sdtContent>
  </w:sdt>
  <w:p w:rsidR="001F378D" w:rsidRPr="00760B61" w:rsidRDefault="001F378D">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8F8"/>
    <w:multiLevelType w:val="hybridMultilevel"/>
    <w:tmpl w:val="7E6ECF16"/>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84BAD"/>
    <w:multiLevelType w:val="hybridMultilevel"/>
    <w:tmpl w:val="DB3ABE0E"/>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15:restartNumberingAfterBreak="0">
    <w:nsid w:val="221E0275"/>
    <w:multiLevelType w:val="hybridMultilevel"/>
    <w:tmpl w:val="E250D072"/>
    <w:lvl w:ilvl="0" w:tplc="2264C082">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D53A4A"/>
    <w:multiLevelType w:val="hybridMultilevel"/>
    <w:tmpl w:val="EDFEE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0565C1"/>
    <w:multiLevelType w:val="hybridMultilevel"/>
    <w:tmpl w:val="C4FEF87E"/>
    <w:lvl w:ilvl="0" w:tplc="437432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31AF4C31"/>
    <w:multiLevelType w:val="hybridMultilevel"/>
    <w:tmpl w:val="DEEED944"/>
    <w:lvl w:ilvl="0" w:tplc="714CC8E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7" w15:restartNumberingAfterBreak="0">
    <w:nsid w:val="36B03C4D"/>
    <w:multiLevelType w:val="hybridMultilevel"/>
    <w:tmpl w:val="F5020AD8"/>
    <w:lvl w:ilvl="0" w:tplc="04260001">
      <w:start w:val="2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594CE1"/>
    <w:multiLevelType w:val="hybridMultilevel"/>
    <w:tmpl w:val="0F90675E"/>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996459"/>
    <w:multiLevelType w:val="hybridMultilevel"/>
    <w:tmpl w:val="55E6CD14"/>
    <w:lvl w:ilvl="0" w:tplc="FBEACAB0">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0" w15:restartNumberingAfterBreak="0">
    <w:nsid w:val="64ED2FDD"/>
    <w:multiLevelType w:val="hybridMultilevel"/>
    <w:tmpl w:val="C26C2E3C"/>
    <w:lvl w:ilvl="0" w:tplc="04260003">
      <w:start w:val="1"/>
      <w:numFmt w:val="bullet"/>
      <w:lvlText w:val="o"/>
      <w:lvlJc w:val="left"/>
      <w:pPr>
        <w:ind w:left="924" w:hanging="360"/>
      </w:pPr>
      <w:rPr>
        <w:rFonts w:ascii="Courier New" w:hAnsi="Courier New" w:cs="Courier New"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11" w15:restartNumberingAfterBreak="0">
    <w:nsid w:val="6B223316"/>
    <w:multiLevelType w:val="hybridMultilevel"/>
    <w:tmpl w:val="7346C8EE"/>
    <w:lvl w:ilvl="0" w:tplc="738E9B32">
      <w:start w:val="1"/>
      <w:numFmt w:val="decimal"/>
      <w:lvlText w:val="%1)"/>
      <w:lvlJc w:val="left"/>
      <w:pPr>
        <w:ind w:left="480" w:hanging="360"/>
      </w:pPr>
      <w:rPr>
        <w:rFonts w:eastAsia="Times New Roman"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2" w15:restartNumberingAfterBreak="0">
    <w:nsid w:val="76587051"/>
    <w:multiLevelType w:val="hybridMultilevel"/>
    <w:tmpl w:val="635A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9FB736F"/>
    <w:multiLevelType w:val="hybridMultilevel"/>
    <w:tmpl w:val="00C01130"/>
    <w:lvl w:ilvl="0" w:tplc="E8BE8398">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num w:numId="1">
    <w:abstractNumId w:val="6"/>
  </w:num>
  <w:num w:numId="2">
    <w:abstractNumId w:val="11"/>
  </w:num>
  <w:num w:numId="3">
    <w:abstractNumId w:val="5"/>
  </w:num>
  <w:num w:numId="4">
    <w:abstractNumId w:val="9"/>
  </w:num>
  <w:num w:numId="5">
    <w:abstractNumId w:val="13"/>
  </w:num>
  <w:num w:numId="6">
    <w:abstractNumId w:val="7"/>
  </w:num>
  <w:num w:numId="7">
    <w:abstractNumId w:val="1"/>
  </w:num>
  <w:num w:numId="8">
    <w:abstractNumId w:val="2"/>
  </w:num>
  <w:num w:numId="9">
    <w:abstractNumId w:val="12"/>
  </w:num>
  <w:num w:numId="10">
    <w:abstractNumId w:val="4"/>
  </w:num>
  <w:num w:numId="11">
    <w:abstractNumId w:val="3"/>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17"/>
    <w:rsid w:val="00000A3C"/>
    <w:rsid w:val="00002603"/>
    <w:rsid w:val="00004CF8"/>
    <w:rsid w:val="000066A0"/>
    <w:rsid w:val="00012BE3"/>
    <w:rsid w:val="00013524"/>
    <w:rsid w:val="00016D5C"/>
    <w:rsid w:val="000179E0"/>
    <w:rsid w:val="00017FE3"/>
    <w:rsid w:val="0002122B"/>
    <w:rsid w:val="00026790"/>
    <w:rsid w:val="000304CB"/>
    <w:rsid w:val="00032666"/>
    <w:rsid w:val="000330A2"/>
    <w:rsid w:val="000338E6"/>
    <w:rsid w:val="0003592F"/>
    <w:rsid w:val="00036510"/>
    <w:rsid w:val="000368BB"/>
    <w:rsid w:val="00037057"/>
    <w:rsid w:val="0003734D"/>
    <w:rsid w:val="00040E54"/>
    <w:rsid w:val="00041006"/>
    <w:rsid w:val="00041B78"/>
    <w:rsid w:val="00041C4C"/>
    <w:rsid w:val="00044E7F"/>
    <w:rsid w:val="0004508B"/>
    <w:rsid w:val="00047B6E"/>
    <w:rsid w:val="00051F44"/>
    <w:rsid w:val="0005547A"/>
    <w:rsid w:val="000558D8"/>
    <w:rsid w:val="00057126"/>
    <w:rsid w:val="000658C6"/>
    <w:rsid w:val="00066361"/>
    <w:rsid w:val="00070993"/>
    <w:rsid w:val="0007195C"/>
    <w:rsid w:val="0007200B"/>
    <w:rsid w:val="0007582E"/>
    <w:rsid w:val="00077EB0"/>
    <w:rsid w:val="00080297"/>
    <w:rsid w:val="00081898"/>
    <w:rsid w:val="00081919"/>
    <w:rsid w:val="00082362"/>
    <w:rsid w:val="00084F20"/>
    <w:rsid w:val="00087E84"/>
    <w:rsid w:val="00092715"/>
    <w:rsid w:val="00092D6C"/>
    <w:rsid w:val="0009306F"/>
    <w:rsid w:val="00095059"/>
    <w:rsid w:val="000A13B9"/>
    <w:rsid w:val="000A3CC3"/>
    <w:rsid w:val="000A5C43"/>
    <w:rsid w:val="000A6292"/>
    <w:rsid w:val="000A7878"/>
    <w:rsid w:val="000A7AA6"/>
    <w:rsid w:val="000B12A9"/>
    <w:rsid w:val="000B18C7"/>
    <w:rsid w:val="000C0DED"/>
    <w:rsid w:val="000C1452"/>
    <w:rsid w:val="000C1A60"/>
    <w:rsid w:val="000C1AE2"/>
    <w:rsid w:val="000C4019"/>
    <w:rsid w:val="000C7F06"/>
    <w:rsid w:val="000D2D2C"/>
    <w:rsid w:val="000D320E"/>
    <w:rsid w:val="000D5B8B"/>
    <w:rsid w:val="000D5D32"/>
    <w:rsid w:val="000E0678"/>
    <w:rsid w:val="000E1DDA"/>
    <w:rsid w:val="000E1E75"/>
    <w:rsid w:val="000E20EF"/>
    <w:rsid w:val="000E7529"/>
    <w:rsid w:val="000F173E"/>
    <w:rsid w:val="00100CA6"/>
    <w:rsid w:val="00100DBE"/>
    <w:rsid w:val="00100E65"/>
    <w:rsid w:val="0010101C"/>
    <w:rsid w:val="00101B73"/>
    <w:rsid w:val="001022EF"/>
    <w:rsid w:val="001024A5"/>
    <w:rsid w:val="0010345A"/>
    <w:rsid w:val="0010358C"/>
    <w:rsid w:val="0010407A"/>
    <w:rsid w:val="00105482"/>
    <w:rsid w:val="00106E30"/>
    <w:rsid w:val="0010792A"/>
    <w:rsid w:val="00107F22"/>
    <w:rsid w:val="0011085D"/>
    <w:rsid w:val="0011226D"/>
    <w:rsid w:val="001127B3"/>
    <w:rsid w:val="0011459C"/>
    <w:rsid w:val="00114A10"/>
    <w:rsid w:val="00116075"/>
    <w:rsid w:val="00121676"/>
    <w:rsid w:val="00123517"/>
    <w:rsid w:val="001266D5"/>
    <w:rsid w:val="00130FCE"/>
    <w:rsid w:val="00131913"/>
    <w:rsid w:val="00131F83"/>
    <w:rsid w:val="00134BE6"/>
    <w:rsid w:val="00135703"/>
    <w:rsid w:val="001357BB"/>
    <w:rsid w:val="001358C3"/>
    <w:rsid w:val="00136767"/>
    <w:rsid w:val="00136DAB"/>
    <w:rsid w:val="0014053D"/>
    <w:rsid w:val="00140A54"/>
    <w:rsid w:val="00140AF8"/>
    <w:rsid w:val="00146213"/>
    <w:rsid w:val="00146354"/>
    <w:rsid w:val="001469F7"/>
    <w:rsid w:val="0015037C"/>
    <w:rsid w:val="00152E1C"/>
    <w:rsid w:val="001537EC"/>
    <w:rsid w:val="00156501"/>
    <w:rsid w:val="00156EE9"/>
    <w:rsid w:val="001577DA"/>
    <w:rsid w:val="001634DD"/>
    <w:rsid w:val="0016492B"/>
    <w:rsid w:val="00164B41"/>
    <w:rsid w:val="00166EFF"/>
    <w:rsid w:val="001671C6"/>
    <w:rsid w:val="001722F3"/>
    <w:rsid w:val="001752B1"/>
    <w:rsid w:val="00175850"/>
    <w:rsid w:val="00176AB8"/>
    <w:rsid w:val="001779A2"/>
    <w:rsid w:val="00181799"/>
    <w:rsid w:val="00183EB4"/>
    <w:rsid w:val="0018516E"/>
    <w:rsid w:val="001866AA"/>
    <w:rsid w:val="00194CA8"/>
    <w:rsid w:val="00196444"/>
    <w:rsid w:val="001A2EF1"/>
    <w:rsid w:val="001B1B67"/>
    <w:rsid w:val="001B6397"/>
    <w:rsid w:val="001B7BBB"/>
    <w:rsid w:val="001B7FD9"/>
    <w:rsid w:val="001C17CB"/>
    <w:rsid w:val="001C27D3"/>
    <w:rsid w:val="001C2EDC"/>
    <w:rsid w:val="001C38CB"/>
    <w:rsid w:val="001C749C"/>
    <w:rsid w:val="001D0ED3"/>
    <w:rsid w:val="001D13EF"/>
    <w:rsid w:val="001D2AEF"/>
    <w:rsid w:val="001D341C"/>
    <w:rsid w:val="001D6210"/>
    <w:rsid w:val="001D6765"/>
    <w:rsid w:val="001D7E88"/>
    <w:rsid w:val="001E3458"/>
    <w:rsid w:val="001E71DD"/>
    <w:rsid w:val="001F0487"/>
    <w:rsid w:val="001F0D3D"/>
    <w:rsid w:val="001F15ED"/>
    <w:rsid w:val="001F1A4A"/>
    <w:rsid w:val="001F378D"/>
    <w:rsid w:val="00200FC9"/>
    <w:rsid w:val="00204853"/>
    <w:rsid w:val="0021290C"/>
    <w:rsid w:val="0021398D"/>
    <w:rsid w:val="002148FA"/>
    <w:rsid w:val="00220E34"/>
    <w:rsid w:val="00225DCD"/>
    <w:rsid w:val="00227C22"/>
    <w:rsid w:val="002306A8"/>
    <w:rsid w:val="00233632"/>
    <w:rsid w:val="002362D7"/>
    <w:rsid w:val="002370D4"/>
    <w:rsid w:val="00237EDC"/>
    <w:rsid w:val="002401BC"/>
    <w:rsid w:val="0024084E"/>
    <w:rsid w:val="00242BED"/>
    <w:rsid w:val="00246A4E"/>
    <w:rsid w:val="00252451"/>
    <w:rsid w:val="00252E93"/>
    <w:rsid w:val="00255A34"/>
    <w:rsid w:val="00256C6C"/>
    <w:rsid w:val="00261B1D"/>
    <w:rsid w:val="00265706"/>
    <w:rsid w:val="002715C1"/>
    <w:rsid w:val="0027190F"/>
    <w:rsid w:val="00272762"/>
    <w:rsid w:val="00272EE5"/>
    <w:rsid w:val="00273F6A"/>
    <w:rsid w:val="00274B3E"/>
    <w:rsid w:val="002766C3"/>
    <w:rsid w:val="00276757"/>
    <w:rsid w:val="00277757"/>
    <w:rsid w:val="00283D29"/>
    <w:rsid w:val="00286F6D"/>
    <w:rsid w:val="00291CF5"/>
    <w:rsid w:val="002924B8"/>
    <w:rsid w:val="002A0819"/>
    <w:rsid w:val="002A0C36"/>
    <w:rsid w:val="002B0791"/>
    <w:rsid w:val="002B08C5"/>
    <w:rsid w:val="002B1267"/>
    <w:rsid w:val="002B263D"/>
    <w:rsid w:val="002B3BBC"/>
    <w:rsid w:val="002B4F0A"/>
    <w:rsid w:val="002C38E6"/>
    <w:rsid w:val="002C548A"/>
    <w:rsid w:val="002D28F8"/>
    <w:rsid w:val="002D6731"/>
    <w:rsid w:val="002E109D"/>
    <w:rsid w:val="002E5F72"/>
    <w:rsid w:val="002F2347"/>
    <w:rsid w:val="002F2BF5"/>
    <w:rsid w:val="002F3371"/>
    <w:rsid w:val="002F3A45"/>
    <w:rsid w:val="002F3B5B"/>
    <w:rsid w:val="002F4CB9"/>
    <w:rsid w:val="002F5506"/>
    <w:rsid w:val="002F6AAA"/>
    <w:rsid w:val="003021EA"/>
    <w:rsid w:val="00302F9B"/>
    <w:rsid w:val="00303284"/>
    <w:rsid w:val="00305D7A"/>
    <w:rsid w:val="00307596"/>
    <w:rsid w:val="0030796C"/>
    <w:rsid w:val="00312DC4"/>
    <w:rsid w:val="003169B1"/>
    <w:rsid w:val="00316A48"/>
    <w:rsid w:val="0031781F"/>
    <w:rsid w:val="003201E3"/>
    <w:rsid w:val="0032029F"/>
    <w:rsid w:val="003204BA"/>
    <w:rsid w:val="00321A71"/>
    <w:rsid w:val="00323191"/>
    <w:rsid w:val="00323AC7"/>
    <w:rsid w:val="003265DA"/>
    <w:rsid w:val="003270D1"/>
    <w:rsid w:val="003275B1"/>
    <w:rsid w:val="003345BD"/>
    <w:rsid w:val="00335CC6"/>
    <w:rsid w:val="0033689C"/>
    <w:rsid w:val="0034100D"/>
    <w:rsid w:val="00343905"/>
    <w:rsid w:val="00347357"/>
    <w:rsid w:val="003474B0"/>
    <w:rsid w:val="003476C3"/>
    <w:rsid w:val="00351C5D"/>
    <w:rsid w:val="00351DA0"/>
    <w:rsid w:val="00352326"/>
    <w:rsid w:val="003529BB"/>
    <w:rsid w:val="0035315F"/>
    <w:rsid w:val="0035606A"/>
    <w:rsid w:val="003560B3"/>
    <w:rsid w:val="00357D9F"/>
    <w:rsid w:val="00360EDE"/>
    <w:rsid w:val="00362D35"/>
    <w:rsid w:val="00363ED3"/>
    <w:rsid w:val="003665A2"/>
    <w:rsid w:val="00366B29"/>
    <w:rsid w:val="0036739B"/>
    <w:rsid w:val="00367875"/>
    <w:rsid w:val="003738E1"/>
    <w:rsid w:val="00374E0B"/>
    <w:rsid w:val="00375524"/>
    <w:rsid w:val="003771DE"/>
    <w:rsid w:val="00377CDE"/>
    <w:rsid w:val="00383826"/>
    <w:rsid w:val="00383D3E"/>
    <w:rsid w:val="00384D82"/>
    <w:rsid w:val="00385344"/>
    <w:rsid w:val="003857DB"/>
    <w:rsid w:val="003861DF"/>
    <w:rsid w:val="00387C24"/>
    <w:rsid w:val="00390727"/>
    <w:rsid w:val="00393834"/>
    <w:rsid w:val="0039582E"/>
    <w:rsid w:val="003A024C"/>
    <w:rsid w:val="003A1425"/>
    <w:rsid w:val="003A1D8F"/>
    <w:rsid w:val="003A2C89"/>
    <w:rsid w:val="003A3420"/>
    <w:rsid w:val="003A3A07"/>
    <w:rsid w:val="003A3B82"/>
    <w:rsid w:val="003A4784"/>
    <w:rsid w:val="003A59A3"/>
    <w:rsid w:val="003A7BD3"/>
    <w:rsid w:val="003B001B"/>
    <w:rsid w:val="003B1F4D"/>
    <w:rsid w:val="003B2633"/>
    <w:rsid w:val="003B4320"/>
    <w:rsid w:val="003B4EB6"/>
    <w:rsid w:val="003B4F98"/>
    <w:rsid w:val="003B619C"/>
    <w:rsid w:val="003B68BC"/>
    <w:rsid w:val="003C0573"/>
    <w:rsid w:val="003C1D09"/>
    <w:rsid w:val="003C40DD"/>
    <w:rsid w:val="003C4BCD"/>
    <w:rsid w:val="003C5692"/>
    <w:rsid w:val="003D01F4"/>
    <w:rsid w:val="003D2FD0"/>
    <w:rsid w:val="003D40D0"/>
    <w:rsid w:val="003D42CB"/>
    <w:rsid w:val="003D6632"/>
    <w:rsid w:val="003E064E"/>
    <w:rsid w:val="003E5BDC"/>
    <w:rsid w:val="003E796F"/>
    <w:rsid w:val="003F32A5"/>
    <w:rsid w:val="003F6D96"/>
    <w:rsid w:val="003F6DEC"/>
    <w:rsid w:val="00400599"/>
    <w:rsid w:val="004018CB"/>
    <w:rsid w:val="00402275"/>
    <w:rsid w:val="00402E5A"/>
    <w:rsid w:val="00402FEA"/>
    <w:rsid w:val="004033B9"/>
    <w:rsid w:val="00404A2C"/>
    <w:rsid w:val="00404E2B"/>
    <w:rsid w:val="00405408"/>
    <w:rsid w:val="00406042"/>
    <w:rsid w:val="004067DF"/>
    <w:rsid w:val="00406A8C"/>
    <w:rsid w:val="00410B01"/>
    <w:rsid w:val="004122BC"/>
    <w:rsid w:val="004141D4"/>
    <w:rsid w:val="004162B1"/>
    <w:rsid w:val="00420FAD"/>
    <w:rsid w:val="00422589"/>
    <w:rsid w:val="00422D0A"/>
    <w:rsid w:val="00423CC6"/>
    <w:rsid w:val="004250D0"/>
    <w:rsid w:val="00431E7C"/>
    <w:rsid w:val="004444D5"/>
    <w:rsid w:val="00445F16"/>
    <w:rsid w:val="004465D8"/>
    <w:rsid w:val="00451FA0"/>
    <w:rsid w:val="00453564"/>
    <w:rsid w:val="004552DD"/>
    <w:rsid w:val="00455344"/>
    <w:rsid w:val="00455AFB"/>
    <w:rsid w:val="00455C11"/>
    <w:rsid w:val="00456875"/>
    <w:rsid w:val="00457647"/>
    <w:rsid w:val="0046075E"/>
    <w:rsid w:val="00460F9F"/>
    <w:rsid w:val="0046246E"/>
    <w:rsid w:val="0046276D"/>
    <w:rsid w:val="00466107"/>
    <w:rsid w:val="00467177"/>
    <w:rsid w:val="00472586"/>
    <w:rsid w:val="0047555B"/>
    <w:rsid w:val="00475B8C"/>
    <w:rsid w:val="004766C5"/>
    <w:rsid w:val="004776D0"/>
    <w:rsid w:val="00480DC4"/>
    <w:rsid w:val="00482EC0"/>
    <w:rsid w:val="00492CE5"/>
    <w:rsid w:val="004B0921"/>
    <w:rsid w:val="004B5266"/>
    <w:rsid w:val="004B5607"/>
    <w:rsid w:val="004C0C12"/>
    <w:rsid w:val="004C163E"/>
    <w:rsid w:val="004C2501"/>
    <w:rsid w:val="004C5288"/>
    <w:rsid w:val="004C70B3"/>
    <w:rsid w:val="004C71E2"/>
    <w:rsid w:val="004D0AA9"/>
    <w:rsid w:val="004D27A4"/>
    <w:rsid w:val="004D43F7"/>
    <w:rsid w:val="004D4FA6"/>
    <w:rsid w:val="004D6CEC"/>
    <w:rsid w:val="004E0136"/>
    <w:rsid w:val="004E1493"/>
    <w:rsid w:val="004E1801"/>
    <w:rsid w:val="004E24CE"/>
    <w:rsid w:val="004E36FB"/>
    <w:rsid w:val="004E39AE"/>
    <w:rsid w:val="004E5524"/>
    <w:rsid w:val="004E6154"/>
    <w:rsid w:val="004F2EE9"/>
    <w:rsid w:val="005021B2"/>
    <w:rsid w:val="00504190"/>
    <w:rsid w:val="005063BF"/>
    <w:rsid w:val="00506514"/>
    <w:rsid w:val="005065C4"/>
    <w:rsid w:val="005143DB"/>
    <w:rsid w:val="00514449"/>
    <w:rsid w:val="0051477B"/>
    <w:rsid w:val="00515C1B"/>
    <w:rsid w:val="00515C40"/>
    <w:rsid w:val="005206FF"/>
    <w:rsid w:val="0052206A"/>
    <w:rsid w:val="00522DA8"/>
    <w:rsid w:val="00523438"/>
    <w:rsid w:val="00523895"/>
    <w:rsid w:val="00530D6B"/>
    <w:rsid w:val="00530E21"/>
    <w:rsid w:val="00531E80"/>
    <w:rsid w:val="00532397"/>
    <w:rsid w:val="00534DFD"/>
    <w:rsid w:val="005355C9"/>
    <w:rsid w:val="005357E9"/>
    <w:rsid w:val="00537FD5"/>
    <w:rsid w:val="00546225"/>
    <w:rsid w:val="00546F43"/>
    <w:rsid w:val="00550DFB"/>
    <w:rsid w:val="00552483"/>
    <w:rsid w:val="00554A12"/>
    <w:rsid w:val="00557468"/>
    <w:rsid w:val="0056044B"/>
    <w:rsid w:val="00565726"/>
    <w:rsid w:val="005657EF"/>
    <w:rsid w:val="00567D43"/>
    <w:rsid w:val="00572693"/>
    <w:rsid w:val="00572A9C"/>
    <w:rsid w:val="00574750"/>
    <w:rsid w:val="005750FC"/>
    <w:rsid w:val="00575357"/>
    <w:rsid w:val="00575BDC"/>
    <w:rsid w:val="005812C7"/>
    <w:rsid w:val="00582FDE"/>
    <w:rsid w:val="00583595"/>
    <w:rsid w:val="00583D4F"/>
    <w:rsid w:val="0059018D"/>
    <w:rsid w:val="0059067A"/>
    <w:rsid w:val="00591097"/>
    <w:rsid w:val="005933ED"/>
    <w:rsid w:val="00596D2C"/>
    <w:rsid w:val="005A2113"/>
    <w:rsid w:val="005A3DCE"/>
    <w:rsid w:val="005B36EC"/>
    <w:rsid w:val="005B644A"/>
    <w:rsid w:val="005B715E"/>
    <w:rsid w:val="005C42DF"/>
    <w:rsid w:val="005C496A"/>
    <w:rsid w:val="005C6A51"/>
    <w:rsid w:val="005C6FB0"/>
    <w:rsid w:val="005C742C"/>
    <w:rsid w:val="005D54CA"/>
    <w:rsid w:val="005E1629"/>
    <w:rsid w:val="005E185C"/>
    <w:rsid w:val="005E56C9"/>
    <w:rsid w:val="005F1C13"/>
    <w:rsid w:val="005F2626"/>
    <w:rsid w:val="005F3016"/>
    <w:rsid w:val="005F70A7"/>
    <w:rsid w:val="00600996"/>
    <w:rsid w:val="00600D82"/>
    <w:rsid w:val="00601A77"/>
    <w:rsid w:val="00605AEA"/>
    <w:rsid w:val="00606253"/>
    <w:rsid w:val="00606AD0"/>
    <w:rsid w:val="00607419"/>
    <w:rsid w:val="00607C5B"/>
    <w:rsid w:val="00611473"/>
    <w:rsid w:val="00611CBD"/>
    <w:rsid w:val="00612446"/>
    <w:rsid w:val="00612A2B"/>
    <w:rsid w:val="0061471F"/>
    <w:rsid w:val="00614980"/>
    <w:rsid w:val="00617779"/>
    <w:rsid w:val="00623290"/>
    <w:rsid w:val="00624248"/>
    <w:rsid w:val="006242CA"/>
    <w:rsid w:val="00624ABF"/>
    <w:rsid w:val="00624D41"/>
    <w:rsid w:val="0062537A"/>
    <w:rsid w:val="00633B2D"/>
    <w:rsid w:val="0064117C"/>
    <w:rsid w:val="00642691"/>
    <w:rsid w:val="0064321E"/>
    <w:rsid w:val="0064407D"/>
    <w:rsid w:val="006441CD"/>
    <w:rsid w:val="00644843"/>
    <w:rsid w:val="0064510C"/>
    <w:rsid w:val="00645703"/>
    <w:rsid w:val="00647ACA"/>
    <w:rsid w:val="00652B66"/>
    <w:rsid w:val="00655B18"/>
    <w:rsid w:val="0065721F"/>
    <w:rsid w:val="00660F81"/>
    <w:rsid w:val="00664877"/>
    <w:rsid w:val="00665C0B"/>
    <w:rsid w:val="00667AB6"/>
    <w:rsid w:val="00671D1A"/>
    <w:rsid w:val="006723DA"/>
    <w:rsid w:val="0067349C"/>
    <w:rsid w:val="00673D3C"/>
    <w:rsid w:val="006744A0"/>
    <w:rsid w:val="00676F6C"/>
    <w:rsid w:val="00676FB4"/>
    <w:rsid w:val="006800B3"/>
    <w:rsid w:val="0068244A"/>
    <w:rsid w:val="0068294F"/>
    <w:rsid w:val="00684952"/>
    <w:rsid w:val="0068645E"/>
    <w:rsid w:val="0068772C"/>
    <w:rsid w:val="0069590E"/>
    <w:rsid w:val="00697311"/>
    <w:rsid w:val="00697844"/>
    <w:rsid w:val="006A053E"/>
    <w:rsid w:val="006A0685"/>
    <w:rsid w:val="006A4D02"/>
    <w:rsid w:val="006A5178"/>
    <w:rsid w:val="006B6DF8"/>
    <w:rsid w:val="006C2BC1"/>
    <w:rsid w:val="006C485A"/>
    <w:rsid w:val="006D1591"/>
    <w:rsid w:val="006D20BF"/>
    <w:rsid w:val="006D41F8"/>
    <w:rsid w:val="006D439E"/>
    <w:rsid w:val="006D5E73"/>
    <w:rsid w:val="006D6341"/>
    <w:rsid w:val="006D6DBC"/>
    <w:rsid w:val="006E4040"/>
    <w:rsid w:val="006E4FE6"/>
    <w:rsid w:val="006E566F"/>
    <w:rsid w:val="006E67FC"/>
    <w:rsid w:val="006F134D"/>
    <w:rsid w:val="006F14EA"/>
    <w:rsid w:val="006F5397"/>
    <w:rsid w:val="006F69C8"/>
    <w:rsid w:val="006F7F0E"/>
    <w:rsid w:val="007001E2"/>
    <w:rsid w:val="00703F24"/>
    <w:rsid w:val="0071091F"/>
    <w:rsid w:val="007145D7"/>
    <w:rsid w:val="007207B4"/>
    <w:rsid w:val="00723074"/>
    <w:rsid w:val="00723E24"/>
    <w:rsid w:val="00726B5C"/>
    <w:rsid w:val="00727812"/>
    <w:rsid w:val="0073054D"/>
    <w:rsid w:val="007318BA"/>
    <w:rsid w:val="007336E2"/>
    <w:rsid w:val="0073509D"/>
    <w:rsid w:val="00741F13"/>
    <w:rsid w:val="00744A0F"/>
    <w:rsid w:val="00746DBA"/>
    <w:rsid w:val="007513DC"/>
    <w:rsid w:val="0075168D"/>
    <w:rsid w:val="00751CC0"/>
    <w:rsid w:val="00753F17"/>
    <w:rsid w:val="00756BB3"/>
    <w:rsid w:val="00760882"/>
    <w:rsid w:val="00760B61"/>
    <w:rsid w:val="0076284F"/>
    <w:rsid w:val="00762DDA"/>
    <w:rsid w:val="00764C7D"/>
    <w:rsid w:val="00765F7A"/>
    <w:rsid w:val="00766305"/>
    <w:rsid w:val="00770A66"/>
    <w:rsid w:val="0077301B"/>
    <w:rsid w:val="0077390C"/>
    <w:rsid w:val="007766D1"/>
    <w:rsid w:val="0077671A"/>
    <w:rsid w:val="00780DCF"/>
    <w:rsid w:val="007816A7"/>
    <w:rsid w:val="007816DC"/>
    <w:rsid w:val="0078218F"/>
    <w:rsid w:val="007826A8"/>
    <w:rsid w:val="007828C5"/>
    <w:rsid w:val="007845F1"/>
    <w:rsid w:val="007A0C18"/>
    <w:rsid w:val="007A120A"/>
    <w:rsid w:val="007A212A"/>
    <w:rsid w:val="007A282D"/>
    <w:rsid w:val="007A5022"/>
    <w:rsid w:val="007A5C89"/>
    <w:rsid w:val="007B08AB"/>
    <w:rsid w:val="007B0EFC"/>
    <w:rsid w:val="007B1F91"/>
    <w:rsid w:val="007B317A"/>
    <w:rsid w:val="007B585A"/>
    <w:rsid w:val="007C49C9"/>
    <w:rsid w:val="007C50E2"/>
    <w:rsid w:val="007C55A0"/>
    <w:rsid w:val="007C72DD"/>
    <w:rsid w:val="007C7E16"/>
    <w:rsid w:val="007D0225"/>
    <w:rsid w:val="007D072F"/>
    <w:rsid w:val="007D15E5"/>
    <w:rsid w:val="007D348D"/>
    <w:rsid w:val="007D4659"/>
    <w:rsid w:val="007D57AD"/>
    <w:rsid w:val="007E34AD"/>
    <w:rsid w:val="007E4CC2"/>
    <w:rsid w:val="007F0225"/>
    <w:rsid w:val="007F2196"/>
    <w:rsid w:val="007F3ED2"/>
    <w:rsid w:val="007F4D30"/>
    <w:rsid w:val="007F7038"/>
    <w:rsid w:val="007F71B9"/>
    <w:rsid w:val="00800131"/>
    <w:rsid w:val="00800322"/>
    <w:rsid w:val="00802476"/>
    <w:rsid w:val="00802C15"/>
    <w:rsid w:val="0080326E"/>
    <w:rsid w:val="008055B1"/>
    <w:rsid w:val="00815259"/>
    <w:rsid w:val="0081683B"/>
    <w:rsid w:val="008169A2"/>
    <w:rsid w:val="00821DD5"/>
    <w:rsid w:val="0082366D"/>
    <w:rsid w:val="0082562F"/>
    <w:rsid w:val="008256E1"/>
    <w:rsid w:val="008344F1"/>
    <w:rsid w:val="00835924"/>
    <w:rsid w:val="00841A43"/>
    <w:rsid w:val="008433E0"/>
    <w:rsid w:val="00844A78"/>
    <w:rsid w:val="0084696A"/>
    <w:rsid w:val="00850CB9"/>
    <w:rsid w:val="00852127"/>
    <w:rsid w:val="0085229A"/>
    <w:rsid w:val="00852F54"/>
    <w:rsid w:val="00852FAD"/>
    <w:rsid w:val="008544EA"/>
    <w:rsid w:val="008553BF"/>
    <w:rsid w:val="00855554"/>
    <w:rsid w:val="008559B4"/>
    <w:rsid w:val="00862091"/>
    <w:rsid w:val="00871880"/>
    <w:rsid w:val="00874BDB"/>
    <w:rsid w:val="0088353A"/>
    <w:rsid w:val="00883BBD"/>
    <w:rsid w:val="00883CE9"/>
    <w:rsid w:val="00883D1B"/>
    <w:rsid w:val="00886AF0"/>
    <w:rsid w:val="0089078C"/>
    <w:rsid w:val="00890B7D"/>
    <w:rsid w:val="0089183A"/>
    <w:rsid w:val="00892C45"/>
    <w:rsid w:val="00894294"/>
    <w:rsid w:val="00896DC7"/>
    <w:rsid w:val="00897834"/>
    <w:rsid w:val="00897C3F"/>
    <w:rsid w:val="008A0A22"/>
    <w:rsid w:val="008A146C"/>
    <w:rsid w:val="008A2B99"/>
    <w:rsid w:val="008A480F"/>
    <w:rsid w:val="008B1460"/>
    <w:rsid w:val="008B3B73"/>
    <w:rsid w:val="008B4DF4"/>
    <w:rsid w:val="008B784F"/>
    <w:rsid w:val="008C0BEE"/>
    <w:rsid w:val="008C56EF"/>
    <w:rsid w:val="008D1D4D"/>
    <w:rsid w:val="008D359C"/>
    <w:rsid w:val="008D3F50"/>
    <w:rsid w:val="008D4228"/>
    <w:rsid w:val="008D5756"/>
    <w:rsid w:val="008D5EED"/>
    <w:rsid w:val="008D6A4E"/>
    <w:rsid w:val="008E229E"/>
    <w:rsid w:val="008E4F49"/>
    <w:rsid w:val="008E5E00"/>
    <w:rsid w:val="008E730A"/>
    <w:rsid w:val="008E7993"/>
    <w:rsid w:val="008F6324"/>
    <w:rsid w:val="0090297D"/>
    <w:rsid w:val="00902FFC"/>
    <w:rsid w:val="0090472E"/>
    <w:rsid w:val="00906770"/>
    <w:rsid w:val="00907707"/>
    <w:rsid w:val="009079AA"/>
    <w:rsid w:val="00907DCD"/>
    <w:rsid w:val="00910456"/>
    <w:rsid w:val="009114A5"/>
    <w:rsid w:val="009154FF"/>
    <w:rsid w:val="00916F0F"/>
    <w:rsid w:val="0092023D"/>
    <w:rsid w:val="00921DD3"/>
    <w:rsid w:val="00922CF1"/>
    <w:rsid w:val="00922F13"/>
    <w:rsid w:val="00924B2B"/>
    <w:rsid w:val="00926510"/>
    <w:rsid w:val="0093099E"/>
    <w:rsid w:val="0093317A"/>
    <w:rsid w:val="009337B2"/>
    <w:rsid w:val="009400C8"/>
    <w:rsid w:val="009401C7"/>
    <w:rsid w:val="00940452"/>
    <w:rsid w:val="00945E3B"/>
    <w:rsid w:val="00950194"/>
    <w:rsid w:val="00953D47"/>
    <w:rsid w:val="00954DDB"/>
    <w:rsid w:val="00961CE7"/>
    <w:rsid w:val="0096723C"/>
    <w:rsid w:val="009704F7"/>
    <w:rsid w:val="00972EDB"/>
    <w:rsid w:val="009744DD"/>
    <w:rsid w:val="00976B80"/>
    <w:rsid w:val="00980384"/>
    <w:rsid w:val="009803D5"/>
    <w:rsid w:val="009820E1"/>
    <w:rsid w:val="009831EE"/>
    <w:rsid w:val="0098336F"/>
    <w:rsid w:val="00985E94"/>
    <w:rsid w:val="009908A0"/>
    <w:rsid w:val="0099391A"/>
    <w:rsid w:val="00994B0E"/>
    <w:rsid w:val="00996783"/>
    <w:rsid w:val="009975AA"/>
    <w:rsid w:val="009A15BC"/>
    <w:rsid w:val="009A450D"/>
    <w:rsid w:val="009A45A7"/>
    <w:rsid w:val="009B24D0"/>
    <w:rsid w:val="009B4292"/>
    <w:rsid w:val="009B6CBC"/>
    <w:rsid w:val="009B7E48"/>
    <w:rsid w:val="009C1006"/>
    <w:rsid w:val="009C148E"/>
    <w:rsid w:val="009C1F46"/>
    <w:rsid w:val="009C3014"/>
    <w:rsid w:val="009C4405"/>
    <w:rsid w:val="009D1131"/>
    <w:rsid w:val="009D36DC"/>
    <w:rsid w:val="009E2D51"/>
    <w:rsid w:val="009E4773"/>
    <w:rsid w:val="009E541A"/>
    <w:rsid w:val="009F089A"/>
    <w:rsid w:val="009F0C7F"/>
    <w:rsid w:val="009F1550"/>
    <w:rsid w:val="009F2459"/>
    <w:rsid w:val="009F3688"/>
    <w:rsid w:val="009F3C65"/>
    <w:rsid w:val="009F3D02"/>
    <w:rsid w:val="009F4A12"/>
    <w:rsid w:val="009F5F33"/>
    <w:rsid w:val="00A00328"/>
    <w:rsid w:val="00A04C9F"/>
    <w:rsid w:val="00A05AF5"/>
    <w:rsid w:val="00A06461"/>
    <w:rsid w:val="00A11C11"/>
    <w:rsid w:val="00A12344"/>
    <w:rsid w:val="00A16660"/>
    <w:rsid w:val="00A16C5A"/>
    <w:rsid w:val="00A1706E"/>
    <w:rsid w:val="00A20552"/>
    <w:rsid w:val="00A268D5"/>
    <w:rsid w:val="00A27A19"/>
    <w:rsid w:val="00A32C1B"/>
    <w:rsid w:val="00A33361"/>
    <w:rsid w:val="00A345B4"/>
    <w:rsid w:val="00A35603"/>
    <w:rsid w:val="00A357DE"/>
    <w:rsid w:val="00A406A0"/>
    <w:rsid w:val="00A40B1D"/>
    <w:rsid w:val="00A44157"/>
    <w:rsid w:val="00A448A3"/>
    <w:rsid w:val="00A45C49"/>
    <w:rsid w:val="00A463F5"/>
    <w:rsid w:val="00A467D1"/>
    <w:rsid w:val="00A512D9"/>
    <w:rsid w:val="00A53F68"/>
    <w:rsid w:val="00A553B6"/>
    <w:rsid w:val="00A57217"/>
    <w:rsid w:val="00A5798F"/>
    <w:rsid w:val="00A6010C"/>
    <w:rsid w:val="00A626C6"/>
    <w:rsid w:val="00A629A7"/>
    <w:rsid w:val="00A63154"/>
    <w:rsid w:val="00A63255"/>
    <w:rsid w:val="00A7277A"/>
    <w:rsid w:val="00A72F0F"/>
    <w:rsid w:val="00A73CCC"/>
    <w:rsid w:val="00A74289"/>
    <w:rsid w:val="00A74305"/>
    <w:rsid w:val="00A7472A"/>
    <w:rsid w:val="00A74AE6"/>
    <w:rsid w:val="00A74E7F"/>
    <w:rsid w:val="00A861AE"/>
    <w:rsid w:val="00A8794B"/>
    <w:rsid w:val="00A912F2"/>
    <w:rsid w:val="00A93BCE"/>
    <w:rsid w:val="00AA5504"/>
    <w:rsid w:val="00AA772A"/>
    <w:rsid w:val="00AA7BBD"/>
    <w:rsid w:val="00AB28E2"/>
    <w:rsid w:val="00AB308C"/>
    <w:rsid w:val="00AB620C"/>
    <w:rsid w:val="00AC4C06"/>
    <w:rsid w:val="00AC6A31"/>
    <w:rsid w:val="00AD2186"/>
    <w:rsid w:val="00AD293B"/>
    <w:rsid w:val="00AF0750"/>
    <w:rsid w:val="00AF16B3"/>
    <w:rsid w:val="00AF1A78"/>
    <w:rsid w:val="00AF1AC7"/>
    <w:rsid w:val="00AF4AEF"/>
    <w:rsid w:val="00AF501E"/>
    <w:rsid w:val="00AF509A"/>
    <w:rsid w:val="00AF5D17"/>
    <w:rsid w:val="00AF7212"/>
    <w:rsid w:val="00B00DAC"/>
    <w:rsid w:val="00B0450C"/>
    <w:rsid w:val="00B04E09"/>
    <w:rsid w:val="00B06C7E"/>
    <w:rsid w:val="00B07D55"/>
    <w:rsid w:val="00B10A11"/>
    <w:rsid w:val="00B1221E"/>
    <w:rsid w:val="00B12EC7"/>
    <w:rsid w:val="00B1487F"/>
    <w:rsid w:val="00B1533E"/>
    <w:rsid w:val="00B20472"/>
    <w:rsid w:val="00B223E3"/>
    <w:rsid w:val="00B25950"/>
    <w:rsid w:val="00B26C4D"/>
    <w:rsid w:val="00B346C3"/>
    <w:rsid w:val="00B34C7A"/>
    <w:rsid w:val="00B358A2"/>
    <w:rsid w:val="00B36BEC"/>
    <w:rsid w:val="00B37D3B"/>
    <w:rsid w:val="00B42F65"/>
    <w:rsid w:val="00B43E45"/>
    <w:rsid w:val="00B44B78"/>
    <w:rsid w:val="00B469DE"/>
    <w:rsid w:val="00B46DA7"/>
    <w:rsid w:val="00B47AC7"/>
    <w:rsid w:val="00B47DAD"/>
    <w:rsid w:val="00B50131"/>
    <w:rsid w:val="00B50241"/>
    <w:rsid w:val="00B51075"/>
    <w:rsid w:val="00B515C9"/>
    <w:rsid w:val="00B52DA6"/>
    <w:rsid w:val="00B53E07"/>
    <w:rsid w:val="00B55AE9"/>
    <w:rsid w:val="00B570D0"/>
    <w:rsid w:val="00B60291"/>
    <w:rsid w:val="00B64163"/>
    <w:rsid w:val="00B65652"/>
    <w:rsid w:val="00B65B44"/>
    <w:rsid w:val="00B675A1"/>
    <w:rsid w:val="00B67F2E"/>
    <w:rsid w:val="00B74585"/>
    <w:rsid w:val="00B829D3"/>
    <w:rsid w:val="00B834D2"/>
    <w:rsid w:val="00B84678"/>
    <w:rsid w:val="00B85095"/>
    <w:rsid w:val="00B8765B"/>
    <w:rsid w:val="00B87EE7"/>
    <w:rsid w:val="00B91A42"/>
    <w:rsid w:val="00B95608"/>
    <w:rsid w:val="00B97A44"/>
    <w:rsid w:val="00BA033E"/>
    <w:rsid w:val="00BA3CCF"/>
    <w:rsid w:val="00BA5EAA"/>
    <w:rsid w:val="00BA67F3"/>
    <w:rsid w:val="00BA7BDF"/>
    <w:rsid w:val="00BB0EA1"/>
    <w:rsid w:val="00BB1C96"/>
    <w:rsid w:val="00BB2F50"/>
    <w:rsid w:val="00BB4FCF"/>
    <w:rsid w:val="00BB699C"/>
    <w:rsid w:val="00BB6DAD"/>
    <w:rsid w:val="00BC3D93"/>
    <w:rsid w:val="00BC4BC9"/>
    <w:rsid w:val="00BC5440"/>
    <w:rsid w:val="00BC6DF0"/>
    <w:rsid w:val="00BD1C20"/>
    <w:rsid w:val="00BD242A"/>
    <w:rsid w:val="00BD3C6F"/>
    <w:rsid w:val="00BD3D10"/>
    <w:rsid w:val="00BD7262"/>
    <w:rsid w:val="00BE3807"/>
    <w:rsid w:val="00BE3A8B"/>
    <w:rsid w:val="00BE3F02"/>
    <w:rsid w:val="00BE76E1"/>
    <w:rsid w:val="00BF23E4"/>
    <w:rsid w:val="00C004F1"/>
    <w:rsid w:val="00C009ED"/>
    <w:rsid w:val="00C00F94"/>
    <w:rsid w:val="00C0203F"/>
    <w:rsid w:val="00C14A2D"/>
    <w:rsid w:val="00C16F25"/>
    <w:rsid w:val="00C20FC6"/>
    <w:rsid w:val="00C27992"/>
    <w:rsid w:val="00C341B9"/>
    <w:rsid w:val="00C34239"/>
    <w:rsid w:val="00C360E3"/>
    <w:rsid w:val="00C42900"/>
    <w:rsid w:val="00C44503"/>
    <w:rsid w:val="00C47C9E"/>
    <w:rsid w:val="00C50EFD"/>
    <w:rsid w:val="00C534C8"/>
    <w:rsid w:val="00C53B7C"/>
    <w:rsid w:val="00C542AF"/>
    <w:rsid w:val="00C54405"/>
    <w:rsid w:val="00C56B69"/>
    <w:rsid w:val="00C57D8B"/>
    <w:rsid w:val="00C60BDA"/>
    <w:rsid w:val="00C62C18"/>
    <w:rsid w:val="00C64097"/>
    <w:rsid w:val="00C64968"/>
    <w:rsid w:val="00C65C25"/>
    <w:rsid w:val="00C70589"/>
    <w:rsid w:val="00C70E93"/>
    <w:rsid w:val="00C724CE"/>
    <w:rsid w:val="00C729F9"/>
    <w:rsid w:val="00C744C6"/>
    <w:rsid w:val="00C76FA0"/>
    <w:rsid w:val="00C77FDF"/>
    <w:rsid w:val="00C80168"/>
    <w:rsid w:val="00C834A3"/>
    <w:rsid w:val="00C837C8"/>
    <w:rsid w:val="00C839C9"/>
    <w:rsid w:val="00C909C4"/>
    <w:rsid w:val="00C965C9"/>
    <w:rsid w:val="00CA0A47"/>
    <w:rsid w:val="00CA11C7"/>
    <w:rsid w:val="00CA1A79"/>
    <w:rsid w:val="00CA1B72"/>
    <w:rsid w:val="00CA42BA"/>
    <w:rsid w:val="00CA441C"/>
    <w:rsid w:val="00CA458F"/>
    <w:rsid w:val="00CA4C24"/>
    <w:rsid w:val="00CA6F54"/>
    <w:rsid w:val="00CA7397"/>
    <w:rsid w:val="00CA79A8"/>
    <w:rsid w:val="00CB1455"/>
    <w:rsid w:val="00CB2BE0"/>
    <w:rsid w:val="00CB33C7"/>
    <w:rsid w:val="00CC0F36"/>
    <w:rsid w:val="00CC22FA"/>
    <w:rsid w:val="00CC232A"/>
    <w:rsid w:val="00CC2E29"/>
    <w:rsid w:val="00CC3BD8"/>
    <w:rsid w:val="00CC5644"/>
    <w:rsid w:val="00CC5A1B"/>
    <w:rsid w:val="00CC5F8A"/>
    <w:rsid w:val="00CC60AB"/>
    <w:rsid w:val="00CC61C0"/>
    <w:rsid w:val="00CC6ECF"/>
    <w:rsid w:val="00CD1AF2"/>
    <w:rsid w:val="00CD6416"/>
    <w:rsid w:val="00CD769F"/>
    <w:rsid w:val="00CE27F6"/>
    <w:rsid w:val="00CE3ED7"/>
    <w:rsid w:val="00CE64E7"/>
    <w:rsid w:val="00CE6EAF"/>
    <w:rsid w:val="00CF2F13"/>
    <w:rsid w:val="00CF3272"/>
    <w:rsid w:val="00CF522D"/>
    <w:rsid w:val="00CF5D22"/>
    <w:rsid w:val="00CF6647"/>
    <w:rsid w:val="00CF7196"/>
    <w:rsid w:val="00CF7552"/>
    <w:rsid w:val="00CF7930"/>
    <w:rsid w:val="00D025D7"/>
    <w:rsid w:val="00D03486"/>
    <w:rsid w:val="00D04D75"/>
    <w:rsid w:val="00D07463"/>
    <w:rsid w:val="00D109B6"/>
    <w:rsid w:val="00D10A6B"/>
    <w:rsid w:val="00D10FA6"/>
    <w:rsid w:val="00D1129C"/>
    <w:rsid w:val="00D113B9"/>
    <w:rsid w:val="00D11F8C"/>
    <w:rsid w:val="00D144DF"/>
    <w:rsid w:val="00D145C5"/>
    <w:rsid w:val="00D17A50"/>
    <w:rsid w:val="00D23B66"/>
    <w:rsid w:val="00D24EBD"/>
    <w:rsid w:val="00D258F8"/>
    <w:rsid w:val="00D2622D"/>
    <w:rsid w:val="00D26751"/>
    <w:rsid w:val="00D363E4"/>
    <w:rsid w:val="00D37D81"/>
    <w:rsid w:val="00D432BF"/>
    <w:rsid w:val="00D50C2B"/>
    <w:rsid w:val="00D51244"/>
    <w:rsid w:val="00D5154E"/>
    <w:rsid w:val="00D52FF0"/>
    <w:rsid w:val="00D53121"/>
    <w:rsid w:val="00D54F67"/>
    <w:rsid w:val="00D5635C"/>
    <w:rsid w:val="00D569E2"/>
    <w:rsid w:val="00D57E8D"/>
    <w:rsid w:val="00D60CAE"/>
    <w:rsid w:val="00D63CA3"/>
    <w:rsid w:val="00D753B9"/>
    <w:rsid w:val="00D771EC"/>
    <w:rsid w:val="00D81510"/>
    <w:rsid w:val="00D8227E"/>
    <w:rsid w:val="00D862BA"/>
    <w:rsid w:val="00D90952"/>
    <w:rsid w:val="00D92777"/>
    <w:rsid w:val="00D96C7F"/>
    <w:rsid w:val="00D96F94"/>
    <w:rsid w:val="00DA04A3"/>
    <w:rsid w:val="00DA2127"/>
    <w:rsid w:val="00DA2E37"/>
    <w:rsid w:val="00DB079A"/>
    <w:rsid w:val="00DB2F27"/>
    <w:rsid w:val="00DB3A43"/>
    <w:rsid w:val="00DB3B89"/>
    <w:rsid w:val="00DB40DF"/>
    <w:rsid w:val="00DB6E39"/>
    <w:rsid w:val="00DC0942"/>
    <w:rsid w:val="00DC16AB"/>
    <w:rsid w:val="00DC2734"/>
    <w:rsid w:val="00DD34B0"/>
    <w:rsid w:val="00DD4202"/>
    <w:rsid w:val="00DD7622"/>
    <w:rsid w:val="00DE33C8"/>
    <w:rsid w:val="00DE6537"/>
    <w:rsid w:val="00DE73D4"/>
    <w:rsid w:val="00DF070A"/>
    <w:rsid w:val="00DF1AB6"/>
    <w:rsid w:val="00E01F43"/>
    <w:rsid w:val="00E0319C"/>
    <w:rsid w:val="00E039E2"/>
    <w:rsid w:val="00E063AD"/>
    <w:rsid w:val="00E0754C"/>
    <w:rsid w:val="00E11699"/>
    <w:rsid w:val="00E20656"/>
    <w:rsid w:val="00E20F2E"/>
    <w:rsid w:val="00E25912"/>
    <w:rsid w:val="00E2592D"/>
    <w:rsid w:val="00E25C44"/>
    <w:rsid w:val="00E25DE7"/>
    <w:rsid w:val="00E27290"/>
    <w:rsid w:val="00E304FF"/>
    <w:rsid w:val="00E31076"/>
    <w:rsid w:val="00E31D85"/>
    <w:rsid w:val="00E323E5"/>
    <w:rsid w:val="00E34DC6"/>
    <w:rsid w:val="00E353E9"/>
    <w:rsid w:val="00E35434"/>
    <w:rsid w:val="00E36CF7"/>
    <w:rsid w:val="00E423EB"/>
    <w:rsid w:val="00E46804"/>
    <w:rsid w:val="00E47840"/>
    <w:rsid w:val="00E50BD1"/>
    <w:rsid w:val="00E5143B"/>
    <w:rsid w:val="00E52001"/>
    <w:rsid w:val="00E529BE"/>
    <w:rsid w:val="00E53A44"/>
    <w:rsid w:val="00E55A79"/>
    <w:rsid w:val="00E5607A"/>
    <w:rsid w:val="00E56D7F"/>
    <w:rsid w:val="00E640CD"/>
    <w:rsid w:val="00E6531E"/>
    <w:rsid w:val="00E665A9"/>
    <w:rsid w:val="00E70033"/>
    <w:rsid w:val="00E70F55"/>
    <w:rsid w:val="00E73C75"/>
    <w:rsid w:val="00E744DB"/>
    <w:rsid w:val="00E756CE"/>
    <w:rsid w:val="00E81D76"/>
    <w:rsid w:val="00E8298F"/>
    <w:rsid w:val="00E8319D"/>
    <w:rsid w:val="00E84EF0"/>
    <w:rsid w:val="00E85767"/>
    <w:rsid w:val="00E857D5"/>
    <w:rsid w:val="00E92145"/>
    <w:rsid w:val="00E9307B"/>
    <w:rsid w:val="00E93350"/>
    <w:rsid w:val="00E9352F"/>
    <w:rsid w:val="00E94A5C"/>
    <w:rsid w:val="00E9559E"/>
    <w:rsid w:val="00E9736D"/>
    <w:rsid w:val="00EA2C82"/>
    <w:rsid w:val="00EA2DBD"/>
    <w:rsid w:val="00EA3687"/>
    <w:rsid w:val="00EA39DF"/>
    <w:rsid w:val="00EA54D0"/>
    <w:rsid w:val="00EA6453"/>
    <w:rsid w:val="00EC04DB"/>
    <w:rsid w:val="00EC79BA"/>
    <w:rsid w:val="00ED1A38"/>
    <w:rsid w:val="00ED1FB4"/>
    <w:rsid w:val="00ED2904"/>
    <w:rsid w:val="00ED42AE"/>
    <w:rsid w:val="00ED6C4C"/>
    <w:rsid w:val="00ED73AB"/>
    <w:rsid w:val="00EE1491"/>
    <w:rsid w:val="00EE1762"/>
    <w:rsid w:val="00EE1C53"/>
    <w:rsid w:val="00EE482F"/>
    <w:rsid w:val="00EE65BD"/>
    <w:rsid w:val="00EE7A93"/>
    <w:rsid w:val="00EE7E84"/>
    <w:rsid w:val="00EF11FA"/>
    <w:rsid w:val="00EF6C62"/>
    <w:rsid w:val="00F00147"/>
    <w:rsid w:val="00F0537F"/>
    <w:rsid w:val="00F07FF6"/>
    <w:rsid w:val="00F103CD"/>
    <w:rsid w:val="00F12791"/>
    <w:rsid w:val="00F132F5"/>
    <w:rsid w:val="00F13867"/>
    <w:rsid w:val="00F14E9D"/>
    <w:rsid w:val="00F16E94"/>
    <w:rsid w:val="00F21594"/>
    <w:rsid w:val="00F21FCF"/>
    <w:rsid w:val="00F23DE9"/>
    <w:rsid w:val="00F276B1"/>
    <w:rsid w:val="00F3092C"/>
    <w:rsid w:val="00F315A5"/>
    <w:rsid w:val="00F34B8F"/>
    <w:rsid w:val="00F35A10"/>
    <w:rsid w:val="00F4672A"/>
    <w:rsid w:val="00F5111D"/>
    <w:rsid w:val="00F54138"/>
    <w:rsid w:val="00F561B7"/>
    <w:rsid w:val="00F56318"/>
    <w:rsid w:val="00F5721B"/>
    <w:rsid w:val="00F61748"/>
    <w:rsid w:val="00F626A9"/>
    <w:rsid w:val="00F62902"/>
    <w:rsid w:val="00F661C9"/>
    <w:rsid w:val="00F73FC5"/>
    <w:rsid w:val="00F75F4A"/>
    <w:rsid w:val="00F76679"/>
    <w:rsid w:val="00F76F81"/>
    <w:rsid w:val="00F80DF9"/>
    <w:rsid w:val="00F82108"/>
    <w:rsid w:val="00F8293B"/>
    <w:rsid w:val="00F83479"/>
    <w:rsid w:val="00F901AF"/>
    <w:rsid w:val="00F91423"/>
    <w:rsid w:val="00F92F96"/>
    <w:rsid w:val="00F936EB"/>
    <w:rsid w:val="00F96DDD"/>
    <w:rsid w:val="00FA14BE"/>
    <w:rsid w:val="00FA1A9E"/>
    <w:rsid w:val="00FA3BE7"/>
    <w:rsid w:val="00FA4916"/>
    <w:rsid w:val="00FA4CBA"/>
    <w:rsid w:val="00FA7CF7"/>
    <w:rsid w:val="00FB3181"/>
    <w:rsid w:val="00FB389B"/>
    <w:rsid w:val="00FB59C3"/>
    <w:rsid w:val="00FB73D8"/>
    <w:rsid w:val="00FC1BA6"/>
    <w:rsid w:val="00FC368F"/>
    <w:rsid w:val="00FC37E9"/>
    <w:rsid w:val="00FD4277"/>
    <w:rsid w:val="00FD580D"/>
    <w:rsid w:val="00FE34B5"/>
    <w:rsid w:val="00FE5512"/>
    <w:rsid w:val="00FE72ED"/>
    <w:rsid w:val="00FF0938"/>
    <w:rsid w:val="00FF17CE"/>
    <w:rsid w:val="00FF4814"/>
    <w:rsid w:val="00FF59BD"/>
    <w:rsid w:val="00FF6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EAC48"/>
  <w15:docId w15:val="{3396C1FE-CB57-4F31-8028-504B7785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aliases w:val="2,list paragraph"/>
    <w:basedOn w:val="Parasts"/>
    <w:link w:val="SarakstarindkopaRakstz"/>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FA7CF7"/>
    <w:pPr>
      <w:spacing w:before="75" w:after="75" w:line="240" w:lineRule="auto"/>
      <w:jc w:val="center"/>
    </w:pPr>
    <w:rPr>
      <w:rFonts w:ascii="Times New Roman" w:eastAsia="Times New Roman" w:hAnsi="Times New Roman" w:cs="Times New Roman"/>
      <w:sz w:val="24"/>
      <w:szCs w:val="24"/>
    </w:rPr>
  </w:style>
  <w:style w:type="character" w:customStyle="1" w:styleId="SarakstarindkopaRakstz">
    <w:name w:val="Saraksta rindkopa Rakstz."/>
    <w:aliases w:val="2 Rakstz.,list paragraph Rakstz."/>
    <w:link w:val="Sarakstarindkopa"/>
    <w:uiPriority w:val="34"/>
    <w:locked/>
    <w:rsid w:val="00E857D5"/>
    <w:rPr>
      <w:rFonts w:eastAsiaTheme="minorEastAsia"/>
      <w:lang w:eastAsia="lv-LV"/>
    </w:rPr>
  </w:style>
  <w:style w:type="character" w:customStyle="1" w:styleId="UnresolvedMention1">
    <w:name w:val="Unresolved Mention1"/>
    <w:basedOn w:val="Noklusjumarindkopasfonts"/>
    <w:uiPriority w:val="99"/>
    <w:semiHidden/>
    <w:unhideWhenUsed/>
    <w:rsid w:val="00871880"/>
    <w:rPr>
      <w:color w:val="605E5C"/>
      <w:shd w:val="clear" w:color="auto" w:fill="E1DFDD"/>
    </w:rPr>
  </w:style>
  <w:style w:type="character" w:styleId="Neatrisintapieminana">
    <w:name w:val="Unresolved Mention"/>
    <w:basedOn w:val="Noklusjumarindkopasfonts"/>
    <w:uiPriority w:val="99"/>
    <w:semiHidden/>
    <w:unhideWhenUsed/>
    <w:rsid w:val="001D6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338434902">
      <w:bodyDiv w:val="1"/>
      <w:marLeft w:val="0"/>
      <w:marRight w:val="0"/>
      <w:marTop w:val="0"/>
      <w:marBottom w:val="0"/>
      <w:divBdr>
        <w:top w:val="none" w:sz="0" w:space="0" w:color="auto"/>
        <w:left w:val="none" w:sz="0" w:space="0" w:color="auto"/>
        <w:bottom w:val="none" w:sz="0" w:space="0" w:color="auto"/>
        <w:right w:val="none" w:sz="0" w:space="0" w:color="auto"/>
      </w:divBdr>
    </w:div>
    <w:div w:id="660041168">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494418796">
      <w:bodyDiv w:val="1"/>
      <w:marLeft w:val="0"/>
      <w:marRight w:val="0"/>
      <w:marTop w:val="0"/>
      <w:marBottom w:val="0"/>
      <w:divBdr>
        <w:top w:val="none" w:sz="0" w:space="0" w:color="auto"/>
        <w:left w:val="none" w:sz="0" w:space="0" w:color="auto"/>
        <w:bottom w:val="none" w:sz="0" w:space="0" w:color="auto"/>
        <w:right w:val="none" w:sz="0" w:space="0" w:color="auto"/>
      </w:divBdr>
    </w:div>
    <w:div w:id="1789348545">
      <w:bodyDiv w:val="1"/>
      <w:marLeft w:val="0"/>
      <w:marRight w:val="0"/>
      <w:marTop w:val="0"/>
      <w:marBottom w:val="0"/>
      <w:divBdr>
        <w:top w:val="none" w:sz="0" w:space="0" w:color="auto"/>
        <w:left w:val="none" w:sz="0" w:space="0" w:color="auto"/>
        <w:bottom w:val="none" w:sz="0" w:space="0" w:color="auto"/>
        <w:right w:val="none" w:sz="0" w:space="0" w:color="auto"/>
      </w:divBdr>
    </w:div>
    <w:div w:id="20203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na.Baranovska@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262E-6186-41D6-B4C9-2BA19080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5101</Words>
  <Characters>2908</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598 „Noteikumi par valsts un Eiropas Savienības atbalsta piešķiršanu, administrēšanu un uzraudzību lauku un zivsaimniecības attīstībai 2014.–2020.gada plānošanas periodā”</dc:title>
  <dc:subject>Anotācija</dc:subject>
  <dc:creator>Karina.Baranovska@zm.gov.lv</dc:creator>
  <dc:description>Baranovska 67878726
Karina.Baranovska@zm.gov.lv</dc:description>
  <cp:lastModifiedBy>Sanita Papinova</cp:lastModifiedBy>
  <cp:revision>5</cp:revision>
  <cp:lastPrinted>2020-02-03T11:47:00Z</cp:lastPrinted>
  <dcterms:created xsi:type="dcterms:W3CDTF">2021-04-28T10:31:00Z</dcterms:created>
  <dcterms:modified xsi:type="dcterms:W3CDTF">2021-05-10T09:08:00Z</dcterms:modified>
</cp:coreProperties>
</file>