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660A" w14:textId="77777777" w:rsidR="00A468CE" w:rsidRPr="001C2B53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Ministru kabineta noteikumu projekta</w:t>
      </w:r>
    </w:p>
    <w:p w14:paraId="4E367A5A" w14:textId="3088D85C" w:rsidR="00A468CE" w:rsidRPr="001C2B53" w:rsidRDefault="000E76E5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  <w:r w:rsidR="006531BC"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Grozījumi Ministru kabineta 2004. gada 17. februāra noteikumos Nr. 83</w:t>
      </w:r>
    </w:p>
    <w:p w14:paraId="1B00BE0B" w14:textId="0CE1108D" w:rsidR="00A468CE" w:rsidRPr="001C2B53" w:rsidRDefault="000E76E5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  <w:r w:rsidR="006531BC"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Āfrikas cūku mēra likvidēšanas un draudu novēršanas kārtība””</w:t>
      </w:r>
    </w:p>
    <w:p w14:paraId="06875C54" w14:textId="77777777" w:rsidR="00A468CE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sākotnējās ietekmes novērtējuma ziņojums (anotācija)</w:t>
      </w:r>
    </w:p>
    <w:p w14:paraId="11EDBC10" w14:textId="77777777"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14:paraId="0B9E7873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4787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21132494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F99F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339F5" w14:textId="77777777"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66EFA8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02CB3EDF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F340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7EA9FA76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794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89D6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8A260" w14:textId="233632B8" w:rsidR="00442A36" w:rsidRPr="0041461B" w:rsidRDefault="00B9687D" w:rsidP="00B9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Komisijas </w:t>
            </w:r>
            <w:r w:rsidRPr="00B96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2021. gada 25. marta Īstenošanas Lēmums</w:t>
            </w:r>
            <w:r w:rsidRPr="00B96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2021/544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Pr="00B96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 ko groza pielikumu Īstenošanas lēmumam 2014/709/ES par dzīvnieku veselības kontroles pasākumiem saistībā ar Āfrikas cūku mēri dažās dalībvalstīs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04BB"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(turpmāk – Īst</w:t>
            </w:r>
            <w:r w:rsidR="00B92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enošanas lēmums (ES)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2021/544</w:t>
            </w:r>
            <w:r w:rsidR="00B92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62BEF" w14:paraId="1FCD491B" w14:textId="77777777" w:rsidTr="00E4600A">
        <w:trPr>
          <w:trHeight w:val="523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A8CE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C8CD9" w14:textId="77777777"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2B4689B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DBAE0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728E5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8CD68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CDE0F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F9FAC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D4221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B2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FBCC1" w14:textId="71447A0F" w:rsidR="00345EBF" w:rsidRDefault="00345EBF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Āfrikas cūku mēra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71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turpmāk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ĀCM) </w:t>
            </w: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kontroles kārtība inficētajās teritorijās notiek </w:t>
            </w:r>
            <w:r w:rsidR="000E76E5">
              <w:rPr>
                <w:rFonts w:ascii="Times New Roman" w:hAnsi="Times New Roman" w:cs="Times New Roman"/>
                <w:bCs/>
                <w:sz w:val="24"/>
                <w:szCs w:val="24"/>
              </w:rPr>
              <w:t>atbilstoši</w:t>
            </w: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6E5"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>nosacījumiem</w:t>
            </w:r>
            <w:r w:rsidR="00B9687D">
              <w:rPr>
                <w:rFonts w:ascii="Times New Roman" w:hAnsi="Times New Roman" w:cs="Times New Roman"/>
                <w:bCs/>
                <w:sz w:val="24"/>
                <w:szCs w:val="24"/>
              </w:rPr>
              <w:t>, kas noteikti</w:t>
            </w:r>
            <w:r w:rsidR="000E76E5"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>Komisijas 2014. gada 9.</w:t>
            </w:r>
            <w:r w:rsidR="000E76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>oktobra Īstenošanas lēmum</w:t>
            </w:r>
            <w:r w:rsidR="000E76E5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(ES) 2014/709 par dzīvnieku veselības kontroles pasākumiem saistībā ar Āfrikas cūku mēri dažās dalībvalstīs un ar ko atceļ Īstenošanas lēmumu 2014/178/ES (turpmāk – Īstenošanas lēmums (ES) 2014/709)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3CC507" w14:textId="58248CA5" w:rsidR="000E0E57" w:rsidRPr="001C2B53" w:rsidRDefault="00345EBF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Pr="00345EBF">
              <w:rPr>
                <w:rFonts w:ascii="Times New Roman" w:hAnsi="Times New Roman" w:cs="Times New Roman"/>
                <w:bCs/>
                <w:sz w:val="24"/>
                <w:szCs w:val="24"/>
              </w:rPr>
              <w:t>(ES) 2014/709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nosacījumi un ĀCM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uzraudzības, kontroles un apkarošanas kārtība ir noteikta Ministru kabineta 2004. gada 17. februāra noteikumos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83 </w:t>
            </w:r>
            <w:r w:rsidR="000E76E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Āfrikas cūku mēra likvidēšanas un draudu novēršanas kārtība” (turpmāk – noteikumi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83), kuros ir jāizdara grozījumi, lai ietvertu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>ēmuma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B9687D">
              <w:rPr>
                <w:rFonts w:ascii="Times New Roman" w:hAnsi="Times New Roman" w:cs="Times New Roman"/>
                <w:bCs/>
                <w:sz w:val="24"/>
                <w:szCs w:val="24"/>
              </w:rPr>
              <w:t>21/544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normas attiecībā uz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Latvijas</w:t>
            </w:r>
            <w:r w:rsidR="00F7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administratīvo</w:t>
            </w:r>
            <w:r w:rsidR="006D7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teritoriju 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>precizēšanu atbilstoši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ĀCM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riska zonās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esošajai epidemioloģiskajai situācijai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DA34F6" w14:textId="7C068D75" w:rsidR="00A154A1" w:rsidRDefault="00C00FC5" w:rsidP="00A15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(ES) 20</w:t>
            </w:r>
            <w:r w:rsidR="00B9687D">
              <w:rPr>
                <w:rFonts w:ascii="Times New Roman" w:hAnsi="Times New Roman" w:cs="Times New Roman"/>
                <w:bCs/>
                <w:sz w:val="24"/>
                <w:szCs w:val="24"/>
              </w:rPr>
              <w:t>21/544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hAnsi="Times New Roman" w:cs="Times New Roman"/>
                <w:sz w:val="24"/>
                <w:szCs w:val="24"/>
              </w:rPr>
              <w:t>pamatojumā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 norādīts, ka</w:t>
            </w:r>
            <w:r w:rsidR="006531BC"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F26" w:rsidRPr="00355F26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E45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5F26" w:rsidRPr="00355F26">
              <w:rPr>
                <w:rFonts w:ascii="Times New Roman" w:hAnsi="Times New Roman" w:cs="Times New Roman"/>
                <w:sz w:val="24"/>
                <w:szCs w:val="24"/>
              </w:rPr>
              <w:t>gada februārī viens Ā</w:t>
            </w:r>
            <w:r w:rsidR="00355F2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355F26" w:rsidRPr="00355F26">
              <w:rPr>
                <w:rFonts w:ascii="Times New Roman" w:hAnsi="Times New Roman" w:cs="Times New Roman"/>
                <w:sz w:val="24"/>
                <w:szCs w:val="24"/>
              </w:rPr>
              <w:t xml:space="preserve"> gadījums tika novērots savvaļas cūkai Liepājas novadā, proti, apgabalā, kurš </w:t>
            </w:r>
            <w:r w:rsidR="00355F26">
              <w:rPr>
                <w:rFonts w:ascii="Times New Roman" w:hAnsi="Times New Roman" w:cs="Times New Roman"/>
                <w:sz w:val="24"/>
                <w:szCs w:val="24"/>
              </w:rPr>
              <w:t>atrodas netālu no</w:t>
            </w:r>
            <w:r w:rsidR="00355F26" w:rsidRPr="00355F26">
              <w:rPr>
                <w:rFonts w:ascii="Times New Roman" w:hAnsi="Times New Roman" w:cs="Times New Roman"/>
                <w:sz w:val="24"/>
                <w:szCs w:val="24"/>
              </w:rPr>
              <w:t xml:space="preserve"> Īstenošanas</w:t>
            </w:r>
            <w:r w:rsidR="00355F26">
              <w:rPr>
                <w:rFonts w:ascii="Times New Roman" w:hAnsi="Times New Roman" w:cs="Times New Roman"/>
                <w:sz w:val="24"/>
                <w:szCs w:val="24"/>
              </w:rPr>
              <w:t xml:space="preserve"> lēmuma 2014/709/ES pielikuma I</w:t>
            </w:r>
            <w:r w:rsidR="00E45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5F26" w:rsidRPr="00355F26">
              <w:rPr>
                <w:rFonts w:ascii="Times New Roman" w:hAnsi="Times New Roman" w:cs="Times New Roman"/>
                <w:sz w:val="24"/>
                <w:szCs w:val="24"/>
              </w:rPr>
              <w:t xml:space="preserve">daļā </w:t>
            </w:r>
            <w:r w:rsidR="00355F26">
              <w:rPr>
                <w:rFonts w:ascii="Times New Roman" w:hAnsi="Times New Roman" w:cs="Times New Roman"/>
                <w:sz w:val="24"/>
                <w:szCs w:val="24"/>
              </w:rPr>
              <w:t xml:space="preserve">norādītā apgabala. Saskaņā ar Eiropas Komisijas darba dokumentu SANTE/7112/2015 </w:t>
            </w:r>
            <w:r w:rsidR="00E45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5F26">
              <w:rPr>
                <w:rFonts w:ascii="Times New Roman" w:hAnsi="Times New Roman" w:cs="Times New Roman"/>
                <w:sz w:val="24"/>
                <w:szCs w:val="24"/>
              </w:rPr>
              <w:t xml:space="preserve">Principi un kritēriji, lai ģeogrāfiski definētu ĀCM reģionalizāciju” šāda situācija </w:t>
            </w:r>
            <w:r w:rsidR="00E45536">
              <w:rPr>
                <w:rFonts w:ascii="Times New Roman" w:hAnsi="Times New Roman" w:cs="Times New Roman"/>
                <w:sz w:val="24"/>
                <w:szCs w:val="24"/>
              </w:rPr>
              <w:t>liecina par</w:t>
            </w:r>
            <w:r w:rsidR="00355F26">
              <w:rPr>
                <w:rFonts w:ascii="Times New Roman" w:hAnsi="Times New Roman" w:cs="Times New Roman"/>
                <w:sz w:val="24"/>
                <w:szCs w:val="24"/>
              </w:rPr>
              <w:t xml:space="preserve"> ĀCM izplatīšanos uz jaunām teritorijām</w:t>
            </w:r>
            <w:r w:rsidR="00A15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5536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 w:rsidR="00A154A1">
              <w:rPr>
                <w:rFonts w:ascii="Times New Roman" w:hAnsi="Times New Roman" w:cs="Times New Roman"/>
                <w:sz w:val="24"/>
                <w:szCs w:val="24"/>
              </w:rPr>
              <w:t xml:space="preserve"> nepieciešams palielināt II daļas un I</w:t>
            </w:r>
            <w:r w:rsidR="00E45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54A1">
              <w:rPr>
                <w:rFonts w:ascii="Times New Roman" w:hAnsi="Times New Roman" w:cs="Times New Roman"/>
                <w:sz w:val="24"/>
                <w:szCs w:val="24"/>
              </w:rPr>
              <w:t xml:space="preserve">daļas teritorijas. </w:t>
            </w:r>
          </w:p>
          <w:p w14:paraId="4682B7AD" w14:textId="432EC0D2" w:rsidR="00473CC8" w:rsidRPr="009002F3" w:rsidRDefault="00A154A1" w:rsidP="00A1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7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sagatavots </w:t>
            </w:r>
            <w:r w:rsidR="00473CC8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47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projekts “Grozījumi </w:t>
            </w:r>
            <w:r w:rsidR="00473CC8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2004. gada 17. februāra noteikumos Nr.</w:t>
            </w:r>
            <w:r w:rsidR="00473C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73CC8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 „Āfrikas cūku mēra likvidēšanas un draudu novēršanas kārtība” (turpmāk – noteikum</w:t>
            </w:r>
            <w:r w:rsidR="00473CC8">
              <w:rPr>
                <w:rFonts w:ascii="Times New Roman" w:hAnsi="Times New Roman" w:cs="Times New Roman"/>
                <w:bCs/>
                <w:sz w:val="24"/>
                <w:szCs w:val="24"/>
              </w:rPr>
              <w:t>u projekts)</w:t>
            </w:r>
            <w:r w:rsidR="00872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kurā mainīta atsevišķu administratīvo teritoriju atrašanās noteiktās </w:t>
            </w:r>
            <w:r w:rsidR="00872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ĀCM </w:t>
            </w:r>
            <w:r w:rsidR="00872E7D">
              <w:rPr>
                <w:rFonts w:ascii="Times New Roman" w:hAnsi="Times New Roman" w:cs="Times New Roman"/>
                <w:bCs/>
                <w:sz w:val="24"/>
                <w:szCs w:val="24"/>
              </w:rPr>
              <w:t>riska zonās.</w:t>
            </w:r>
          </w:p>
        </w:tc>
      </w:tr>
      <w:tr w:rsidR="00A62BEF" w14:paraId="4A8808FE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A61CF" w14:textId="5EA53B3A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7033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4081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399799BF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DC4A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D0B7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E7A53" w14:textId="77777777"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7F1F4D4" w14:textId="77777777"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7F6A5179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4A249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14:paraId="2BF3817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49DF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100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9FF4B" w14:textId="746EACF1" w:rsidR="00DD0087" w:rsidRPr="00173807" w:rsidRDefault="00345EBF" w:rsidP="00A1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E455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Pārtikas un veterināro dienestu. Pēc Lauksaimniecības datu centra tīmekļvietnē piee</w:t>
            </w:r>
            <w:r w:rsidR="00A154A1">
              <w:rPr>
                <w:rFonts w:ascii="Times New Roman" w:eastAsia="Times New Roman" w:hAnsi="Times New Roman" w:cs="Times New Roman"/>
                <w:sz w:val="24"/>
                <w:szCs w:val="24"/>
              </w:rPr>
              <w:t>jamās informācijas, Latvijā 2021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gada 1. </w:t>
            </w:r>
            <w:r w:rsidR="00A154A1">
              <w:rPr>
                <w:rFonts w:ascii="Times New Roman" w:eastAsia="Times New Roman" w:hAnsi="Times New Roman" w:cs="Times New Roman"/>
                <w:sz w:val="24"/>
                <w:szCs w:val="24"/>
              </w:rPr>
              <w:t>janvārī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reģistrēti </w:t>
            </w:r>
            <w:r w:rsidR="00D03AD1" w:rsidRPr="00D03AD1">
              <w:rPr>
                <w:rFonts w:ascii="Times New Roman" w:eastAsia="Times New Roman" w:hAnsi="Times New Roman" w:cs="Times New Roman"/>
                <w:sz w:val="24"/>
                <w:szCs w:val="24"/>
              </w:rPr>
              <w:t>3666</w:t>
            </w:r>
            <w:r w:rsidR="00D03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</w:rPr>
              <w:t>cūku sugas dzīvnieku ganāmpulki (novietnes, kurās dzīvnieki tiek turēti gan komerciālos nolūkos, gan pašpatēr</w:t>
            </w:r>
            <w:r w:rsidR="00A154A1">
              <w:rPr>
                <w:rFonts w:ascii="Times New Roman" w:eastAsia="Times New Roman" w:hAnsi="Times New Roman" w:cs="Times New Roman"/>
                <w:sz w:val="24"/>
                <w:szCs w:val="24"/>
              </w:rPr>
              <w:t>iņam). Kopējais cūku skaits 2021</w:t>
            </w:r>
            <w:r w:rsidRPr="00345EBF">
              <w:rPr>
                <w:rFonts w:ascii="Times New Roman" w:eastAsia="Times New Roman" w:hAnsi="Times New Roman" w:cs="Times New Roman"/>
                <w:sz w:val="24"/>
                <w:szCs w:val="24"/>
              </w:rPr>
              <w:t>. gada 1.</w:t>
            </w:r>
            <w:r w:rsidR="00FA5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janvārī bija </w:t>
            </w:r>
            <w:r w:rsidR="00D03AD1" w:rsidRPr="00D03AD1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D03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AD1" w:rsidRPr="00D03AD1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D03A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7C2BFFD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9917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D3C4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F70ED" w14:textId="77777777" w:rsidR="00561F23" w:rsidRPr="001C2B53" w:rsidRDefault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6E55EA3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31A2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FEB0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7DAE8" w14:textId="77777777"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ABA0F62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65A0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7AA1D" w14:textId="77777777"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5D49A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8CF81F5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CEAC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6EB3F" w14:textId="77777777"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B90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BB952DF" w14:textId="77777777"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14:paraId="19A75AD5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CF7B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72BA0733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457D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26380AE3" w14:textId="77777777" w:rsidTr="00A468CE">
        <w:tc>
          <w:tcPr>
            <w:tcW w:w="9366" w:type="dxa"/>
            <w:vAlign w:val="center"/>
          </w:tcPr>
          <w:p w14:paraId="65B32FA7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4458C5D5" w14:textId="77777777" w:rsidTr="00A468CE">
        <w:tc>
          <w:tcPr>
            <w:tcW w:w="9366" w:type="dxa"/>
            <w:vAlign w:val="center"/>
          </w:tcPr>
          <w:p w14:paraId="4F066B8C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CAA4C68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8F7A021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9672B" w14:textId="0CE3BEAC" w:rsidR="009A5D77" w:rsidRPr="001C2B53" w:rsidRDefault="0065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62BEF" w14:paraId="77D8A62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705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AAA1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7F0B12" w14:textId="4EC91028" w:rsidR="00561F23" w:rsidRPr="00E12717" w:rsidRDefault="00A154A1" w:rsidP="00A15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Komisijas 2021. gada 25. marta Īstenošanas </w:t>
            </w:r>
            <w:r w:rsidR="00E45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15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ēmums 2021/544/ES, ar ko groza pielikumu Īstenošanas lēmumam</w:t>
            </w:r>
            <w:r w:rsidR="00E45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2014/709/ES par dzīvnieku veselības kontroles pasākumiem saistībā ar Āfrikas cūku mēri dažās dalībvalstīs</w:t>
            </w:r>
          </w:p>
        </w:tc>
      </w:tr>
      <w:tr w:rsidR="00A62BEF" w14:paraId="7964E0A8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A0BB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1441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AD74C0" w14:textId="77777777"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4FCFCE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B975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A172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753F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87FF3E7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2150"/>
        <w:gridCol w:w="2347"/>
        <w:gridCol w:w="2347"/>
      </w:tblGrid>
      <w:tr w:rsidR="00A62BEF" w14:paraId="369E6DC5" w14:textId="77777777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CBCA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14:paraId="707A1572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5F8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15EAE" w14:textId="3DC8C626" w:rsidR="00D47815" w:rsidRPr="001C2B53" w:rsidRDefault="00A154A1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 2021. gada 25. marta Īstenošanas Lēmums 2021/544/ES, ar ko groza pielikumu Īstenošanas lēmumam 2014/709/ES par dzīvnieku veselības kontroles pasākumiem saistībā ar Āfrikas cūku mēri dažās dalībvalstīs (turpmāk – Īstenošanas lēmums (ES) 2021/544).</w:t>
            </w:r>
          </w:p>
        </w:tc>
      </w:tr>
      <w:tr w:rsidR="00A62BEF" w14:paraId="77942173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5A74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E57B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8891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FD6E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14:paraId="13F3AE2B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4283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6E3E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1D14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7ACFA" w14:textId="77777777"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F5C95" w14:paraId="49A62A8A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D55B5" w14:textId="127DAA9F" w:rsidR="00AF5C95" w:rsidRDefault="00593A5F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="00A8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2021/544</w:t>
            </w:r>
            <w:r w:rsidRPr="00593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pielikuma I</w:t>
            </w:r>
            <w:r w:rsidR="000E7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</w:t>
            </w:r>
            <w:r w:rsidR="00757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punkta </w:t>
            </w:r>
            <w:r w:rsidR="00757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trešā 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DA911" w14:textId="70953B3F" w:rsidR="00AF5C95" w:rsidRPr="00AD508C" w:rsidRDefault="00CC5326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 w:rsidR="00593A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BC061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FFC7D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779C25A6" w14:textId="77777777" w:rsidTr="00972562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BAD5E4" w14:textId="7A07524D" w:rsidR="00D47815" w:rsidRPr="001C2B53" w:rsidRDefault="00A80996" w:rsidP="00A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Svītrots no Īstenošanas lēmuma (ES) 2021/544</w:t>
            </w:r>
            <w:r w:rsidR="00593A5F" w:rsidRPr="00593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pielikuma I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daļas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7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E45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7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punkta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C3291" w14:textId="51D0349C" w:rsidR="00D47815" w:rsidRPr="001C2B53" w:rsidRDefault="001E7CF1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352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 w:rsidR="00593A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CBAF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E85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EC462F" w14:paraId="41821B0D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D5AA6" w14:textId="3C1C1373" w:rsidR="00EC462F" w:rsidRPr="00A638E3" w:rsidRDefault="00A80996" w:rsidP="0087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lēmuma (ES) 2021/544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</w:t>
            </w:r>
            <w:r w:rsidR="00874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0E7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daļas</w:t>
            </w:r>
            <w:r w:rsidR="00874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punkta </w:t>
            </w:r>
            <w:r w:rsidR="00874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trešā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B6A32" w14:textId="684031C2" w:rsidR="00EC462F" w:rsidRDefault="0025630E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 w:rsidR="00593A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D5DC7B" w14:textId="77777777" w:rsidR="00EC462F" w:rsidRPr="003C61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7805C5" w14:textId="77777777" w:rsidR="00EC462F" w:rsidRPr="00226B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Attiecīgais noteikumu projekta punkts neparedz stingrākas </w:t>
            </w: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prasības kā ES tiesību aktā.</w:t>
            </w:r>
          </w:p>
        </w:tc>
      </w:tr>
      <w:tr w:rsidR="00901324" w14:paraId="5346A919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49C50" w14:textId="05ED4B30" w:rsidR="00901324" w:rsidRPr="00590C86" w:rsidRDefault="00593A5F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3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Īstenošanas lēmuma (ES) 2020/1535 </w:t>
            </w:r>
            <w:r w:rsidR="00A8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pielikuma II</w:t>
            </w:r>
            <w:r w:rsidR="00E45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8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daļas </w:t>
            </w:r>
            <w:r w:rsidR="00874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ceturtā punkta trīsdesmit otrā un astoņdesmit sestā atkāpe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D73B1" w14:textId="4A1D6296" w:rsidR="00901324" w:rsidRDefault="00CE7BB1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A72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 w:rsidR="00593A5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C23D7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7E771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4D17C1DB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2161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78EA3" w14:textId="7B6A239C" w:rsidR="00D47815" w:rsidRPr="00E61979" w:rsidRDefault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ēmumā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A15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21/544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dalībvalstij </w:t>
            </w:r>
            <w:r w:rsidR="00E45536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nav dota rīcības brīvība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ieviest tiesību normas.</w:t>
            </w:r>
          </w:p>
        </w:tc>
      </w:tr>
      <w:tr w:rsidR="00A62BEF" w14:paraId="29ABC345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4C2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E4C8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09C868C" w14:textId="77777777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F062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D03ED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5FE26E77" w14:textId="77777777"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14:paraId="0D74A3F1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B4C19F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14:paraId="0513E236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20A59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6D9D7FA" w14:textId="77777777" w:rsidR="00595382" w:rsidRDefault="00595382" w:rsidP="00595382">
      <w:pPr>
        <w:spacing w:after="0" w:line="240" w:lineRule="auto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7D1C1D9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3F920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14:paraId="31CCF674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6A19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1C5C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CF77" w14:textId="383D3853" w:rsidR="00E829BB" w:rsidRPr="001C2B53" w:rsidRDefault="006531BC" w:rsidP="0034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(ES) 20</w:t>
            </w:r>
            <w:r w:rsidR="00A15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21/544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iekļautajām normām nav nepieciešamas, jo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A68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minēt</w:t>
            </w:r>
            <w:r w:rsidR="00345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3DB2F1C3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77B0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7D94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6ED1C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479A4AC1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18E3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9E60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A01F7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5C4959A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2A8C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1ABE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C1C4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1ABD9F5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14:paraId="51E3F0C6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D581D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VII. Tiesību akta projekta izpildes nodrošināšana un tās ietekme uz institūcijām</w:t>
            </w:r>
          </w:p>
        </w:tc>
      </w:tr>
      <w:tr w:rsidR="00A62BEF" w14:paraId="67EB9D0E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8AE9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E24A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1000B" w14:textId="77777777"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14:paraId="46CEE05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513F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C3B4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A19D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75EECF2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063A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B2062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623F9" w14:textId="77777777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658E5193" w14:textId="77777777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0B1B" w14:textId="77777777" w:rsidR="00827F43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</w:r>
    </w:p>
    <w:p w14:paraId="29A247FA" w14:textId="77777777" w:rsidR="00827F43" w:rsidRDefault="00827F43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FDC7402" w14:textId="77C7089C" w:rsidR="001C2B53" w:rsidRPr="006F305D" w:rsidRDefault="006531BC" w:rsidP="00827F4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>Zemkopības ministrs</w:t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0A775A">
        <w:rPr>
          <w:rFonts w:ascii="Times New Roman" w:hAnsi="Times New Roman" w:cs="Times New Roman"/>
          <w:bCs/>
          <w:sz w:val="28"/>
          <w:szCs w:val="24"/>
        </w:rPr>
        <w:t>.</w:t>
      </w:r>
      <w:r w:rsidR="00F9295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14:paraId="675B3103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43A73" w14:textId="77777777" w:rsidR="001C2B53" w:rsidRPr="001C2B53" w:rsidRDefault="001C2B53" w:rsidP="00E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31901" w14:textId="2033A0E0" w:rsid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77AF672C" w14:textId="1F15ECDC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272C80BA" w14:textId="71531A03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1C19D902" w14:textId="26A6D534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694DFD8F" w14:textId="700556B3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17DC059E" w14:textId="6ED04A26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47B98625" w14:textId="335C1A7A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6F707669" w14:textId="487B8DE9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46FFEF8C" w14:textId="6395A7C5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7F522F91" w14:textId="0EF7C950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52F2AA73" w14:textId="4281D3F2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09ACC069" w14:textId="435E3949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10C887C1" w14:textId="780CAF9B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19B9CBDD" w14:textId="07CEAF2F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1F236602" w14:textId="2C0D1C97" w:rsidR="00827F43" w:rsidRDefault="00827F43" w:rsidP="001C2B53">
      <w:pPr>
        <w:rPr>
          <w:rFonts w:ascii="Times New Roman" w:hAnsi="Times New Roman" w:cs="Times New Roman"/>
          <w:sz w:val="24"/>
          <w:szCs w:val="24"/>
        </w:rPr>
      </w:pPr>
    </w:p>
    <w:p w14:paraId="0E0E99BC" w14:textId="77777777" w:rsidR="00827F43" w:rsidRPr="001C2B53" w:rsidRDefault="00827F43" w:rsidP="001C2B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13234B" w14:textId="77777777" w:rsidR="001C2B53" w:rsidRPr="00827F43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43">
        <w:rPr>
          <w:rFonts w:ascii="Times New Roman" w:hAnsi="Times New Roman" w:cs="Times New Roman"/>
          <w:sz w:val="24"/>
          <w:szCs w:val="24"/>
        </w:rPr>
        <w:t>Vecuma-Veco 67027551</w:t>
      </w:r>
    </w:p>
    <w:p w14:paraId="354A95A1" w14:textId="30013E1A" w:rsidR="001C2B53" w:rsidRPr="00827F43" w:rsidRDefault="00827F43" w:rsidP="00A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1BC" w:rsidRPr="00827F43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sectPr w:rsidR="001C2B53" w:rsidRPr="00827F43" w:rsidSect="003C61DE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7F24" w14:textId="77777777" w:rsidR="00634358" w:rsidRDefault="00634358">
      <w:pPr>
        <w:spacing w:after="0" w:line="240" w:lineRule="auto"/>
      </w:pPr>
      <w:r>
        <w:separator/>
      </w:r>
    </w:p>
  </w:endnote>
  <w:endnote w:type="continuationSeparator" w:id="0">
    <w:p w14:paraId="61A22524" w14:textId="77777777" w:rsidR="00634358" w:rsidRDefault="006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4FF1" w14:textId="484764B5" w:rsidR="0064398A" w:rsidRPr="00827F43" w:rsidRDefault="00827F43" w:rsidP="00827F43">
    <w:pPr>
      <w:pStyle w:val="Kjene"/>
    </w:pPr>
    <w:r w:rsidRPr="00827F43">
      <w:rPr>
        <w:rFonts w:ascii="Times New Roman" w:hAnsi="Times New Roman" w:cs="Times New Roman"/>
        <w:sz w:val="20"/>
        <w:szCs w:val="20"/>
      </w:rPr>
      <w:t>ZManot_260421_afrikmeris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E4F4" w14:textId="1764F103" w:rsidR="0064398A" w:rsidRPr="00827F43" w:rsidRDefault="00827F43" w:rsidP="00827F43">
    <w:pPr>
      <w:pStyle w:val="Kjene"/>
    </w:pPr>
    <w:r w:rsidRPr="00827F43">
      <w:rPr>
        <w:rFonts w:ascii="Times New Roman" w:hAnsi="Times New Roman" w:cs="Times New Roman"/>
        <w:sz w:val="20"/>
        <w:szCs w:val="20"/>
      </w:rPr>
      <w:t>ZManot_260421_afrikmeris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7BBA" w14:textId="77777777" w:rsidR="00634358" w:rsidRDefault="00634358">
      <w:pPr>
        <w:spacing w:after="0" w:line="240" w:lineRule="auto"/>
      </w:pPr>
      <w:r>
        <w:separator/>
      </w:r>
    </w:p>
  </w:footnote>
  <w:footnote w:type="continuationSeparator" w:id="0">
    <w:p w14:paraId="17E6CC0C" w14:textId="77777777" w:rsidR="00634358" w:rsidRDefault="0063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BDF38E" w14:textId="77777777"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0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354BB9" w14:textId="77777777"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6CC"/>
    <w:multiLevelType w:val="hybridMultilevel"/>
    <w:tmpl w:val="5290E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1136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75A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0F5"/>
    <w:rsid w:val="000E76E5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2F92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141C"/>
    <w:rsid w:val="001641AF"/>
    <w:rsid w:val="00164A41"/>
    <w:rsid w:val="0016539A"/>
    <w:rsid w:val="00165CA0"/>
    <w:rsid w:val="00167E9F"/>
    <w:rsid w:val="001702D1"/>
    <w:rsid w:val="00171DE1"/>
    <w:rsid w:val="00173807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7967"/>
    <w:rsid w:val="001E7CF1"/>
    <w:rsid w:val="001F23F0"/>
    <w:rsid w:val="001F3A1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2B85"/>
    <w:rsid w:val="00254531"/>
    <w:rsid w:val="0025630E"/>
    <w:rsid w:val="0026780B"/>
    <w:rsid w:val="00272D42"/>
    <w:rsid w:val="002748E2"/>
    <w:rsid w:val="00281449"/>
    <w:rsid w:val="002817BB"/>
    <w:rsid w:val="00286293"/>
    <w:rsid w:val="002906A4"/>
    <w:rsid w:val="00293B2E"/>
    <w:rsid w:val="00295DDA"/>
    <w:rsid w:val="002A5FA8"/>
    <w:rsid w:val="002A6EF5"/>
    <w:rsid w:val="002B4544"/>
    <w:rsid w:val="002B5A97"/>
    <w:rsid w:val="002B6EFB"/>
    <w:rsid w:val="002B7464"/>
    <w:rsid w:val="002B7B3F"/>
    <w:rsid w:val="002C3FBC"/>
    <w:rsid w:val="002C49CB"/>
    <w:rsid w:val="002C5A86"/>
    <w:rsid w:val="002C7884"/>
    <w:rsid w:val="002D0EF4"/>
    <w:rsid w:val="002D171F"/>
    <w:rsid w:val="002D2A7C"/>
    <w:rsid w:val="002D51FB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73D"/>
    <w:rsid w:val="00330CF3"/>
    <w:rsid w:val="00333E97"/>
    <w:rsid w:val="00335881"/>
    <w:rsid w:val="00335A90"/>
    <w:rsid w:val="00340865"/>
    <w:rsid w:val="00341A9B"/>
    <w:rsid w:val="00343629"/>
    <w:rsid w:val="00345EBF"/>
    <w:rsid w:val="00347C21"/>
    <w:rsid w:val="00350B49"/>
    <w:rsid w:val="003511D9"/>
    <w:rsid w:val="00355642"/>
    <w:rsid w:val="00355F26"/>
    <w:rsid w:val="003563E0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3CC8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4F63"/>
    <w:rsid w:val="004E532F"/>
    <w:rsid w:val="004E6FDA"/>
    <w:rsid w:val="004F04BB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0801"/>
    <w:rsid w:val="00561F23"/>
    <w:rsid w:val="00564E1B"/>
    <w:rsid w:val="00564E4E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3A5F"/>
    <w:rsid w:val="00595382"/>
    <w:rsid w:val="00597293"/>
    <w:rsid w:val="005973AB"/>
    <w:rsid w:val="005A3B9D"/>
    <w:rsid w:val="005A5578"/>
    <w:rsid w:val="005B20A2"/>
    <w:rsid w:val="005B4C1A"/>
    <w:rsid w:val="005C3295"/>
    <w:rsid w:val="005C7BA2"/>
    <w:rsid w:val="005C7D5B"/>
    <w:rsid w:val="005D0607"/>
    <w:rsid w:val="005D09ED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5F5E06"/>
    <w:rsid w:val="00601B2D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4358"/>
    <w:rsid w:val="00635B00"/>
    <w:rsid w:val="00636B2E"/>
    <w:rsid w:val="0063774E"/>
    <w:rsid w:val="0064398A"/>
    <w:rsid w:val="00644490"/>
    <w:rsid w:val="00650F4A"/>
    <w:rsid w:val="00650FBB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392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0EF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6B8C"/>
    <w:rsid w:val="0070799E"/>
    <w:rsid w:val="00712B8E"/>
    <w:rsid w:val="00712C4A"/>
    <w:rsid w:val="007139EE"/>
    <w:rsid w:val="00714BD1"/>
    <w:rsid w:val="0071739D"/>
    <w:rsid w:val="00731A60"/>
    <w:rsid w:val="00732DB4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57265"/>
    <w:rsid w:val="00765BB4"/>
    <w:rsid w:val="00765F6B"/>
    <w:rsid w:val="00770C50"/>
    <w:rsid w:val="0077127B"/>
    <w:rsid w:val="00771BB6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12D0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27F43"/>
    <w:rsid w:val="008300F7"/>
    <w:rsid w:val="00833013"/>
    <w:rsid w:val="00833A0E"/>
    <w:rsid w:val="008347AC"/>
    <w:rsid w:val="00834CB1"/>
    <w:rsid w:val="00835191"/>
    <w:rsid w:val="00837A68"/>
    <w:rsid w:val="00837E02"/>
    <w:rsid w:val="00840BAF"/>
    <w:rsid w:val="0084105E"/>
    <w:rsid w:val="00845A46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2E7D"/>
    <w:rsid w:val="008741E7"/>
    <w:rsid w:val="008747B6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366D"/>
    <w:rsid w:val="008B6E02"/>
    <w:rsid w:val="008C018D"/>
    <w:rsid w:val="008C2AAF"/>
    <w:rsid w:val="008C3E45"/>
    <w:rsid w:val="008C5448"/>
    <w:rsid w:val="008C78C0"/>
    <w:rsid w:val="008D3CC3"/>
    <w:rsid w:val="008E0490"/>
    <w:rsid w:val="008E3CE4"/>
    <w:rsid w:val="008E3D73"/>
    <w:rsid w:val="008E4323"/>
    <w:rsid w:val="008E71F4"/>
    <w:rsid w:val="008E7CD5"/>
    <w:rsid w:val="008F30A5"/>
    <w:rsid w:val="008F6A13"/>
    <w:rsid w:val="008F7823"/>
    <w:rsid w:val="009002F3"/>
    <w:rsid w:val="00901324"/>
    <w:rsid w:val="00902D96"/>
    <w:rsid w:val="0090318F"/>
    <w:rsid w:val="0090398E"/>
    <w:rsid w:val="00903A00"/>
    <w:rsid w:val="00903C8F"/>
    <w:rsid w:val="00904261"/>
    <w:rsid w:val="00907D9F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6E1C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0F17"/>
    <w:rsid w:val="00966D8F"/>
    <w:rsid w:val="00970510"/>
    <w:rsid w:val="0097112E"/>
    <w:rsid w:val="00972562"/>
    <w:rsid w:val="009738C2"/>
    <w:rsid w:val="00982740"/>
    <w:rsid w:val="00985520"/>
    <w:rsid w:val="009907F6"/>
    <w:rsid w:val="00993448"/>
    <w:rsid w:val="009949F9"/>
    <w:rsid w:val="009A1647"/>
    <w:rsid w:val="009A52C8"/>
    <w:rsid w:val="009A5D77"/>
    <w:rsid w:val="009B6A74"/>
    <w:rsid w:val="009C12D1"/>
    <w:rsid w:val="009C6C59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4AFD"/>
    <w:rsid w:val="009E597C"/>
    <w:rsid w:val="009F06F7"/>
    <w:rsid w:val="009F481E"/>
    <w:rsid w:val="009F54BC"/>
    <w:rsid w:val="00A10558"/>
    <w:rsid w:val="00A11F4F"/>
    <w:rsid w:val="00A154A1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3F0"/>
    <w:rsid w:val="00A4432F"/>
    <w:rsid w:val="00A4554C"/>
    <w:rsid w:val="00A45952"/>
    <w:rsid w:val="00A45D5E"/>
    <w:rsid w:val="00A468CE"/>
    <w:rsid w:val="00A46C6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0DA"/>
    <w:rsid w:val="00A72E58"/>
    <w:rsid w:val="00A75693"/>
    <w:rsid w:val="00A80996"/>
    <w:rsid w:val="00A81610"/>
    <w:rsid w:val="00A81A8A"/>
    <w:rsid w:val="00A820FA"/>
    <w:rsid w:val="00A847E5"/>
    <w:rsid w:val="00A91678"/>
    <w:rsid w:val="00A93050"/>
    <w:rsid w:val="00A945B4"/>
    <w:rsid w:val="00A96228"/>
    <w:rsid w:val="00A9639B"/>
    <w:rsid w:val="00AA05C1"/>
    <w:rsid w:val="00AA0CA1"/>
    <w:rsid w:val="00AA14E0"/>
    <w:rsid w:val="00AA210C"/>
    <w:rsid w:val="00AA5FD7"/>
    <w:rsid w:val="00AA63E1"/>
    <w:rsid w:val="00AA6CAE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3DE"/>
    <w:rsid w:val="00AC2661"/>
    <w:rsid w:val="00AC277E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2D8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5AB5"/>
    <w:rsid w:val="00B161E8"/>
    <w:rsid w:val="00B20AC5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4E77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2789"/>
    <w:rsid w:val="00B9305D"/>
    <w:rsid w:val="00B9687D"/>
    <w:rsid w:val="00B96921"/>
    <w:rsid w:val="00B9776C"/>
    <w:rsid w:val="00BA043E"/>
    <w:rsid w:val="00BA1360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05ACE"/>
    <w:rsid w:val="00C11187"/>
    <w:rsid w:val="00C118BD"/>
    <w:rsid w:val="00C12248"/>
    <w:rsid w:val="00C16EE4"/>
    <w:rsid w:val="00C17D70"/>
    <w:rsid w:val="00C21992"/>
    <w:rsid w:val="00C21CBA"/>
    <w:rsid w:val="00C237A8"/>
    <w:rsid w:val="00C23BE0"/>
    <w:rsid w:val="00C23CB0"/>
    <w:rsid w:val="00C264FA"/>
    <w:rsid w:val="00C26B20"/>
    <w:rsid w:val="00C27121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11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326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E7BB1"/>
    <w:rsid w:val="00CF24F5"/>
    <w:rsid w:val="00CF2EDB"/>
    <w:rsid w:val="00CF354B"/>
    <w:rsid w:val="00CF72CD"/>
    <w:rsid w:val="00D01033"/>
    <w:rsid w:val="00D0288B"/>
    <w:rsid w:val="00D03AD1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217A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C7DBB"/>
    <w:rsid w:val="00DD0087"/>
    <w:rsid w:val="00DE3315"/>
    <w:rsid w:val="00DE4518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536"/>
    <w:rsid w:val="00E45E05"/>
    <w:rsid w:val="00E4600A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5EE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3522"/>
    <w:rsid w:val="00EA5F89"/>
    <w:rsid w:val="00EA7899"/>
    <w:rsid w:val="00EA7F55"/>
    <w:rsid w:val="00EB42F8"/>
    <w:rsid w:val="00EB49FC"/>
    <w:rsid w:val="00EB4C39"/>
    <w:rsid w:val="00EB4DA7"/>
    <w:rsid w:val="00EB4F15"/>
    <w:rsid w:val="00EB67C7"/>
    <w:rsid w:val="00EC0AE3"/>
    <w:rsid w:val="00EC0FA4"/>
    <w:rsid w:val="00EC1220"/>
    <w:rsid w:val="00EC35B7"/>
    <w:rsid w:val="00EC462F"/>
    <w:rsid w:val="00ED04E9"/>
    <w:rsid w:val="00ED3028"/>
    <w:rsid w:val="00ED57CA"/>
    <w:rsid w:val="00ED7A1C"/>
    <w:rsid w:val="00EE0672"/>
    <w:rsid w:val="00EE2BAB"/>
    <w:rsid w:val="00EE3E79"/>
    <w:rsid w:val="00EE4C83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3C60"/>
    <w:rsid w:val="00F15332"/>
    <w:rsid w:val="00F2108B"/>
    <w:rsid w:val="00F23FEF"/>
    <w:rsid w:val="00F27A67"/>
    <w:rsid w:val="00F30B8F"/>
    <w:rsid w:val="00F315C9"/>
    <w:rsid w:val="00F328A5"/>
    <w:rsid w:val="00F3351D"/>
    <w:rsid w:val="00F3499A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225D"/>
    <w:rsid w:val="00F72FCB"/>
    <w:rsid w:val="00F80E6C"/>
    <w:rsid w:val="00F8362D"/>
    <w:rsid w:val="00F87236"/>
    <w:rsid w:val="00F87B17"/>
    <w:rsid w:val="00F90A6B"/>
    <w:rsid w:val="00F90DF7"/>
    <w:rsid w:val="00F927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52B"/>
    <w:rsid w:val="00FA56D5"/>
    <w:rsid w:val="00FA7E58"/>
    <w:rsid w:val="00FB200C"/>
    <w:rsid w:val="00FB202C"/>
    <w:rsid w:val="00FB5068"/>
    <w:rsid w:val="00FC2ED7"/>
    <w:rsid w:val="00FC31E9"/>
    <w:rsid w:val="00FC47F6"/>
    <w:rsid w:val="00FC5616"/>
    <w:rsid w:val="00FC688F"/>
    <w:rsid w:val="00FD5CAC"/>
    <w:rsid w:val="00FE14E2"/>
    <w:rsid w:val="00FE3723"/>
    <w:rsid w:val="00FE636F"/>
    <w:rsid w:val="00FF1557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CBD"/>
  <w15:docId w15:val="{15EAEB66-0D9A-41B5-B47F-AE61D69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7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9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5528</Words>
  <Characters>3152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2004. gada 17. februāra noteikumos Nr. 83 “Āfrikas cūku mēra likvidēšanas un draudu novēršanas kārtība””</dc:title>
  <dc:subject>anotācija</dc:subject>
  <dc:creator>Olita Vecuma-Veco</dc:creator>
  <dc:description>Vecuma-Veco 67027551 Olita.Vecuma-Veco@zm.gov.lv</dc:description>
  <cp:lastModifiedBy>Sanita Papinova</cp:lastModifiedBy>
  <cp:revision>4</cp:revision>
  <dcterms:created xsi:type="dcterms:W3CDTF">2021-04-19T09:56:00Z</dcterms:created>
  <dcterms:modified xsi:type="dcterms:W3CDTF">2021-04-27T07:46:00Z</dcterms:modified>
</cp:coreProperties>
</file>