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EC2" w14:textId="244E6813" w:rsidR="0014748C" w:rsidRPr="008F3A40" w:rsidRDefault="0014748C" w:rsidP="0014748C">
      <w:pPr>
        <w:tabs>
          <w:tab w:val="left" w:pos="6663"/>
        </w:tabs>
        <w:rPr>
          <w:sz w:val="28"/>
          <w:szCs w:val="28"/>
        </w:rPr>
      </w:pPr>
    </w:p>
    <w:p w14:paraId="6EFB5F64" w14:textId="77777777" w:rsidR="00BC1C20" w:rsidRPr="0014748C" w:rsidRDefault="00BC1C20" w:rsidP="0014748C">
      <w:pPr>
        <w:tabs>
          <w:tab w:val="left" w:pos="6663"/>
        </w:tabs>
        <w:rPr>
          <w:sz w:val="28"/>
          <w:szCs w:val="28"/>
        </w:rPr>
      </w:pPr>
    </w:p>
    <w:p w14:paraId="7A246A7D" w14:textId="77777777" w:rsidR="0014748C" w:rsidRPr="0014748C" w:rsidRDefault="0014748C" w:rsidP="0014748C">
      <w:pPr>
        <w:tabs>
          <w:tab w:val="left" w:pos="6663"/>
        </w:tabs>
        <w:rPr>
          <w:sz w:val="28"/>
          <w:szCs w:val="28"/>
        </w:rPr>
      </w:pPr>
    </w:p>
    <w:p w14:paraId="05A11FE0" w14:textId="14D36B57" w:rsidR="0014748C" w:rsidRPr="0014748C" w:rsidRDefault="0014748C" w:rsidP="0014748C">
      <w:pPr>
        <w:tabs>
          <w:tab w:val="left" w:pos="6663"/>
        </w:tabs>
        <w:rPr>
          <w:b/>
          <w:sz w:val="28"/>
          <w:szCs w:val="28"/>
        </w:rPr>
      </w:pPr>
      <w:r w:rsidRPr="0014748C">
        <w:rPr>
          <w:sz w:val="28"/>
          <w:szCs w:val="28"/>
        </w:rPr>
        <w:t xml:space="preserve">2021. gada </w:t>
      </w:r>
      <w:r w:rsidR="00967006">
        <w:rPr>
          <w:sz w:val="28"/>
          <w:szCs w:val="28"/>
        </w:rPr>
        <w:t>11. maijā</w:t>
      </w:r>
      <w:r w:rsidRPr="0014748C">
        <w:rPr>
          <w:sz w:val="28"/>
          <w:szCs w:val="28"/>
        </w:rPr>
        <w:tab/>
        <w:t>Noteikumi Nr.</w:t>
      </w:r>
      <w:r w:rsidR="00967006">
        <w:rPr>
          <w:sz w:val="28"/>
          <w:szCs w:val="28"/>
        </w:rPr>
        <w:t> 299</w:t>
      </w:r>
    </w:p>
    <w:p w14:paraId="11507A97" w14:textId="39ADABEF" w:rsidR="0014748C" w:rsidRPr="0014748C" w:rsidRDefault="0014748C" w:rsidP="0014748C">
      <w:pPr>
        <w:tabs>
          <w:tab w:val="left" w:pos="6663"/>
        </w:tabs>
        <w:rPr>
          <w:sz w:val="28"/>
          <w:szCs w:val="28"/>
        </w:rPr>
      </w:pPr>
      <w:r w:rsidRPr="0014748C">
        <w:rPr>
          <w:sz w:val="28"/>
          <w:szCs w:val="28"/>
        </w:rPr>
        <w:t>Rīgā</w:t>
      </w:r>
      <w:r w:rsidRPr="0014748C">
        <w:rPr>
          <w:sz w:val="28"/>
          <w:szCs w:val="28"/>
        </w:rPr>
        <w:tab/>
        <w:t>(prot. Nr.</w:t>
      </w:r>
      <w:r w:rsidR="00967006">
        <w:rPr>
          <w:sz w:val="28"/>
          <w:szCs w:val="28"/>
        </w:rPr>
        <w:t> 40 38</w:t>
      </w:r>
      <w:r w:rsidRPr="0014748C">
        <w:rPr>
          <w:sz w:val="28"/>
          <w:szCs w:val="28"/>
        </w:rPr>
        <w:t>. §)</w:t>
      </w:r>
    </w:p>
    <w:p w14:paraId="68F21E23" w14:textId="77777777" w:rsidR="00E3239F" w:rsidRPr="0014748C" w:rsidRDefault="00E3239F" w:rsidP="0014748C">
      <w:pPr>
        <w:shd w:val="clear" w:color="auto" w:fill="FFFFFF"/>
        <w:jc w:val="center"/>
        <w:rPr>
          <w:sz w:val="28"/>
          <w:szCs w:val="28"/>
        </w:rPr>
      </w:pPr>
    </w:p>
    <w:p w14:paraId="6B2B7733" w14:textId="473C2206" w:rsidR="00CB72EC" w:rsidRPr="0014748C" w:rsidRDefault="00F17304" w:rsidP="0014748C">
      <w:pPr>
        <w:shd w:val="clear" w:color="auto" w:fill="FFFFFF"/>
        <w:jc w:val="center"/>
        <w:rPr>
          <w:b/>
          <w:sz w:val="28"/>
          <w:szCs w:val="28"/>
        </w:rPr>
      </w:pPr>
      <w:r w:rsidRPr="0014748C">
        <w:rPr>
          <w:b/>
          <w:sz w:val="28"/>
          <w:szCs w:val="28"/>
        </w:rPr>
        <w:t xml:space="preserve">Grozījumi </w:t>
      </w:r>
      <w:r w:rsidR="00B16DD7" w:rsidRPr="0014748C">
        <w:rPr>
          <w:b/>
          <w:sz w:val="28"/>
          <w:szCs w:val="28"/>
        </w:rPr>
        <w:t>Ministru kabinet</w:t>
      </w:r>
      <w:r w:rsidR="00CB72EC" w:rsidRPr="0014748C">
        <w:rPr>
          <w:b/>
          <w:sz w:val="28"/>
          <w:szCs w:val="28"/>
        </w:rPr>
        <w:t xml:space="preserve">a 2015. gada 14. aprīļa noteikumos Nr. 194 </w:t>
      </w:r>
      <w:r w:rsidR="00BA25F5" w:rsidRPr="0014748C">
        <w:rPr>
          <w:b/>
          <w:bCs/>
          <w:sz w:val="28"/>
          <w:szCs w:val="28"/>
        </w:rPr>
        <w:t>"</w:t>
      </w:r>
      <w:r w:rsidR="00CB72EC" w:rsidRPr="0014748C">
        <w:rPr>
          <w:b/>
          <w:sz w:val="28"/>
          <w:szCs w:val="28"/>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00BA25F5" w:rsidRPr="0014748C">
        <w:rPr>
          <w:b/>
          <w:bCs/>
          <w:sz w:val="28"/>
          <w:szCs w:val="28"/>
        </w:rPr>
        <w:t>"</w:t>
      </w:r>
    </w:p>
    <w:p w14:paraId="7D88D217" w14:textId="77777777" w:rsidR="00CB72EC" w:rsidRPr="0014748C" w:rsidRDefault="00CB72EC" w:rsidP="0014748C">
      <w:pPr>
        <w:shd w:val="clear" w:color="auto" w:fill="FFFFFF"/>
        <w:jc w:val="center"/>
        <w:rPr>
          <w:sz w:val="28"/>
          <w:szCs w:val="28"/>
        </w:rPr>
      </w:pPr>
    </w:p>
    <w:p w14:paraId="6716C3E2" w14:textId="77777777" w:rsidR="0034503D" w:rsidRDefault="00CB72EC" w:rsidP="0014748C">
      <w:pPr>
        <w:pStyle w:val="likizd"/>
        <w:shd w:val="clear" w:color="auto" w:fill="FFFFFF"/>
        <w:spacing w:before="0" w:beforeAutospacing="0" w:after="0" w:afterAutospacing="0"/>
        <w:ind w:firstLine="301"/>
        <w:jc w:val="right"/>
        <w:rPr>
          <w:sz w:val="28"/>
          <w:szCs w:val="28"/>
        </w:rPr>
      </w:pPr>
      <w:r w:rsidRPr="0014748C">
        <w:rPr>
          <w:sz w:val="28"/>
          <w:szCs w:val="28"/>
        </w:rPr>
        <w:t xml:space="preserve">Izdoti saskaņā ar likuma </w:t>
      </w:r>
    </w:p>
    <w:p w14:paraId="04F0B239" w14:textId="6A031B6F" w:rsidR="00CB72EC" w:rsidRPr="0014748C" w:rsidRDefault="00CB72EC" w:rsidP="0014748C">
      <w:pPr>
        <w:pStyle w:val="likizd"/>
        <w:shd w:val="clear" w:color="auto" w:fill="FFFFFF"/>
        <w:spacing w:before="0" w:beforeAutospacing="0" w:after="0" w:afterAutospacing="0"/>
        <w:ind w:firstLine="301"/>
        <w:jc w:val="right"/>
        <w:rPr>
          <w:sz w:val="28"/>
          <w:szCs w:val="28"/>
        </w:rPr>
      </w:pPr>
      <w:r w:rsidRPr="0014748C">
        <w:rPr>
          <w:sz w:val="28"/>
          <w:szCs w:val="28"/>
        </w:rPr>
        <w:t>"</w:t>
      </w:r>
      <w:hyperlink r:id="rId8" w:tgtFrame="_blank" w:history="1">
        <w:r w:rsidRPr="0014748C">
          <w:rPr>
            <w:rStyle w:val="Hyperlink"/>
            <w:color w:val="auto"/>
            <w:sz w:val="28"/>
            <w:szCs w:val="28"/>
            <w:u w:val="none"/>
          </w:rPr>
          <w:t>Par akcīzes nodokli</w:t>
        </w:r>
      </w:hyperlink>
      <w:r w:rsidRPr="0014748C">
        <w:rPr>
          <w:sz w:val="28"/>
          <w:szCs w:val="28"/>
        </w:rPr>
        <w:t>"</w:t>
      </w:r>
      <w:r w:rsidRPr="0014748C">
        <w:rPr>
          <w:sz w:val="28"/>
          <w:szCs w:val="28"/>
        </w:rPr>
        <w:br/>
      </w:r>
      <w:hyperlink r:id="rId9" w:anchor="p18" w:tgtFrame="_blank" w:history="1">
        <w:r w:rsidRPr="0014748C">
          <w:rPr>
            <w:rStyle w:val="Hyperlink"/>
            <w:color w:val="auto"/>
            <w:sz w:val="28"/>
            <w:szCs w:val="28"/>
            <w:u w:val="none"/>
          </w:rPr>
          <w:t>18.</w:t>
        </w:r>
        <w:r w:rsidR="0034503D">
          <w:rPr>
            <w:rStyle w:val="Hyperlink"/>
            <w:color w:val="auto"/>
            <w:sz w:val="28"/>
            <w:szCs w:val="28"/>
            <w:u w:val="none"/>
          </w:rPr>
          <w:t> </w:t>
        </w:r>
        <w:r w:rsidRPr="0014748C">
          <w:rPr>
            <w:rStyle w:val="Hyperlink"/>
            <w:color w:val="auto"/>
            <w:sz w:val="28"/>
            <w:szCs w:val="28"/>
            <w:u w:val="none"/>
          </w:rPr>
          <w:t>panta</w:t>
        </w:r>
      </w:hyperlink>
      <w:r w:rsidR="0034503D">
        <w:rPr>
          <w:sz w:val="28"/>
          <w:szCs w:val="28"/>
        </w:rPr>
        <w:t xml:space="preserve"> </w:t>
      </w:r>
      <w:r w:rsidRPr="0014748C">
        <w:rPr>
          <w:sz w:val="28"/>
          <w:szCs w:val="28"/>
        </w:rPr>
        <w:t>piekto, 6.</w:t>
      </w:r>
      <w:r w:rsidRPr="0014748C">
        <w:rPr>
          <w:sz w:val="28"/>
          <w:szCs w:val="28"/>
          <w:vertAlign w:val="superscript"/>
        </w:rPr>
        <w:t>1</w:t>
      </w:r>
      <w:r w:rsidRPr="0014748C">
        <w:rPr>
          <w:sz w:val="28"/>
          <w:szCs w:val="28"/>
        </w:rPr>
        <w:t> un 6.</w:t>
      </w:r>
      <w:r w:rsidRPr="0014748C">
        <w:rPr>
          <w:sz w:val="28"/>
          <w:szCs w:val="28"/>
          <w:vertAlign w:val="superscript"/>
        </w:rPr>
        <w:t>2</w:t>
      </w:r>
      <w:r w:rsidRPr="0014748C">
        <w:rPr>
          <w:sz w:val="28"/>
          <w:szCs w:val="28"/>
        </w:rPr>
        <w:t> daļu</w:t>
      </w:r>
    </w:p>
    <w:p w14:paraId="20F1DD8C" w14:textId="77777777" w:rsidR="00C75454" w:rsidRPr="0014748C" w:rsidRDefault="00C75454" w:rsidP="0014748C">
      <w:pPr>
        <w:jc w:val="right"/>
        <w:rPr>
          <w:iCs/>
          <w:sz w:val="28"/>
          <w:szCs w:val="28"/>
        </w:rPr>
      </w:pPr>
    </w:p>
    <w:p w14:paraId="79CCF71B" w14:textId="77777777" w:rsidR="00F17304" w:rsidRPr="0014748C" w:rsidRDefault="00B16DD7" w:rsidP="0014748C">
      <w:pPr>
        <w:shd w:val="clear" w:color="auto" w:fill="FFFFFF"/>
        <w:ind w:firstLine="709"/>
        <w:jc w:val="both"/>
        <w:rPr>
          <w:sz w:val="28"/>
          <w:szCs w:val="28"/>
        </w:rPr>
      </w:pPr>
      <w:r w:rsidRPr="0014748C">
        <w:rPr>
          <w:sz w:val="28"/>
          <w:szCs w:val="28"/>
        </w:rPr>
        <w:t xml:space="preserve">Izdarīt </w:t>
      </w:r>
      <w:r w:rsidR="00CB72EC" w:rsidRPr="0014748C">
        <w:rPr>
          <w:sz w:val="28"/>
          <w:szCs w:val="28"/>
        </w:rPr>
        <w:t xml:space="preserve">Ministru kabineta 2015. gada 14. aprīļa noteikumos Nr. 194 </w:t>
      </w:r>
      <w:r w:rsidR="00BA25F5" w:rsidRPr="0014748C">
        <w:rPr>
          <w:bCs/>
          <w:sz w:val="28"/>
          <w:szCs w:val="28"/>
        </w:rPr>
        <w:t>"</w:t>
      </w:r>
      <w:r w:rsidR="00CB72EC" w:rsidRPr="0014748C">
        <w:rPr>
          <w:sz w:val="28"/>
          <w:szCs w:val="28"/>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00BA25F5" w:rsidRPr="0014748C">
        <w:rPr>
          <w:bCs/>
          <w:sz w:val="28"/>
          <w:szCs w:val="28"/>
        </w:rPr>
        <w:t>"</w:t>
      </w:r>
      <w:r w:rsidR="00CB72EC" w:rsidRPr="0014748C">
        <w:rPr>
          <w:sz w:val="28"/>
          <w:szCs w:val="28"/>
        </w:rPr>
        <w:t xml:space="preserve"> </w:t>
      </w:r>
      <w:r w:rsidR="00A9523E" w:rsidRPr="0014748C">
        <w:rPr>
          <w:sz w:val="28"/>
          <w:szCs w:val="28"/>
        </w:rPr>
        <w:t xml:space="preserve">(Latvijas Vēstnesis, 2015, 86., 226. nr.; 2016, 106. nr.; 2017, 59. nr.; 2018, 40. nr.; 2019, 203. nr.) </w:t>
      </w:r>
      <w:r w:rsidR="00F17304" w:rsidRPr="0014748C">
        <w:rPr>
          <w:sz w:val="28"/>
          <w:szCs w:val="28"/>
        </w:rPr>
        <w:t xml:space="preserve">šādus </w:t>
      </w:r>
      <w:r w:rsidRPr="0014748C">
        <w:rPr>
          <w:sz w:val="28"/>
          <w:szCs w:val="28"/>
        </w:rPr>
        <w:t>grozījumu</w:t>
      </w:r>
      <w:r w:rsidR="00F17304" w:rsidRPr="0014748C">
        <w:rPr>
          <w:sz w:val="28"/>
          <w:szCs w:val="28"/>
        </w:rPr>
        <w:t>s:</w:t>
      </w:r>
    </w:p>
    <w:p w14:paraId="62163ECF" w14:textId="77777777" w:rsidR="0014748C" w:rsidRPr="0014748C" w:rsidRDefault="0014748C" w:rsidP="0014748C">
      <w:pPr>
        <w:shd w:val="clear" w:color="auto" w:fill="FFFFFF"/>
        <w:ind w:firstLine="709"/>
        <w:jc w:val="both"/>
        <w:rPr>
          <w:sz w:val="28"/>
          <w:szCs w:val="28"/>
        </w:rPr>
      </w:pPr>
    </w:p>
    <w:p w14:paraId="02BBBC74" w14:textId="4B29594A" w:rsidR="00154003" w:rsidRPr="0014748C" w:rsidRDefault="00154003" w:rsidP="0014748C">
      <w:pPr>
        <w:pStyle w:val="tv213"/>
        <w:numPr>
          <w:ilvl w:val="0"/>
          <w:numId w:val="5"/>
        </w:numPr>
        <w:shd w:val="clear" w:color="auto" w:fill="FFFFFF"/>
        <w:tabs>
          <w:tab w:val="left" w:pos="993"/>
        </w:tabs>
        <w:spacing w:before="0" w:after="0"/>
        <w:ind w:left="0" w:firstLine="709"/>
        <w:jc w:val="both"/>
        <w:rPr>
          <w:sz w:val="28"/>
          <w:szCs w:val="28"/>
        </w:rPr>
      </w:pPr>
      <w:r w:rsidRPr="0014748C">
        <w:rPr>
          <w:sz w:val="28"/>
          <w:szCs w:val="28"/>
        </w:rPr>
        <w:t xml:space="preserve">Aizstāt 1.1. apakšpunktā vārdus </w:t>
      </w:r>
      <w:r w:rsidR="007314CD" w:rsidRPr="0014748C">
        <w:rPr>
          <w:bCs/>
          <w:sz w:val="28"/>
          <w:szCs w:val="28"/>
        </w:rPr>
        <w:t>"</w:t>
      </w:r>
      <w:r w:rsidRPr="0014748C">
        <w:rPr>
          <w:sz w:val="28"/>
          <w:szCs w:val="28"/>
        </w:rPr>
        <w:t>ir pievienota no rapšu sēklu eļļas iegūta biodīzeļdegviela</w:t>
      </w:r>
      <w:r w:rsidR="007314CD" w:rsidRPr="0014748C">
        <w:rPr>
          <w:bCs/>
          <w:sz w:val="28"/>
          <w:szCs w:val="28"/>
        </w:rPr>
        <w:t>"</w:t>
      </w:r>
      <w:r w:rsidRPr="0014748C">
        <w:rPr>
          <w:sz w:val="28"/>
          <w:szCs w:val="28"/>
        </w:rPr>
        <w:t xml:space="preserve"> </w:t>
      </w:r>
      <w:r w:rsidRPr="0014748C">
        <w:rPr>
          <w:sz w:val="28"/>
          <w:szCs w:val="28"/>
          <w:shd w:val="clear" w:color="auto" w:fill="FFFFFF"/>
        </w:rPr>
        <w:t xml:space="preserve">ar vārdiem </w:t>
      </w:r>
      <w:r w:rsidR="007314CD" w:rsidRPr="0014748C">
        <w:rPr>
          <w:bCs/>
          <w:sz w:val="28"/>
          <w:szCs w:val="28"/>
        </w:rPr>
        <w:t>"</w:t>
      </w:r>
      <w:r w:rsidRPr="0014748C">
        <w:rPr>
          <w:sz w:val="28"/>
          <w:szCs w:val="28"/>
        </w:rPr>
        <w:t xml:space="preserve">ir pievienota biodīzeļdegviela, kas pilnībā iegūta no biomasas, vai </w:t>
      </w:r>
      <w:proofErr w:type="spellStart"/>
      <w:r w:rsidRPr="0014748C">
        <w:rPr>
          <w:sz w:val="28"/>
          <w:szCs w:val="28"/>
        </w:rPr>
        <w:t>parafinizēta</w:t>
      </w:r>
      <w:proofErr w:type="spellEnd"/>
      <w:r w:rsidRPr="0014748C">
        <w:rPr>
          <w:sz w:val="28"/>
          <w:szCs w:val="28"/>
        </w:rPr>
        <w:t xml:space="preserve"> dīzeļdegviela, kas iegūta no biomasas</w:t>
      </w:r>
      <w:r w:rsidR="007314CD" w:rsidRPr="0014748C">
        <w:rPr>
          <w:bCs/>
          <w:sz w:val="28"/>
          <w:szCs w:val="28"/>
        </w:rPr>
        <w:t>"</w:t>
      </w:r>
      <w:r w:rsidRPr="0014748C">
        <w:rPr>
          <w:sz w:val="28"/>
          <w:szCs w:val="28"/>
        </w:rPr>
        <w:t>.</w:t>
      </w:r>
    </w:p>
    <w:p w14:paraId="139C99BE" w14:textId="77777777" w:rsidR="00154003" w:rsidRPr="0014748C" w:rsidRDefault="00154003" w:rsidP="0014748C">
      <w:pPr>
        <w:pStyle w:val="tv213"/>
        <w:shd w:val="clear" w:color="auto" w:fill="FFFFFF"/>
        <w:tabs>
          <w:tab w:val="left" w:pos="1134"/>
        </w:tabs>
        <w:spacing w:before="0" w:after="0"/>
        <w:ind w:left="1211"/>
        <w:jc w:val="both"/>
        <w:rPr>
          <w:sz w:val="28"/>
          <w:szCs w:val="28"/>
        </w:rPr>
      </w:pPr>
    </w:p>
    <w:p w14:paraId="4730D04D" w14:textId="46DFB05C" w:rsidR="00493C2E" w:rsidRPr="0014748C" w:rsidRDefault="00493C2E" w:rsidP="0014748C">
      <w:pPr>
        <w:pStyle w:val="ListParagraph"/>
        <w:numPr>
          <w:ilvl w:val="0"/>
          <w:numId w:val="5"/>
        </w:numPr>
        <w:shd w:val="clear" w:color="auto" w:fill="FFFFFF"/>
        <w:tabs>
          <w:tab w:val="left" w:pos="993"/>
        </w:tabs>
        <w:ind w:left="0" w:firstLine="709"/>
        <w:jc w:val="both"/>
        <w:rPr>
          <w:sz w:val="28"/>
          <w:szCs w:val="28"/>
        </w:rPr>
      </w:pPr>
      <w:r w:rsidRPr="0014748C">
        <w:rPr>
          <w:sz w:val="28"/>
          <w:szCs w:val="28"/>
        </w:rPr>
        <w:t>Izteikt 3.</w:t>
      </w:r>
      <w:r w:rsidR="0034503D">
        <w:rPr>
          <w:sz w:val="28"/>
          <w:szCs w:val="28"/>
        </w:rPr>
        <w:t> </w:t>
      </w:r>
      <w:r w:rsidRPr="0014748C">
        <w:rPr>
          <w:sz w:val="28"/>
          <w:szCs w:val="28"/>
        </w:rPr>
        <w:t>punktu šādā redakcijā:</w:t>
      </w:r>
    </w:p>
    <w:p w14:paraId="0A747FB7" w14:textId="77777777" w:rsidR="0014748C" w:rsidRPr="0014748C" w:rsidRDefault="0014748C" w:rsidP="0014748C">
      <w:pPr>
        <w:ind w:firstLine="720"/>
        <w:jc w:val="both"/>
        <w:rPr>
          <w:bCs/>
          <w:sz w:val="28"/>
          <w:szCs w:val="28"/>
        </w:rPr>
      </w:pPr>
    </w:p>
    <w:p w14:paraId="36B3FFCD" w14:textId="43136BD6" w:rsidR="00493C2E" w:rsidRPr="0014748C" w:rsidRDefault="00CE44A5" w:rsidP="0014748C">
      <w:pPr>
        <w:ind w:firstLine="720"/>
        <w:jc w:val="both"/>
        <w:rPr>
          <w:sz w:val="28"/>
          <w:szCs w:val="28"/>
        </w:rPr>
      </w:pPr>
      <w:r w:rsidRPr="0014748C">
        <w:rPr>
          <w:bCs/>
          <w:sz w:val="28"/>
          <w:szCs w:val="28"/>
        </w:rPr>
        <w:t>"</w:t>
      </w:r>
      <w:r w:rsidR="00493C2E" w:rsidRPr="0014748C">
        <w:rPr>
          <w:sz w:val="28"/>
          <w:szCs w:val="28"/>
          <w:shd w:val="clear" w:color="auto" w:fill="FFFFFF"/>
        </w:rPr>
        <w:t>3.</w:t>
      </w:r>
      <w:r w:rsidR="0034503D">
        <w:rPr>
          <w:sz w:val="28"/>
          <w:szCs w:val="28"/>
          <w:shd w:val="clear" w:color="auto" w:fill="FFFFFF"/>
        </w:rPr>
        <w:t> </w:t>
      </w:r>
      <w:r w:rsidR="00493C2E" w:rsidRPr="0014748C">
        <w:rPr>
          <w:sz w:val="28"/>
          <w:szCs w:val="28"/>
          <w:shd w:val="clear" w:color="auto" w:fill="FFFFFF"/>
        </w:rPr>
        <w:t xml:space="preserve">Samazināto akcīzes nodokļa likmi </w:t>
      </w:r>
      <w:r w:rsidR="00493C2E" w:rsidRPr="0014748C">
        <w:rPr>
          <w:sz w:val="28"/>
          <w:szCs w:val="28"/>
        </w:rPr>
        <w:t xml:space="preserve">attiecībā uz vienām un tām pašām attiecināmajām izmaksām nedrīkst </w:t>
      </w:r>
      <w:proofErr w:type="spellStart"/>
      <w:r w:rsidR="00493C2E" w:rsidRPr="0014748C">
        <w:rPr>
          <w:sz w:val="28"/>
          <w:szCs w:val="28"/>
        </w:rPr>
        <w:t>kumulēt</w:t>
      </w:r>
      <w:proofErr w:type="spellEnd"/>
      <w:r w:rsidR="00493C2E" w:rsidRPr="0014748C">
        <w:rPr>
          <w:sz w:val="28"/>
          <w:szCs w:val="28"/>
        </w:rPr>
        <w:t xml:space="preserve"> ar valsts atbalstu cit</w:t>
      </w:r>
      <w:r w:rsidRPr="0014748C">
        <w:rPr>
          <w:sz w:val="28"/>
          <w:szCs w:val="28"/>
        </w:rPr>
        <w:t>ā</w:t>
      </w:r>
      <w:r w:rsidR="00493C2E" w:rsidRPr="0014748C">
        <w:rPr>
          <w:sz w:val="28"/>
          <w:szCs w:val="28"/>
        </w:rPr>
        <w:t xml:space="preserve"> atbalsta programm</w:t>
      </w:r>
      <w:r w:rsidRPr="0014748C">
        <w:rPr>
          <w:sz w:val="28"/>
          <w:szCs w:val="28"/>
        </w:rPr>
        <w:t>ā</w:t>
      </w:r>
      <w:r w:rsidR="00493C2E" w:rsidRPr="0014748C">
        <w:rPr>
          <w:sz w:val="28"/>
          <w:szCs w:val="28"/>
        </w:rPr>
        <w:t xml:space="preserve"> vai individuālā atbalsta projekt</w:t>
      </w:r>
      <w:r w:rsidRPr="0014748C">
        <w:rPr>
          <w:sz w:val="28"/>
          <w:szCs w:val="28"/>
        </w:rPr>
        <w:t>ā</w:t>
      </w:r>
      <w:r w:rsidR="00493C2E" w:rsidRPr="0014748C">
        <w:rPr>
          <w:sz w:val="28"/>
          <w:szCs w:val="28"/>
        </w:rPr>
        <w:t>, t</w:t>
      </w:r>
      <w:r w:rsidR="007314CD" w:rsidRPr="0014748C">
        <w:rPr>
          <w:sz w:val="28"/>
          <w:szCs w:val="28"/>
        </w:rPr>
        <w:t>ostarp</w:t>
      </w:r>
      <w:r w:rsidR="00493C2E" w:rsidRPr="0014748C">
        <w:rPr>
          <w:sz w:val="28"/>
          <w:szCs w:val="28"/>
        </w:rPr>
        <w:t xml:space="preserve"> </w:t>
      </w:r>
      <w:proofErr w:type="spellStart"/>
      <w:r w:rsidR="00493C2E" w:rsidRPr="0014748C">
        <w:rPr>
          <w:i/>
          <w:sz w:val="28"/>
          <w:szCs w:val="28"/>
        </w:rPr>
        <w:t>de</w:t>
      </w:r>
      <w:proofErr w:type="spellEnd"/>
      <w:r w:rsidR="00493C2E" w:rsidRPr="0014748C">
        <w:rPr>
          <w:i/>
          <w:sz w:val="28"/>
          <w:szCs w:val="28"/>
        </w:rPr>
        <w:t> </w:t>
      </w:r>
      <w:proofErr w:type="spellStart"/>
      <w:r w:rsidR="00493C2E" w:rsidRPr="0014748C">
        <w:rPr>
          <w:i/>
          <w:sz w:val="28"/>
          <w:szCs w:val="28"/>
        </w:rPr>
        <w:t>minimis</w:t>
      </w:r>
      <w:proofErr w:type="spellEnd"/>
      <w:r w:rsidR="00493C2E" w:rsidRPr="0014748C">
        <w:rPr>
          <w:sz w:val="28"/>
          <w:szCs w:val="28"/>
        </w:rPr>
        <w:t xml:space="preserve"> atbalstu, neatkarīgi no finansējuma avota.</w:t>
      </w:r>
      <w:r w:rsidRPr="0014748C">
        <w:rPr>
          <w:bCs/>
          <w:sz w:val="28"/>
          <w:szCs w:val="28"/>
        </w:rPr>
        <w:t>"</w:t>
      </w:r>
    </w:p>
    <w:p w14:paraId="32692F8B" w14:textId="77777777" w:rsidR="00493C2E" w:rsidRPr="0014748C" w:rsidRDefault="00493C2E" w:rsidP="0014748C">
      <w:pPr>
        <w:rPr>
          <w:sz w:val="28"/>
          <w:szCs w:val="28"/>
        </w:rPr>
      </w:pPr>
    </w:p>
    <w:p w14:paraId="0851B9B2" w14:textId="77777777" w:rsidR="00493C2E" w:rsidRPr="0014748C" w:rsidRDefault="00493C2E" w:rsidP="0014748C">
      <w:pPr>
        <w:pStyle w:val="ListParagraph"/>
        <w:numPr>
          <w:ilvl w:val="0"/>
          <w:numId w:val="5"/>
        </w:numPr>
        <w:tabs>
          <w:tab w:val="left" w:pos="993"/>
        </w:tabs>
        <w:ind w:left="0" w:firstLine="709"/>
        <w:rPr>
          <w:sz w:val="28"/>
          <w:szCs w:val="28"/>
        </w:rPr>
      </w:pPr>
      <w:r w:rsidRPr="0014748C">
        <w:rPr>
          <w:sz w:val="28"/>
          <w:szCs w:val="28"/>
        </w:rPr>
        <w:t>Papildināt noteikumus ar 14.</w:t>
      </w:r>
      <w:r w:rsidRPr="0014748C">
        <w:rPr>
          <w:sz w:val="28"/>
          <w:szCs w:val="28"/>
          <w:vertAlign w:val="superscript"/>
        </w:rPr>
        <w:t>2</w:t>
      </w:r>
      <w:r w:rsidRPr="0014748C">
        <w:rPr>
          <w:sz w:val="28"/>
          <w:szCs w:val="28"/>
        </w:rPr>
        <w:t xml:space="preserve"> punktu šādā redakcijā:</w:t>
      </w:r>
    </w:p>
    <w:p w14:paraId="32545444" w14:textId="77777777" w:rsidR="0014748C" w:rsidRPr="0014748C" w:rsidRDefault="0014748C" w:rsidP="0014748C">
      <w:pPr>
        <w:pStyle w:val="ListParagraph"/>
        <w:shd w:val="clear" w:color="auto" w:fill="FFFFFF"/>
        <w:tabs>
          <w:tab w:val="left" w:pos="993"/>
        </w:tabs>
        <w:ind w:left="0" w:firstLine="709"/>
        <w:jc w:val="both"/>
        <w:rPr>
          <w:bCs/>
          <w:sz w:val="28"/>
          <w:szCs w:val="28"/>
        </w:rPr>
      </w:pPr>
    </w:p>
    <w:p w14:paraId="424D9F1B" w14:textId="77777777" w:rsidR="00493C2E" w:rsidRPr="0014748C" w:rsidRDefault="00CE44A5" w:rsidP="0014748C">
      <w:pPr>
        <w:pStyle w:val="ListParagraph"/>
        <w:shd w:val="clear" w:color="auto" w:fill="FFFFFF"/>
        <w:tabs>
          <w:tab w:val="left" w:pos="993"/>
        </w:tabs>
        <w:ind w:left="0" w:firstLine="709"/>
        <w:jc w:val="both"/>
        <w:rPr>
          <w:sz w:val="28"/>
          <w:szCs w:val="28"/>
        </w:rPr>
      </w:pPr>
      <w:r w:rsidRPr="0014748C">
        <w:rPr>
          <w:bCs/>
          <w:sz w:val="28"/>
          <w:szCs w:val="28"/>
        </w:rPr>
        <w:t>"</w:t>
      </w:r>
      <w:r w:rsidR="00493C2E" w:rsidRPr="0014748C">
        <w:rPr>
          <w:sz w:val="28"/>
          <w:szCs w:val="28"/>
        </w:rPr>
        <w:t>14.</w:t>
      </w:r>
      <w:r w:rsidR="00493C2E" w:rsidRPr="0014748C">
        <w:rPr>
          <w:sz w:val="28"/>
          <w:szCs w:val="28"/>
          <w:vertAlign w:val="superscript"/>
        </w:rPr>
        <w:t>2</w:t>
      </w:r>
      <w:r w:rsidR="00493C2E" w:rsidRPr="0014748C">
        <w:rPr>
          <w:sz w:val="28"/>
          <w:szCs w:val="28"/>
        </w:rPr>
        <w:t xml:space="preserve"> Par atbalsta piešķiršanas dienu uzskatāma diena, kad Lauku atbalsta dienests pieņēmis šo noteikumu 13.7. apakšpunktā minēto lēmumu.</w:t>
      </w:r>
      <w:r w:rsidRPr="0014748C">
        <w:rPr>
          <w:bCs/>
          <w:sz w:val="28"/>
          <w:szCs w:val="28"/>
        </w:rPr>
        <w:t>"</w:t>
      </w:r>
    </w:p>
    <w:p w14:paraId="36DDA68D" w14:textId="77777777" w:rsidR="00A26F0E" w:rsidRPr="0014748C" w:rsidRDefault="00A26F0E" w:rsidP="0014748C">
      <w:pPr>
        <w:shd w:val="clear" w:color="auto" w:fill="FFFFFF"/>
        <w:tabs>
          <w:tab w:val="left" w:pos="993"/>
        </w:tabs>
        <w:jc w:val="both"/>
        <w:rPr>
          <w:sz w:val="28"/>
          <w:szCs w:val="28"/>
        </w:rPr>
      </w:pPr>
    </w:p>
    <w:p w14:paraId="704B3D98" w14:textId="77777777" w:rsidR="00C51C7D" w:rsidRPr="0014748C" w:rsidRDefault="00C51C7D" w:rsidP="0014748C">
      <w:pPr>
        <w:pStyle w:val="ListParagraph"/>
        <w:numPr>
          <w:ilvl w:val="0"/>
          <w:numId w:val="5"/>
        </w:numPr>
        <w:shd w:val="clear" w:color="auto" w:fill="FFFFFF"/>
        <w:tabs>
          <w:tab w:val="left" w:pos="993"/>
        </w:tabs>
        <w:ind w:left="0" w:firstLine="709"/>
        <w:jc w:val="both"/>
        <w:rPr>
          <w:sz w:val="28"/>
          <w:szCs w:val="28"/>
        </w:rPr>
      </w:pPr>
      <w:r w:rsidRPr="0014748C">
        <w:rPr>
          <w:sz w:val="28"/>
          <w:szCs w:val="28"/>
        </w:rPr>
        <w:t>Papildināt noteikumus ar 21.</w:t>
      </w:r>
      <w:r w:rsidRPr="0014748C">
        <w:rPr>
          <w:sz w:val="28"/>
          <w:szCs w:val="28"/>
          <w:vertAlign w:val="superscript"/>
        </w:rPr>
        <w:t>1</w:t>
      </w:r>
      <w:r w:rsidRPr="0014748C">
        <w:rPr>
          <w:sz w:val="28"/>
          <w:szCs w:val="28"/>
        </w:rPr>
        <w:t xml:space="preserve"> punktu šādā redakcijā:</w:t>
      </w:r>
    </w:p>
    <w:p w14:paraId="683184CD" w14:textId="77777777" w:rsidR="0014748C" w:rsidRPr="0014748C" w:rsidRDefault="0014748C" w:rsidP="0014748C">
      <w:pPr>
        <w:pStyle w:val="ListParagraph"/>
        <w:shd w:val="clear" w:color="auto" w:fill="FFFFFF"/>
        <w:tabs>
          <w:tab w:val="left" w:pos="993"/>
        </w:tabs>
        <w:ind w:left="0" w:firstLine="709"/>
        <w:jc w:val="both"/>
        <w:rPr>
          <w:bCs/>
          <w:sz w:val="28"/>
          <w:szCs w:val="28"/>
        </w:rPr>
      </w:pPr>
    </w:p>
    <w:p w14:paraId="1186F046" w14:textId="0A8CF460" w:rsidR="008B3687" w:rsidRDefault="00CE44A5" w:rsidP="0014748C">
      <w:pPr>
        <w:pStyle w:val="ListParagraph"/>
        <w:shd w:val="clear" w:color="auto" w:fill="FFFFFF"/>
        <w:tabs>
          <w:tab w:val="left" w:pos="993"/>
        </w:tabs>
        <w:ind w:left="0" w:firstLine="709"/>
        <w:jc w:val="both"/>
        <w:rPr>
          <w:sz w:val="28"/>
          <w:szCs w:val="28"/>
        </w:rPr>
      </w:pPr>
      <w:r w:rsidRPr="0014748C">
        <w:rPr>
          <w:bCs/>
          <w:sz w:val="28"/>
          <w:szCs w:val="28"/>
        </w:rPr>
        <w:t>"</w:t>
      </w:r>
      <w:r w:rsidR="00C51C7D" w:rsidRPr="0014748C">
        <w:rPr>
          <w:sz w:val="28"/>
          <w:szCs w:val="28"/>
        </w:rPr>
        <w:t>21.</w:t>
      </w:r>
      <w:r w:rsidR="00C51C7D" w:rsidRPr="0014748C">
        <w:rPr>
          <w:sz w:val="28"/>
          <w:szCs w:val="28"/>
          <w:vertAlign w:val="superscript"/>
        </w:rPr>
        <w:t>1</w:t>
      </w:r>
      <w:r w:rsidR="00C51C7D" w:rsidRPr="0014748C">
        <w:rPr>
          <w:sz w:val="28"/>
          <w:szCs w:val="28"/>
        </w:rPr>
        <w:t xml:space="preserve"> Ja tiek konstatēts, ka </w:t>
      </w:r>
      <w:r w:rsidR="00C51C7D" w:rsidRPr="0014748C">
        <w:rPr>
          <w:spacing w:val="-2"/>
          <w:sz w:val="28"/>
          <w:szCs w:val="28"/>
        </w:rPr>
        <w:t xml:space="preserve">pārkāptas </w:t>
      </w:r>
      <w:r w:rsidR="00C51C7D" w:rsidRPr="0014748C">
        <w:rPr>
          <w:sz w:val="28"/>
          <w:szCs w:val="28"/>
        </w:rPr>
        <w:t xml:space="preserve">šajos noteikumos minētās prasības </w:t>
      </w:r>
      <w:r w:rsidRPr="0014748C">
        <w:rPr>
          <w:sz w:val="28"/>
          <w:szCs w:val="28"/>
        </w:rPr>
        <w:t xml:space="preserve">par </w:t>
      </w:r>
      <w:r w:rsidR="00C51C7D" w:rsidRPr="0014748C">
        <w:rPr>
          <w:sz w:val="28"/>
          <w:szCs w:val="28"/>
        </w:rPr>
        <w:t>valsts atbalsta saņemšan</w:t>
      </w:r>
      <w:r w:rsidRPr="0014748C">
        <w:rPr>
          <w:sz w:val="28"/>
          <w:szCs w:val="28"/>
        </w:rPr>
        <w:t>u</w:t>
      </w:r>
      <w:r w:rsidR="00C51C7D" w:rsidRPr="0014748C">
        <w:rPr>
          <w:spacing w:val="-2"/>
          <w:sz w:val="28"/>
          <w:szCs w:val="28"/>
        </w:rPr>
        <w:t xml:space="preserve">, lauksaimniecības produkcijas ražotājam ir pienākums iemaksāt valsts budžetā visu </w:t>
      </w:r>
      <w:r w:rsidRPr="0014748C">
        <w:rPr>
          <w:spacing w:val="-2"/>
          <w:sz w:val="28"/>
          <w:szCs w:val="28"/>
        </w:rPr>
        <w:t xml:space="preserve">saskaņā ar </w:t>
      </w:r>
      <w:r w:rsidR="00C51C7D" w:rsidRPr="0014748C">
        <w:rPr>
          <w:spacing w:val="-2"/>
          <w:sz w:val="28"/>
          <w:szCs w:val="28"/>
        </w:rPr>
        <w:t>š</w:t>
      </w:r>
      <w:r w:rsidRPr="0014748C">
        <w:rPr>
          <w:spacing w:val="-2"/>
          <w:sz w:val="28"/>
          <w:szCs w:val="28"/>
        </w:rPr>
        <w:t>iem</w:t>
      </w:r>
      <w:r w:rsidR="00C51C7D" w:rsidRPr="0014748C">
        <w:rPr>
          <w:spacing w:val="-2"/>
          <w:sz w:val="28"/>
          <w:szCs w:val="28"/>
        </w:rPr>
        <w:t xml:space="preserve"> noteiku</w:t>
      </w:r>
      <w:r w:rsidRPr="0014748C">
        <w:rPr>
          <w:sz w:val="28"/>
          <w:szCs w:val="28"/>
        </w:rPr>
        <w:t>miem</w:t>
      </w:r>
      <w:r w:rsidR="00C51C7D" w:rsidRPr="0014748C">
        <w:rPr>
          <w:sz w:val="28"/>
          <w:szCs w:val="28"/>
        </w:rPr>
        <w:t xml:space="preserve"> </w:t>
      </w:r>
      <w:r w:rsidR="00020A7F" w:rsidRPr="0014748C">
        <w:rPr>
          <w:sz w:val="28"/>
          <w:szCs w:val="28"/>
        </w:rPr>
        <w:t xml:space="preserve">saņemto nelikumīgo </w:t>
      </w:r>
      <w:r w:rsidR="00C51C7D" w:rsidRPr="0014748C">
        <w:rPr>
          <w:sz w:val="28"/>
          <w:szCs w:val="28"/>
        </w:rPr>
        <w:t xml:space="preserve">valsts atbalsta summu </w:t>
      </w:r>
      <w:r w:rsidR="00253313" w:rsidRPr="0014748C">
        <w:rPr>
          <w:sz w:val="28"/>
          <w:szCs w:val="28"/>
        </w:rPr>
        <w:t>kopā ar procentiem,</w:t>
      </w:r>
      <w:r w:rsidR="008B3687" w:rsidRPr="0014748C">
        <w:rPr>
          <w:sz w:val="28"/>
          <w:szCs w:val="28"/>
        </w:rPr>
        <w:t xml:space="preserve"> </w:t>
      </w:r>
      <w:r w:rsidRPr="0014748C">
        <w:rPr>
          <w:sz w:val="28"/>
          <w:szCs w:val="28"/>
        </w:rPr>
        <w:t>ko aprēķina</w:t>
      </w:r>
      <w:r w:rsidR="0034503D">
        <w:rPr>
          <w:sz w:val="28"/>
          <w:szCs w:val="28"/>
        </w:rPr>
        <w:t>,</w:t>
      </w:r>
      <w:r w:rsidRPr="0014748C">
        <w:rPr>
          <w:sz w:val="28"/>
          <w:szCs w:val="28"/>
        </w:rPr>
        <w:t xml:space="preserve"> </w:t>
      </w:r>
      <w:r w:rsidR="0034503D">
        <w:rPr>
          <w:sz w:val="28"/>
          <w:szCs w:val="28"/>
        </w:rPr>
        <w:t>izmantojot</w:t>
      </w:r>
      <w:r w:rsidRPr="0014748C">
        <w:rPr>
          <w:sz w:val="28"/>
          <w:szCs w:val="28"/>
        </w:rPr>
        <w:t xml:space="preserve"> šād</w:t>
      </w:r>
      <w:r w:rsidR="0034503D">
        <w:rPr>
          <w:sz w:val="28"/>
          <w:szCs w:val="28"/>
        </w:rPr>
        <w:t>u</w:t>
      </w:r>
      <w:r w:rsidR="008B3687" w:rsidRPr="0014748C">
        <w:rPr>
          <w:sz w:val="28"/>
          <w:szCs w:val="28"/>
        </w:rPr>
        <w:t xml:space="preserve"> formul</w:t>
      </w:r>
      <w:r w:rsidR="0034503D">
        <w:rPr>
          <w:sz w:val="28"/>
          <w:szCs w:val="28"/>
        </w:rPr>
        <w:t>u</w:t>
      </w:r>
      <w:r w:rsidR="008B3687" w:rsidRPr="0014748C">
        <w:rPr>
          <w:sz w:val="28"/>
          <w:szCs w:val="28"/>
        </w:rPr>
        <w:t>:</w:t>
      </w:r>
    </w:p>
    <w:p w14:paraId="5C87B4BB" w14:textId="77777777" w:rsidR="000F0606" w:rsidRPr="0014748C" w:rsidRDefault="000F0606" w:rsidP="0014748C">
      <w:pPr>
        <w:pStyle w:val="ListParagraph"/>
        <w:shd w:val="clear" w:color="auto" w:fill="FFFFFF"/>
        <w:tabs>
          <w:tab w:val="left" w:pos="993"/>
        </w:tabs>
        <w:ind w:left="0" w:firstLine="709"/>
        <w:jc w:val="both"/>
        <w:rPr>
          <w:sz w:val="28"/>
          <w:szCs w:val="28"/>
        </w:rPr>
      </w:pPr>
    </w:p>
    <w:tbl>
      <w:tblPr>
        <w:tblW w:w="9196" w:type="dxa"/>
        <w:jc w:val="center"/>
        <w:tblCellMar>
          <w:top w:w="15" w:type="dxa"/>
          <w:left w:w="15" w:type="dxa"/>
          <w:bottom w:w="15" w:type="dxa"/>
          <w:right w:w="15" w:type="dxa"/>
        </w:tblCellMar>
        <w:tblLook w:val="04A0" w:firstRow="1" w:lastRow="0" w:firstColumn="1" w:lastColumn="0" w:noHBand="0" w:noVBand="1"/>
      </w:tblPr>
      <w:tblGrid>
        <w:gridCol w:w="8730"/>
        <w:gridCol w:w="466"/>
      </w:tblGrid>
      <w:tr w:rsidR="0014748C" w:rsidRPr="0014748C" w14:paraId="3A561732" w14:textId="77777777" w:rsidTr="00F94479">
        <w:trPr>
          <w:jc w:val="center"/>
        </w:trPr>
        <w:tc>
          <w:tcPr>
            <w:tcW w:w="8662" w:type="dxa"/>
            <w:tcBorders>
              <w:top w:val="nil"/>
              <w:left w:val="nil"/>
              <w:bottom w:val="nil"/>
              <w:right w:val="nil"/>
            </w:tcBorders>
            <w:noWrap/>
            <w:vAlign w:val="center"/>
            <w:hideMark/>
          </w:tcPr>
          <w:p w14:paraId="00BC713E" w14:textId="77777777" w:rsidR="008B3687" w:rsidRPr="0014748C" w:rsidRDefault="008B3687" w:rsidP="0014748C">
            <w:pPr>
              <w:jc w:val="right"/>
              <w:rPr>
                <w:sz w:val="28"/>
                <w:szCs w:val="28"/>
              </w:rPr>
            </w:pPr>
            <w:r w:rsidRPr="0014748C">
              <w:rPr>
                <w:noProof/>
                <w:sz w:val="28"/>
                <w:szCs w:val="28"/>
                <w:lang w:val="en-US" w:eastAsia="en-US"/>
              </w:rPr>
              <w:drawing>
                <wp:inline distT="0" distB="0" distL="0" distR="0" wp14:anchorId="7C2FC465" wp14:editId="4F8E46DC">
                  <wp:extent cx="5524500" cy="27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0" cy="279400"/>
                          </a:xfrm>
                          <a:prstGeom prst="rect">
                            <a:avLst/>
                          </a:prstGeom>
                          <a:noFill/>
                          <a:ln>
                            <a:noFill/>
                          </a:ln>
                        </pic:spPr>
                      </pic:pic>
                    </a:graphicData>
                  </a:graphic>
                </wp:inline>
              </w:drawing>
            </w:r>
          </w:p>
        </w:tc>
        <w:tc>
          <w:tcPr>
            <w:tcW w:w="0" w:type="auto"/>
            <w:tcBorders>
              <w:top w:val="nil"/>
              <w:left w:val="nil"/>
              <w:bottom w:val="nil"/>
              <w:right w:val="nil"/>
            </w:tcBorders>
            <w:noWrap/>
            <w:vAlign w:val="center"/>
            <w:hideMark/>
          </w:tcPr>
          <w:p w14:paraId="585119C2" w14:textId="55DC7F9E" w:rsidR="008B3687" w:rsidRPr="0014748C" w:rsidRDefault="008B3687" w:rsidP="00BB5C19">
            <w:pPr>
              <w:rPr>
                <w:sz w:val="28"/>
                <w:szCs w:val="28"/>
              </w:rPr>
            </w:pPr>
            <w:r w:rsidRPr="0014748C">
              <w:rPr>
                <w:sz w:val="28"/>
                <w:szCs w:val="28"/>
              </w:rPr>
              <w:t xml:space="preserve">, </w:t>
            </w:r>
          </w:p>
        </w:tc>
      </w:tr>
    </w:tbl>
    <w:p w14:paraId="10D6C0F3" w14:textId="5616A2B1" w:rsidR="00BB5C19" w:rsidRDefault="00BB5C19" w:rsidP="003448F2">
      <w:pPr>
        <w:pStyle w:val="tvhtml"/>
        <w:shd w:val="clear" w:color="auto" w:fill="FFFFFF"/>
        <w:spacing w:before="0" w:beforeAutospacing="0" w:after="0" w:afterAutospacing="0"/>
        <w:ind w:firstLine="709"/>
        <w:jc w:val="both"/>
        <w:rPr>
          <w:sz w:val="28"/>
          <w:szCs w:val="28"/>
        </w:rPr>
      </w:pPr>
      <w:r w:rsidRPr="0014748C">
        <w:rPr>
          <w:sz w:val="28"/>
          <w:szCs w:val="28"/>
        </w:rPr>
        <w:t>kur</w:t>
      </w:r>
    </w:p>
    <w:p w14:paraId="13C4B7CD" w14:textId="2405E2B3" w:rsidR="008B3687" w:rsidRPr="0014748C" w:rsidRDefault="008B3687" w:rsidP="003448F2">
      <w:pPr>
        <w:pStyle w:val="tvhtml"/>
        <w:shd w:val="clear" w:color="auto" w:fill="FFFFFF"/>
        <w:spacing w:before="0" w:beforeAutospacing="0" w:after="0" w:afterAutospacing="0"/>
        <w:ind w:firstLine="709"/>
        <w:jc w:val="both"/>
        <w:rPr>
          <w:sz w:val="28"/>
          <w:szCs w:val="28"/>
        </w:rPr>
      </w:pPr>
      <w:r w:rsidRPr="0014748C">
        <w:rPr>
          <w:sz w:val="28"/>
          <w:szCs w:val="28"/>
        </w:rPr>
        <w:t>A – nelikumīgā valsts atbalsta apmēra un nelikumīgā valsts atbalsta procentu summa par saņemto minētā atbalsta apmēru nelikumīgā valsts atbalsta procentu aprēķina periodā;</w:t>
      </w:r>
    </w:p>
    <w:p w14:paraId="7CCBF6C1" w14:textId="240AEDAF" w:rsidR="008B3687" w:rsidRPr="0014748C" w:rsidRDefault="008B3687" w:rsidP="003448F2">
      <w:pPr>
        <w:pStyle w:val="tvhtml"/>
        <w:shd w:val="clear" w:color="auto" w:fill="FFFFFF"/>
        <w:spacing w:before="0" w:beforeAutospacing="0" w:after="0" w:afterAutospacing="0"/>
        <w:ind w:firstLine="709"/>
        <w:jc w:val="both"/>
        <w:rPr>
          <w:sz w:val="28"/>
          <w:szCs w:val="28"/>
        </w:rPr>
      </w:pPr>
      <w:proofErr w:type="spellStart"/>
      <w:r w:rsidRPr="0014748C">
        <w:rPr>
          <w:sz w:val="28"/>
          <w:szCs w:val="28"/>
        </w:rPr>
        <w:t>M</w:t>
      </w:r>
      <w:r w:rsidRPr="0014748C">
        <w:rPr>
          <w:sz w:val="28"/>
          <w:szCs w:val="28"/>
          <w:bdr w:val="none" w:sz="0" w:space="0" w:color="auto" w:frame="1"/>
          <w:vertAlign w:val="subscript"/>
        </w:rPr>
        <w:t>n</w:t>
      </w:r>
      <w:proofErr w:type="spellEnd"/>
      <w:r w:rsidRPr="0014748C">
        <w:rPr>
          <w:sz w:val="28"/>
          <w:szCs w:val="28"/>
        </w:rPr>
        <w:t xml:space="preserve"> – katrs nelikumīgais valsts atbalsta </w:t>
      </w:r>
      <w:r w:rsidR="003448F2" w:rsidRPr="0014748C">
        <w:rPr>
          <w:sz w:val="28"/>
          <w:szCs w:val="28"/>
        </w:rPr>
        <w:t>apmērs</w:t>
      </w:r>
      <w:r w:rsidR="003448F2">
        <w:rPr>
          <w:sz w:val="28"/>
          <w:szCs w:val="28"/>
        </w:rPr>
        <w:t xml:space="preserve"> </w:t>
      </w:r>
      <w:proofErr w:type="spellStart"/>
      <w:r w:rsidR="003448F2" w:rsidRPr="0014748C">
        <w:rPr>
          <w:i/>
          <w:iCs/>
          <w:sz w:val="28"/>
          <w:szCs w:val="28"/>
        </w:rPr>
        <w:t>euro</w:t>
      </w:r>
      <w:proofErr w:type="spellEnd"/>
      <w:r w:rsidRPr="0014748C">
        <w:rPr>
          <w:sz w:val="28"/>
          <w:szCs w:val="28"/>
        </w:rPr>
        <w:t>, kas faktiski saņemts</w:t>
      </w:r>
      <w:r w:rsidR="0080069D" w:rsidRPr="0014748C">
        <w:rPr>
          <w:sz w:val="28"/>
          <w:szCs w:val="28"/>
        </w:rPr>
        <w:t>;</w:t>
      </w:r>
    </w:p>
    <w:p w14:paraId="37C64EAA" w14:textId="1621F3D9" w:rsidR="008B3687" w:rsidRPr="0014748C" w:rsidRDefault="008B3687" w:rsidP="003448F2">
      <w:pPr>
        <w:pStyle w:val="tvhtml"/>
        <w:shd w:val="clear" w:color="auto" w:fill="FFFFFF"/>
        <w:spacing w:before="0" w:beforeAutospacing="0" w:after="0" w:afterAutospacing="0"/>
        <w:ind w:firstLine="709"/>
        <w:jc w:val="both"/>
        <w:rPr>
          <w:sz w:val="28"/>
          <w:szCs w:val="28"/>
        </w:rPr>
      </w:pPr>
      <w:r w:rsidRPr="0014748C">
        <w:rPr>
          <w:sz w:val="28"/>
          <w:szCs w:val="28"/>
        </w:rPr>
        <w:t>n – nelikumīgā valsts atbalsta apmēra saņemšanas gadījumi;</w:t>
      </w:r>
    </w:p>
    <w:p w14:paraId="4DC48FAC" w14:textId="701BF053" w:rsidR="008B3687" w:rsidRPr="0014748C" w:rsidRDefault="008B3687" w:rsidP="003448F2">
      <w:pPr>
        <w:pStyle w:val="tvhtml"/>
        <w:shd w:val="clear" w:color="auto" w:fill="FFFFFF"/>
        <w:spacing w:before="0" w:beforeAutospacing="0" w:after="0" w:afterAutospacing="0"/>
        <w:ind w:firstLine="709"/>
        <w:jc w:val="both"/>
        <w:rPr>
          <w:sz w:val="28"/>
          <w:szCs w:val="28"/>
        </w:rPr>
      </w:pPr>
      <w:proofErr w:type="spellStart"/>
      <w:r w:rsidRPr="0014748C">
        <w:rPr>
          <w:sz w:val="28"/>
          <w:szCs w:val="28"/>
        </w:rPr>
        <w:t>r</w:t>
      </w:r>
      <w:r w:rsidRPr="0014748C">
        <w:rPr>
          <w:sz w:val="28"/>
          <w:szCs w:val="28"/>
          <w:bdr w:val="none" w:sz="0" w:space="0" w:color="auto" w:frame="1"/>
          <w:vertAlign w:val="subscript"/>
        </w:rPr>
        <w:t>y</w:t>
      </w:r>
      <w:proofErr w:type="spellEnd"/>
      <w:r w:rsidRPr="0014748C">
        <w:rPr>
          <w:sz w:val="28"/>
          <w:szCs w:val="28"/>
        </w:rPr>
        <w:t> – atsauces likme, izteikta procentos, kuru publicē Eiropas Komisija saskaņā ar Komisijas 2004. gada 21. aprīļa Regulas (EK) Nr. 794/2004, ar ko īsteno Padomes Regulu (ES) </w:t>
      </w:r>
      <w:hyperlink r:id="rId11" w:tgtFrame="_blank" w:history="1">
        <w:r w:rsidRPr="0014748C">
          <w:rPr>
            <w:rStyle w:val="Hyperlink"/>
            <w:color w:val="auto"/>
            <w:sz w:val="28"/>
            <w:szCs w:val="28"/>
            <w:u w:val="none"/>
          </w:rPr>
          <w:t>2015/1589</w:t>
        </w:r>
      </w:hyperlink>
      <w:r w:rsidRPr="0014748C">
        <w:rPr>
          <w:sz w:val="28"/>
          <w:szCs w:val="28"/>
        </w:rPr>
        <w:t xml:space="preserve">, ar ko nosaka sīki izstrādātus noteikumus Līguma par Eiropas Savienības </w:t>
      </w:r>
      <w:r w:rsidR="003448F2" w:rsidRPr="0014748C">
        <w:rPr>
          <w:sz w:val="28"/>
          <w:szCs w:val="28"/>
        </w:rPr>
        <w:t>darbību</w:t>
      </w:r>
      <w:r w:rsidR="003448F2">
        <w:rPr>
          <w:sz w:val="28"/>
          <w:szCs w:val="28"/>
        </w:rPr>
        <w:t xml:space="preserve"> </w:t>
      </w:r>
      <w:hyperlink r:id="rId12" w:anchor="p108" w:history="1">
        <w:r w:rsidRPr="0014748C">
          <w:rPr>
            <w:rStyle w:val="Hyperlink"/>
            <w:color w:val="auto"/>
            <w:sz w:val="28"/>
            <w:szCs w:val="28"/>
            <w:u w:val="none"/>
          </w:rPr>
          <w:t>108.</w:t>
        </w:r>
      </w:hyperlink>
      <w:r w:rsidRPr="0014748C">
        <w:rPr>
          <w:sz w:val="28"/>
          <w:szCs w:val="28"/>
        </w:rPr>
        <w:t> panta piemērošanai</w:t>
      </w:r>
      <w:r w:rsidR="003448F2" w:rsidRPr="0014748C">
        <w:rPr>
          <w:sz w:val="28"/>
          <w:szCs w:val="28"/>
        </w:rPr>
        <w:t>,</w:t>
      </w:r>
      <w:r w:rsidR="003448F2">
        <w:rPr>
          <w:sz w:val="28"/>
          <w:szCs w:val="28"/>
        </w:rPr>
        <w:t xml:space="preserve"> </w:t>
      </w:r>
      <w:hyperlink r:id="rId13" w:anchor="p10" w:history="1">
        <w:r w:rsidRPr="0014748C">
          <w:rPr>
            <w:rStyle w:val="Hyperlink"/>
            <w:color w:val="auto"/>
            <w:sz w:val="28"/>
            <w:szCs w:val="28"/>
            <w:u w:val="none"/>
          </w:rPr>
          <w:t>10.</w:t>
        </w:r>
      </w:hyperlink>
      <w:r w:rsidRPr="0014748C">
        <w:rPr>
          <w:sz w:val="28"/>
          <w:szCs w:val="28"/>
        </w:rPr>
        <w:t> pantu un kura bija spēkā brīdī, kad nelikumīgais valsts atbalsta apmērs saņemts, procentiem pieskaitot 100 bāzes punktus;</w:t>
      </w:r>
    </w:p>
    <w:p w14:paraId="08C89101" w14:textId="7ADF8454" w:rsidR="008B3687" w:rsidRPr="0014748C" w:rsidRDefault="008B3687" w:rsidP="003448F2">
      <w:pPr>
        <w:pStyle w:val="tvhtml"/>
        <w:shd w:val="clear" w:color="auto" w:fill="FFFFFF"/>
        <w:spacing w:before="0" w:beforeAutospacing="0" w:after="0" w:afterAutospacing="0"/>
        <w:ind w:firstLine="709"/>
        <w:jc w:val="both"/>
        <w:rPr>
          <w:sz w:val="28"/>
          <w:szCs w:val="28"/>
        </w:rPr>
      </w:pPr>
      <w:r w:rsidRPr="0014748C">
        <w:rPr>
          <w:sz w:val="28"/>
          <w:szCs w:val="28"/>
        </w:rPr>
        <w:t>t – katram saņemtajam nelikumīgajam valsts atbalsta apmēram piemērojamo atsauces likmi pārskata katru gadu un attiecībā uz nākamo periodu piemēro atjaunoto (t</w:t>
      </w:r>
      <w:r w:rsidR="000F0606">
        <w:rPr>
          <w:sz w:val="28"/>
          <w:szCs w:val="28"/>
        </w:rPr>
        <w:t> </w:t>
      </w:r>
      <w:r w:rsidRPr="0014748C">
        <w:rPr>
          <w:sz w:val="28"/>
          <w:szCs w:val="28"/>
        </w:rPr>
        <w:t>+</w:t>
      </w:r>
      <w:r w:rsidR="000F0606">
        <w:rPr>
          <w:sz w:val="28"/>
          <w:szCs w:val="28"/>
        </w:rPr>
        <w:t> </w:t>
      </w:r>
      <w:r w:rsidRPr="0014748C">
        <w:rPr>
          <w:sz w:val="28"/>
          <w:szCs w:val="28"/>
        </w:rPr>
        <w:t xml:space="preserve">1) atsauces likmi attiecīgā atbalsta piešķiršanas </w:t>
      </w:r>
      <w:r w:rsidR="000F0606" w:rsidRPr="0014748C">
        <w:rPr>
          <w:sz w:val="28"/>
          <w:szCs w:val="28"/>
        </w:rPr>
        <w:t>d</w:t>
      </w:r>
      <w:r w:rsidR="000F0606">
        <w:rPr>
          <w:sz w:val="28"/>
          <w:szCs w:val="28"/>
        </w:rPr>
        <w:t>ien</w:t>
      </w:r>
      <w:r w:rsidR="000F0606" w:rsidRPr="0014748C">
        <w:rPr>
          <w:sz w:val="28"/>
          <w:szCs w:val="28"/>
        </w:rPr>
        <w:t>ā</w:t>
      </w:r>
      <w:r w:rsidRPr="0014748C">
        <w:rPr>
          <w:sz w:val="28"/>
          <w:szCs w:val="28"/>
        </w:rPr>
        <w:t>;</w:t>
      </w:r>
    </w:p>
    <w:p w14:paraId="116F8CD6" w14:textId="33857B9F" w:rsidR="00253313" w:rsidRPr="0014748C" w:rsidRDefault="008B3687" w:rsidP="003448F2">
      <w:pPr>
        <w:pStyle w:val="tvhtml"/>
        <w:shd w:val="clear" w:color="auto" w:fill="FFFFFF"/>
        <w:spacing w:before="0" w:beforeAutospacing="0" w:after="0" w:afterAutospacing="0"/>
        <w:ind w:firstLine="709"/>
        <w:jc w:val="both"/>
        <w:rPr>
          <w:sz w:val="28"/>
          <w:szCs w:val="28"/>
        </w:rPr>
      </w:pPr>
      <w:proofErr w:type="spellStart"/>
      <w:r w:rsidRPr="0014748C">
        <w:rPr>
          <w:sz w:val="28"/>
          <w:szCs w:val="28"/>
        </w:rPr>
        <w:t>d</w:t>
      </w:r>
      <w:r w:rsidRPr="0014748C">
        <w:rPr>
          <w:sz w:val="28"/>
          <w:szCs w:val="28"/>
          <w:bdr w:val="none" w:sz="0" w:space="0" w:color="auto" w:frame="1"/>
          <w:vertAlign w:val="subscript"/>
        </w:rPr>
        <w:t>n</w:t>
      </w:r>
      <w:proofErr w:type="spellEnd"/>
      <w:r w:rsidRPr="0014748C">
        <w:rPr>
          <w:sz w:val="28"/>
          <w:szCs w:val="28"/>
        </w:rPr>
        <w:t> – nelikumīgā valsts atbalsta procentu aprēķina periods, izteikts dienās, katram saņemtajam nelikumīgajam valsts atbalsta apmēram.</w:t>
      </w:r>
      <w:r w:rsidR="00CE44A5" w:rsidRPr="0014748C">
        <w:rPr>
          <w:bCs/>
          <w:sz w:val="28"/>
          <w:szCs w:val="28"/>
        </w:rPr>
        <w:t>"</w:t>
      </w:r>
    </w:p>
    <w:p w14:paraId="7F7AAD6D" w14:textId="77777777" w:rsidR="00253313" w:rsidRPr="0014748C" w:rsidRDefault="00253313" w:rsidP="003448F2">
      <w:pPr>
        <w:pStyle w:val="ListParagraph"/>
        <w:ind w:left="0" w:firstLine="720"/>
        <w:jc w:val="both"/>
        <w:rPr>
          <w:sz w:val="28"/>
          <w:szCs w:val="28"/>
        </w:rPr>
      </w:pPr>
    </w:p>
    <w:p w14:paraId="205C3DF0" w14:textId="77777777" w:rsidR="00A27A5D" w:rsidRPr="0014748C" w:rsidRDefault="0089486E" w:rsidP="0014748C">
      <w:pPr>
        <w:pStyle w:val="ListParagraph"/>
        <w:numPr>
          <w:ilvl w:val="0"/>
          <w:numId w:val="5"/>
        </w:numPr>
        <w:tabs>
          <w:tab w:val="left" w:pos="993"/>
        </w:tabs>
        <w:ind w:left="0" w:firstLine="709"/>
        <w:jc w:val="both"/>
        <w:rPr>
          <w:sz w:val="28"/>
          <w:szCs w:val="28"/>
        </w:rPr>
      </w:pPr>
      <w:r w:rsidRPr="0014748C">
        <w:rPr>
          <w:sz w:val="28"/>
          <w:szCs w:val="28"/>
        </w:rPr>
        <w:t xml:space="preserve">Izteikt </w:t>
      </w:r>
      <w:r w:rsidR="00A27A5D" w:rsidRPr="0014748C">
        <w:rPr>
          <w:sz w:val="28"/>
          <w:szCs w:val="28"/>
        </w:rPr>
        <w:t>23.</w:t>
      </w:r>
      <w:r w:rsidR="000F1B95" w:rsidRPr="0014748C">
        <w:rPr>
          <w:sz w:val="28"/>
          <w:szCs w:val="28"/>
        </w:rPr>
        <w:t> </w:t>
      </w:r>
      <w:r w:rsidR="00A27A5D" w:rsidRPr="0014748C">
        <w:rPr>
          <w:sz w:val="28"/>
          <w:szCs w:val="28"/>
        </w:rPr>
        <w:t>punktu šādā reakcijā:</w:t>
      </w:r>
    </w:p>
    <w:p w14:paraId="4EC08CFB" w14:textId="77777777" w:rsidR="0014748C" w:rsidRPr="0014748C" w:rsidRDefault="0014748C" w:rsidP="0014748C">
      <w:pPr>
        <w:ind w:firstLine="709"/>
        <w:jc w:val="both"/>
        <w:rPr>
          <w:bCs/>
          <w:sz w:val="28"/>
          <w:szCs w:val="28"/>
        </w:rPr>
      </w:pPr>
    </w:p>
    <w:p w14:paraId="0DC0E619" w14:textId="38D5D029" w:rsidR="00A27A5D" w:rsidRPr="0014748C" w:rsidRDefault="00CE44A5" w:rsidP="0014748C">
      <w:pPr>
        <w:ind w:firstLine="709"/>
        <w:jc w:val="both"/>
        <w:rPr>
          <w:sz w:val="28"/>
          <w:szCs w:val="28"/>
          <w:shd w:val="clear" w:color="auto" w:fill="FFFFFF"/>
        </w:rPr>
      </w:pPr>
      <w:r w:rsidRPr="0014748C">
        <w:rPr>
          <w:bCs/>
          <w:sz w:val="28"/>
          <w:szCs w:val="28"/>
        </w:rPr>
        <w:t>"</w:t>
      </w:r>
      <w:r w:rsidR="00253313" w:rsidRPr="0014748C">
        <w:rPr>
          <w:sz w:val="28"/>
          <w:szCs w:val="28"/>
        </w:rPr>
        <w:t xml:space="preserve">23. </w:t>
      </w:r>
      <w:r w:rsidR="0081066B" w:rsidRPr="0014748C">
        <w:rPr>
          <w:sz w:val="28"/>
          <w:szCs w:val="28"/>
          <w:shd w:val="clear" w:color="auto" w:fill="FFFFFF"/>
        </w:rPr>
        <w:t>Valsts ieņēmumu dienests, pamatojoties uz Lauku atbalsta dienesta sniegto informāciju, pieņem lēmumu par nelikumīg</w:t>
      </w:r>
      <w:r w:rsidR="00961894" w:rsidRPr="0014748C">
        <w:rPr>
          <w:sz w:val="28"/>
          <w:szCs w:val="28"/>
          <w:shd w:val="clear" w:color="auto" w:fill="FFFFFF"/>
        </w:rPr>
        <w:t>i izmaksātā</w:t>
      </w:r>
      <w:r w:rsidR="0081066B" w:rsidRPr="0014748C">
        <w:rPr>
          <w:sz w:val="28"/>
          <w:szCs w:val="28"/>
          <w:shd w:val="clear" w:color="auto" w:fill="FFFFFF"/>
        </w:rPr>
        <w:t xml:space="preserve"> valsts atbalsta atgūšanu. Nelikumīg</w:t>
      </w:r>
      <w:r w:rsidR="00961894" w:rsidRPr="0014748C">
        <w:rPr>
          <w:sz w:val="28"/>
          <w:szCs w:val="28"/>
          <w:shd w:val="clear" w:color="auto" w:fill="FFFFFF"/>
        </w:rPr>
        <w:t>i izmaksātā</w:t>
      </w:r>
      <w:r w:rsidR="0081066B" w:rsidRPr="0014748C">
        <w:rPr>
          <w:sz w:val="28"/>
          <w:szCs w:val="28"/>
          <w:shd w:val="clear" w:color="auto" w:fill="FFFFFF"/>
        </w:rPr>
        <w:t xml:space="preserve"> valsts atbalsta apmēru aprēķina kā starpību starp </w:t>
      </w:r>
      <w:r w:rsidR="00F42DEC" w:rsidRPr="0014748C">
        <w:rPr>
          <w:sz w:val="28"/>
          <w:szCs w:val="28"/>
          <w:shd w:val="clear" w:color="auto" w:fill="FFFFFF"/>
        </w:rPr>
        <w:t xml:space="preserve">summu, kas būtu maksājama valsts budžetā, piemērojot </w:t>
      </w:r>
      <w:r w:rsidR="0081066B" w:rsidRPr="0014748C">
        <w:rPr>
          <w:sz w:val="28"/>
          <w:szCs w:val="28"/>
          <w:shd w:val="clear" w:color="auto" w:fill="FFFFFF"/>
        </w:rPr>
        <w:t>likuma "</w:t>
      </w:r>
      <w:hyperlink r:id="rId14" w:tgtFrame="_blank" w:history="1">
        <w:r w:rsidR="0081066B" w:rsidRPr="0014748C">
          <w:rPr>
            <w:rStyle w:val="Hyperlink"/>
            <w:color w:val="auto"/>
            <w:sz w:val="28"/>
            <w:szCs w:val="28"/>
            <w:u w:val="none"/>
            <w:shd w:val="clear" w:color="auto" w:fill="FFFFFF"/>
          </w:rPr>
          <w:t>Par akcīzes nodokli</w:t>
        </w:r>
      </w:hyperlink>
      <w:r w:rsidR="003448F2" w:rsidRPr="0014748C">
        <w:rPr>
          <w:sz w:val="28"/>
          <w:szCs w:val="28"/>
          <w:shd w:val="clear" w:color="auto" w:fill="FFFFFF"/>
        </w:rPr>
        <w:t>"</w:t>
      </w:r>
      <w:r w:rsidR="003448F2">
        <w:rPr>
          <w:sz w:val="28"/>
          <w:szCs w:val="28"/>
          <w:shd w:val="clear" w:color="auto" w:fill="FFFFFF"/>
        </w:rPr>
        <w:t xml:space="preserve"> </w:t>
      </w:r>
      <w:hyperlink r:id="rId15" w:anchor="p14" w:tgtFrame="_blank" w:history="1">
        <w:r w:rsidR="0081066B" w:rsidRPr="0014748C">
          <w:rPr>
            <w:rStyle w:val="Hyperlink"/>
            <w:color w:val="auto"/>
            <w:sz w:val="28"/>
            <w:szCs w:val="28"/>
            <w:u w:val="none"/>
            <w:shd w:val="clear" w:color="auto" w:fill="FFFFFF"/>
          </w:rPr>
          <w:t>14.</w:t>
        </w:r>
        <w:r w:rsidR="00FE4392" w:rsidRPr="0014748C">
          <w:rPr>
            <w:rStyle w:val="Hyperlink"/>
            <w:color w:val="auto"/>
            <w:sz w:val="28"/>
            <w:szCs w:val="28"/>
            <w:u w:val="none"/>
            <w:shd w:val="clear" w:color="auto" w:fill="FFFFFF"/>
          </w:rPr>
          <w:t> </w:t>
        </w:r>
        <w:r w:rsidR="0081066B" w:rsidRPr="0014748C">
          <w:rPr>
            <w:rStyle w:val="Hyperlink"/>
            <w:color w:val="auto"/>
            <w:sz w:val="28"/>
            <w:szCs w:val="28"/>
            <w:u w:val="none"/>
            <w:shd w:val="clear" w:color="auto" w:fill="FFFFFF"/>
          </w:rPr>
          <w:t>panta</w:t>
        </w:r>
      </w:hyperlink>
      <w:r w:rsidR="000F1B95" w:rsidRPr="0014748C">
        <w:rPr>
          <w:sz w:val="28"/>
          <w:szCs w:val="28"/>
          <w:shd w:val="clear" w:color="auto" w:fill="FFFFFF"/>
        </w:rPr>
        <w:t xml:space="preserve"> </w:t>
      </w:r>
      <w:r w:rsidR="0081066B" w:rsidRPr="0014748C">
        <w:rPr>
          <w:sz w:val="28"/>
          <w:szCs w:val="28"/>
          <w:shd w:val="clear" w:color="auto" w:fill="FFFFFF"/>
        </w:rPr>
        <w:t>pirmās daļas 4.</w:t>
      </w:r>
      <w:r w:rsidR="000F1B95" w:rsidRPr="0014748C">
        <w:rPr>
          <w:sz w:val="28"/>
          <w:szCs w:val="28"/>
          <w:shd w:val="clear" w:color="auto" w:fill="FFFFFF"/>
        </w:rPr>
        <w:t> </w:t>
      </w:r>
      <w:r w:rsidR="0081066B" w:rsidRPr="0014748C">
        <w:rPr>
          <w:sz w:val="28"/>
          <w:szCs w:val="28"/>
          <w:shd w:val="clear" w:color="auto" w:fill="FFFFFF"/>
        </w:rPr>
        <w:t>punktā noteikto likmi</w:t>
      </w:r>
      <w:r w:rsidR="00F42DEC" w:rsidRPr="0014748C">
        <w:rPr>
          <w:sz w:val="28"/>
          <w:szCs w:val="28"/>
          <w:shd w:val="clear" w:color="auto" w:fill="FFFFFF"/>
        </w:rPr>
        <w:t>,</w:t>
      </w:r>
      <w:r w:rsidR="0081066B" w:rsidRPr="0014748C">
        <w:rPr>
          <w:sz w:val="28"/>
          <w:szCs w:val="28"/>
          <w:shd w:val="clear" w:color="auto" w:fill="FFFFFF"/>
        </w:rPr>
        <w:t xml:space="preserve"> un</w:t>
      </w:r>
      <w:r w:rsidR="000F1B95" w:rsidRPr="0014748C">
        <w:rPr>
          <w:sz w:val="28"/>
          <w:szCs w:val="28"/>
          <w:shd w:val="clear" w:color="auto" w:fill="FFFFFF"/>
        </w:rPr>
        <w:t xml:space="preserve"> </w:t>
      </w:r>
      <w:r w:rsidR="00F42DEC" w:rsidRPr="0014748C">
        <w:rPr>
          <w:sz w:val="28"/>
          <w:szCs w:val="28"/>
          <w:shd w:val="clear" w:color="auto" w:fill="FFFFFF"/>
        </w:rPr>
        <w:t xml:space="preserve">summu, kas samaksāta, piemērojot </w:t>
      </w:r>
      <w:r w:rsidR="00700E10" w:rsidRPr="0014748C">
        <w:rPr>
          <w:sz w:val="28"/>
          <w:szCs w:val="28"/>
          <w:shd w:val="clear" w:color="auto" w:fill="FFFFFF"/>
        </w:rPr>
        <w:t>likuma "</w:t>
      </w:r>
      <w:hyperlink r:id="rId16" w:tgtFrame="_blank" w:history="1">
        <w:r w:rsidR="00700E10" w:rsidRPr="0014748C">
          <w:rPr>
            <w:rStyle w:val="Hyperlink"/>
            <w:color w:val="auto"/>
            <w:sz w:val="28"/>
            <w:szCs w:val="28"/>
            <w:u w:val="none"/>
            <w:shd w:val="clear" w:color="auto" w:fill="FFFFFF"/>
          </w:rPr>
          <w:t>Par akcīzes nodokli</w:t>
        </w:r>
      </w:hyperlink>
      <w:r w:rsidR="00700E10" w:rsidRPr="0014748C">
        <w:rPr>
          <w:sz w:val="28"/>
          <w:szCs w:val="28"/>
          <w:shd w:val="clear" w:color="auto" w:fill="FFFFFF"/>
        </w:rPr>
        <w:t>"</w:t>
      </w:r>
      <w:r w:rsidR="00CC57C7">
        <w:rPr>
          <w:sz w:val="28"/>
          <w:szCs w:val="28"/>
          <w:shd w:val="clear" w:color="auto" w:fill="FFFFFF"/>
        </w:rPr>
        <w:t xml:space="preserve"> </w:t>
      </w:r>
      <w:hyperlink r:id="rId17" w:anchor="p14" w:tgtFrame="_blank" w:history="1">
        <w:r w:rsidR="0081066B" w:rsidRPr="0014748C">
          <w:rPr>
            <w:rStyle w:val="Hyperlink"/>
            <w:color w:val="auto"/>
            <w:sz w:val="28"/>
            <w:szCs w:val="28"/>
            <w:u w:val="none"/>
            <w:shd w:val="clear" w:color="auto" w:fill="FFFFFF"/>
          </w:rPr>
          <w:t>14.</w:t>
        </w:r>
        <w:r w:rsidR="000F1B95" w:rsidRPr="0014748C">
          <w:rPr>
            <w:rStyle w:val="Hyperlink"/>
            <w:color w:val="auto"/>
            <w:sz w:val="28"/>
            <w:szCs w:val="28"/>
            <w:u w:val="none"/>
            <w:shd w:val="clear" w:color="auto" w:fill="FFFFFF"/>
          </w:rPr>
          <w:t> </w:t>
        </w:r>
        <w:r w:rsidR="0081066B" w:rsidRPr="0014748C">
          <w:rPr>
            <w:rStyle w:val="Hyperlink"/>
            <w:color w:val="auto"/>
            <w:sz w:val="28"/>
            <w:szCs w:val="28"/>
            <w:u w:val="none"/>
            <w:shd w:val="clear" w:color="auto" w:fill="FFFFFF"/>
          </w:rPr>
          <w:t>panta</w:t>
        </w:r>
      </w:hyperlink>
      <w:r w:rsidR="000F1B95" w:rsidRPr="0014748C">
        <w:rPr>
          <w:sz w:val="28"/>
          <w:szCs w:val="28"/>
          <w:shd w:val="clear" w:color="auto" w:fill="FFFFFF"/>
        </w:rPr>
        <w:t xml:space="preserve"> </w:t>
      </w:r>
      <w:r w:rsidR="0081066B" w:rsidRPr="0014748C">
        <w:rPr>
          <w:sz w:val="28"/>
          <w:szCs w:val="28"/>
          <w:shd w:val="clear" w:color="auto" w:fill="FFFFFF"/>
        </w:rPr>
        <w:t>2.</w:t>
      </w:r>
      <w:r w:rsidR="0081066B" w:rsidRPr="0014748C">
        <w:rPr>
          <w:sz w:val="28"/>
          <w:szCs w:val="28"/>
          <w:shd w:val="clear" w:color="auto" w:fill="FFFFFF"/>
          <w:vertAlign w:val="superscript"/>
        </w:rPr>
        <w:t>2</w:t>
      </w:r>
      <w:r w:rsidR="0081066B" w:rsidRPr="0014748C">
        <w:rPr>
          <w:sz w:val="28"/>
          <w:szCs w:val="28"/>
          <w:shd w:val="clear" w:color="auto" w:fill="FFFFFF"/>
        </w:rPr>
        <w:t> daļā noteikto likmi</w:t>
      </w:r>
      <w:r w:rsidR="00253313" w:rsidRPr="0014748C">
        <w:rPr>
          <w:sz w:val="28"/>
          <w:szCs w:val="28"/>
          <w:shd w:val="clear" w:color="auto" w:fill="FFFFFF"/>
        </w:rPr>
        <w:t xml:space="preserve">. </w:t>
      </w:r>
      <w:r w:rsidR="00BD361F" w:rsidRPr="0014748C">
        <w:rPr>
          <w:sz w:val="28"/>
          <w:szCs w:val="28"/>
          <w:shd w:val="clear" w:color="auto" w:fill="FFFFFF"/>
        </w:rPr>
        <w:t>N</w:t>
      </w:r>
      <w:r w:rsidR="0081066B" w:rsidRPr="0014748C">
        <w:rPr>
          <w:sz w:val="28"/>
          <w:szCs w:val="28"/>
          <w:shd w:val="clear" w:color="auto" w:fill="FFFFFF"/>
        </w:rPr>
        <w:t>elikumīg</w:t>
      </w:r>
      <w:r w:rsidR="00F1318E" w:rsidRPr="0014748C">
        <w:rPr>
          <w:sz w:val="28"/>
          <w:szCs w:val="28"/>
          <w:shd w:val="clear" w:color="auto" w:fill="FFFFFF"/>
        </w:rPr>
        <w:t>i izmaksātā</w:t>
      </w:r>
      <w:r w:rsidR="0081066B" w:rsidRPr="0014748C">
        <w:rPr>
          <w:sz w:val="28"/>
          <w:szCs w:val="28"/>
          <w:shd w:val="clear" w:color="auto" w:fill="FFFFFF"/>
        </w:rPr>
        <w:t xml:space="preserve"> valsts atbalsta un procentu summu</w:t>
      </w:r>
      <w:r w:rsidR="00550D54" w:rsidRPr="0014748C">
        <w:rPr>
          <w:sz w:val="28"/>
          <w:szCs w:val="28"/>
          <w:shd w:val="clear" w:color="auto" w:fill="FFFFFF"/>
        </w:rPr>
        <w:t>, kas</w:t>
      </w:r>
      <w:r w:rsidR="0081066B" w:rsidRPr="0014748C">
        <w:rPr>
          <w:sz w:val="28"/>
          <w:szCs w:val="28"/>
          <w:shd w:val="clear" w:color="auto" w:fill="FFFFFF"/>
        </w:rPr>
        <w:t xml:space="preserve"> </w:t>
      </w:r>
      <w:r w:rsidR="00BD361F" w:rsidRPr="0014748C">
        <w:rPr>
          <w:sz w:val="28"/>
          <w:szCs w:val="28"/>
          <w:shd w:val="clear" w:color="auto" w:fill="FFFFFF"/>
        </w:rPr>
        <w:t xml:space="preserve">aprēķināta </w:t>
      </w:r>
      <w:r w:rsidR="00550D54" w:rsidRPr="0014748C">
        <w:rPr>
          <w:sz w:val="28"/>
          <w:szCs w:val="28"/>
          <w:shd w:val="clear" w:color="auto" w:fill="FFFFFF"/>
        </w:rPr>
        <w:t>atbilstoši šo noteikumu 21.</w:t>
      </w:r>
      <w:r w:rsidR="00550D54" w:rsidRPr="0014748C">
        <w:rPr>
          <w:sz w:val="28"/>
          <w:szCs w:val="28"/>
          <w:shd w:val="clear" w:color="auto" w:fill="FFFFFF"/>
          <w:vertAlign w:val="superscript"/>
        </w:rPr>
        <w:t>1</w:t>
      </w:r>
      <w:r w:rsidR="00550D54" w:rsidRPr="0014748C">
        <w:rPr>
          <w:sz w:val="28"/>
          <w:szCs w:val="28"/>
          <w:shd w:val="clear" w:color="auto" w:fill="FFFFFF"/>
        </w:rPr>
        <w:t> punktam</w:t>
      </w:r>
      <w:r w:rsidR="00BD361F" w:rsidRPr="0014748C">
        <w:rPr>
          <w:sz w:val="28"/>
          <w:szCs w:val="28"/>
          <w:shd w:val="clear" w:color="auto" w:fill="FFFFFF"/>
        </w:rPr>
        <w:t>,</w:t>
      </w:r>
      <w:r w:rsidR="00550D54" w:rsidRPr="0014748C">
        <w:rPr>
          <w:sz w:val="28"/>
          <w:szCs w:val="28"/>
          <w:shd w:val="clear" w:color="auto" w:fill="FFFFFF"/>
        </w:rPr>
        <w:t xml:space="preserve"> </w:t>
      </w:r>
      <w:r w:rsidR="0081066B" w:rsidRPr="0014748C">
        <w:rPr>
          <w:sz w:val="28"/>
          <w:szCs w:val="28"/>
          <w:shd w:val="clear" w:color="auto" w:fill="FFFFFF"/>
        </w:rPr>
        <w:t xml:space="preserve">lauksaimniecības produkcijas ražotājs samaksā valsts budžetā </w:t>
      </w:r>
      <w:r w:rsidR="003448F2" w:rsidRPr="0014748C">
        <w:rPr>
          <w:sz w:val="28"/>
          <w:szCs w:val="28"/>
          <w:shd w:val="clear" w:color="auto" w:fill="FFFFFF"/>
        </w:rPr>
        <w:t>30</w:t>
      </w:r>
      <w:r w:rsidR="003448F2">
        <w:rPr>
          <w:sz w:val="28"/>
          <w:szCs w:val="28"/>
          <w:shd w:val="clear" w:color="auto" w:fill="FFFFFF"/>
        </w:rPr>
        <w:t> </w:t>
      </w:r>
      <w:r w:rsidR="0081066B" w:rsidRPr="0014748C">
        <w:rPr>
          <w:sz w:val="28"/>
          <w:szCs w:val="28"/>
          <w:shd w:val="clear" w:color="auto" w:fill="FFFFFF"/>
        </w:rPr>
        <w:t>dienu laikā pēc Valsts ieņēmumu dienesta lēmuma saņemšanas. Ja lauksaimniecības produkcijas ražotājs lēmumā norādītajā termiņā nesamaksā aprēķināto nelikumīg</w:t>
      </w:r>
      <w:r w:rsidR="00F1318E" w:rsidRPr="0014748C">
        <w:rPr>
          <w:sz w:val="28"/>
          <w:szCs w:val="28"/>
          <w:shd w:val="clear" w:color="auto" w:fill="FFFFFF"/>
        </w:rPr>
        <w:t>i izmaksātā</w:t>
      </w:r>
      <w:r w:rsidR="0081066B" w:rsidRPr="0014748C">
        <w:rPr>
          <w:sz w:val="28"/>
          <w:szCs w:val="28"/>
          <w:shd w:val="clear" w:color="auto" w:fill="FFFFFF"/>
        </w:rPr>
        <w:t xml:space="preserve"> valsts atbalsta un procentu summu, to piedzen nodokļu administrēšanas jomu regulējošajos normatīvajos aktos noteiktajā kārtībā.</w:t>
      </w:r>
      <w:r w:rsidR="00F42DEC" w:rsidRPr="0014748C">
        <w:rPr>
          <w:sz w:val="28"/>
          <w:szCs w:val="28"/>
          <w:shd w:val="clear" w:color="auto" w:fill="FFFFFF"/>
        </w:rPr>
        <w:t>"</w:t>
      </w:r>
    </w:p>
    <w:p w14:paraId="3C48129E" w14:textId="77777777" w:rsidR="00365A6C" w:rsidRPr="0014748C" w:rsidRDefault="00365A6C" w:rsidP="0014748C">
      <w:pPr>
        <w:ind w:firstLine="709"/>
        <w:jc w:val="both"/>
        <w:rPr>
          <w:sz w:val="28"/>
          <w:szCs w:val="28"/>
        </w:rPr>
      </w:pPr>
    </w:p>
    <w:p w14:paraId="33FF0074" w14:textId="77777777" w:rsidR="00E80EBC" w:rsidRPr="0014748C" w:rsidRDefault="00E80EBC" w:rsidP="0014748C">
      <w:pPr>
        <w:pStyle w:val="ListParagraph"/>
        <w:numPr>
          <w:ilvl w:val="0"/>
          <w:numId w:val="5"/>
        </w:numPr>
        <w:shd w:val="clear" w:color="auto" w:fill="FFFFFF"/>
        <w:tabs>
          <w:tab w:val="left" w:pos="993"/>
        </w:tabs>
        <w:ind w:left="0" w:firstLine="709"/>
        <w:jc w:val="both"/>
        <w:rPr>
          <w:sz w:val="28"/>
          <w:szCs w:val="28"/>
        </w:rPr>
      </w:pPr>
      <w:r w:rsidRPr="0014748C">
        <w:rPr>
          <w:sz w:val="28"/>
          <w:szCs w:val="28"/>
        </w:rPr>
        <w:t>Izteikt 24.5. apakšpunktu šādā redakcijā:</w:t>
      </w:r>
    </w:p>
    <w:p w14:paraId="4BED5139" w14:textId="77777777" w:rsidR="0014748C" w:rsidRPr="0014748C" w:rsidRDefault="0014748C" w:rsidP="0014748C">
      <w:pPr>
        <w:shd w:val="clear" w:color="auto" w:fill="FFFFFF"/>
        <w:ind w:firstLine="709"/>
        <w:jc w:val="both"/>
        <w:rPr>
          <w:bCs/>
          <w:sz w:val="28"/>
          <w:szCs w:val="28"/>
        </w:rPr>
      </w:pPr>
    </w:p>
    <w:p w14:paraId="58C13FCD" w14:textId="7D9F9360" w:rsidR="00E80EBC" w:rsidRPr="0014748C" w:rsidRDefault="00E80EBC" w:rsidP="0014748C">
      <w:pPr>
        <w:shd w:val="clear" w:color="auto" w:fill="FFFFFF"/>
        <w:ind w:firstLine="709"/>
        <w:jc w:val="both"/>
        <w:rPr>
          <w:sz w:val="28"/>
          <w:szCs w:val="28"/>
        </w:rPr>
      </w:pPr>
      <w:r w:rsidRPr="0014748C">
        <w:rPr>
          <w:bCs/>
          <w:sz w:val="28"/>
          <w:szCs w:val="28"/>
        </w:rPr>
        <w:t>"</w:t>
      </w:r>
      <w:r w:rsidRPr="0014748C">
        <w:rPr>
          <w:sz w:val="28"/>
          <w:szCs w:val="28"/>
        </w:rPr>
        <w:t>24.5</w:t>
      </w:r>
      <w:r w:rsidR="003448F2" w:rsidRPr="0014748C">
        <w:rPr>
          <w:sz w:val="28"/>
          <w:szCs w:val="28"/>
        </w:rPr>
        <w:t>.</w:t>
      </w:r>
      <w:r w:rsidR="003448F2">
        <w:rPr>
          <w:sz w:val="28"/>
          <w:szCs w:val="28"/>
        </w:rPr>
        <w:t> </w:t>
      </w:r>
      <w:r w:rsidRPr="0014748C">
        <w:rPr>
          <w:sz w:val="28"/>
          <w:szCs w:val="28"/>
        </w:rPr>
        <w:t xml:space="preserve">lēmumu par samazinātās akcīzes nodokļa likmes piemērošanu </w:t>
      </w:r>
      <w:r w:rsidRPr="0014748C">
        <w:rPr>
          <w:sz w:val="28"/>
          <w:szCs w:val="28"/>
          <w:lang w:eastAsia="en-US"/>
        </w:rPr>
        <w:t>vai nepiemērošanu pieņem attiecīgi līdz regulas Nr. 651/2014 58. panta 5. punktā, 59. pantā un regulas Nr. 1388/2014 46. panta 4. punktā un 47. pantā noteiktā piemērošanas termiņa beigām;</w:t>
      </w:r>
      <w:r w:rsidRPr="0014748C">
        <w:rPr>
          <w:bCs/>
          <w:sz w:val="28"/>
          <w:szCs w:val="28"/>
        </w:rPr>
        <w:t>"</w:t>
      </w:r>
      <w:r w:rsidRPr="0014748C">
        <w:rPr>
          <w:sz w:val="28"/>
          <w:szCs w:val="28"/>
        </w:rPr>
        <w:t>.</w:t>
      </w:r>
    </w:p>
    <w:p w14:paraId="08B97743" w14:textId="77777777" w:rsidR="00E80EBC" w:rsidRPr="0014748C" w:rsidRDefault="00E80EBC" w:rsidP="0014748C">
      <w:pPr>
        <w:shd w:val="clear" w:color="auto" w:fill="FFFFFF"/>
        <w:ind w:firstLine="709"/>
        <w:jc w:val="both"/>
        <w:rPr>
          <w:sz w:val="28"/>
          <w:szCs w:val="28"/>
        </w:rPr>
      </w:pPr>
    </w:p>
    <w:p w14:paraId="4E210C5F" w14:textId="6DE5CBF3" w:rsidR="005C48EE" w:rsidRPr="0014748C" w:rsidRDefault="005C48EE" w:rsidP="0014748C">
      <w:pPr>
        <w:pStyle w:val="ListParagraph"/>
        <w:numPr>
          <w:ilvl w:val="0"/>
          <w:numId w:val="5"/>
        </w:numPr>
        <w:tabs>
          <w:tab w:val="left" w:pos="993"/>
        </w:tabs>
        <w:ind w:left="0" w:firstLine="709"/>
        <w:jc w:val="both"/>
        <w:rPr>
          <w:sz w:val="28"/>
          <w:szCs w:val="28"/>
        </w:rPr>
      </w:pPr>
      <w:r w:rsidRPr="0014748C">
        <w:rPr>
          <w:sz w:val="28"/>
          <w:szCs w:val="28"/>
        </w:rPr>
        <w:t xml:space="preserve">Papildināt </w:t>
      </w:r>
      <w:r w:rsidR="003448F2">
        <w:rPr>
          <w:sz w:val="28"/>
          <w:szCs w:val="28"/>
        </w:rPr>
        <w:t>noteikumus</w:t>
      </w:r>
      <w:r w:rsidRPr="0014748C">
        <w:rPr>
          <w:sz w:val="28"/>
          <w:szCs w:val="28"/>
        </w:rPr>
        <w:t xml:space="preserve"> ar 24.8</w:t>
      </w:r>
      <w:r w:rsidR="00FE4392" w:rsidRPr="0014748C">
        <w:rPr>
          <w:sz w:val="28"/>
          <w:szCs w:val="28"/>
        </w:rPr>
        <w:t>.</w:t>
      </w:r>
      <w:r w:rsidR="00E80EBC" w:rsidRPr="0014748C">
        <w:rPr>
          <w:sz w:val="28"/>
          <w:szCs w:val="28"/>
        </w:rPr>
        <w:t> </w:t>
      </w:r>
      <w:r w:rsidRPr="0014748C">
        <w:rPr>
          <w:sz w:val="28"/>
          <w:szCs w:val="28"/>
        </w:rPr>
        <w:t>apakšpunktu šādā redakcijā:</w:t>
      </w:r>
    </w:p>
    <w:p w14:paraId="6A51E1F4" w14:textId="77777777" w:rsidR="0014748C" w:rsidRPr="0014748C" w:rsidRDefault="0014748C" w:rsidP="0014748C">
      <w:pPr>
        <w:ind w:firstLine="720"/>
        <w:jc w:val="both"/>
        <w:rPr>
          <w:sz w:val="28"/>
          <w:szCs w:val="28"/>
          <w:shd w:val="clear" w:color="auto" w:fill="FFFFFF"/>
        </w:rPr>
      </w:pPr>
    </w:p>
    <w:p w14:paraId="64E479D7" w14:textId="22141308" w:rsidR="005C48EE" w:rsidRPr="0014748C" w:rsidRDefault="00F42DEC" w:rsidP="0014748C">
      <w:pPr>
        <w:ind w:firstLine="720"/>
        <w:jc w:val="both"/>
        <w:rPr>
          <w:sz w:val="28"/>
          <w:szCs w:val="28"/>
        </w:rPr>
      </w:pPr>
      <w:r w:rsidRPr="0014748C">
        <w:rPr>
          <w:sz w:val="28"/>
          <w:szCs w:val="28"/>
          <w:shd w:val="clear" w:color="auto" w:fill="FFFFFF"/>
        </w:rPr>
        <w:t>"</w:t>
      </w:r>
      <w:r w:rsidR="005C48EE" w:rsidRPr="0014748C">
        <w:rPr>
          <w:sz w:val="28"/>
          <w:szCs w:val="28"/>
        </w:rPr>
        <w:t>24.8</w:t>
      </w:r>
      <w:r w:rsidR="003448F2" w:rsidRPr="0014748C">
        <w:rPr>
          <w:sz w:val="28"/>
          <w:szCs w:val="28"/>
        </w:rPr>
        <w:t>.</w:t>
      </w:r>
      <w:r w:rsidR="003448F2">
        <w:rPr>
          <w:sz w:val="28"/>
          <w:szCs w:val="28"/>
        </w:rPr>
        <w:t> </w:t>
      </w:r>
      <w:r w:rsidR="005C48EE" w:rsidRPr="0014748C">
        <w:rPr>
          <w:sz w:val="28"/>
          <w:szCs w:val="28"/>
        </w:rPr>
        <w:t xml:space="preserve">iesniedz Zemkopības ministrijā informāciju par </w:t>
      </w:r>
      <w:r w:rsidR="00CB65F5" w:rsidRPr="0014748C">
        <w:rPr>
          <w:sz w:val="28"/>
          <w:szCs w:val="28"/>
          <w:shd w:val="clear" w:color="auto" w:fill="FFFFFF"/>
        </w:rPr>
        <w:t>lauksaimniecības produkcijas ražotāj</w:t>
      </w:r>
      <w:r w:rsidR="00550D54" w:rsidRPr="0014748C">
        <w:rPr>
          <w:sz w:val="28"/>
          <w:szCs w:val="28"/>
          <w:shd w:val="clear" w:color="auto" w:fill="FFFFFF"/>
        </w:rPr>
        <w:t>iem</w:t>
      </w:r>
      <w:r w:rsidR="00CB65F5" w:rsidRPr="0014748C">
        <w:rPr>
          <w:sz w:val="28"/>
          <w:szCs w:val="28"/>
          <w:shd w:val="clear" w:color="auto" w:fill="FFFFFF"/>
        </w:rPr>
        <w:t xml:space="preserve"> piešķirto marķētās dīzeļdegvielas daudzumu</w:t>
      </w:r>
      <w:r w:rsidR="005C48EE" w:rsidRPr="0014748C">
        <w:rPr>
          <w:sz w:val="28"/>
          <w:szCs w:val="28"/>
        </w:rPr>
        <w:t xml:space="preserve">, </w:t>
      </w:r>
      <w:r w:rsidR="004C0671" w:rsidRPr="0014748C">
        <w:rPr>
          <w:sz w:val="28"/>
          <w:szCs w:val="28"/>
        </w:rPr>
        <w:t xml:space="preserve">lai </w:t>
      </w:r>
      <w:r w:rsidR="005C48EE" w:rsidRPr="0014748C">
        <w:rPr>
          <w:sz w:val="28"/>
          <w:szCs w:val="28"/>
        </w:rPr>
        <w:t>saskaņā ar normatīvajiem aktiem par kārtību, kādā Eiropas Komisijā iesniedz gada ziņojumus par valsts atbalsta izdevumiem, un kārtību, kādā piešķir un anulē elektroniskās sistēmas lietošanas tiesības</w:t>
      </w:r>
      <w:r w:rsidR="003448F2">
        <w:rPr>
          <w:sz w:val="28"/>
          <w:szCs w:val="28"/>
        </w:rPr>
        <w:t>,</w:t>
      </w:r>
      <w:r w:rsidR="003448F2" w:rsidRPr="003448F2">
        <w:rPr>
          <w:sz w:val="28"/>
          <w:szCs w:val="28"/>
        </w:rPr>
        <w:t xml:space="preserve"> </w:t>
      </w:r>
      <w:r w:rsidR="003448F2" w:rsidRPr="0014748C">
        <w:rPr>
          <w:sz w:val="28"/>
          <w:szCs w:val="28"/>
        </w:rPr>
        <w:t>informētu Eiropas Komisiju</w:t>
      </w:r>
      <w:r w:rsidR="005C48EE" w:rsidRPr="0014748C">
        <w:rPr>
          <w:sz w:val="28"/>
          <w:szCs w:val="28"/>
        </w:rPr>
        <w:t>.</w:t>
      </w:r>
      <w:r w:rsidRPr="0014748C">
        <w:rPr>
          <w:sz w:val="28"/>
          <w:szCs w:val="28"/>
          <w:shd w:val="clear" w:color="auto" w:fill="FFFFFF"/>
        </w:rPr>
        <w:t>"</w:t>
      </w:r>
    </w:p>
    <w:p w14:paraId="4DC662CF" w14:textId="43F1DF35" w:rsidR="00C96442" w:rsidRPr="0014748C" w:rsidRDefault="00C96442" w:rsidP="0014748C">
      <w:pPr>
        <w:suppressAutoHyphens w:val="0"/>
        <w:autoSpaceDE w:val="0"/>
        <w:adjustRightInd w:val="0"/>
        <w:ind w:firstLine="709"/>
        <w:jc w:val="both"/>
        <w:textAlignment w:val="auto"/>
        <w:rPr>
          <w:sz w:val="28"/>
          <w:szCs w:val="28"/>
        </w:rPr>
      </w:pPr>
    </w:p>
    <w:p w14:paraId="539F1237" w14:textId="31C7DE70" w:rsidR="004132A1" w:rsidRPr="0014748C" w:rsidRDefault="004132A1" w:rsidP="0014748C">
      <w:pPr>
        <w:pStyle w:val="ListParagraph"/>
        <w:numPr>
          <w:ilvl w:val="0"/>
          <w:numId w:val="5"/>
        </w:numPr>
        <w:shd w:val="clear" w:color="auto" w:fill="FFFFFF"/>
        <w:tabs>
          <w:tab w:val="left" w:pos="993"/>
        </w:tabs>
        <w:ind w:left="0" w:firstLine="709"/>
        <w:jc w:val="both"/>
        <w:rPr>
          <w:sz w:val="28"/>
          <w:szCs w:val="28"/>
        </w:rPr>
      </w:pPr>
      <w:r w:rsidRPr="0014748C">
        <w:rPr>
          <w:sz w:val="28"/>
          <w:szCs w:val="28"/>
        </w:rPr>
        <w:t>Papildināt noteikumus ar 31.</w:t>
      </w:r>
      <w:r w:rsidRPr="0014748C">
        <w:rPr>
          <w:sz w:val="28"/>
          <w:szCs w:val="28"/>
          <w:vertAlign w:val="superscript"/>
        </w:rPr>
        <w:t>4</w:t>
      </w:r>
      <w:r w:rsidRPr="0014748C">
        <w:rPr>
          <w:sz w:val="28"/>
          <w:szCs w:val="28"/>
        </w:rPr>
        <w:t> punktu šādā redakcijā:</w:t>
      </w:r>
    </w:p>
    <w:p w14:paraId="62563D35" w14:textId="77777777" w:rsidR="0014748C" w:rsidRPr="0014748C" w:rsidRDefault="0014748C" w:rsidP="0014748C">
      <w:pPr>
        <w:pStyle w:val="tv213"/>
        <w:spacing w:before="0" w:after="0"/>
        <w:ind w:firstLine="709"/>
        <w:jc w:val="both"/>
        <w:rPr>
          <w:bCs/>
          <w:sz w:val="28"/>
          <w:szCs w:val="28"/>
        </w:rPr>
      </w:pPr>
    </w:p>
    <w:p w14:paraId="188AB77A" w14:textId="44B08540" w:rsidR="004132A1" w:rsidRPr="0014748C" w:rsidRDefault="004132A1" w:rsidP="0014748C">
      <w:pPr>
        <w:pStyle w:val="tv213"/>
        <w:spacing w:before="0" w:after="0"/>
        <w:ind w:firstLine="709"/>
        <w:jc w:val="both"/>
        <w:rPr>
          <w:sz w:val="28"/>
          <w:szCs w:val="28"/>
        </w:rPr>
      </w:pPr>
      <w:r w:rsidRPr="0014748C">
        <w:rPr>
          <w:bCs/>
          <w:sz w:val="28"/>
          <w:szCs w:val="28"/>
        </w:rPr>
        <w:t>"</w:t>
      </w:r>
      <w:bookmarkStart w:id="0" w:name="_Hlk64554572"/>
      <w:r w:rsidRPr="0014748C">
        <w:rPr>
          <w:sz w:val="28"/>
          <w:szCs w:val="28"/>
        </w:rPr>
        <w:t>31.</w:t>
      </w:r>
      <w:r w:rsidR="003448F2" w:rsidRPr="0014748C">
        <w:rPr>
          <w:sz w:val="28"/>
          <w:szCs w:val="28"/>
          <w:vertAlign w:val="superscript"/>
        </w:rPr>
        <w:t>4</w:t>
      </w:r>
      <w:r w:rsidR="003448F2">
        <w:rPr>
          <w:sz w:val="28"/>
          <w:szCs w:val="28"/>
        </w:rPr>
        <w:t> </w:t>
      </w:r>
      <w:r w:rsidRPr="0014748C">
        <w:rPr>
          <w:sz w:val="28"/>
          <w:szCs w:val="28"/>
        </w:rPr>
        <w:t xml:space="preserve">Šo noteikumu 4. punktā minētās grūtībās nonākuša uzņēmuma statusa pazīmes neattiecina uz pretendentu, kas atbilst regulas Nr. 651/2014 1. panta 4. punkta </w:t>
      </w:r>
      <w:r w:rsidRPr="0014748C">
        <w:rPr>
          <w:bCs/>
          <w:sz w:val="28"/>
          <w:szCs w:val="28"/>
        </w:rPr>
        <w:t>"</w:t>
      </w:r>
      <w:r w:rsidRPr="0014748C">
        <w:rPr>
          <w:sz w:val="28"/>
          <w:szCs w:val="28"/>
        </w:rPr>
        <w:t>c</w:t>
      </w:r>
      <w:r w:rsidRPr="0014748C">
        <w:rPr>
          <w:bCs/>
          <w:sz w:val="28"/>
          <w:szCs w:val="28"/>
        </w:rPr>
        <w:t>"</w:t>
      </w:r>
      <w:r w:rsidRPr="0014748C">
        <w:rPr>
          <w:sz w:val="28"/>
          <w:szCs w:val="28"/>
        </w:rPr>
        <w:t xml:space="preserve"> apakšpunktā vai </w:t>
      </w:r>
      <w:bookmarkStart w:id="1" w:name="_Hlk64643618"/>
      <w:r w:rsidRPr="0014748C">
        <w:rPr>
          <w:sz w:val="28"/>
          <w:szCs w:val="28"/>
        </w:rPr>
        <w:t xml:space="preserve">regulas Nr. 1388/2014 1. panta 3. punkta </w:t>
      </w:r>
      <w:r w:rsidRPr="0014748C">
        <w:rPr>
          <w:bCs/>
          <w:sz w:val="28"/>
          <w:szCs w:val="28"/>
        </w:rPr>
        <w:t>"</w:t>
      </w:r>
      <w:r w:rsidRPr="0014748C">
        <w:rPr>
          <w:sz w:val="28"/>
          <w:szCs w:val="28"/>
        </w:rPr>
        <w:t>d</w:t>
      </w:r>
      <w:r w:rsidRPr="0014748C">
        <w:rPr>
          <w:bCs/>
          <w:sz w:val="28"/>
          <w:szCs w:val="28"/>
        </w:rPr>
        <w:t>"</w:t>
      </w:r>
      <w:r w:rsidRPr="0014748C">
        <w:rPr>
          <w:sz w:val="28"/>
          <w:szCs w:val="28"/>
        </w:rPr>
        <w:t> apakšpunktā noteiktajiem</w:t>
      </w:r>
      <w:bookmarkEnd w:id="1"/>
      <w:r w:rsidRPr="0014748C">
        <w:rPr>
          <w:sz w:val="28"/>
          <w:szCs w:val="28"/>
        </w:rPr>
        <w:t xml:space="preserve"> kritērijiem.</w:t>
      </w:r>
      <w:bookmarkEnd w:id="0"/>
      <w:r w:rsidR="007314CD" w:rsidRPr="0014748C">
        <w:rPr>
          <w:bCs/>
          <w:sz w:val="28"/>
          <w:szCs w:val="28"/>
        </w:rPr>
        <w:t>"</w:t>
      </w:r>
    </w:p>
    <w:p w14:paraId="27E50691" w14:textId="1839B2B5" w:rsidR="00154003" w:rsidRPr="0014748C" w:rsidRDefault="00154003" w:rsidP="0014748C">
      <w:pPr>
        <w:suppressAutoHyphens w:val="0"/>
        <w:autoSpaceDE w:val="0"/>
        <w:adjustRightInd w:val="0"/>
        <w:jc w:val="both"/>
        <w:textAlignment w:val="auto"/>
        <w:rPr>
          <w:sz w:val="28"/>
          <w:szCs w:val="28"/>
        </w:rPr>
      </w:pPr>
    </w:p>
    <w:p w14:paraId="6CC7055C" w14:textId="77777777" w:rsidR="0014748C" w:rsidRPr="0014748C" w:rsidRDefault="0014748C" w:rsidP="0014748C">
      <w:pPr>
        <w:suppressAutoHyphens w:val="0"/>
        <w:autoSpaceDE w:val="0"/>
        <w:adjustRightInd w:val="0"/>
        <w:jc w:val="both"/>
        <w:textAlignment w:val="auto"/>
        <w:rPr>
          <w:sz w:val="28"/>
          <w:szCs w:val="28"/>
        </w:rPr>
      </w:pPr>
    </w:p>
    <w:p w14:paraId="78898EE9" w14:textId="77777777" w:rsidR="00154003" w:rsidRPr="0014748C" w:rsidRDefault="00154003" w:rsidP="0014748C">
      <w:pPr>
        <w:suppressAutoHyphens w:val="0"/>
        <w:autoSpaceDE w:val="0"/>
        <w:adjustRightInd w:val="0"/>
        <w:ind w:firstLine="709"/>
        <w:jc w:val="both"/>
        <w:textAlignment w:val="auto"/>
        <w:rPr>
          <w:sz w:val="28"/>
          <w:szCs w:val="28"/>
        </w:rPr>
      </w:pPr>
    </w:p>
    <w:p w14:paraId="4EC97A29" w14:textId="7FCCBEF7" w:rsidR="00C75454" w:rsidRPr="0014748C" w:rsidRDefault="00B16DD7" w:rsidP="0014748C">
      <w:pPr>
        <w:tabs>
          <w:tab w:val="left" w:pos="6521"/>
        </w:tabs>
        <w:ind w:firstLine="709"/>
        <w:jc w:val="both"/>
        <w:rPr>
          <w:sz w:val="28"/>
          <w:szCs w:val="28"/>
        </w:rPr>
      </w:pPr>
      <w:r w:rsidRPr="0014748C">
        <w:rPr>
          <w:sz w:val="28"/>
          <w:szCs w:val="28"/>
        </w:rPr>
        <w:t>Ministru prezidents</w:t>
      </w:r>
      <w:r w:rsidRPr="0014748C">
        <w:rPr>
          <w:sz w:val="28"/>
          <w:szCs w:val="28"/>
        </w:rPr>
        <w:tab/>
        <w:t xml:space="preserve">A. K. Kariņš </w:t>
      </w:r>
    </w:p>
    <w:p w14:paraId="2260645E" w14:textId="7713F5F1" w:rsidR="000D1B76" w:rsidRPr="0014748C" w:rsidRDefault="000D1B76" w:rsidP="0014748C">
      <w:pPr>
        <w:tabs>
          <w:tab w:val="left" w:pos="6521"/>
        </w:tabs>
        <w:ind w:firstLine="709"/>
        <w:jc w:val="both"/>
        <w:rPr>
          <w:sz w:val="28"/>
          <w:szCs w:val="28"/>
        </w:rPr>
      </w:pPr>
    </w:p>
    <w:p w14:paraId="2A258F89" w14:textId="77777777" w:rsidR="0014748C" w:rsidRPr="0014748C" w:rsidRDefault="0014748C" w:rsidP="0014748C">
      <w:pPr>
        <w:tabs>
          <w:tab w:val="left" w:pos="6521"/>
        </w:tabs>
        <w:ind w:firstLine="709"/>
        <w:jc w:val="both"/>
        <w:rPr>
          <w:sz w:val="28"/>
          <w:szCs w:val="28"/>
        </w:rPr>
      </w:pPr>
    </w:p>
    <w:p w14:paraId="53CF13F6" w14:textId="77777777" w:rsidR="00ED10A7" w:rsidRPr="0014748C" w:rsidRDefault="00ED10A7" w:rsidP="0014748C">
      <w:pPr>
        <w:tabs>
          <w:tab w:val="left" w:pos="6521"/>
        </w:tabs>
        <w:ind w:firstLine="709"/>
        <w:jc w:val="both"/>
        <w:rPr>
          <w:sz w:val="28"/>
          <w:szCs w:val="28"/>
        </w:rPr>
      </w:pPr>
    </w:p>
    <w:p w14:paraId="66F72C15" w14:textId="4151F264" w:rsidR="00C75454" w:rsidRPr="0014748C" w:rsidRDefault="00B16DD7" w:rsidP="0014748C">
      <w:pPr>
        <w:tabs>
          <w:tab w:val="left" w:pos="6521"/>
        </w:tabs>
        <w:ind w:firstLine="709"/>
        <w:jc w:val="both"/>
        <w:rPr>
          <w:sz w:val="28"/>
          <w:szCs w:val="28"/>
        </w:rPr>
      </w:pPr>
      <w:r w:rsidRPr="0014748C">
        <w:rPr>
          <w:sz w:val="28"/>
          <w:szCs w:val="28"/>
        </w:rPr>
        <w:t>Zemkopības ministrs</w:t>
      </w:r>
      <w:r w:rsidRPr="0014748C">
        <w:rPr>
          <w:sz w:val="28"/>
          <w:szCs w:val="28"/>
        </w:rPr>
        <w:tab/>
        <w:t>K. Gerhards</w:t>
      </w:r>
    </w:p>
    <w:sectPr w:rsidR="00C75454" w:rsidRPr="0014748C" w:rsidSect="0014748C">
      <w:headerReference w:type="default" r:id="rId18"/>
      <w:footerReference w:type="default" r:id="rId19"/>
      <w:headerReference w:type="first" r:id="rId20"/>
      <w:footerReference w:type="first" r:id="rId21"/>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F2DE" w14:textId="77777777" w:rsidR="00A334EE" w:rsidRDefault="00A334EE">
      <w:r>
        <w:separator/>
      </w:r>
    </w:p>
  </w:endnote>
  <w:endnote w:type="continuationSeparator" w:id="0">
    <w:p w14:paraId="61DF33BB" w14:textId="77777777" w:rsidR="00A334EE" w:rsidRDefault="00A3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5265" w14:textId="77777777" w:rsidR="0014748C" w:rsidRPr="0014748C" w:rsidRDefault="0014748C" w:rsidP="0014748C">
    <w:pPr>
      <w:pStyle w:val="Footer"/>
      <w:rPr>
        <w:sz w:val="16"/>
        <w:szCs w:val="16"/>
      </w:rPr>
    </w:pPr>
    <w:r>
      <w:rPr>
        <w:sz w:val="16"/>
        <w:szCs w:val="16"/>
      </w:rPr>
      <w:t>N1027_1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6FC6" w14:textId="2E50E1A4" w:rsidR="0014748C" w:rsidRPr="0014748C" w:rsidRDefault="0014748C">
    <w:pPr>
      <w:pStyle w:val="Footer"/>
      <w:rPr>
        <w:sz w:val="16"/>
        <w:szCs w:val="16"/>
      </w:rPr>
    </w:pPr>
    <w:r>
      <w:rPr>
        <w:sz w:val="16"/>
        <w:szCs w:val="16"/>
      </w:rPr>
      <w:t>N1027_1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B0FC" w14:textId="77777777" w:rsidR="00A334EE" w:rsidRDefault="00A334EE">
      <w:r>
        <w:rPr>
          <w:color w:val="000000"/>
        </w:rPr>
        <w:separator/>
      </w:r>
    </w:p>
  </w:footnote>
  <w:footnote w:type="continuationSeparator" w:id="0">
    <w:p w14:paraId="2CF70D2F" w14:textId="77777777" w:rsidR="00A334EE" w:rsidRDefault="00A3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58122"/>
      <w:docPartObj>
        <w:docPartGallery w:val="Page Numbers (Top of Page)"/>
        <w:docPartUnique/>
      </w:docPartObj>
    </w:sdtPr>
    <w:sdtEndPr/>
    <w:sdtContent>
      <w:p w14:paraId="08D74A93" w14:textId="496A4677" w:rsidR="00ED10A7" w:rsidRDefault="00ED10A7">
        <w:pPr>
          <w:pStyle w:val="Header"/>
          <w:jc w:val="center"/>
        </w:pPr>
        <w:r>
          <w:fldChar w:fldCharType="begin"/>
        </w:r>
        <w:r>
          <w:instrText>PAGE   \* MERGEFORMAT</w:instrText>
        </w:r>
        <w:r>
          <w:fldChar w:fldCharType="separate"/>
        </w:r>
        <w:r w:rsidR="00F9447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0171" w14:textId="77777777" w:rsidR="0014748C" w:rsidRDefault="0014748C">
    <w:pPr>
      <w:pStyle w:val="Header"/>
    </w:pPr>
  </w:p>
  <w:p w14:paraId="293A4E10" w14:textId="77777777" w:rsidR="0014748C" w:rsidRDefault="0014748C" w:rsidP="0014748C">
    <w:pPr>
      <w:pStyle w:val="Header"/>
    </w:pPr>
    <w:r>
      <w:rPr>
        <w:noProof/>
        <w:lang w:val="en-US" w:eastAsia="en-US"/>
      </w:rPr>
      <w:drawing>
        <wp:inline distT="0" distB="0" distL="0" distR="0" wp14:anchorId="3CD1791B" wp14:editId="4B1FCA9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AE6"/>
    <w:multiLevelType w:val="hybridMultilevel"/>
    <w:tmpl w:val="46628C6E"/>
    <w:lvl w:ilvl="0" w:tplc="716A83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C813869"/>
    <w:multiLevelType w:val="hybridMultilevel"/>
    <w:tmpl w:val="3BD00518"/>
    <w:lvl w:ilvl="0" w:tplc="0426000F">
      <w:start w:val="1"/>
      <w:numFmt w:val="decimal"/>
      <w:lvlText w:val="%1."/>
      <w:lvlJc w:val="left"/>
      <w:pPr>
        <w:ind w:left="1211"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2CDD5A11"/>
    <w:multiLevelType w:val="multilevel"/>
    <w:tmpl w:val="4CF0F1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79D1906"/>
    <w:multiLevelType w:val="multilevel"/>
    <w:tmpl w:val="2A16F34A"/>
    <w:lvl w:ilvl="0">
      <w:start w:val="1"/>
      <w:numFmt w:val="decimal"/>
      <w:lvlText w:val="%1."/>
      <w:lvlJc w:val="left"/>
      <w:pPr>
        <w:ind w:left="92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58B55057"/>
    <w:multiLevelType w:val="hybridMultilevel"/>
    <w:tmpl w:val="9B92CE36"/>
    <w:lvl w:ilvl="0" w:tplc="716A834A">
      <w:start w:val="1"/>
      <w:numFmt w:val="decimal"/>
      <w:lvlText w:val="%1."/>
      <w:lvlJc w:val="left"/>
      <w:pPr>
        <w:ind w:left="1849"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 w15:restartNumberingAfterBreak="0">
    <w:nsid w:val="59C40589"/>
    <w:multiLevelType w:val="multilevel"/>
    <w:tmpl w:val="4CF0F1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B2D5AD3"/>
    <w:multiLevelType w:val="multilevel"/>
    <w:tmpl w:val="4CF0F1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454"/>
    <w:rsid w:val="00004335"/>
    <w:rsid w:val="000133C9"/>
    <w:rsid w:val="00015BE0"/>
    <w:rsid w:val="00020A7F"/>
    <w:rsid w:val="00096A16"/>
    <w:rsid w:val="000A082C"/>
    <w:rsid w:val="000B5EA5"/>
    <w:rsid w:val="000D020A"/>
    <w:rsid w:val="000D1B76"/>
    <w:rsid w:val="000E312A"/>
    <w:rsid w:val="000F0606"/>
    <w:rsid w:val="000F1B95"/>
    <w:rsid w:val="00126648"/>
    <w:rsid w:val="0014748C"/>
    <w:rsid w:val="00154003"/>
    <w:rsid w:val="001A723C"/>
    <w:rsid w:val="001B5D7B"/>
    <w:rsid w:val="001F105F"/>
    <w:rsid w:val="00213B79"/>
    <w:rsid w:val="002259B2"/>
    <w:rsid w:val="00251D93"/>
    <w:rsid w:val="00253313"/>
    <w:rsid w:val="00292480"/>
    <w:rsid w:val="002C110C"/>
    <w:rsid w:val="002C7CE3"/>
    <w:rsid w:val="002D4FFC"/>
    <w:rsid w:val="002F29C7"/>
    <w:rsid w:val="00312E75"/>
    <w:rsid w:val="00314B5C"/>
    <w:rsid w:val="00322A95"/>
    <w:rsid w:val="00324FB0"/>
    <w:rsid w:val="003423F8"/>
    <w:rsid w:val="003448F2"/>
    <w:rsid w:val="0034503D"/>
    <w:rsid w:val="00365A6C"/>
    <w:rsid w:val="00382E2A"/>
    <w:rsid w:val="003C2255"/>
    <w:rsid w:val="004132A1"/>
    <w:rsid w:val="00426845"/>
    <w:rsid w:val="00431AB7"/>
    <w:rsid w:val="004376CE"/>
    <w:rsid w:val="00462010"/>
    <w:rsid w:val="00477A07"/>
    <w:rsid w:val="00493C2E"/>
    <w:rsid w:val="004B0276"/>
    <w:rsid w:val="004B780C"/>
    <w:rsid w:val="004C0671"/>
    <w:rsid w:val="004C3E46"/>
    <w:rsid w:val="005250A1"/>
    <w:rsid w:val="00550D54"/>
    <w:rsid w:val="005713E5"/>
    <w:rsid w:val="00583D0A"/>
    <w:rsid w:val="005C48EE"/>
    <w:rsid w:val="005D03B8"/>
    <w:rsid w:val="005E02CE"/>
    <w:rsid w:val="005E5058"/>
    <w:rsid w:val="005F4FC7"/>
    <w:rsid w:val="006115A3"/>
    <w:rsid w:val="00623C9A"/>
    <w:rsid w:val="00624831"/>
    <w:rsid w:val="00635C5D"/>
    <w:rsid w:val="0064465C"/>
    <w:rsid w:val="00686FD1"/>
    <w:rsid w:val="00697EFE"/>
    <w:rsid w:val="006A66A8"/>
    <w:rsid w:val="006C2DFA"/>
    <w:rsid w:val="006C7365"/>
    <w:rsid w:val="006D3107"/>
    <w:rsid w:val="00700E10"/>
    <w:rsid w:val="00715218"/>
    <w:rsid w:val="007314CD"/>
    <w:rsid w:val="00740C83"/>
    <w:rsid w:val="00754D81"/>
    <w:rsid w:val="00763468"/>
    <w:rsid w:val="00772621"/>
    <w:rsid w:val="007A400F"/>
    <w:rsid w:val="007B19D1"/>
    <w:rsid w:val="007B45CF"/>
    <w:rsid w:val="007D737A"/>
    <w:rsid w:val="0080069D"/>
    <w:rsid w:val="0081066B"/>
    <w:rsid w:val="008165BD"/>
    <w:rsid w:val="0083240C"/>
    <w:rsid w:val="008619CD"/>
    <w:rsid w:val="00880A8F"/>
    <w:rsid w:val="0089486E"/>
    <w:rsid w:val="008B1FB2"/>
    <w:rsid w:val="008B3687"/>
    <w:rsid w:val="008C3D05"/>
    <w:rsid w:val="008F3A40"/>
    <w:rsid w:val="00935620"/>
    <w:rsid w:val="00960371"/>
    <w:rsid w:val="00961894"/>
    <w:rsid w:val="00967006"/>
    <w:rsid w:val="00990044"/>
    <w:rsid w:val="00990389"/>
    <w:rsid w:val="00992DBC"/>
    <w:rsid w:val="009A69CB"/>
    <w:rsid w:val="009E5C52"/>
    <w:rsid w:val="009E5EEE"/>
    <w:rsid w:val="009F2E73"/>
    <w:rsid w:val="00A00864"/>
    <w:rsid w:val="00A04093"/>
    <w:rsid w:val="00A070DE"/>
    <w:rsid w:val="00A26F0E"/>
    <w:rsid w:val="00A27A5D"/>
    <w:rsid w:val="00A334EE"/>
    <w:rsid w:val="00A7258F"/>
    <w:rsid w:val="00A9523E"/>
    <w:rsid w:val="00AA35A9"/>
    <w:rsid w:val="00AB5E7A"/>
    <w:rsid w:val="00AB6489"/>
    <w:rsid w:val="00AC4B51"/>
    <w:rsid w:val="00B1362E"/>
    <w:rsid w:val="00B16DD7"/>
    <w:rsid w:val="00B2474B"/>
    <w:rsid w:val="00B62E0E"/>
    <w:rsid w:val="00B9617B"/>
    <w:rsid w:val="00BA25F5"/>
    <w:rsid w:val="00BA613C"/>
    <w:rsid w:val="00BB5C19"/>
    <w:rsid w:val="00BC1C20"/>
    <w:rsid w:val="00BD361F"/>
    <w:rsid w:val="00BE6105"/>
    <w:rsid w:val="00C305DC"/>
    <w:rsid w:val="00C47E21"/>
    <w:rsid w:val="00C51C7D"/>
    <w:rsid w:val="00C52DC6"/>
    <w:rsid w:val="00C5687D"/>
    <w:rsid w:val="00C5761A"/>
    <w:rsid w:val="00C63BF7"/>
    <w:rsid w:val="00C75454"/>
    <w:rsid w:val="00C82C1D"/>
    <w:rsid w:val="00C85A00"/>
    <w:rsid w:val="00C90BFA"/>
    <w:rsid w:val="00C96442"/>
    <w:rsid w:val="00C972FA"/>
    <w:rsid w:val="00CB65F5"/>
    <w:rsid w:val="00CB72EC"/>
    <w:rsid w:val="00CC57C7"/>
    <w:rsid w:val="00CD4D1A"/>
    <w:rsid w:val="00CD750D"/>
    <w:rsid w:val="00CE44A5"/>
    <w:rsid w:val="00CF0371"/>
    <w:rsid w:val="00D37FA7"/>
    <w:rsid w:val="00D4141C"/>
    <w:rsid w:val="00D55C1C"/>
    <w:rsid w:val="00D8744A"/>
    <w:rsid w:val="00DD651C"/>
    <w:rsid w:val="00E3239F"/>
    <w:rsid w:val="00E4506B"/>
    <w:rsid w:val="00E80EBC"/>
    <w:rsid w:val="00EB5EA9"/>
    <w:rsid w:val="00ED10A7"/>
    <w:rsid w:val="00EF491A"/>
    <w:rsid w:val="00F1318E"/>
    <w:rsid w:val="00F17304"/>
    <w:rsid w:val="00F42DEC"/>
    <w:rsid w:val="00F94479"/>
    <w:rsid w:val="00FC41F4"/>
    <w:rsid w:val="00FD0DC0"/>
    <w:rsid w:val="00FE4392"/>
    <w:rsid w:val="00FF5E2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AD95"/>
  <w15:docId w15:val="{EA57B9B2-BCE3-4DB8-AFF2-936A065F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0C"/>
    <w:pPr>
      <w:suppressAutoHyphens/>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B72EC"/>
    <w:pPr>
      <w:suppressAutoHyphens w:val="0"/>
      <w:autoSpaceDN/>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0C"/>
    <w:pPr>
      <w:ind w:left="720"/>
    </w:pPr>
  </w:style>
  <w:style w:type="paragraph" w:customStyle="1" w:styleId="naisf">
    <w:name w:val="naisf"/>
    <w:basedOn w:val="Normal"/>
    <w:rsid w:val="004B780C"/>
    <w:pPr>
      <w:spacing w:before="75" w:after="75"/>
      <w:ind w:firstLine="375"/>
      <w:jc w:val="both"/>
    </w:pPr>
  </w:style>
  <w:style w:type="paragraph" w:customStyle="1" w:styleId="tv213">
    <w:name w:val="tv213"/>
    <w:basedOn w:val="Normal"/>
    <w:rsid w:val="004B780C"/>
    <w:pPr>
      <w:spacing w:before="100" w:after="100"/>
    </w:pPr>
  </w:style>
  <w:style w:type="character" w:styleId="Hyperlink">
    <w:name w:val="Hyperlink"/>
    <w:basedOn w:val="DefaultParagraphFont"/>
    <w:uiPriority w:val="99"/>
    <w:rsid w:val="004B780C"/>
    <w:rPr>
      <w:color w:val="0000FF"/>
      <w:u w:val="single"/>
    </w:rPr>
  </w:style>
  <w:style w:type="paragraph" w:styleId="BalloonText">
    <w:name w:val="Balloon Text"/>
    <w:basedOn w:val="Normal"/>
    <w:rsid w:val="004B780C"/>
    <w:rPr>
      <w:rFonts w:ascii="Segoe UI" w:hAnsi="Segoe UI" w:cs="Segoe UI"/>
      <w:sz w:val="18"/>
      <w:szCs w:val="18"/>
    </w:rPr>
  </w:style>
  <w:style w:type="character" w:customStyle="1" w:styleId="BalloonTextChar">
    <w:name w:val="Balloon Text Char"/>
    <w:basedOn w:val="DefaultParagraphFont"/>
    <w:rsid w:val="004B780C"/>
    <w:rPr>
      <w:rFonts w:ascii="Segoe UI" w:eastAsia="Times New Roman" w:hAnsi="Segoe UI" w:cs="Segoe UI"/>
      <w:sz w:val="18"/>
      <w:szCs w:val="18"/>
      <w:lang w:eastAsia="lv-LV"/>
    </w:rPr>
  </w:style>
  <w:style w:type="character" w:styleId="CommentReference">
    <w:name w:val="annotation reference"/>
    <w:basedOn w:val="DefaultParagraphFont"/>
    <w:uiPriority w:val="99"/>
    <w:rsid w:val="004B780C"/>
    <w:rPr>
      <w:sz w:val="16"/>
      <w:szCs w:val="16"/>
    </w:rPr>
  </w:style>
  <w:style w:type="paragraph" w:styleId="CommentText">
    <w:name w:val="annotation text"/>
    <w:basedOn w:val="Normal"/>
    <w:uiPriority w:val="99"/>
    <w:rsid w:val="004B780C"/>
    <w:pPr>
      <w:spacing w:after="160"/>
    </w:pPr>
    <w:rPr>
      <w:rFonts w:ascii="Calibri" w:eastAsia="Calibri" w:hAnsi="Calibri" w:cs="Arial"/>
      <w:sz w:val="20"/>
      <w:szCs w:val="20"/>
      <w:lang w:eastAsia="en-US"/>
    </w:rPr>
  </w:style>
  <w:style w:type="character" w:customStyle="1" w:styleId="CommentTextChar">
    <w:name w:val="Comment Text Char"/>
    <w:basedOn w:val="DefaultParagraphFont"/>
    <w:uiPriority w:val="99"/>
    <w:rsid w:val="004B780C"/>
    <w:rPr>
      <w:sz w:val="20"/>
      <w:szCs w:val="20"/>
    </w:rPr>
  </w:style>
  <w:style w:type="paragraph" w:styleId="CommentSubject">
    <w:name w:val="annotation subject"/>
    <w:basedOn w:val="CommentText"/>
    <w:next w:val="CommentText"/>
    <w:rsid w:val="004B780C"/>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rsid w:val="004B780C"/>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5250A1"/>
    <w:pPr>
      <w:tabs>
        <w:tab w:val="center" w:pos="4153"/>
        <w:tab w:val="right" w:pos="8306"/>
      </w:tabs>
    </w:pPr>
  </w:style>
  <w:style w:type="character" w:customStyle="1" w:styleId="HeaderChar">
    <w:name w:val="Header Char"/>
    <w:basedOn w:val="DefaultParagraphFont"/>
    <w:link w:val="Header"/>
    <w:uiPriority w:val="99"/>
    <w:rsid w:val="005250A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250A1"/>
    <w:pPr>
      <w:tabs>
        <w:tab w:val="center" w:pos="4153"/>
        <w:tab w:val="right" w:pos="8306"/>
      </w:tabs>
    </w:pPr>
  </w:style>
  <w:style w:type="character" w:customStyle="1" w:styleId="FooterChar">
    <w:name w:val="Footer Char"/>
    <w:basedOn w:val="DefaultParagraphFont"/>
    <w:link w:val="Footer"/>
    <w:uiPriority w:val="99"/>
    <w:rsid w:val="005250A1"/>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B72EC"/>
    <w:rPr>
      <w:rFonts w:ascii="Times New Roman" w:eastAsia="Times New Roman" w:hAnsi="Times New Roman" w:cs="Times New Roman"/>
      <w:b/>
      <w:bCs/>
      <w:sz w:val="27"/>
      <w:szCs w:val="27"/>
      <w:lang w:eastAsia="lv-LV"/>
    </w:rPr>
  </w:style>
  <w:style w:type="paragraph" w:customStyle="1" w:styleId="liknoteik">
    <w:name w:val="lik_noteik"/>
    <w:basedOn w:val="Normal"/>
    <w:rsid w:val="00CB72EC"/>
    <w:pPr>
      <w:suppressAutoHyphens w:val="0"/>
      <w:autoSpaceDN/>
      <w:spacing w:before="100" w:beforeAutospacing="1" w:after="100" w:afterAutospacing="1"/>
      <w:textAlignment w:val="auto"/>
    </w:pPr>
  </w:style>
  <w:style w:type="paragraph" w:customStyle="1" w:styleId="likdat">
    <w:name w:val="lik_dat"/>
    <w:basedOn w:val="Normal"/>
    <w:rsid w:val="00CB72EC"/>
    <w:pPr>
      <w:suppressAutoHyphens w:val="0"/>
      <w:autoSpaceDN/>
      <w:spacing w:before="100" w:beforeAutospacing="1" w:after="100" w:afterAutospacing="1"/>
      <w:textAlignment w:val="auto"/>
    </w:pPr>
  </w:style>
  <w:style w:type="paragraph" w:customStyle="1" w:styleId="likizd">
    <w:name w:val="lik_izd"/>
    <w:basedOn w:val="Normal"/>
    <w:rsid w:val="00CB72EC"/>
    <w:pPr>
      <w:suppressAutoHyphens w:val="0"/>
      <w:autoSpaceDN/>
      <w:spacing w:before="100" w:beforeAutospacing="1" w:after="100" w:afterAutospacing="1"/>
      <w:textAlignment w:val="auto"/>
    </w:pPr>
  </w:style>
  <w:style w:type="paragraph" w:customStyle="1" w:styleId="naiskr">
    <w:name w:val="naiskr"/>
    <w:basedOn w:val="Normal"/>
    <w:rsid w:val="00322A95"/>
    <w:pPr>
      <w:suppressAutoHyphens w:val="0"/>
      <w:autoSpaceDN/>
      <w:spacing w:before="75" w:after="75"/>
      <w:textAlignment w:val="auto"/>
    </w:pPr>
  </w:style>
  <w:style w:type="paragraph" w:styleId="Revision">
    <w:name w:val="Revision"/>
    <w:hidden/>
    <w:uiPriority w:val="99"/>
    <w:semiHidden/>
    <w:rsid w:val="00C85A00"/>
    <w:pPr>
      <w:autoSpaceDN/>
      <w:spacing w:after="0" w:line="240" w:lineRule="auto"/>
      <w:textAlignment w:val="auto"/>
    </w:pPr>
    <w:rPr>
      <w:rFonts w:ascii="Times New Roman" w:eastAsia="Times New Roman" w:hAnsi="Times New Roman" w:cs="Times New Roman"/>
      <w:sz w:val="24"/>
      <w:szCs w:val="24"/>
      <w:lang w:eastAsia="lv-LV"/>
    </w:rPr>
  </w:style>
  <w:style w:type="paragraph" w:customStyle="1" w:styleId="tvhtml">
    <w:name w:val="tv_html"/>
    <w:basedOn w:val="Normal"/>
    <w:rsid w:val="008B3687"/>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2195">
      <w:bodyDiv w:val="1"/>
      <w:marLeft w:val="0"/>
      <w:marRight w:val="0"/>
      <w:marTop w:val="0"/>
      <w:marBottom w:val="0"/>
      <w:divBdr>
        <w:top w:val="none" w:sz="0" w:space="0" w:color="auto"/>
        <w:left w:val="none" w:sz="0" w:space="0" w:color="auto"/>
        <w:bottom w:val="none" w:sz="0" w:space="0" w:color="auto"/>
        <w:right w:val="none" w:sz="0" w:space="0" w:color="auto"/>
      </w:divBdr>
    </w:div>
    <w:div w:id="308481635">
      <w:bodyDiv w:val="1"/>
      <w:marLeft w:val="0"/>
      <w:marRight w:val="0"/>
      <w:marTop w:val="0"/>
      <w:marBottom w:val="0"/>
      <w:divBdr>
        <w:top w:val="none" w:sz="0" w:space="0" w:color="auto"/>
        <w:left w:val="none" w:sz="0" w:space="0" w:color="auto"/>
        <w:bottom w:val="none" w:sz="0" w:space="0" w:color="auto"/>
        <w:right w:val="none" w:sz="0" w:space="0" w:color="auto"/>
      </w:divBdr>
    </w:div>
    <w:div w:id="515657923">
      <w:bodyDiv w:val="1"/>
      <w:marLeft w:val="0"/>
      <w:marRight w:val="0"/>
      <w:marTop w:val="0"/>
      <w:marBottom w:val="0"/>
      <w:divBdr>
        <w:top w:val="none" w:sz="0" w:space="0" w:color="auto"/>
        <w:left w:val="none" w:sz="0" w:space="0" w:color="auto"/>
        <w:bottom w:val="none" w:sz="0" w:space="0" w:color="auto"/>
        <w:right w:val="none" w:sz="0" w:space="0" w:color="auto"/>
      </w:divBdr>
    </w:div>
    <w:div w:id="636686230">
      <w:bodyDiv w:val="1"/>
      <w:marLeft w:val="0"/>
      <w:marRight w:val="0"/>
      <w:marTop w:val="0"/>
      <w:marBottom w:val="0"/>
      <w:divBdr>
        <w:top w:val="none" w:sz="0" w:space="0" w:color="auto"/>
        <w:left w:val="none" w:sz="0" w:space="0" w:color="auto"/>
        <w:bottom w:val="none" w:sz="0" w:space="0" w:color="auto"/>
        <w:right w:val="none" w:sz="0" w:space="0" w:color="auto"/>
      </w:divBdr>
    </w:div>
    <w:div w:id="1312709003">
      <w:bodyDiv w:val="1"/>
      <w:marLeft w:val="0"/>
      <w:marRight w:val="0"/>
      <w:marTop w:val="0"/>
      <w:marBottom w:val="0"/>
      <w:divBdr>
        <w:top w:val="none" w:sz="0" w:space="0" w:color="auto"/>
        <w:left w:val="none" w:sz="0" w:space="0" w:color="auto"/>
        <w:bottom w:val="none" w:sz="0" w:space="0" w:color="auto"/>
        <w:right w:val="none" w:sz="0" w:space="0" w:color="auto"/>
      </w:divBdr>
      <w:divsChild>
        <w:div w:id="1554925175">
          <w:marLeft w:val="0"/>
          <w:marRight w:val="0"/>
          <w:marTop w:val="480"/>
          <w:marBottom w:val="240"/>
          <w:divBdr>
            <w:top w:val="none" w:sz="0" w:space="0" w:color="auto"/>
            <w:left w:val="none" w:sz="0" w:space="0" w:color="auto"/>
            <w:bottom w:val="none" w:sz="0" w:space="0" w:color="auto"/>
            <w:right w:val="none" w:sz="0" w:space="0" w:color="auto"/>
          </w:divBdr>
        </w:div>
        <w:div w:id="1788037317">
          <w:marLeft w:val="0"/>
          <w:marRight w:val="0"/>
          <w:marTop w:val="0"/>
          <w:marBottom w:val="567"/>
          <w:divBdr>
            <w:top w:val="none" w:sz="0" w:space="0" w:color="auto"/>
            <w:left w:val="none" w:sz="0" w:space="0" w:color="auto"/>
            <w:bottom w:val="none" w:sz="0" w:space="0" w:color="auto"/>
            <w:right w:val="none" w:sz="0" w:space="0" w:color="auto"/>
          </w:divBdr>
        </w:div>
      </w:divsChild>
    </w:div>
    <w:div w:id="1416635493">
      <w:bodyDiv w:val="1"/>
      <w:marLeft w:val="0"/>
      <w:marRight w:val="0"/>
      <w:marTop w:val="0"/>
      <w:marBottom w:val="0"/>
      <w:divBdr>
        <w:top w:val="none" w:sz="0" w:space="0" w:color="auto"/>
        <w:left w:val="none" w:sz="0" w:space="0" w:color="auto"/>
        <w:bottom w:val="none" w:sz="0" w:space="0" w:color="auto"/>
        <w:right w:val="none" w:sz="0" w:space="0" w:color="auto"/>
      </w:divBdr>
    </w:div>
    <w:div w:id="2035378058">
      <w:bodyDiv w:val="1"/>
      <w:marLeft w:val="0"/>
      <w:marRight w:val="0"/>
      <w:marTop w:val="0"/>
      <w:marBottom w:val="0"/>
      <w:divBdr>
        <w:top w:val="none" w:sz="0" w:space="0" w:color="auto"/>
        <w:left w:val="none" w:sz="0" w:space="0" w:color="auto"/>
        <w:bottom w:val="none" w:sz="0" w:space="0" w:color="auto"/>
        <w:right w:val="none" w:sz="0" w:space="0" w:color="auto"/>
      </w:divBdr>
      <w:divsChild>
        <w:div w:id="816722247">
          <w:marLeft w:val="0"/>
          <w:marRight w:val="0"/>
          <w:marTop w:val="0"/>
          <w:marBottom w:val="0"/>
          <w:divBdr>
            <w:top w:val="none" w:sz="0" w:space="0" w:color="auto"/>
            <w:left w:val="none" w:sz="0" w:space="0" w:color="auto"/>
            <w:bottom w:val="none" w:sz="0" w:space="0" w:color="auto"/>
            <w:right w:val="none" w:sz="0" w:space="0" w:color="auto"/>
          </w:divBdr>
        </w:div>
        <w:div w:id="107550047">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066-par-akcizes-nodokli" TargetMode="External"/><Relationship Id="rId13" Type="http://schemas.openxmlformats.org/officeDocument/2006/relationships/hyperlink" Target="https://likumi.lv/ta/id/29012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90128" TargetMode="External"/><Relationship Id="rId17" Type="http://schemas.openxmlformats.org/officeDocument/2006/relationships/hyperlink" Target="https://likumi.lv/ta/id/81066-par-akcizes-nodokli" TargetMode="External"/><Relationship Id="rId2" Type="http://schemas.openxmlformats.org/officeDocument/2006/relationships/numbering" Target="numbering.xml"/><Relationship Id="rId16" Type="http://schemas.openxmlformats.org/officeDocument/2006/relationships/hyperlink" Target="https://likumi.lv/ta/id/81066-par-akcizes-nodok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5" Type="http://schemas.openxmlformats.org/officeDocument/2006/relationships/webSettings" Target="webSettings.xml"/><Relationship Id="rId15" Type="http://schemas.openxmlformats.org/officeDocument/2006/relationships/hyperlink" Target="https://likumi.lv/ta/id/81066-par-akcizes-nodokli"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81066-par-akcizes-nodokli" TargetMode="External"/><Relationship Id="rId14" Type="http://schemas.openxmlformats.org/officeDocument/2006/relationships/hyperlink" Target="https://likumi.lv/ta/id/81066-par-akcizes-nodokl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5E00-7AFE-442C-9D60-CEE850A6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3792</Words>
  <Characters>2163</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 gada 14. aprīļa noteikumos Nr. 194 "Kārtība, kādā piemēro samazināto akcīzes nodokļa likmi iezīmētai (marķētai) dīzeļdegvielai (gāzeļļai), ko izmanto lauksaimniecības produkcijas </vt:lpstr>
      <vt:lpstr/>
    </vt:vector>
  </TitlesOfParts>
  <Company>Zemkopības Ministrija</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noteikumu projekts</dc:subject>
  <dc:creator>Agrita Karlapa</dc:creator>
  <dc:description>Karlapa 67027216 Agrita.Karlapa@zm.gov.lv</dc:description>
  <cp:lastModifiedBy>Leontīne Babkina</cp:lastModifiedBy>
  <cp:revision>37</cp:revision>
  <cp:lastPrinted>2021-05-06T08:12:00Z</cp:lastPrinted>
  <dcterms:created xsi:type="dcterms:W3CDTF">2021-03-31T10:47:00Z</dcterms:created>
  <dcterms:modified xsi:type="dcterms:W3CDTF">2021-05-12T13:43:00Z</dcterms:modified>
</cp:coreProperties>
</file>