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6104" w14:textId="77777777" w:rsidR="00A67C90" w:rsidRPr="00A67C90" w:rsidRDefault="00B87E66" w:rsidP="00A67C90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D98B80" w14:textId="06A4FF30" w:rsidR="00A67C90" w:rsidRPr="00A67C90" w:rsidRDefault="00A67C90" w:rsidP="00A67C9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7C90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Pr="00A67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A67C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50C99E6B" w14:textId="77777777" w:rsidR="00A67C90" w:rsidRPr="00A67C90" w:rsidRDefault="00A67C90" w:rsidP="00A67C9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7C90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A67C9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18A33CEF" w14:textId="3464B277" w:rsidR="00F33D11" w:rsidRDefault="00F33D11" w:rsidP="00A67C90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BB64821" w14:textId="20555364" w:rsidR="00234AED" w:rsidRDefault="00234AED" w:rsidP="007B55C2">
      <w:pPr>
        <w:pStyle w:val="a"/>
        <w:tabs>
          <w:tab w:val="righ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234A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lv-LV"/>
        </w:rPr>
        <w:t>Nacionālā meža monitoringa noteikumi</w:t>
      </w:r>
    </w:p>
    <w:p w14:paraId="046CE006" w14:textId="77777777" w:rsidR="007F4989" w:rsidRPr="00F33D11" w:rsidRDefault="007F4989" w:rsidP="007B55C2">
      <w:pPr>
        <w:pStyle w:val="a"/>
        <w:tabs>
          <w:tab w:val="righ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B9D524C" w14:textId="77777777" w:rsidR="00F33D11" w:rsidRPr="001576AD" w:rsidRDefault="00234AED" w:rsidP="007B55C2">
      <w:pPr>
        <w:spacing w:after="0" w:line="360" w:lineRule="atLeast"/>
        <w:ind w:left="5040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1576A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lv-LV"/>
        </w:rPr>
        <w:t>Izdoti saskaņā ar Meža likuma</w:t>
      </w:r>
    </w:p>
    <w:p w14:paraId="0AF9DC14" w14:textId="600EE48E" w:rsidR="00234AED" w:rsidRPr="001576AD" w:rsidRDefault="006862B5" w:rsidP="001576AD">
      <w:pPr>
        <w:pStyle w:val="Sarakstarindkopa"/>
        <w:spacing w:line="360" w:lineRule="atLeast"/>
        <w:ind w:left="651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576AD">
        <w:rPr>
          <w:iCs/>
          <w:sz w:val="28"/>
          <w:szCs w:val="28"/>
          <w:bdr w:val="none" w:sz="0" w:space="0" w:color="auto" w:frame="1"/>
          <w:shd w:val="clear" w:color="auto" w:fill="FFFFFF"/>
        </w:rPr>
        <w:t>29.</w:t>
      </w:r>
      <w:r w:rsidRPr="001576AD">
        <w:rPr>
          <w:i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1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34AED" w:rsidRPr="001576AD">
        <w:rPr>
          <w:iCs/>
          <w:sz w:val="28"/>
          <w:szCs w:val="28"/>
          <w:bdr w:val="none" w:sz="0" w:space="0" w:color="auto" w:frame="1"/>
          <w:shd w:val="clear" w:color="auto" w:fill="FFFFFF"/>
        </w:rPr>
        <w:t>panta otro daļu</w:t>
      </w:r>
    </w:p>
    <w:p w14:paraId="3ED08073" w14:textId="77777777" w:rsidR="002921F6" w:rsidRPr="008B5743" w:rsidRDefault="002921F6" w:rsidP="007B55C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C30BCBB" w14:textId="0F904FB3" w:rsidR="007D47FA" w:rsidRPr="002921F6" w:rsidRDefault="002921F6" w:rsidP="002921F6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921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1. </w:t>
      </w:r>
      <w:r w:rsidR="00234AED" w:rsidRPr="002921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Noteikumi nosaka nacionālā meža monitoringa (turpmāk</w:t>
      </w:r>
      <w:r w:rsidR="006862B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34AED" w:rsidRPr="002921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A80CC6" w:rsidRPr="002921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monitorings</w:t>
      </w:r>
      <w:r w:rsidR="00234AED" w:rsidRPr="002921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 saturu un kārtību.</w:t>
      </w:r>
    </w:p>
    <w:p w14:paraId="4E19EB27" w14:textId="77777777" w:rsidR="002921F6" w:rsidRPr="002921F6" w:rsidRDefault="002921F6" w:rsidP="002921F6">
      <w:pPr>
        <w:pStyle w:val="Sarakstarindkopa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09D1E41B" w14:textId="3AED49BD" w:rsidR="002921F6" w:rsidRPr="008B5743" w:rsidRDefault="003739D7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onitoring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ā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Latvijas Valsts mežzinātnes institūts "Silava" (turpmāk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– institūts)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īsteno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:</w:t>
      </w:r>
    </w:p>
    <w:p w14:paraId="25C94E77" w14:textId="7DB9A539" w:rsidR="00234AED" w:rsidRPr="008B5743" w:rsidRDefault="00234AED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2.1. meža resursu monitoringu, lai iegūtu informāciju par meža platības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maiņām, meža koksnes resursu struktūru un dinamiku, mežaudžu bojājumiem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atmirušo koksni un uzkrātu hronoloģisku informāciju par mežaudžu attīstības gaitu;</w:t>
      </w:r>
    </w:p>
    <w:p w14:paraId="36D3FAE1" w14:textId="04E46D77" w:rsidR="00234AED" w:rsidRPr="008B5743" w:rsidRDefault="00234AED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2.2. pirmā un otrā līmeņa gaisa piesārņojuma ietekmes novērtēšanas monitoringu, lai novērtētu meža veselības stāvokli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tā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maiņas un noskaidrotu gaisa piesārņojuma un citu vides faktoru ietekmi uz meža ekosistēmām;</w:t>
      </w:r>
    </w:p>
    <w:p w14:paraId="7D4C66CC" w14:textId="0AB71139" w:rsidR="003739D7" w:rsidRPr="008B5743" w:rsidRDefault="006F5A3C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2.3. mežsaimniecības biotisko risk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 faktoru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monitoringu, lai iegūtu operatīvu informāciju par bīstamāko meža kaitēkļu un slimību izplatību, kā arī informāciju par briežu dzimtas dzīvnieku </w:t>
      </w:r>
      <w:r w:rsidR="00A80CC6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mežaudzēm nodarītiem bojājumiem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un </w:t>
      </w:r>
      <w:r w:rsidR="00024243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to </w:t>
      </w:r>
      <w:r w:rsidR="00A80CC6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populācijas blīvumu</w:t>
      </w:r>
      <w:r w:rsidR="00B241E3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771090E0" w14:textId="5A17B26F" w:rsidR="006F5A3C" w:rsidRDefault="006F5A3C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2.4.</w:t>
      </w:r>
      <w:r w:rsidR="00D002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 bioloģiskās daudzveidības monitoringu, lai iegūtu fona informāciju par meža biolo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ģ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iskās daudzveidības stāvokli un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tā pār</w:t>
      </w:r>
      <w:r w:rsidR="009652A9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maiņu novērtējumu valstī.</w:t>
      </w:r>
    </w:p>
    <w:p w14:paraId="29635B49" w14:textId="77777777" w:rsidR="002921F6" w:rsidRPr="008B5743" w:rsidRDefault="002921F6" w:rsidP="00292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192C973" w14:textId="5A252FE7" w:rsidR="00B241E3" w:rsidRDefault="00234AED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3. Meža resursu monitoringa informāciju iegūst </w:t>
      </w:r>
      <w:r w:rsidR="00346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piecu gadu ciklā 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visā valsts teritorijā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no 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vienmērīgi četru kilometru attālumā izvietotu parauglaukumu traktu tīkl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 katru gadu apsekojot vienu piekto daļu no kopējā parauglaukumu skaita.</w:t>
      </w:r>
    </w:p>
    <w:p w14:paraId="14CC559B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40DC97C" w14:textId="19557965" w:rsidR="0096267C" w:rsidRDefault="00B241E3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4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Parauglaukumu koordināt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s </w:t>
      </w:r>
      <w:r w:rsidR="006123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un </w:t>
      </w:r>
      <w:r w:rsidR="00B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monitoringa 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mērījumos iegūt</w:t>
      </w:r>
      <w:r w:rsidR="00B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ie dati 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nav publiski pieejam</w:t>
      </w:r>
      <w:r w:rsidR="001576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 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un institūt</w:t>
      </w:r>
      <w:r w:rsidR="00E83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to</w:t>
      </w:r>
      <w:r w:rsidR="00C57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E83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ne</w:t>
      </w:r>
      <w:r w:rsidR="0053117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izpau</w:t>
      </w:r>
      <w:r w:rsidR="00E836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ž</w:t>
      </w:r>
      <w:r w:rsidR="001576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</w:p>
    <w:p w14:paraId="3D2710EB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4F8F9D27" w14:textId="5FF5134A" w:rsidR="00234AED" w:rsidRDefault="00B241E3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5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Meža resursu monitoringa parauglaukumus ierīko visā valsts teritorijā neatkarīgi no nekustamā īpašuma piederības, parauglaukumi dabā nav vizuāli identificējami, un to ierīkošana nerada saimnieciskās darbības ierobežojumus.</w:t>
      </w:r>
    </w:p>
    <w:p w14:paraId="57F1EA3A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38CCC17" w14:textId="7FC0FB03" w:rsidR="00234AED" w:rsidRDefault="00B241E3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lastRenderedPageBreak/>
        <w:t>6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Pirmā līmeņa gaisa piesārņojuma ietekmes novērtēšanas monitoringa informāciju iegūst, veicot ikgadējus novērojumus 115 meža resursu monitoringa parauglaukumos, </w:t>
      </w:r>
      <w:r w:rsidR="00EE2A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kas izvietoti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16 x 16 kilometru tīklā un iezīmēt</w:t>
      </w:r>
      <w:r w:rsidR="00EE2A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 dabā.</w:t>
      </w:r>
    </w:p>
    <w:p w14:paraId="296A8C31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B7E6FE9" w14:textId="61A72C00" w:rsidR="00234AED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7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Otrā līmeņa gaisa piesārņojuma ietekmes novērtēšanas monitoringa informāciju iegūst, veicot ikgadējus novērojumus valsts zinātniskās izpētes mežos izveidotos parauglaukumos.</w:t>
      </w:r>
    </w:p>
    <w:p w14:paraId="654FDD55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C982A85" w14:textId="52F0BAF5" w:rsidR="00234AED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8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Ja ierīkoto otrā līmeņa gaisa piesārņojuma ietekmes novērtēšanas monitoringa parauglaukumu skaits vai izvietojums nenodrošina datu ticamību, institūts var ierīkot </w:t>
      </w:r>
      <w:r w:rsidR="006862B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papildu parauglaukumus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arī ārpus valsts zinātniskās izpētes mežiem, slēdzot līgumu ar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attiecīgās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zemes īpašnieku, tiesisko valdītāju vai tā pilnvarotu personu.</w:t>
      </w:r>
    </w:p>
    <w:p w14:paraId="68D4856F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4A3E0DF" w14:textId="282AC29D" w:rsidR="00234AED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9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Otrā līmeņa gaisa piesārņojuma ietekmes novērtēšanas monitoringa parauglaukumos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ir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aizliegta galvenā cirte un kopšanas cirte.</w:t>
      </w:r>
    </w:p>
    <w:p w14:paraId="344E86B3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6DF69976" w14:textId="78411BB9" w:rsidR="0032562E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10</w:t>
      </w:r>
      <w:r w:rsidR="00770E2B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Mežsaimniecības </w:t>
      </w:r>
      <w:r w:rsidR="00526F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biotisko risk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 faktoru</w:t>
      </w:r>
      <w:r w:rsidR="00526F18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monitoringa informāciju iegūst, veicot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novērojumus speciāli izveidotos parauglaukumos.</w:t>
      </w:r>
    </w:p>
    <w:p w14:paraId="00461049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86A2487" w14:textId="7ED774EF" w:rsidR="00D57CA5" w:rsidRPr="008B5743" w:rsidRDefault="0032562E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F31752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 bioloģiskās daudzveidības monitoringa informāciju iegūst:</w:t>
      </w:r>
    </w:p>
    <w:p w14:paraId="0B080ECF" w14:textId="42736177" w:rsidR="00D57CA5" w:rsidRPr="008B5743" w:rsidRDefault="006C4068" w:rsidP="00292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11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.1.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ģenētiskā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ģenētisko resursu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mežaudzēs un sēklu plantācijās;</w:t>
      </w:r>
    </w:p>
    <w:p w14:paraId="4F2CE4C7" w14:textId="294E9AE9" w:rsidR="00D57CA5" w:rsidRPr="008B5743" w:rsidRDefault="006C4068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11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.2.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sugu un ekosistēmu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960E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</w:t>
      </w:r>
      <w:r w:rsidR="00CF3C0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eža resursu monitoringa 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parauglaukumos;</w:t>
      </w:r>
    </w:p>
    <w:p w14:paraId="08518E5F" w14:textId="74D1766C" w:rsidR="00526F18" w:rsidRDefault="006C4068" w:rsidP="00292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11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.3.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ainavu līmenī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–</w:t>
      </w:r>
      <w:r w:rsidR="00E14B5F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D57CA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izmantojot attālās izpētes datus.</w:t>
      </w:r>
    </w:p>
    <w:p w14:paraId="1E05EC01" w14:textId="77777777" w:rsidR="002921F6" w:rsidRPr="008B5743" w:rsidRDefault="002921F6" w:rsidP="00292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3BCF9174" w14:textId="3FE50EBC" w:rsidR="00234AED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12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Institūts izstrādā un apstiprina </w:t>
      </w:r>
      <w:r w:rsidR="0010667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monitoringa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metodiku, iepriekš to saskaņojot ar </w:t>
      </w:r>
      <w:r w:rsidR="0032562E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Zemkopības ministriju.</w:t>
      </w:r>
    </w:p>
    <w:p w14:paraId="51730F2C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250BD8CC" w14:textId="3D94EAD1" w:rsidR="008A6642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13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Institūts nodrošina </w:t>
      </w:r>
      <w:r w:rsidR="0010667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monitoringa d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arbu izpildes kvalitātes kontroli un atbild par statistiski ticamas informācijas iegūšanu.</w:t>
      </w:r>
    </w:p>
    <w:p w14:paraId="15011CC2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5288D2CA" w14:textId="0ACA4FD7" w:rsidR="008A6642" w:rsidRPr="008B5743" w:rsidRDefault="00F0551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14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Institūts sagatavo un iesniedz:</w:t>
      </w:r>
    </w:p>
    <w:p w14:paraId="660B7090" w14:textId="6408D3B3" w:rsidR="00234AED" w:rsidRPr="008B5743" w:rsidRDefault="00F05510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14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.1. katru gadu līdz 1.</w:t>
      </w:r>
      <w:r w:rsidR="000C4B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aprīlim – Zem</w:t>
      </w:r>
      <w:r w:rsidR="002E474B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kopības ministrijā</w:t>
      </w:r>
      <w:r w:rsidR="0010667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0B1C21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pārskatu (pielikum</w:t>
      </w:r>
      <w:r w:rsidR="009C08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) par iepriekšējā kalendāra gadā monitoringa izpildē </w:t>
      </w:r>
      <w:r w:rsidR="002E474B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iegūto informāciju</w:t>
      </w:r>
      <w:r w:rsidR="00891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2A38AE12" w14:textId="77777777" w:rsidR="009D1B72" w:rsidRPr="008B5743" w:rsidRDefault="009D1B72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60676747" w14:textId="3164C681" w:rsidR="00A4695D" w:rsidRPr="008B5743" w:rsidRDefault="00A4695D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14.2. </w:t>
      </w:r>
      <w:r w:rsidR="006862B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saskaņā ar tā noteikto laika grafiku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 – 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Starptautiskās sadarbības programmas par gaisa piesārņojuma ietekmes uz mežiem novērtēšanu un monitoringu (</w:t>
      </w:r>
      <w:r w:rsidRPr="003B031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lv-LV"/>
        </w:rPr>
        <w:t>ICP Forests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) koordinācijas centr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ā</w:t>
      </w:r>
      <w:r w:rsidR="006862B5" w:rsidRP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6862B5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informāciju par pirmā un otra līmeņa gaisa piesārņojuma ietekmi</w:t>
      </w:r>
      <w:r w:rsidR="00891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;</w:t>
      </w:r>
    </w:p>
    <w:p w14:paraId="3404FD56" w14:textId="77777777" w:rsidR="00A4695D" w:rsidRPr="008B5743" w:rsidRDefault="00A4695D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3207CA14" w14:textId="21AFBCF5" w:rsidR="002E474B" w:rsidRDefault="00A4695D" w:rsidP="002921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14.3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86172C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katru gadu līdz 15</w:t>
      </w:r>
      <w:r w:rsidR="0010667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 jūlijam</w:t>
      </w:r>
      <w:r w:rsidR="00F0551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– Zemkopības ministrijā un Valsts meža dienestā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informāciju par meža kaitēkļu un slimību</w:t>
      </w:r>
      <w:r w:rsidR="00B309DA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izplatību</w:t>
      </w:r>
      <w:r w:rsidR="007475EE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</w:t>
      </w:r>
      <w:r w:rsidR="00767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gada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pirmajā</w:t>
      </w:r>
      <w:r w:rsidR="00097B76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pusgadā</w:t>
      </w:r>
      <w:r w:rsidR="00B309DA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68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izplatības prognozēm,</w:t>
      </w:r>
      <w:r w:rsidR="00767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kā arī nekavējoties –</w:t>
      </w:r>
      <w:r w:rsidR="00097B76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E3" w:rsidRPr="008B5743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informāciju par konstatētu straujas meža kaitēkļu vai slimību savairošanās risku.</w:t>
      </w:r>
    </w:p>
    <w:p w14:paraId="506AAF79" w14:textId="77777777" w:rsidR="002921F6" w:rsidRPr="002921F6" w:rsidRDefault="002921F6" w:rsidP="002921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67CC8595" w14:textId="493EB6B5" w:rsidR="00234AED" w:rsidRDefault="002D45E4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15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. Institūts apkopo un analizē </w:t>
      </w:r>
      <w:r w:rsidR="00B309DA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monitoringa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izpildē iegūto informāciju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</w:t>
      </w:r>
      <w:r w:rsidR="007D12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kā arī 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reizi piecos gados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sagatavo un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iesniedz Zemkopības ministrijā publisku ziņojumu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2921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E04B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Ziņojumu iesniedz gada laikā pēc piecu gadu cikla beigām.</w:t>
      </w:r>
    </w:p>
    <w:p w14:paraId="0A249542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1CFD2DF4" w14:textId="05F422FC" w:rsidR="00D95142" w:rsidRDefault="008E3F3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16. Šo noteikumu 14. un 15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5D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punktā minētie </w:t>
      </w:r>
      <w:r w:rsidR="005E4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pārskati un 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ziņ</w:t>
      </w:r>
      <w:r w:rsidR="005E4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ojums</w:t>
      </w:r>
      <w:r w:rsidR="005F4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pēc to iesniegšanas Zemkopības ministrijā ir publiski pieejami institūta tīmekļvietnē.</w:t>
      </w:r>
    </w:p>
    <w:p w14:paraId="63274ADD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</w:p>
    <w:p w14:paraId="0B63E155" w14:textId="488FEA00" w:rsidR="00234AED" w:rsidRDefault="0085361A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17.</w:t>
      </w:r>
      <w:r w:rsidR="00095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8E3F3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Šo noteikumu 12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punktā minēto metodiku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par šo noteikumu 2.3. un 2.4.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apakšpunkt</w:t>
      </w:r>
      <w:r w:rsidR="00095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minēt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ajiem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monitoring</w:t>
      </w:r>
      <w:r w:rsidR="00095C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a 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veidiem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institūts apstiprina </w:t>
      </w:r>
      <w:r w:rsidR="008E3F3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līdz 2021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gada 30.</w:t>
      </w:r>
      <w:r w:rsidR="006862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8E3F30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decembrim.</w:t>
      </w:r>
    </w:p>
    <w:p w14:paraId="68E0522F" w14:textId="77777777" w:rsidR="002921F6" w:rsidRPr="008B5743" w:rsidRDefault="002921F6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lv-LV"/>
        </w:rPr>
      </w:pPr>
    </w:p>
    <w:p w14:paraId="11C83DFE" w14:textId="73C013BD" w:rsidR="00234AED" w:rsidRPr="008B5743" w:rsidRDefault="008E3F30" w:rsidP="0029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</w:pP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1</w:t>
      </w:r>
      <w:r w:rsidR="008536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8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 Atzīt par spēku za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udējušiem Ministru kabineta 2012.</w:t>
      </w:r>
      <w:r w:rsidR="001B5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gada 3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1B5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aprīļa noteikumus Nr.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238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 "</w:t>
      </w:r>
      <w:r w:rsidR="001B5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Nacionālā m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 xml:space="preserve">eža monitoringa </w:t>
      </w:r>
      <w:r w:rsidR="001B5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noteikumi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" (Latvijas Vēstnesis, 2012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,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5</w:t>
      </w:r>
      <w:r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5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.</w:t>
      </w:r>
      <w:r w:rsidR="003D26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 </w:t>
      </w:r>
      <w:r w:rsidR="00234AED" w:rsidRPr="008B57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lv-LV"/>
        </w:rPr>
        <w:t>nr.).</w:t>
      </w:r>
    </w:p>
    <w:p w14:paraId="44163AB3" w14:textId="77777777" w:rsidR="00630B27" w:rsidRDefault="00630B27" w:rsidP="002921F6">
      <w:pPr>
        <w:pStyle w:val="Pamatteksts"/>
        <w:tabs>
          <w:tab w:val="clear" w:pos="360"/>
          <w:tab w:val="left" w:pos="720"/>
        </w:tabs>
        <w:rPr>
          <w:szCs w:val="28"/>
        </w:rPr>
      </w:pPr>
    </w:p>
    <w:p w14:paraId="51189B91" w14:textId="14EA2B2F" w:rsidR="006862B5" w:rsidRDefault="006862B5" w:rsidP="002921F6">
      <w:pPr>
        <w:jc w:val="both"/>
        <w:rPr>
          <w:szCs w:val="28"/>
        </w:rPr>
      </w:pPr>
    </w:p>
    <w:p w14:paraId="7687626B" w14:textId="77777777" w:rsidR="00A67C90" w:rsidRDefault="00A67C90" w:rsidP="002921F6">
      <w:pPr>
        <w:jc w:val="both"/>
        <w:rPr>
          <w:szCs w:val="28"/>
        </w:rPr>
      </w:pPr>
    </w:p>
    <w:p w14:paraId="2532C0E9" w14:textId="6AA14C79" w:rsidR="002921F6" w:rsidRPr="002921F6" w:rsidRDefault="002921F6" w:rsidP="00A67C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n-427607"/>
      <w:bookmarkStart w:id="1" w:name="427607"/>
      <w:bookmarkStart w:id="2" w:name="p-427608"/>
      <w:bookmarkStart w:id="3" w:name="p213"/>
      <w:bookmarkEnd w:id="0"/>
      <w:bookmarkEnd w:id="1"/>
      <w:bookmarkEnd w:id="2"/>
      <w:bookmarkEnd w:id="3"/>
      <w:r w:rsidRPr="002921F6">
        <w:rPr>
          <w:rFonts w:ascii="Times New Roman" w:hAnsi="Times New Roman" w:cs="Times New Roman"/>
          <w:sz w:val="28"/>
          <w:szCs w:val="28"/>
        </w:rPr>
        <w:t>Ministru</w:t>
      </w:r>
      <w:r w:rsidR="005D4A85">
        <w:rPr>
          <w:rFonts w:ascii="Times New Roman" w:hAnsi="Times New Roman" w:cs="Times New Roman"/>
          <w:sz w:val="28"/>
          <w:szCs w:val="28"/>
        </w:rPr>
        <w:t xml:space="preserve"> prezidents</w:t>
      </w:r>
      <w:r w:rsidR="005D4A85">
        <w:rPr>
          <w:rFonts w:ascii="Times New Roman" w:hAnsi="Times New Roman" w:cs="Times New Roman"/>
          <w:sz w:val="28"/>
          <w:szCs w:val="28"/>
        </w:rPr>
        <w:tab/>
      </w:r>
      <w:r w:rsidR="005D4A85">
        <w:rPr>
          <w:rFonts w:ascii="Times New Roman" w:hAnsi="Times New Roman" w:cs="Times New Roman"/>
          <w:sz w:val="28"/>
          <w:szCs w:val="28"/>
        </w:rPr>
        <w:tab/>
      </w:r>
      <w:r w:rsidR="005D4A85">
        <w:rPr>
          <w:rFonts w:ascii="Times New Roman" w:hAnsi="Times New Roman" w:cs="Times New Roman"/>
          <w:sz w:val="28"/>
          <w:szCs w:val="28"/>
        </w:rPr>
        <w:tab/>
      </w:r>
      <w:r w:rsidR="005D4A85">
        <w:rPr>
          <w:rFonts w:ascii="Times New Roman" w:hAnsi="Times New Roman" w:cs="Times New Roman"/>
          <w:sz w:val="28"/>
          <w:szCs w:val="28"/>
        </w:rPr>
        <w:tab/>
      </w:r>
      <w:r w:rsidR="005D4A85">
        <w:rPr>
          <w:rFonts w:ascii="Times New Roman" w:hAnsi="Times New Roman" w:cs="Times New Roman"/>
          <w:sz w:val="28"/>
          <w:szCs w:val="28"/>
        </w:rPr>
        <w:tab/>
      </w:r>
      <w:r w:rsidR="006862B5">
        <w:rPr>
          <w:rFonts w:ascii="Times New Roman" w:hAnsi="Times New Roman" w:cs="Times New Roman"/>
          <w:sz w:val="28"/>
          <w:szCs w:val="28"/>
        </w:rPr>
        <w:tab/>
      </w:r>
      <w:r w:rsidR="005D4A85">
        <w:rPr>
          <w:rFonts w:ascii="Times New Roman" w:hAnsi="Times New Roman" w:cs="Times New Roman"/>
          <w:sz w:val="28"/>
          <w:szCs w:val="28"/>
        </w:rPr>
        <w:t>A. K.</w:t>
      </w:r>
      <w:r w:rsidRPr="002921F6">
        <w:rPr>
          <w:rFonts w:ascii="Times New Roman" w:hAnsi="Times New Roman" w:cs="Times New Roman"/>
          <w:sz w:val="28"/>
          <w:szCs w:val="28"/>
        </w:rPr>
        <w:t> Kariņš</w:t>
      </w:r>
    </w:p>
    <w:p w14:paraId="271F63BE" w14:textId="77777777" w:rsidR="002921F6" w:rsidRPr="002921F6" w:rsidRDefault="002921F6" w:rsidP="00A67C90">
      <w:pPr>
        <w:tabs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42333B" w14:textId="77777777" w:rsidR="002921F6" w:rsidRPr="002921F6" w:rsidRDefault="002921F6" w:rsidP="00A67C90">
      <w:pPr>
        <w:tabs>
          <w:tab w:val="righ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AD51D3" w14:textId="48FFB5B1" w:rsidR="000F2A53" w:rsidRPr="002921F6" w:rsidRDefault="005D4A85" w:rsidP="00A67C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K. </w:t>
      </w:r>
      <w:r w:rsidR="002921F6" w:rsidRPr="002921F6">
        <w:rPr>
          <w:rFonts w:ascii="Times New Roman" w:hAnsi="Times New Roman" w:cs="Times New Roman"/>
          <w:sz w:val="28"/>
          <w:szCs w:val="28"/>
        </w:rPr>
        <w:t>Gerhards</w:t>
      </w:r>
    </w:p>
    <w:sectPr w:rsidR="000F2A53" w:rsidRPr="002921F6" w:rsidSect="00A67C9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6400" w14:textId="77777777" w:rsidR="003D3CB7" w:rsidRDefault="003D3CB7" w:rsidP="00234AED">
      <w:pPr>
        <w:spacing w:after="0" w:line="240" w:lineRule="auto"/>
      </w:pPr>
      <w:r>
        <w:separator/>
      </w:r>
    </w:p>
  </w:endnote>
  <w:endnote w:type="continuationSeparator" w:id="0">
    <w:p w14:paraId="5C12C619" w14:textId="77777777" w:rsidR="003D3CB7" w:rsidRDefault="003D3CB7" w:rsidP="0023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400D" w14:textId="5DA3A943" w:rsidR="00286070" w:rsidRPr="00A67C90" w:rsidRDefault="00A67C90" w:rsidP="00A67C90">
    <w:pPr>
      <w:pStyle w:val="Kjene"/>
      <w:rPr>
        <w:sz w:val="18"/>
        <w:szCs w:val="18"/>
      </w:rPr>
    </w:pPr>
    <w:r w:rsidRPr="00A67C90">
      <w:rPr>
        <w:rFonts w:ascii="Times New Roman" w:hAnsi="Times New Roman" w:cs="Times New Roman"/>
        <w:sz w:val="20"/>
        <w:szCs w:val="20"/>
      </w:rPr>
      <w:t>ZMnot_290421_NMM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EB23" w14:textId="5DA5BFBC" w:rsidR="00A67C90" w:rsidRPr="00A67C90" w:rsidRDefault="00A67C90">
    <w:pPr>
      <w:pStyle w:val="Kjene"/>
      <w:rPr>
        <w:sz w:val="18"/>
        <w:szCs w:val="18"/>
      </w:rPr>
    </w:pPr>
    <w:r w:rsidRPr="00A67C90">
      <w:rPr>
        <w:rFonts w:ascii="Times New Roman" w:hAnsi="Times New Roman" w:cs="Times New Roman"/>
        <w:sz w:val="20"/>
        <w:szCs w:val="20"/>
      </w:rPr>
      <w:t>ZMnot_290421_NMM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B724" w14:textId="77777777" w:rsidR="003D3CB7" w:rsidRDefault="003D3CB7" w:rsidP="00234AED">
      <w:pPr>
        <w:spacing w:after="0" w:line="240" w:lineRule="auto"/>
      </w:pPr>
      <w:r>
        <w:separator/>
      </w:r>
    </w:p>
  </w:footnote>
  <w:footnote w:type="continuationSeparator" w:id="0">
    <w:p w14:paraId="2D035715" w14:textId="77777777" w:rsidR="003D3CB7" w:rsidRDefault="003D3CB7" w:rsidP="0023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17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44BA22" w14:textId="4E7A43C1" w:rsidR="00A67C90" w:rsidRPr="00A67C90" w:rsidRDefault="00A67C9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7C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7C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7C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67C90">
          <w:rPr>
            <w:rFonts w:ascii="Times New Roman" w:hAnsi="Times New Roman" w:cs="Times New Roman"/>
            <w:sz w:val="24"/>
            <w:szCs w:val="24"/>
          </w:rPr>
          <w:t>2</w:t>
        </w:r>
        <w:r w:rsidRPr="00A67C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8D252" w14:textId="77777777" w:rsidR="00A67C90" w:rsidRDefault="00A67C9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1B"/>
    <w:multiLevelType w:val="multilevel"/>
    <w:tmpl w:val="154A33B2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96" w:hanging="2160"/>
      </w:pPr>
      <w:rPr>
        <w:rFonts w:hint="default"/>
      </w:rPr>
    </w:lvl>
  </w:abstractNum>
  <w:abstractNum w:abstractNumId="1" w15:restartNumberingAfterBreak="0">
    <w:nsid w:val="093B4160"/>
    <w:multiLevelType w:val="hybridMultilevel"/>
    <w:tmpl w:val="228CC646"/>
    <w:lvl w:ilvl="0" w:tplc="52BE928A">
      <w:start w:val="29"/>
      <w:numFmt w:val="decimal"/>
      <w:lvlText w:val="%1."/>
      <w:lvlJc w:val="left"/>
      <w:pPr>
        <w:ind w:left="651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15" w:hanging="360"/>
      </w:pPr>
    </w:lvl>
    <w:lvl w:ilvl="2" w:tplc="0426001B" w:tentative="1">
      <w:start w:val="1"/>
      <w:numFmt w:val="lowerRoman"/>
      <w:lvlText w:val="%3."/>
      <w:lvlJc w:val="right"/>
      <w:pPr>
        <w:ind w:left="7935" w:hanging="180"/>
      </w:pPr>
    </w:lvl>
    <w:lvl w:ilvl="3" w:tplc="0426000F" w:tentative="1">
      <w:start w:val="1"/>
      <w:numFmt w:val="decimal"/>
      <w:lvlText w:val="%4."/>
      <w:lvlJc w:val="left"/>
      <w:pPr>
        <w:ind w:left="8655" w:hanging="360"/>
      </w:pPr>
    </w:lvl>
    <w:lvl w:ilvl="4" w:tplc="04260019" w:tentative="1">
      <w:start w:val="1"/>
      <w:numFmt w:val="lowerLetter"/>
      <w:lvlText w:val="%5."/>
      <w:lvlJc w:val="left"/>
      <w:pPr>
        <w:ind w:left="9375" w:hanging="360"/>
      </w:pPr>
    </w:lvl>
    <w:lvl w:ilvl="5" w:tplc="0426001B" w:tentative="1">
      <w:start w:val="1"/>
      <w:numFmt w:val="lowerRoman"/>
      <w:lvlText w:val="%6."/>
      <w:lvlJc w:val="right"/>
      <w:pPr>
        <w:ind w:left="10095" w:hanging="180"/>
      </w:pPr>
    </w:lvl>
    <w:lvl w:ilvl="6" w:tplc="0426000F" w:tentative="1">
      <w:start w:val="1"/>
      <w:numFmt w:val="decimal"/>
      <w:lvlText w:val="%7."/>
      <w:lvlJc w:val="left"/>
      <w:pPr>
        <w:ind w:left="10815" w:hanging="360"/>
      </w:pPr>
    </w:lvl>
    <w:lvl w:ilvl="7" w:tplc="04260019" w:tentative="1">
      <w:start w:val="1"/>
      <w:numFmt w:val="lowerLetter"/>
      <w:lvlText w:val="%8."/>
      <w:lvlJc w:val="left"/>
      <w:pPr>
        <w:ind w:left="11535" w:hanging="360"/>
      </w:pPr>
    </w:lvl>
    <w:lvl w:ilvl="8" w:tplc="0426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2" w15:restartNumberingAfterBreak="0">
    <w:nsid w:val="1A637FE9"/>
    <w:multiLevelType w:val="hybridMultilevel"/>
    <w:tmpl w:val="FC2E1D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7318"/>
    <w:multiLevelType w:val="hybridMultilevel"/>
    <w:tmpl w:val="A5AEB3D0"/>
    <w:lvl w:ilvl="0" w:tplc="2BEC5524">
      <w:start w:val="29"/>
      <w:numFmt w:val="decimal"/>
      <w:lvlText w:val="%1."/>
      <w:lvlJc w:val="left"/>
      <w:pPr>
        <w:ind w:left="61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840" w:hanging="360"/>
      </w:pPr>
    </w:lvl>
    <w:lvl w:ilvl="2" w:tplc="0426001B" w:tentative="1">
      <w:start w:val="1"/>
      <w:numFmt w:val="lowerRoman"/>
      <w:lvlText w:val="%3."/>
      <w:lvlJc w:val="right"/>
      <w:pPr>
        <w:ind w:left="7560" w:hanging="180"/>
      </w:pPr>
    </w:lvl>
    <w:lvl w:ilvl="3" w:tplc="0426000F" w:tentative="1">
      <w:start w:val="1"/>
      <w:numFmt w:val="decimal"/>
      <w:lvlText w:val="%4."/>
      <w:lvlJc w:val="left"/>
      <w:pPr>
        <w:ind w:left="8280" w:hanging="360"/>
      </w:pPr>
    </w:lvl>
    <w:lvl w:ilvl="4" w:tplc="04260019" w:tentative="1">
      <w:start w:val="1"/>
      <w:numFmt w:val="lowerLetter"/>
      <w:lvlText w:val="%5."/>
      <w:lvlJc w:val="left"/>
      <w:pPr>
        <w:ind w:left="9000" w:hanging="360"/>
      </w:pPr>
    </w:lvl>
    <w:lvl w:ilvl="5" w:tplc="0426001B" w:tentative="1">
      <w:start w:val="1"/>
      <w:numFmt w:val="lowerRoman"/>
      <w:lvlText w:val="%6."/>
      <w:lvlJc w:val="right"/>
      <w:pPr>
        <w:ind w:left="9720" w:hanging="180"/>
      </w:pPr>
    </w:lvl>
    <w:lvl w:ilvl="6" w:tplc="0426000F" w:tentative="1">
      <w:start w:val="1"/>
      <w:numFmt w:val="decimal"/>
      <w:lvlText w:val="%7."/>
      <w:lvlJc w:val="left"/>
      <w:pPr>
        <w:ind w:left="10440" w:hanging="360"/>
      </w:pPr>
    </w:lvl>
    <w:lvl w:ilvl="7" w:tplc="04260019" w:tentative="1">
      <w:start w:val="1"/>
      <w:numFmt w:val="lowerLetter"/>
      <w:lvlText w:val="%8."/>
      <w:lvlJc w:val="left"/>
      <w:pPr>
        <w:ind w:left="11160" w:hanging="360"/>
      </w:pPr>
    </w:lvl>
    <w:lvl w:ilvl="8" w:tplc="0426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72B72176"/>
    <w:multiLevelType w:val="multilevel"/>
    <w:tmpl w:val="C0CAA5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746C19C6"/>
    <w:multiLevelType w:val="hybridMultilevel"/>
    <w:tmpl w:val="B7641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ED"/>
    <w:rsid w:val="00003874"/>
    <w:rsid w:val="00003C1D"/>
    <w:rsid w:val="00016B04"/>
    <w:rsid w:val="000208FF"/>
    <w:rsid w:val="00024243"/>
    <w:rsid w:val="00060A0E"/>
    <w:rsid w:val="00095CF3"/>
    <w:rsid w:val="00097B76"/>
    <w:rsid w:val="000B19D5"/>
    <w:rsid w:val="000B1C21"/>
    <w:rsid w:val="000C06FA"/>
    <w:rsid w:val="000C47C4"/>
    <w:rsid w:val="000C4B3B"/>
    <w:rsid w:val="000F2A53"/>
    <w:rsid w:val="00106670"/>
    <w:rsid w:val="00112781"/>
    <w:rsid w:val="001576AD"/>
    <w:rsid w:val="00164083"/>
    <w:rsid w:val="00191081"/>
    <w:rsid w:val="001A74CA"/>
    <w:rsid w:val="001B3E17"/>
    <w:rsid w:val="001B50AB"/>
    <w:rsid w:val="001D5EF0"/>
    <w:rsid w:val="00217CEB"/>
    <w:rsid w:val="00234AED"/>
    <w:rsid w:val="00241650"/>
    <w:rsid w:val="00267250"/>
    <w:rsid w:val="00286070"/>
    <w:rsid w:val="00287CFF"/>
    <w:rsid w:val="002921F6"/>
    <w:rsid w:val="00294CE3"/>
    <w:rsid w:val="002978CF"/>
    <w:rsid w:val="002A42A5"/>
    <w:rsid w:val="002C0229"/>
    <w:rsid w:val="002D45E4"/>
    <w:rsid w:val="002E474B"/>
    <w:rsid w:val="002F31FD"/>
    <w:rsid w:val="002F4AC6"/>
    <w:rsid w:val="00301FEF"/>
    <w:rsid w:val="0030627B"/>
    <w:rsid w:val="00312366"/>
    <w:rsid w:val="0032080A"/>
    <w:rsid w:val="0032562E"/>
    <w:rsid w:val="00342898"/>
    <w:rsid w:val="003428F4"/>
    <w:rsid w:val="003460EE"/>
    <w:rsid w:val="003739D7"/>
    <w:rsid w:val="0039258E"/>
    <w:rsid w:val="00393195"/>
    <w:rsid w:val="003B031B"/>
    <w:rsid w:val="003C5C98"/>
    <w:rsid w:val="003D26B7"/>
    <w:rsid w:val="003D3CB7"/>
    <w:rsid w:val="004111E1"/>
    <w:rsid w:val="004148FD"/>
    <w:rsid w:val="00457A37"/>
    <w:rsid w:val="004A145B"/>
    <w:rsid w:val="004A38B9"/>
    <w:rsid w:val="004A3F40"/>
    <w:rsid w:val="004E0EB7"/>
    <w:rsid w:val="00503674"/>
    <w:rsid w:val="00515636"/>
    <w:rsid w:val="00526F18"/>
    <w:rsid w:val="0053117A"/>
    <w:rsid w:val="00531510"/>
    <w:rsid w:val="00541F26"/>
    <w:rsid w:val="005618B3"/>
    <w:rsid w:val="005D4A85"/>
    <w:rsid w:val="005D71E3"/>
    <w:rsid w:val="005E4201"/>
    <w:rsid w:val="005E4794"/>
    <w:rsid w:val="005F4AAC"/>
    <w:rsid w:val="006063A0"/>
    <w:rsid w:val="00612355"/>
    <w:rsid w:val="00630B27"/>
    <w:rsid w:val="006862B5"/>
    <w:rsid w:val="006A6B58"/>
    <w:rsid w:val="006C4068"/>
    <w:rsid w:val="006C53E1"/>
    <w:rsid w:val="006F5A3C"/>
    <w:rsid w:val="00731818"/>
    <w:rsid w:val="00744AF6"/>
    <w:rsid w:val="00746798"/>
    <w:rsid w:val="00746FE8"/>
    <w:rsid w:val="007475EE"/>
    <w:rsid w:val="00762547"/>
    <w:rsid w:val="00767A1E"/>
    <w:rsid w:val="00770E2B"/>
    <w:rsid w:val="00784033"/>
    <w:rsid w:val="00791AE2"/>
    <w:rsid w:val="007940E9"/>
    <w:rsid w:val="007B4748"/>
    <w:rsid w:val="007B55C2"/>
    <w:rsid w:val="007D12B6"/>
    <w:rsid w:val="007D47FA"/>
    <w:rsid w:val="007E69D4"/>
    <w:rsid w:val="007F4989"/>
    <w:rsid w:val="00834D57"/>
    <w:rsid w:val="008503B5"/>
    <w:rsid w:val="0085361A"/>
    <w:rsid w:val="0086172C"/>
    <w:rsid w:val="0088214F"/>
    <w:rsid w:val="00891ED3"/>
    <w:rsid w:val="008A487E"/>
    <w:rsid w:val="008A6642"/>
    <w:rsid w:val="008B13B3"/>
    <w:rsid w:val="008B5743"/>
    <w:rsid w:val="008D5EF0"/>
    <w:rsid w:val="008E3F30"/>
    <w:rsid w:val="008E61BA"/>
    <w:rsid w:val="00921A37"/>
    <w:rsid w:val="00925C61"/>
    <w:rsid w:val="0094443C"/>
    <w:rsid w:val="00946B35"/>
    <w:rsid w:val="0095210F"/>
    <w:rsid w:val="0096267C"/>
    <w:rsid w:val="009652A9"/>
    <w:rsid w:val="00970E52"/>
    <w:rsid w:val="009A1F4A"/>
    <w:rsid w:val="009C081D"/>
    <w:rsid w:val="009D1B72"/>
    <w:rsid w:val="009D7B5C"/>
    <w:rsid w:val="009F0FED"/>
    <w:rsid w:val="00A02CEA"/>
    <w:rsid w:val="00A105E0"/>
    <w:rsid w:val="00A4695D"/>
    <w:rsid w:val="00A67C90"/>
    <w:rsid w:val="00A722C1"/>
    <w:rsid w:val="00A80228"/>
    <w:rsid w:val="00A80CC6"/>
    <w:rsid w:val="00A82ACA"/>
    <w:rsid w:val="00AC3B24"/>
    <w:rsid w:val="00AD30A2"/>
    <w:rsid w:val="00AF36A6"/>
    <w:rsid w:val="00AF68C4"/>
    <w:rsid w:val="00B01719"/>
    <w:rsid w:val="00B01B41"/>
    <w:rsid w:val="00B121A9"/>
    <w:rsid w:val="00B1540C"/>
    <w:rsid w:val="00B1547A"/>
    <w:rsid w:val="00B23103"/>
    <w:rsid w:val="00B241E3"/>
    <w:rsid w:val="00B3054A"/>
    <w:rsid w:val="00B309DA"/>
    <w:rsid w:val="00B31855"/>
    <w:rsid w:val="00B3299E"/>
    <w:rsid w:val="00B458D0"/>
    <w:rsid w:val="00B824A4"/>
    <w:rsid w:val="00B87BA8"/>
    <w:rsid w:val="00B87E66"/>
    <w:rsid w:val="00BA4E30"/>
    <w:rsid w:val="00BA790B"/>
    <w:rsid w:val="00BC69D5"/>
    <w:rsid w:val="00C02F92"/>
    <w:rsid w:val="00C57D5E"/>
    <w:rsid w:val="00C770E1"/>
    <w:rsid w:val="00C9275B"/>
    <w:rsid w:val="00C943A9"/>
    <w:rsid w:val="00CB48C5"/>
    <w:rsid w:val="00CB6BDD"/>
    <w:rsid w:val="00CD3377"/>
    <w:rsid w:val="00CE2194"/>
    <w:rsid w:val="00CF0C11"/>
    <w:rsid w:val="00CF3C0F"/>
    <w:rsid w:val="00D0022E"/>
    <w:rsid w:val="00D3333B"/>
    <w:rsid w:val="00D354F2"/>
    <w:rsid w:val="00D42D54"/>
    <w:rsid w:val="00D57CA5"/>
    <w:rsid w:val="00D85CDB"/>
    <w:rsid w:val="00D94629"/>
    <w:rsid w:val="00D95142"/>
    <w:rsid w:val="00D960E5"/>
    <w:rsid w:val="00DF1EC4"/>
    <w:rsid w:val="00E036B8"/>
    <w:rsid w:val="00E04B2A"/>
    <w:rsid w:val="00E10134"/>
    <w:rsid w:val="00E14B5F"/>
    <w:rsid w:val="00E54354"/>
    <w:rsid w:val="00E56293"/>
    <w:rsid w:val="00E74875"/>
    <w:rsid w:val="00E83608"/>
    <w:rsid w:val="00E86D66"/>
    <w:rsid w:val="00E9203C"/>
    <w:rsid w:val="00EA2175"/>
    <w:rsid w:val="00EA5D73"/>
    <w:rsid w:val="00EA5F26"/>
    <w:rsid w:val="00EB44CF"/>
    <w:rsid w:val="00EE2A18"/>
    <w:rsid w:val="00F05510"/>
    <w:rsid w:val="00F20FDD"/>
    <w:rsid w:val="00F31752"/>
    <w:rsid w:val="00F330F2"/>
    <w:rsid w:val="00F33D11"/>
    <w:rsid w:val="00F37592"/>
    <w:rsid w:val="00F46DEE"/>
    <w:rsid w:val="00F676DE"/>
    <w:rsid w:val="00F87AFB"/>
    <w:rsid w:val="00F91F39"/>
    <w:rsid w:val="00FB1032"/>
    <w:rsid w:val="00FB5BC7"/>
    <w:rsid w:val="00FB6DB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B3496"/>
  <w15:chartTrackingRefBased/>
  <w15:docId w15:val="{D4367E02-67CB-4698-972C-941B170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4AED"/>
  </w:style>
  <w:style w:type="paragraph" w:styleId="Kjene">
    <w:name w:val="footer"/>
    <w:basedOn w:val="Parasts"/>
    <w:link w:val="KjeneRakstz"/>
    <w:uiPriority w:val="99"/>
    <w:unhideWhenUsed/>
    <w:rsid w:val="0023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4AED"/>
  </w:style>
  <w:style w:type="paragraph" w:styleId="Paraststmeklis">
    <w:name w:val="Normal (Web)"/>
    <w:basedOn w:val="Parasts"/>
    <w:uiPriority w:val="99"/>
    <w:semiHidden/>
    <w:unhideWhenUsed/>
    <w:rsid w:val="00CD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070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link w:val="NosaukumsRakstz"/>
    <w:qFormat/>
    <w:rsid w:val="00CB4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CB48C5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CB4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B48C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CB48C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B48C5"/>
    <w:rPr>
      <w:rFonts w:ascii="Times New Roman" w:eastAsia="Times New Roman" w:hAnsi="Times New Roman" w:cs="Times New Roman"/>
      <w:sz w:val="28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6C40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C40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C406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40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4068"/>
    <w:rPr>
      <w:b/>
      <w:bCs/>
      <w:sz w:val="20"/>
      <w:szCs w:val="20"/>
    </w:rPr>
  </w:style>
  <w:style w:type="paragraph" w:customStyle="1" w:styleId="a">
    <w:name w:val="Текстовый блок"/>
    <w:rsid w:val="00F33D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ru-RU"/>
    </w:rPr>
  </w:style>
  <w:style w:type="paragraph" w:customStyle="1" w:styleId="tv213">
    <w:name w:val="tv213"/>
    <w:basedOn w:val="Parasts"/>
    <w:rsid w:val="0096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0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3055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2012.  gada 3. aprīļa noteikumi Nr. 238 „Nacionālā meža monitoringa noteikumi”</vt:lpstr>
      <vt:lpstr>Ministru kabineta 2012.  gada 3. aprīļa noteikumi Nr. 238 „Nacionālā meža monitoringa noteikumi”</vt:lpstr>
    </vt:vector>
  </TitlesOfParts>
  <Company>Zemkopības ministrija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"Nacionālā meža monotoringa noteikumi"</dc:title>
  <dc:subject>noteikumu projekts</dc:subject>
  <dc:creator>Inga Ozola</dc:creator>
  <cp:keywords/>
  <dc:description>Inga Ozola, tālr.67027118, e-pasts: Inga.Ozola@zm.gov.lv;</dc:description>
  <cp:lastModifiedBy>Sanita Papinova</cp:lastModifiedBy>
  <cp:revision>7</cp:revision>
  <cp:lastPrinted>2021-04-27T10:55:00Z</cp:lastPrinted>
  <dcterms:created xsi:type="dcterms:W3CDTF">2021-04-29T11:11:00Z</dcterms:created>
  <dcterms:modified xsi:type="dcterms:W3CDTF">2021-04-29T12:49:00Z</dcterms:modified>
</cp:coreProperties>
</file>