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C622" w14:textId="77777777" w:rsidR="00BC6E70" w:rsidRPr="00406688" w:rsidRDefault="009A312E" w:rsidP="00206EAD">
      <w:pPr>
        <w:spacing w:after="0" w:line="240" w:lineRule="auto"/>
        <w:contextualSpacing/>
        <w:jc w:val="center"/>
        <w:rPr>
          <w:rFonts w:ascii="Times New Roman" w:eastAsia="Times New Roman" w:hAnsi="Times New Roman"/>
          <w:b/>
          <w:sz w:val="24"/>
          <w:szCs w:val="24"/>
          <w:lang w:eastAsia="lv-LV"/>
        </w:rPr>
      </w:pPr>
      <w:r w:rsidRPr="00406688">
        <w:rPr>
          <w:rFonts w:ascii="Times New Roman" w:eastAsia="Times New Roman" w:hAnsi="Times New Roman"/>
          <w:b/>
          <w:sz w:val="24"/>
          <w:szCs w:val="24"/>
          <w:lang w:eastAsia="lv-LV"/>
        </w:rPr>
        <w:t xml:space="preserve">Ministru kabineta noteikumu projekta </w:t>
      </w:r>
      <w:r w:rsidR="005630E5" w:rsidRPr="00406688">
        <w:rPr>
          <w:rFonts w:ascii="Times New Roman" w:eastAsia="Times New Roman" w:hAnsi="Times New Roman"/>
          <w:b/>
          <w:sz w:val="24"/>
          <w:szCs w:val="24"/>
          <w:lang w:eastAsia="lv-LV"/>
        </w:rPr>
        <w:t>“</w:t>
      </w:r>
      <w:r w:rsidRPr="00406688">
        <w:rPr>
          <w:rFonts w:ascii="Times New Roman" w:eastAsia="Times New Roman" w:hAnsi="Times New Roman"/>
          <w:b/>
          <w:sz w:val="24"/>
          <w:szCs w:val="24"/>
          <w:lang w:eastAsia="lv-LV"/>
        </w:rPr>
        <w:t>Grozījumi Ministru kabineta 2016. gada</w:t>
      </w:r>
      <w:r w:rsidR="005630E5" w:rsidRPr="00406688">
        <w:rPr>
          <w:rFonts w:ascii="Times New Roman" w:eastAsia="Times New Roman" w:hAnsi="Times New Roman"/>
          <w:b/>
          <w:sz w:val="24"/>
          <w:szCs w:val="24"/>
          <w:lang w:eastAsia="lv-LV"/>
        </w:rPr>
        <w:t xml:space="preserve"> 9. augusta noteikumos Nr. 534 “</w:t>
      </w:r>
      <w:r w:rsidRPr="00406688">
        <w:rPr>
          <w:rFonts w:ascii="Times New Roman" w:eastAsia="Times New Roman" w:hAnsi="Times New Roman"/>
          <w:b/>
          <w:sz w:val="24"/>
          <w:szCs w:val="24"/>
          <w:lang w:eastAsia="lv-LV"/>
        </w:rPr>
        <w:t xml:space="preserve">Darbības programmas </w:t>
      </w:r>
      <w:r w:rsidR="005630E5" w:rsidRPr="00406688">
        <w:rPr>
          <w:rFonts w:ascii="Times New Roman" w:eastAsia="Times New Roman" w:hAnsi="Times New Roman"/>
          <w:b/>
          <w:sz w:val="24"/>
          <w:szCs w:val="24"/>
          <w:lang w:eastAsia="lv-LV"/>
        </w:rPr>
        <w:t>“</w:t>
      </w:r>
      <w:r w:rsidRPr="00406688">
        <w:rPr>
          <w:rFonts w:ascii="Times New Roman" w:eastAsia="Times New Roman" w:hAnsi="Times New Roman"/>
          <w:b/>
          <w:sz w:val="24"/>
          <w:szCs w:val="24"/>
          <w:lang w:eastAsia="lv-LV"/>
        </w:rPr>
        <w:t>Izaugsme un nodarbinātība</w:t>
      </w:r>
      <w:r w:rsidR="005630E5" w:rsidRPr="00406688">
        <w:rPr>
          <w:rFonts w:ascii="Times New Roman" w:eastAsia="Times New Roman" w:hAnsi="Times New Roman"/>
          <w:b/>
          <w:sz w:val="24"/>
          <w:szCs w:val="24"/>
          <w:lang w:eastAsia="lv-LV"/>
        </w:rPr>
        <w:t>”</w:t>
      </w:r>
      <w:r w:rsidRPr="00406688">
        <w:rPr>
          <w:rFonts w:ascii="Times New Roman" w:eastAsia="Times New Roman" w:hAnsi="Times New Roman"/>
          <w:b/>
          <w:sz w:val="24"/>
          <w:szCs w:val="24"/>
          <w:lang w:eastAsia="lv-LV"/>
        </w:rPr>
        <w:t xml:space="preserve"> 4.2.1. specifiskā atbalsta mērķa </w:t>
      </w:r>
      <w:r w:rsidR="005630E5" w:rsidRPr="00406688">
        <w:rPr>
          <w:rFonts w:ascii="Times New Roman" w:eastAsia="Times New Roman" w:hAnsi="Times New Roman"/>
          <w:b/>
          <w:sz w:val="24"/>
          <w:szCs w:val="24"/>
          <w:lang w:eastAsia="lv-LV"/>
        </w:rPr>
        <w:t>“</w:t>
      </w:r>
      <w:r w:rsidRPr="00406688">
        <w:rPr>
          <w:rFonts w:ascii="Times New Roman" w:eastAsia="Times New Roman" w:hAnsi="Times New Roman"/>
          <w:b/>
          <w:sz w:val="24"/>
          <w:szCs w:val="24"/>
          <w:lang w:eastAsia="lv-LV"/>
        </w:rPr>
        <w:t>Veicināt energoefektivitātes paaugstināšanu valsts un dzīvojamās ēkās</w:t>
      </w:r>
      <w:r w:rsidR="005630E5" w:rsidRPr="00406688">
        <w:rPr>
          <w:rFonts w:ascii="Times New Roman" w:eastAsia="Times New Roman" w:hAnsi="Times New Roman"/>
          <w:b/>
          <w:sz w:val="24"/>
          <w:szCs w:val="24"/>
          <w:lang w:eastAsia="lv-LV"/>
        </w:rPr>
        <w:t>” 4.2.1.2. pasākuma “</w:t>
      </w:r>
      <w:r w:rsidRPr="00406688">
        <w:rPr>
          <w:rFonts w:ascii="Times New Roman" w:eastAsia="Times New Roman" w:hAnsi="Times New Roman"/>
          <w:b/>
          <w:sz w:val="24"/>
          <w:szCs w:val="24"/>
          <w:lang w:eastAsia="lv-LV"/>
        </w:rPr>
        <w:t>Veicināt energoefektivitātes paaugstināšanu valsts ēkās" pirmās projektu iesniegumu atlases kārtas īstenošanas noteikumi</w:t>
      </w:r>
      <w:r w:rsidR="005630E5" w:rsidRPr="00406688">
        <w:rPr>
          <w:rFonts w:ascii="Times New Roman" w:eastAsia="Times New Roman" w:hAnsi="Times New Roman"/>
          <w:b/>
          <w:sz w:val="24"/>
          <w:szCs w:val="24"/>
          <w:lang w:eastAsia="lv-LV"/>
        </w:rPr>
        <w:t>””</w:t>
      </w:r>
    </w:p>
    <w:p w14:paraId="593DF8E2" w14:textId="76920CD9" w:rsidR="009A312E" w:rsidRPr="00406688" w:rsidRDefault="009A312E" w:rsidP="00206EAD">
      <w:pPr>
        <w:spacing w:after="0" w:line="240" w:lineRule="auto"/>
        <w:contextualSpacing/>
        <w:jc w:val="center"/>
        <w:rPr>
          <w:rFonts w:ascii="Times New Roman" w:eastAsia="Times New Roman" w:hAnsi="Times New Roman"/>
          <w:b/>
          <w:sz w:val="24"/>
          <w:szCs w:val="24"/>
          <w:lang w:eastAsia="lv-LV"/>
        </w:rPr>
      </w:pPr>
      <w:r w:rsidRPr="00406688">
        <w:rPr>
          <w:rFonts w:ascii="Times New Roman" w:eastAsia="Times New Roman" w:hAnsi="Times New Roman"/>
          <w:b/>
          <w:sz w:val="24"/>
          <w:szCs w:val="24"/>
          <w:lang w:eastAsia="lv-LV"/>
        </w:rPr>
        <w:t>sākotnējās ietekmes novērtējuma ziņojums (anotācija)</w:t>
      </w:r>
    </w:p>
    <w:p w14:paraId="5AB69B0D" w14:textId="4F05332B" w:rsidR="00D93934" w:rsidRPr="00406688" w:rsidRDefault="00D93934" w:rsidP="00206EAD">
      <w:pPr>
        <w:spacing w:after="0" w:line="240" w:lineRule="auto"/>
        <w:contextualSpacing/>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406688"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406688" w:rsidRDefault="007741A5" w:rsidP="00206EAD">
            <w:pPr>
              <w:spacing w:after="0" w:line="240" w:lineRule="auto"/>
              <w:contextualSpacing/>
              <w:jc w:val="center"/>
              <w:rPr>
                <w:rFonts w:ascii="Times New Roman" w:eastAsia="Times New Roman" w:hAnsi="Times New Roman"/>
                <w:b/>
                <w:bCs/>
                <w:sz w:val="24"/>
                <w:szCs w:val="24"/>
                <w:lang w:eastAsia="lv-LV"/>
              </w:rPr>
            </w:pPr>
            <w:r w:rsidRPr="00406688">
              <w:rPr>
                <w:rFonts w:ascii="Times New Roman" w:eastAsia="Times New Roman" w:hAnsi="Times New Roman"/>
                <w:b/>
                <w:bCs/>
                <w:sz w:val="24"/>
                <w:szCs w:val="24"/>
                <w:lang w:eastAsia="lv-LV"/>
              </w:rPr>
              <w:t>Tiesību akta projekta anotācijas kopsavilkums</w:t>
            </w:r>
          </w:p>
        </w:tc>
      </w:tr>
      <w:tr w:rsidR="007741A5" w:rsidRPr="00406688"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406688" w:rsidRDefault="007741A5"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6774C339" w14:textId="610C37DD" w:rsidR="007741A5" w:rsidRPr="00406688" w:rsidRDefault="00B26BAE" w:rsidP="00343886">
            <w:pPr>
              <w:spacing w:after="0" w:line="240" w:lineRule="auto"/>
              <w:ind w:left="132" w:right="202"/>
              <w:contextualSpacing/>
              <w:jc w:val="both"/>
              <w:rPr>
                <w:rFonts w:ascii="Times New Roman" w:hAnsi="Times New Roman"/>
                <w:sz w:val="24"/>
                <w:szCs w:val="24"/>
              </w:rPr>
            </w:pPr>
            <w:r w:rsidRPr="00406688">
              <w:rPr>
                <w:rFonts w:ascii="Times New Roman" w:eastAsia="Times New Roman" w:hAnsi="Times New Roman"/>
                <w:iCs/>
                <w:sz w:val="24"/>
                <w:szCs w:val="24"/>
                <w:lang w:eastAsia="lv-LV"/>
              </w:rPr>
              <w:t>Ekonomikas ministrijas ierosin</w:t>
            </w:r>
            <w:r w:rsidR="001425B6" w:rsidRPr="00406688">
              <w:rPr>
                <w:rFonts w:ascii="Times New Roman" w:eastAsia="Times New Roman" w:hAnsi="Times New Roman"/>
                <w:iCs/>
                <w:sz w:val="24"/>
                <w:szCs w:val="24"/>
                <w:lang w:eastAsia="lv-LV"/>
              </w:rPr>
              <w:t>a</w:t>
            </w:r>
            <w:r w:rsidRPr="00406688">
              <w:rPr>
                <w:rFonts w:ascii="Times New Roman" w:eastAsia="Times New Roman" w:hAnsi="Times New Roman"/>
                <w:iCs/>
                <w:sz w:val="24"/>
                <w:szCs w:val="24"/>
                <w:lang w:eastAsia="lv-LV"/>
              </w:rPr>
              <w:t xml:space="preserve"> </w:t>
            </w:r>
            <w:r w:rsidR="001425B6" w:rsidRPr="00406688">
              <w:rPr>
                <w:rFonts w:ascii="Times New Roman" w:eastAsia="Times New Roman" w:hAnsi="Times New Roman"/>
                <w:iCs/>
                <w:sz w:val="24"/>
                <w:szCs w:val="24"/>
                <w:lang w:eastAsia="lv-LV"/>
              </w:rPr>
              <w:t xml:space="preserve">veikt </w:t>
            </w:r>
            <w:r w:rsidRPr="00406688">
              <w:rPr>
                <w:rFonts w:ascii="Times New Roman" w:eastAsia="Times New Roman" w:hAnsi="Times New Roman"/>
                <w:iCs/>
                <w:sz w:val="24"/>
                <w:szCs w:val="24"/>
                <w:lang w:eastAsia="lv-LV"/>
              </w:rPr>
              <w:t xml:space="preserve">grozījumus </w:t>
            </w:r>
            <w:r w:rsidRPr="00406688">
              <w:t xml:space="preserve"> </w:t>
            </w:r>
            <w:r w:rsidRPr="00406688">
              <w:rPr>
                <w:rFonts w:ascii="Times New Roman" w:hAnsi="Times New Roman"/>
                <w:sz w:val="24"/>
                <w:szCs w:val="24"/>
              </w:rPr>
              <w:t xml:space="preserve">Ministru kabineta 2016. gada 9. augusta noteikumos Nr. 534 </w:t>
            </w:r>
            <w:r w:rsidR="0013654B" w:rsidRPr="00406688">
              <w:rPr>
                <w:rFonts w:ascii="Times New Roman" w:hAnsi="Times New Roman"/>
                <w:sz w:val="24"/>
                <w:szCs w:val="24"/>
              </w:rPr>
              <w:t>“</w:t>
            </w:r>
            <w:r w:rsidRPr="00406688">
              <w:rPr>
                <w:rFonts w:ascii="Times New Roman" w:hAnsi="Times New Roman"/>
                <w:sz w:val="24"/>
                <w:szCs w:val="24"/>
              </w:rPr>
              <w:t xml:space="preserve">Darbības programmas </w:t>
            </w:r>
            <w:r w:rsidR="0013654B" w:rsidRPr="00406688">
              <w:rPr>
                <w:rFonts w:ascii="Times New Roman" w:hAnsi="Times New Roman"/>
                <w:sz w:val="24"/>
                <w:szCs w:val="24"/>
              </w:rPr>
              <w:t>“</w:t>
            </w:r>
            <w:r w:rsidRPr="00406688">
              <w:rPr>
                <w:rFonts w:ascii="Times New Roman" w:hAnsi="Times New Roman"/>
                <w:sz w:val="24"/>
                <w:szCs w:val="24"/>
              </w:rPr>
              <w:t>Izaugsme un nodarbinātība</w:t>
            </w:r>
            <w:r w:rsidR="0013654B" w:rsidRPr="00406688">
              <w:rPr>
                <w:rFonts w:ascii="Times New Roman" w:hAnsi="Times New Roman"/>
                <w:sz w:val="24"/>
                <w:szCs w:val="24"/>
              </w:rPr>
              <w:t>”</w:t>
            </w:r>
            <w:r w:rsidRPr="00406688">
              <w:rPr>
                <w:rFonts w:ascii="Times New Roman" w:hAnsi="Times New Roman"/>
                <w:sz w:val="24"/>
                <w:szCs w:val="24"/>
              </w:rPr>
              <w:t xml:space="preserve"> 4.2.1. specifiskā atbalsta mērķa </w:t>
            </w:r>
            <w:r w:rsidR="0013654B" w:rsidRPr="00406688">
              <w:rPr>
                <w:rFonts w:ascii="Times New Roman" w:hAnsi="Times New Roman"/>
                <w:sz w:val="24"/>
                <w:szCs w:val="24"/>
              </w:rPr>
              <w:t>“</w:t>
            </w:r>
            <w:r w:rsidRPr="00406688">
              <w:rPr>
                <w:rFonts w:ascii="Times New Roman" w:hAnsi="Times New Roman"/>
                <w:sz w:val="24"/>
                <w:szCs w:val="24"/>
              </w:rPr>
              <w:t>Veicināt energoefektivitātes paaugstināšanu valsts un dzīvojamās ēkās</w:t>
            </w:r>
            <w:r w:rsidR="0013654B" w:rsidRPr="00406688">
              <w:rPr>
                <w:rFonts w:ascii="Times New Roman" w:hAnsi="Times New Roman"/>
                <w:sz w:val="24"/>
                <w:szCs w:val="24"/>
              </w:rPr>
              <w:t>”</w:t>
            </w:r>
            <w:r w:rsidRPr="00406688">
              <w:rPr>
                <w:rFonts w:ascii="Times New Roman" w:hAnsi="Times New Roman"/>
                <w:sz w:val="24"/>
                <w:szCs w:val="24"/>
              </w:rPr>
              <w:t xml:space="preserve"> 4.2.1.2. pasākuma </w:t>
            </w:r>
            <w:r w:rsidR="0013654B" w:rsidRPr="00406688">
              <w:rPr>
                <w:rFonts w:ascii="Times New Roman" w:hAnsi="Times New Roman"/>
                <w:sz w:val="24"/>
                <w:szCs w:val="24"/>
              </w:rPr>
              <w:t>“</w:t>
            </w:r>
            <w:r w:rsidRPr="00406688">
              <w:rPr>
                <w:rFonts w:ascii="Times New Roman" w:hAnsi="Times New Roman"/>
                <w:sz w:val="24"/>
                <w:szCs w:val="24"/>
              </w:rPr>
              <w:t>Veicināt energoefektivitātes paaugstināšanu valsts ēkās</w:t>
            </w:r>
            <w:r w:rsidR="0013654B" w:rsidRPr="00406688">
              <w:rPr>
                <w:rFonts w:ascii="Times New Roman" w:hAnsi="Times New Roman"/>
                <w:sz w:val="24"/>
                <w:szCs w:val="24"/>
              </w:rPr>
              <w:t>”</w:t>
            </w:r>
            <w:r w:rsidRPr="00406688">
              <w:rPr>
                <w:rFonts w:ascii="Times New Roman" w:hAnsi="Times New Roman"/>
                <w:sz w:val="24"/>
                <w:szCs w:val="24"/>
              </w:rPr>
              <w:t xml:space="preserve"> pirmās projektu iesniegumu atlases kārtas īstenošanas noteikumi” (turpmāk – Noteikumu projekts)</w:t>
            </w:r>
            <w:r w:rsidR="00180199" w:rsidRPr="00406688">
              <w:rPr>
                <w:rFonts w:ascii="Times New Roman" w:hAnsi="Times New Roman"/>
                <w:sz w:val="24"/>
                <w:szCs w:val="24"/>
              </w:rPr>
              <w:t xml:space="preserve">, </w:t>
            </w:r>
            <w:r w:rsidR="0013654B" w:rsidRPr="00406688">
              <w:rPr>
                <w:rFonts w:ascii="Times New Roman" w:hAnsi="Times New Roman"/>
                <w:sz w:val="24"/>
                <w:szCs w:val="24"/>
              </w:rPr>
              <w:t>ar mērķi izpildīt Ministru kabineta 2020. gada 22. septembra protokola Nr. 55 31.§ “Informatīvais ziņojums “Par darbības programmas “Izaugsme un nodarbinātība” 4.2.1.2.pasākuma “Veicināt energoefektivitātes paaugstināšanu valsts ēkās” pirmās un otrās projektu iesniegumu atlases kārtas īstenošanas progresu”” 3. punktā noteikto uzdevumu.</w:t>
            </w:r>
          </w:p>
          <w:p w14:paraId="0D099D04" w14:textId="5BF94A9B" w:rsidR="009A74A1" w:rsidRPr="00406688" w:rsidRDefault="009A74A1" w:rsidP="00343886">
            <w:pPr>
              <w:spacing w:after="0" w:line="240" w:lineRule="auto"/>
              <w:ind w:left="132" w:right="202"/>
              <w:contextualSpacing/>
              <w:jc w:val="both"/>
              <w:rPr>
                <w:rFonts w:ascii="Times New Roman" w:hAnsi="Times New Roman"/>
                <w:iCs/>
                <w:sz w:val="24"/>
                <w:szCs w:val="24"/>
                <w:lang w:eastAsia="lv-LV"/>
              </w:rPr>
            </w:pPr>
          </w:p>
          <w:p w14:paraId="4A15A664" w14:textId="77777777" w:rsidR="009A74A1" w:rsidRPr="00406688" w:rsidRDefault="009A74A1" w:rsidP="009A74A1">
            <w:pPr>
              <w:spacing w:after="0" w:line="240" w:lineRule="auto"/>
              <w:jc w:val="both"/>
              <w:rPr>
                <w:rFonts w:ascii="Times New Roman" w:eastAsia="Times New Roman" w:hAnsi="Times New Roman"/>
                <w:iCs/>
                <w:sz w:val="24"/>
                <w:szCs w:val="24"/>
                <w:lang w:eastAsia="lv-LV"/>
              </w:rPr>
            </w:pPr>
            <w:r w:rsidRPr="00406688">
              <w:rPr>
                <w:rFonts w:ascii="Times New Roman" w:hAnsi="Times New Roman"/>
                <w:sz w:val="24"/>
                <w:szCs w:val="24"/>
              </w:rPr>
              <w:t>Noteikumu projekts</w:t>
            </w:r>
            <w:r w:rsidRPr="00406688">
              <w:rPr>
                <w:rFonts w:ascii="Times New Roman" w:eastAsia="Times New Roman" w:hAnsi="Times New Roman"/>
                <w:iCs/>
                <w:sz w:val="24"/>
                <w:szCs w:val="24"/>
                <w:lang w:eastAsia="lv-LV"/>
              </w:rPr>
              <w:t xml:space="preserve"> paredz:</w:t>
            </w:r>
          </w:p>
          <w:p w14:paraId="5E1072D6" w14:textId="5C4FBC7A" w:rsidR="00076569" w:rsidRDefault="00D3696B" w:rsidP="00B26BAE">
            <w:pPr>
              <w:pStyle w:val="ListParagraph"/>
              <w:numPr>
                <w:ilvl w:val="0"/>
                <w:numId w:val="8"/>
              </w:numPr>
              <w:spacing w:after="0" w:line="240" w:lineRule="auto"/>
              <w:ind w:right="202"/>
              <w:jc w:val="both"/>
              <w:rPr>
                <w:rFonts w:ascii="Times New Roman" w:hAnsi="Times New Roman"/>
                <w:iCs/>
                <w:sz w:val="24"/>
                <w:szCs w:val="24"/>
                <w:lang w:eastAsia="lv-LV"/>
              </w:rPr>
            </w:pPr>
            <w:r w:rsidRPr="00406688">
              <w:rPr>
                <w:rFonts w:ascii="Times New Roman" w:hAnsi="Times New Roman"/>
                <w:iCs/>
                <w:sz w:val="24"/>
                <w:szCs w:val="24"/>
                <w:lang w:eastAsia="lv-LV"/>
              </w:rPr>
              <w:t>Ņemot vērā to, ka pirmā kārta ir noslēgusies, veikt neizmantotā p</w:t>
            </w:r>
            <w:r w:rsidR="0013654B" w:rsidRPr="00406688">
              <w:rPr>
                <w:rFonts w:ascii="Times New Roman" w:hAnsi="Times New Roman"/>
                <w:iCs/>
                <w:sz w:val="24"/>
                <w:szCs w:val="24"/>
                <w:lang w:eastAsia="lv-LV"/>
              </w:rPr>
              <w:t>ubliskā finansējuma pārdali</w:t>
            </w:r>
            <w:r w:rsidR="00180199" w:rsidRPr="00406688">
              <w:rPr>
                <w:rFonts w:ascii="Times New Roman" w:hAnsi="Times New Roman"/>
                <w:iCs/>
                <w:sz w:val="24"/>
                <w:szCs w:val="24"/>
                <w:lang w:eastAsia="lv-LV"/>
              </w:rPr>
              <w:t>;</w:t>
            </w:r>
          </w:p>
          <w:p w14:paraId="79FE6F94" w14:textId="47DE250F" w:rsidR="00351649" w:rsidRDefault="00351649" w:rsidP="00B26BAE">
            <w:pPr>
              <w:pStyle w:val="ListParagraph"/>
              <w:numPr>
                <w:ilvl w:val="0"/>
                <w:numId w:val="8"/>
              </w:numPr>
              <w:spacing w:after="0" w:line="240" w:lineRule="auto"/>
              <w:ind w:right="202"/>
              <w:jc w:val="both"/>
              <w:rPr>
                <w:rFonts w:ascii="Times New Roman" w:hAnsi="Times New Roman"/>
                <w:iCs/>
                <w:sz w:val="24"/>
                <w:szCs w:val="24"/>
                <w:lang w:eastAsia="lv-LV"/>
              </w:rPr>
            </w:pPr>
            <w:r>
              <w:rPr>
                <w:rFonts w:ascii="Times New Roman" w:hAnsi="Times New Roman"/>
                <w:iCs/>
                <w:sz w:val="24"/>
                <w:szCs w:val="24"/>
                <w:lang w:eastAsia="lv-LV"/>
              </w:rPr>
              <w:t>Precizēt iznākuma rādītājus;</w:t>
            </w:r>
          </w:p>
          <w:p w14:paraId="44A888C5" w14:textId="76006413" w:rsidR="00D30AD5" w:rsidRPr="00406688" w:rsidRDefault="00D30AD5" w:rsidP="00076569">
            <w:pPr>
              <w:pStyle w:val="ListParagraph"/>
              <w:numPr>
                <w:ilvl w:val="0"/>
                <w:numId w:val="8"/>
              </w:numPr>
              <w:spacing w:after="0" w:line="240" w:lineRule="auto"/>
              <w:ind w:right="202"/>
              <w:jc w:val="both"/>
              <w:rPr>
                <w:rFonts w:ascii="Times New Roman" w:hAnsi="Times New Roman"/>
                <w:iCs/>
                <w:sz w:val="24"/>
                <w:szCs w:val="24"/>
                <w:lang w:eastAsia="lv-LV"/>
              </w:rPr>
            </w:pPr>
            <w:r w:rsidRPr="00406688">
              <w:rPr>
                <w:rFonts w:ascii="Times New Roman" w:hAnsi="Times New Roman"/>
                <w:iCs/>
                <w:sz w:val="24"/>
                <w:szCs w:val="24"/>
                <w:lang w:eastAsia="lv-LV"/>
              </w:rPr>
              <w:t>Precizēt Noteikumu 37.punktu, pieļaujot   projektu īstenošanas termiņa pagarināšana līdz ES struktūrfondu 2014.-2020. gada perioda beigām, t.i. – 2023. gada 31. decembrim.</w:t>
            </w:r>
          </w:p>
          <w:p w14:paraId="4F2E1AF2" w14:textId="051B8962" w:rsidR="00D30AD5" w:rsidRPr="00406688" w:rsidRDefault="009A74A1" w:rsidP="00D30AD5">
            <w:pPr>
              <w:spacing w:after="0" w:line="240" w:lineRule="auto"/>
              <w:ind w:right="202"/>
              <w:contextualSpacing/>
              <w:jc w:val="both"/>
              <w:rPr>
                <w:rFonts w:ascii="Times New Roman" w:eastAsia="Times New Roman" w:hAnsi="Times New Roman"/>
                <w:iCs/>
                <w:sz w:val="24"/>
                <w:szCs w:val="24"/>
                <w:lang w:eastAsia="lv-LV"/>
              </w:rPr>
            </w:pPr>
            <w:r w:rsidRPr="00406688">
              <w:rPr>
                <w:rFonts w:ascii="Times New Roman" w:eastAsia="Times New Roman" w:hAnsi="Times New Roman"/>
                <w:iCs/>
                <w:sz w:val="24"/>
                <w:szCs w:val="24"/>
                <w:lang w:eastAsia="lv-LV"/>
              </w:rPr>
              <w:t xml:space="preserve">Noteikumu projekts stāsies spēkā </w:t>
            </w:r>
            <w:proofErr w:type="spellStart"/>
            <w:r w:rsidR="00DB6D92">
              <w:rPr>
                <w:rFonts w:ascii="Times New Roman" w:eastAsia="Times New Roman" w:hAnsi="Times New Roman"/>
                <w:iCs/>
                <w:sz w:val="24"/>
                <w:szCs w:val="24"/>
                <w:lang w:eastAsia="lv-LV"/>
              </w:rPr>
              <w:t>nākamjā</w:t>
            </w:r>
            <w:proofErr w:type="spellEnd"/>
            <w:r w:rsidR="00DB6D92">
              <w:rPr>
                <w:rFonts w:ascii="Times New Roman" w:eastAsia="Times New Roman" w:hAnsi="Times New Roman"/>
                <w:iCs/>
                <w:sz w:val="24"/>
                <w:szCs w:val="24"/>
                <w:lang w:eastAsia="lv-LV"/>
              </w:rPr>
              <w:t xml:space="preserve"> dienā </w:t>
            </w:r>
            <w:r w:rsidRPr="00406688">
              <w:rPr>
                <w:rFonts w:ascii="Times New Roman" w:eastAsia="Times New Roman" w:hAnsi="Times New Roman"/>
                <w:iCs/>
                <w:sz w:val="24"/>
                <w:szCs w:val="24"/>
                <w:lang w:eastAsia="lv-LV"/>
              </w:rPr>
              <w:t xml:space="preserve">pēc tā publicēšanas </w:t>
            </w:r>
            <w:r w:rsidR="00DB6D92">
              <w:rPr>
                <w:rFonts w:ascii="Times New Roman" w:eastAsia="Times New Roman" w:hAnsi="Times New Roman"/>
                <w:iCs/>
                <w:sz w:val="24"/>
                <w:szCs w:val="24"/>
                <w:lang w:eastAsia="lv-LV"/>
              </w:rPr>
              <w:t>oficiālajā izdevumā “</w:t>
            </w:r>
            <w:r w:rsidRPr="00406688">
              <w:rPr>
                <w:rFonts w:ascii="Times New Roman" w:eastAsia="Times New Roman" w:hAnsi="Times New Roman"/>
                <w:iCs/>
                <w:sz w:val="24"/>
                <w:szCs w:val="24"/>
                <w:lang w:eastAsia="lv-LV"/>
              </w:rPr>
              <w:t>Latvijas Vēstnes</w:t>
            </w:r>
            <w:r w:rsidR="00DB6D92">
              <w:rPr>
                <w:rFonts w:ascii="Times New Roman" w:eastAsia="Times New Roman" w:hAnsi="Times New Roman"/>
                <w:iCs/>
                <w:sz w:val="24"/>
                <w:szCs w:val="24"/>
                <w:lang w:eastAsia="lv-LV"/>
              </w:rPr>
              <w:t>is”</w:t>
            </w:r>
            <w:r w:rsidRPr="00406688">
              <w:rPr>
                <w:rFonts w:ascii="Times New Roman" w:eastAsia="Times New Roman" w:hAnsi="Times New Roman"/>
                <w:iCs/>
                <w:sz w:val="24"/>
                <w:szCs w:val="24"/>
                <w:lang w:eastAsia="lv-LV"/>
              </w:rPr>
              <w:t>.</w:t>
            </w:r>
            <w:r w:rsidR="00D30AD5" w:rsidRPr="00406688">
              <w:rPr>
                <w:rFonts w:ascii="Times New Roman" w:eastAsia="Times New Roman" w:hAnsi="Times New Roman"/>
                <w:iCs/>
                <w:sz w:val="24"/>
                <w:szCs w:val="24"/>
                <w:lang w:eastAsia="lv-LV"/>
              </w:rPr>
              <w:t xml:space="preserve"> </w:t>
            </w:r>
          </w:p>
          <w:p w14:paraId="617727FD" w14:textId="77777777" w:rsidR="002A14D8" w:rsidRPr="00406688" w:rsidRDefault="002A14D8" w:rsidP="00D30AD5">
            <w:pPr>
              <w:spacing w:after="0" w:line="240" w:lineRule="auto"/>
              <w:ind w:right="202"/>
              <w:contextualSpacing/>
              <w:jc w:val="both"/>
              <w:rPr>
                <w:rFonts w:ascii="Times New Roman" w:eastAsia="Times New Roman" w:hAnsi="Times New Roman"/>
                <w:iCs/>
                <w:sz w:val="24"/>
                <w:szCs w:val="24"/>
                <w:lang w:eastAsia="lv-LV"/>
              </w:rPr>
            </w:pPr>
          </w:p>
          <w:p w14:paraId="2DEEC399" w14:textId="0C7232DF" w:rsidR="002A14D8" w:rsidRPr="00406688" w:rsidRDefault="002A14D8" w:rsidP="002A14D8">
            <w:pPr>
              <w:spacing w:after="0" w:line="240" w:lineRule="auto"/>
              <w:ind w:right="202"/>
              <w:contextualSpacing/>
              <w:jc w:val="both"/>
              <w:rPr>
                <w:rFonts w:ascii="Times New Roman" w:eastAsia="Times New Roman" w:hAnsi="Times New Roman"/>
                <w:iCs/>
                <w:sz w:val="24"/>
                <w:szCs w:val="24"/>
                <w:lang w:eastAsia="lv-LV"/>
              </w:rPr>
            </w:pPr>
            <w:bookmarkStart w:id="0" w:name="_GoBack"/>
            <w:bookmarkEnd w:id="0"/>
            <w:r w:rsidRPr="00406688">
              <w:rPr>
                <w:rFonts w:ascii="Times New Roman" w:eastAsia="Times New Roman" w:hAnsi="Times New Roman"/>
                <w:iCs/>
                <w:sz w:val="24"/>
                <w:szCs w:val="24"/>
                <w:lang w:eastAsia="lv-LV"/>
              </w:rPr>
              <w:t>Noteikumu projekts ir saistīts un tiek virzīts paralēli ar grozījumiem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w:t>
            </w:r>
            <w:r w:rsidR="002E507A" w:rsidRPr="000E06A7">
              <w:rPr>
                <w:rFonts w:ascii="Times New Roman" w:eastAsia="Times New Roman" w:hAnsi="Times New Roman"/>
                <w:iCs/>
                <w:color w:val="000000" w:themeColor="text1"/>
                <w:sz w:val="24"/>
                <w:szCs w:val="24"/>
                <w:lang w:eastAsia="lv-LV"/>
              </w:rPr>
              <w:t>ā</w:t>
            </w:r>
            <w:r w:rsidRPr="00406688">
              <w:rPr>
                <w:rFonts w:ascii="Times New Roman" w:eastAsia="Times New Roman" w:hAnsi="Times New Roman"/>
                <w:iCs/>
                <w:sz w:val="24"/>
                <w:szCs w:val="24"/>
                <w:lang w:eastAsia="lv-LV"/>
              </w:rPr>
              <w:t>s projektu iesniegumu atlases kārtas īstenošanas noteikumi”.</w:t>
            </w:r>
          </w:p>
        </w:tc>
      </w:tr>
    </w:tbl>
    <w:p w14:paraId="3981DC74" w14:textId="135F2656" w:rsidR="009A312E" w:rsidRPr="00406688" w:rsidRDefault="009A312E" w:rsidP="00206EAD">
      <w:pPr>
        <w:spacing w:after="0" w:line="240" w:lineRule="auto"/>
        <w:contextualSpacing/>
        <w:rPr>
          <w:rFonts w:ascii="Times New Roman" w:eastAsia="Times New Roman" w:hAnsi="Times New Roman"/>
          <w:b/>
          <w:sz w:val="18"/>
          <w:szCs w:val="18"/>
          <w:lang w:eastAsia="lv-LV"/>
        </w:rPr>
      </w:pPr>
    </w:p>
    <w:tbl>
      <w:tblPr>
        <w:tblW w:w="10005"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93"/>
        <w:gridCol w:w="8212"/>
      </w:tblGrid>
      <w:tr w:rsidR="009A312E" w:rsidRPr="00406688" w14:paraId="1D03D1D7" w14:textId="77777777" w:rsidTr="0004780E">
        <w:tc>
          <w:tcPr>
            <w:tcW w:w="1000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58D02FB1" w:rsidR="009A312E" w:rsidRPr="00406688" w:rsidRDefault="009A312E" w:rsidP="00206EAD">
            <w:pPr>
              <w:spacing w:after="0" w:line="240" w:lineRule="auto"/>
              <w:contextualSpacing/>
              <w:jc w:val="center"/>
              <w:rPr>
                <w:rFonts w:ascii="Times New Roman" w:eastAsia="Times New Roman" w:hAnsi="Times New Roman"/>
                <w:b/>
                <w:sz w:val="24"/>
                <w:szCs w:val="24"/>
                <w:lang w:eastAsia="lv-LV"/>
              </w:rPr>
            </w:pPr>
            <w:r w:rsidRPr="00406688">
              <w:rPr>
                <w:rFonts w:ascii="Times New Roman" w:eastAsia="Times New Roman" w:hAnsi="Times New Roman"/>
                <w:b/>
                <w:sz w:val="24"/>
                <w:szCs w:val="24"/>
                <w:lang w:eastAsia="lv-LV"/>
              </w:rPr>
              <w:t>I.</w:t>
            </w:r>
            <w:r w:rsidR="005630E5" w:rsidRPr="00406688">
              <w:rPr>
                <w:rFonts w:ascii="Times New Roman" w:eastAsia="Times New Roman" w:hAnsi="Times New Roman"/>
                <w:b/>
                <w:sz w:val="24"/>
                <w:szCs w:val="24"/>
                <w:lang w:eastAsia="lv-LV"/>
              </w:rPr>
              <w:t xml:space="preserve"> </w:t>
            </w:r>
            <w:r w:rsidRPr="00406688">
              <w:rPr>
                <w:rFonts w:ascii="Times New Roman" w:eastAsia="Times New Roman" w:hAnsi="Times New Roman"/>
                <w:b/>
                <w:sz w:val="24"/>
                <w:szCs w:val="24"/>
                <w:lang w:eastAsia="lv-LV"/>
              </w:rPr>
              <w:t>Tiesību akta projekta izstrādes nepieciešamība</w:t>
            </w:r>
          </w:p>
        </w:tc>
      </w:tr>
      <w:tr w:rsidR="009A312E" w:rsidRPr="00406688" w14:paraId="30C2187F" w14:textId="77777777" w:rsidTr="0004780E">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1. Pamatojums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3C9E63" w14:textId="207C770F" w:rsidR="001425B6" w:rsidRPr="00406688" w:rsidRDefault="001425B6" w:rsidP="001425B6">
            <w:pPr>
              <w:spacing w:after="0" w:line="240" w:lineRule="auto"/>
              <w:ind w:left="72"/>
              <w:contextualSpacing/>
              <w:jc w:val="both"/>
              <w:rPr>
                <w:rFonts w:ascii="Times New Roman" w:hAnsi="Times New Roman"/>
                <w:sz w:val="24"/>
                <w:szCs w:val="24"/>
              </w:rPr>
            </w:pPr>
            <w:r w:rsidRPr="00406688">
              <w:rPr>
                <w:rFonts w:ascii="Times New Roman" w:hAnsi="Times New Roman"/>
                <w:sz w:val="24"/>
                <w:szCs w:val="24"/>
              </w:rPr>
              <w:t xml:space="preserve">1. </w:t>
            </w:r>
            <w:r w:rsidR="009A312E" w:rsidRPr="00406688">
              <w:rPr>
                <w:rFonts w:ascii="Times New Roman" w:hAnsi="Times New Roman"/>
                <w:sz w:val="24"/>
                <w:szCs w:val="24"/>
              </w:rPr>
              <w:t>Eiropas Savienības struktūrfondu un Kohēzijas fonda 2014. - 2020. gada plānošanas perioda vadības likuma 20. panta 6. un 13. </w:t>
            </w:r>
            <w:r w:rsidR="005630E5" w:rsidRPr="00406688">
              <w:rPr>
                <w:rFonts w:ascii="Times New Roman" w:hAnsi="Times New Roman"/>
                <w:sz w:val="24"/>
                <w:szCs w:val="24"/>
              </w:rPr>
              <w:t>punkts</w:t>
            </w:r>
            <w:r w:rsidR="009A312E" w:rsidRPr="00406688">
              <w:rPr>
                <w:rFonts w:ascii="Times New Roman" w:hAnsi="Times New Roman"/>
                <w:sz w:val="24"/>
                <w:szCs w:val="24"/>
              </w:rPr>
              <w:t>.</w:t>
            </w:r>
            <w:r w:rsidRPr="00406688">
              <w:rPr>
                <w:rFonts w:ascii="Times New Roman" w:hAnsi="Times New Roman"/>
                <w:sz w:val="24"/>
                <w:szCs w:val="24"/>
              </w:rPr>
              <w:t xml:space="preserve"> </w:t>
            </w:r>
          </w:p>
          <w:p w14:paraId="6C462522" w14:textId="64DC08D6" w:rsidR="007C77CE" w:rsidRPr="00406688" w:rsidRDefault="00B1637E" w:rsidP="0013654B">
            <w:pPr>
              <w:spacing w:after="0" w:line="240" w:lineRule="auto"/>
              <w:ind w:left="72"/>
              <w:contextualSpacing/>
              <w:jc w:val="both"/>
              <w:rPr>
                <w:rFonts w:ascii="Times New Roman" w:hAnsi="Times New Roman"/>
                <w:sz w:val="24"/>
                <w:szCs w:val="24"/>
              </w:rPr>
            </w:pPr>
            <w:r w:rsidRPr="00406688">
              <w:rPr>
                <w:rFonts w:ascii="Times New Roman" w:hAnsi="Times New Roman"/>
                <w:sz w:val="24"/>
                <w:szCs w:val="24"/>
              </w:rPr>
              <w:t>2. Latvijas Republikas Ministru kabineta 20</w:t>
            </w:r>
            <w:r w:rsidR="0013654B" w:rsidRPr="00406688">
              <w:rPr>
                <w:rFonts w:ascii="Times New Roman" w:hAnsi="Times New Roman"/>
                <w:sz w:val="24"/>
                <w:szCs w:val="24"/>
              </w:rPr>
              <w:t>20</w:t>
            </w:r>
            <w:r w:rsidRPr="00406688">
              <w:rPr>
                <w:rFonts w:ascii="Times New Roman" w:hAnsi="Times New Roman"/>
                <w:sz w:val="24"/>
                <w:szCs w:val="24"/>
              </w:rPr>
              <w:t>.</w:t>
            </w:r>
            <w:r w:rsidR="007C77CE" w:rsidRPr="00406688">
              <w:rPr>
                <w:rFonts w:ascii="Times New Roman" w:hAnsi="Times New Roman"/>
                <w:sz w:val="24"/>
                <w:szCs w:val="24"/>
              </w:rPr>
              <w:t> </w:t>
            </w:r>
            <w:r w:rsidRPr="00406688">
              <w:rPr>
                <w:rFonts w:ascii="Times New Roman" w:hAnsi="Times New Roman"/>
                <w:sz w:val="24"/>
                <w:szCs w:val="24"/>
              </w:rPr>
              <w:t xml:space="preserve">gada </w:t>
            </w:r>
            <w:r w:rsidR="00420C7A" w:rsidRPr="00406688">
              <w:rPr>
                <w:rFonts w:ascii="Times New Roman" w:hAnsi="Times New Roman"/>
                <w:sz w:val="24"/>
                <w:szCs w:val="24"/>
              </w:rPr>
              <w:t>19</w:t>
            </w:r>
            <w:r w:rsidRPr="00406688">
              <w:rPr>
                <w:rFonts w:ascii="Times New Roman" w:hAnsi="Times New Roman"/>
                <w:sz w:val="24"/>
                <w:szCs w:val="24"/>
              </w:rPr>
              <w:t>.</w:t>
            </w:r>
            <w:r w:rsidR="007C77CE" w:rsidRPr="00406688">
              <w:rPr>
                <w:rFonts w:ascii="Times New Roman" w:hAnsi="Times New Roman"/>
                <w:sz w:val="24"/>
                <w:szCs w:val="24"/>
              </w:rPr>
              <w:t> </w:t>
            </w:r>
            <w:r w:rsidR="00420C7A" w:rsidRPr="00406688">
              <w:rPr>
                <w:rFonts w:ascii="Times New Roman" w:hAnsi="Times New Roman"/>
                <w:sz w:val="24"/>
                <w:szCs w:val="24"/>
              </w:rPr>
              <w:t>maija</w:t>
            </w:r>
            <w:r w:rsidRPr="00406688">
              <w:rPr>
                <w:rFonts w:ascii="Times New Roman" w:hAnsi="Times New Roman"/>
                <w:sz w:val="24"/>
                <w:szCs w:val="24"/>
              </w:rPr>
              <w:t xml:space="preserve"> sēdes protokols Nr.</w:t>
            </w:r>
            <w:r w:rsidR="007C77CE" w:rsidRPr="00406688">
              <w:rPr>
                <w:rFonts w:ascii="Times New Roman" w:hAnsi="Times New Roman"/>
                <w:sz w:val="24"/>
                <w:szCs w:val="24"/>
              </w:rPr>
              <w:t> </w:t>
            </w:r>
            <w:r w:rsidR="00420C7A" w:rsidRPr="00406688">
              <w:rPr>
                <w:rFonts w:ascii="Times New Roman" w:hAnsi="Times New Roman"/>
                <w:sz w:val="24"/>
                <w:szCs w:val="24"/>
              </w:rPr>
              <w:t>34</w:t>
            </w:r>
            <w:r w:rsidRPr="00406688">
              <w:rPr>
                <w:rFonts w:ascii="Times New Roman" w:hAnsi="Times New Roman"/>
                <w:sz w:val="24"/>
                <w:szCs w:val="24"/>
              </w:rPr>
              <w:t xml:space="preserve">, </w:t>
            </w:r>
            <w:bookmarkStart w:id="1" w:name="1"/>
            <w:r w:rsidR="0013654B" w:rsidRPr="00406688">
              <w:rPr>
                <w:rFonts w:ascii="Times New Roman" w:hAnsi="Times New Roman"/>
                <w:sz w:val="24"/>
                <w:szCs w:val="24"/>
              </w:rPr>
              <w:t>3</w:t>
            </w:r>
            <w:r w:rsidR="00420C7A" w:rsidRPr="00406688">
              <w:rPr>
                <w:rFonts w:ascii="Times New Roman" w:hAnsi="Times New Roman"/>
                <w:sz w:val="24"/>
                <w:szCs w:val="24"/>
              </w:rPr>
              <w:t>3</w:t>
            </w:r>
            <w:r w:rsidRPr="00406688">
              <w:rPr>
                <w:rFonts w:ascii="Times New Roman" w:hAnsi="Times New Roman"/>
                <w:sz w:val="24"/>
                <w:szCs w:val="24"/>
              </w:rPr>
              <w:t>.§</w:t>
            </w:r>
            <w:bookmarkEnd w:id="1"/>
            <w:r w:rsidRPr="00406688">
              <w:rPr>
                <w:rFonts w:ascii="Times New Roman" w:hAnsi="Times New Roman"/>
                <w:sz w:val="24"/>
                <w:szCs w:val="24"/>
              </w:rPr>
              <w:t xml:space="preserve"> punkts Nr.</w:t>
            </w:r>
            <w:r w:rsidR="007C77CE" w:rsidRPr="00406688">
              <w:rPr>
                <w:rFonts w:ascii="Times New Roman" w:hAnsi="Times New Roman"/>
                <w:sz w:val="24"/>
                <w:szCs w:val="24"/>
              </w:rPr>
              <w:t> </w:t>
            </w:r>
            <w:r w:rsidR="0013654B" w:rsidRPr="00406688">
              <w:rPr>
                <w:rFonts w:ascii="Times New Roman" w:hAnsi="Times New Roman"/>
                <w:sz w:val="24"/>
                <w:szCs w:val="24"/>
              </w:rPr>
              <w:t>3</w:t>
            </w:r>
            <w:r w:rsidR="007C77CE" w:rsidRPr="00406688">
              <w:rPr>
                <w:rFonts w:ascii="Times New Roman" w:hAnsi="Times New Roman"/>
                <w:sz w:val="24"/>
                <w:szCs w:val="24"/>
              </w:rPr>
              <w:t>.</w:t>
            </w:r>
          </w:p>
          <w:p w14:paraId="3329674D" w14:textId="49066D1B" w:rsidR="00420C7A" w:rsidRPr="00406688" w:rsidRDefault="00420C7A" w:rsidP="0013654B">
            <w:pPr>
              <w:spacing w:after="0" w:line="240" w:lineRule="auto"/>
              <w:ind w:left="72"/>
              <w:contextualSpacing/>
              <w:jc w:val="both"/>
              <w:rPr>
                <w:rFonts w:ascii="Times New Roman" w:hAnsi="Times New Roman"/>
                <w:sz w:val="24"/>
                <w:szCs w:val="24"/>
              </w:rPr>
            </w:pPr>
            <w:r w:rsidRPr="00406688">
              <w:rPr>
                <w:rFonts w:ascii="Times New Roman" w:hAnsi="Times New Roman"/>
                <w:sz w:val="24"/>
                <w:szCs w:val="24"/>
              </w:rPr>
              <w:lastRenderedPageBreak/>
              <w:t>3. Latvijas Republikas Ministru kabineta 2020. gada 22. septembra sēdes protokols Nr. 55, 31.§ punkts Nr. 3.</w:t>
            </w:r>
          </w:p>
          <w:p w14:paraId="2F858813" w14:textId="67F34806" w:rsidR="001425B6" w:rsidRPr="00406688" w:rsidRDefault="001425B6" w:rsidP="004B320A">
            <w:pPr>
              <w:spacing w:after="0" w:line="240" w:lineRule="auto"/>
              <w:ind w:left="72"/>
              <w:contextualSpacing/>
              <w:jc w:val="both"/>
              <w:rPr>
                <w:rFonts w:ascii="Times New Roman" w:hAnsi="Times New Roman"/>
                <w:sz w:val="24"/>
                <w:szCs w:val="24"/>
              </w:rPr>
            </w:pPr>
          </w:p>
        </w:tc>
      </w:tr>
      <w:tr w:rsidR="009A312E" w:rsidRPr="00406688" w14:paraId="4870D35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406688" w:rsidRDefault="009A312E" w:rsidP="005146A5">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lastRenderedPageBreak/>
              <w:t>2. Pašreizējā situācija un problēmas, kuru risināšanai tiesību akta projekts izstrādāts, tiesiskā regulējuma mērķis un būtība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ADA9FEA" w14:textId="68974EB5" w:rsidR="008D2D7A" w:rsidRPr="00F95E45" w:rsidRDefault="0013654B" w:rsidP="005146A5">
            <w:pPr>
              <w:spacing w:after="0" w:line="240" w:lineRule="auto"/>
              <w:ind w:right="35"/>
              <w:contextualSpacing/>
              <w:jc w:val="both"/>
              <w:rPr>
                <w:rFonts w:ascii="Times New Roman" w:hAnsi="Times New Roman"/>
                <w:sz w:val="24"/>
                <w:szCs w:val="24"/>
              </w:rPr>
            </w:pPr>
            <w:r w:rsidRPr="00406688">
              <w:rPr>
                <w:rFonts w:ascii="Times New Roman" w:hAnsi="Times New Roman"/>
                <w:sz w:val="24"/>
                <w:szCs w:val="24"/>
              </w:rPr>
              <w:t>Ministru kabineta 2020. gada 22. septembra sēdes protokola Nr. 55</w:t>
            </w:r>
            <w:r w:rsidR="00420C7A" w:rsidRPr="00406688">
              <w:rPr>
                <w:rFonts w:ascii="Times New Roman" w:hAnsi="Times New Roman"/>
                <w:sz w:val="24"/>
                <w:szCs w:val="24"/>
              </w:rPr>
              <w:t xml:space="preserve"> “Informatīvais ziņojums “Par darbības programmas “Izaugsme un nodarbinātība” 4.2.1.2. pasākuma “Veicināt energoefektivitātes paaugstināšanu valsts ēkās” pirmās un otrās projektu iesniegumu atlases kārtas īstenošanas progresu”” (turpmāk – Protokols Nr. 55)</w:t>
            </w:r>
            <w:r w:rsidRPr="00406688">
              <w:rPr>
                <w:rFonts w:ascii="Times New Roman" w:hAnsi="Times New Roman"/>
                <w:sz w:val="24"/>
                <w:szCs w:val="24"/>
              </w:rPr>
              <w:t xml:space="preserve"> </w:t>
            </w:r>
            <w:r w:rsidR="00A02705" w:rsidRPr="00F95E45">
              <w:rPr>
                <w:rFonts w:ascii="Times New Roman" w:hAnsi="Times New Roman"/>
                <w:sz w:val="24"/>
                <w:szCs w:val="24"/>
              </w:rPr>
              <w:t>protokolā Nr. 55, 31.§ punkts Nr.3.</w:t>
            </w:r>
            <w:r w:rsidRPr="00F95E45">
              <w:rPr>
                <w:rFonts w:ascii="Times New Roman" w:hAnsi="Times New Roman"/>
                <w:sz w:val="24"/>
                <w:szCs w:val="24"/>
              </w:rPr>
              <w:t xml:space="preserve"> noteik</w:t>
            </w:r>
            <w:r w:rsidR="00A02705" w:rsidRPr="00F95E45">
              <w:rPr>
                <w:rFonts w:ascii="Times New Roman" w:hAnsi="Times New Roman"/>
                <w:sz w:val="24"/>
                <w:szCs w:val="24"/>
              </w:rPr>
              <w:t>ts</w:t>
            </w:r>
            <w:r w:rsidRPr="00F95E45">
              <w:rPr>
                <w:rFonts w:ascii="Times New Roman" w:hAnsi="Times New Roman"/>
                <w:sz w:val="24"/>
                <w:szCs w:val="24"/>
              </w:rPr>
              <w:t xml:space="preserve">: </w:t>
            </w:r>
          </w:p>
          <w:p w14:paraId="1064B1A2" w14:textId="77777777" w:rsidR="00076729" w:rsidRDefault="0013654B" w:rsidP="005146A5">
            <w:pPr>
              <w:spacing w:after="0" w:line="240" w:lineRule="auto"/>
              <w:contextualSpacing/>
              <w:jc w:val="both"/>
              <w:rPr>
                <w:rFonts w:ascii="Times New Roman" w:hAnsi="Times New Roman"/>
                <w:i/>
                <w:iCs/>
                <w:sz w:val="24"/>
                <w:szCs w:val="24"/>
              </w:rPr>
            </w:pPr>
            <w:r w:rsidRPr="00406688">
              <w:rPr>
                <w:rFonts w:ascii="Times New Roman" w:hAnsi="Times New Roman"/>
                <w:i/>
                <w:iCs/>
                <w:sz w:val="24"/>
                <w:szCs w:val="24"/>
              </w:rPr>
              <w:t>“Ekonomikas ministrijai līdz 2020.</w:t>
            </w:r>
            <w:r w:rsidR="00420C7A" w:rsidRPr="00406688">
              <w:rPr>
                <w:rFonts w:ascii="Times New Roman" w:hAnsi="Times New Roman"/>
                <w:i/>
                <w:iCs/>
                <w:sz w:val="24"/>
                <w:szCs w:val="24"/>
              </w:rPr>
              <w:t> </w:t>
            </w:r>
            <w:r w:rsidRPr="00406688">
              <w:rPr>
                <w:rFonts w:ascii="Times New Roman" w:hAnsi="Times New Roman"/>
                <w:i/>
                <w:iCs/>
                <w:sz w:val="24"/>
                <w:szCs w:val="24"/>
              </w:rPr>
              <w:t>gada 30.</w:t>
            </w:r>
            <w:r w:rsidR="00420C7A" w:rsidRPr="00406688">
              <w:rPr>
                <w:rFonts w:ascii="Times New Roman" w:hAnsi="Times New Roman"/>
                <w:i/>
                <w:iCs/>
                <w:sz w:val="24"/>
                <w:szCs w:val="24"/>
              </w:rPr>
              <w:t> </w:t>
            </w:r>
            <w:r w:rsidRPr="00406688">
              <w:rPr>
                <w:rFonts w:ascii="Times New Roman" w:hAnsi="Times New Roman"/>
                <w:i/>
                <w:iCs/>
                <w:sz w:val="24"/>
                <w:szCs w:val="24"/>
              </w:rPr>
              <w:t>septembrim sagatavot un iesniegt izskatīšanai Ministru kabinetā grozījumus Ministru kabineta 2016.</w:t>
            </w:r>
            <w:r w:rsidR="00420C7A" w:rsidRPr="00406688">
              <w:rPr>
                <w:rFonts w:ascii="Times New Roman" w:hAnsi="Times New Roman"/>
                <w:i/>
                <w:iCs/>
                <w:sz w:val="24"/>
                <w:szCs w:val="24"/>
              </w:rPr>
              <w:t> </w:t>
            </w:r>
            <w:r w:rsidRPr="00406688">
              <w:rPr>
                <w:rFonts w:ascii="Times New Roman" w:hAnsi="Times New Roman"/>
                <w:i/>
                <w:iCs/>
                <w:sz w:val="24"/>
                <w:szCs w:val="24"/>
              </w:rPr>
              <w:t>gada 9.</w:t>
            </w:r>
            <w:r w:rsidR="00420C7A" w:rsidRPr="00406688">
              <w:rPr>
                <w:rFonts w:ascii="Times New Roman" w:hAnsi="Times New Roman"/>
                <w:i/>
                <w:iCs/>
                <w:sz w:val="24"/>
                <w:szCs w:val="24"/>
              </w:rPr>
              <w:t> </w:t>
            </w:r>
            <w:r w:rsidRPr="00406688">
              <w:rPr>
                <w:rFonts w:ascii="Times New Roman" w:hAnsi="Times New Roman"/>
                <w:i/>
                <w:iCs/>
                <w:sz w:val="24"/>
                <w:szCs w:val="24"/>
              </w:rPr>
              <w:t>augusta noteikumos Nr.</w:t>
            </w:r>
            <w:r w:rsidR="00420C7A" w:rsidRPr="00406688">
              <w:rPr>
                <w:rFonts w:ascii="Times New Roman" w:hAnsi="Times New Roman"/>
                <w:i/>
                <w:iCs/>
                <w:sz w:val="24"/>
                <w:szCs w:val="24"/>
              </w:rPr>
              <w:t> </w:t>
            </w:r>
            <w:r w:rsidRPr="00406688">
              <w:rPr>
                <w:rFonts w:ascii="Times New Roman" w:hAnsi="Times New Roman"/>
                <w:i/>
                <w:iCs/>
                <w:sz w:val="24"/>
                <w:szCs w:val="24"/>
              </w:rPr>
              <w:t>534 “Darbības programmas “Izaugsme un nodarbinātība” 4.2.1.</w:t>
            </w:r>
            <w:r w:rsidR="00420C7A" w:rsidRPr="00406688">
              <w:rPr>
                <w:rFonts w:ascii="Times New Roman" w:hAnsi="Times New Roman"/>
                <w:i/>
                <w:iCs/>
                <w:sz w:val="24"/>
                <w:szCs w:val="24"/>
              </w:rPr>
              <w:t> </w:t>
            </w:r>
            <w:r w:rsidRPr="00406688">
              <w:rPr>
                <w:rFonts w:ascii="Times New Roman" w:hAnsi="Times New Roman"/>
                <w:i/>
                <w:iCs/>
                <w:sz w:val="24"/>
                <w:szCs w:val="24"/>
              </w:rPr>
              <w:t>specifiskā atbalsta mērķa “Veicināt energoefektivitātes paaugstināšanu valsts un dzīvojamās ēkās” 4.2.1.2.</w:t>
            </w:r>
            <w:r w:rsidR="00420C7A" w:rsidRPr="00406688">
              <w:rPr>
                <w:rFonts w:ascii="Times New Roman" w:hAnsi="Times New Roman"/>
                <w:i/>
                <w:iCs/>
                <w:sz w:val="24"/>
                <w:szCs w:val="24"/>
              </w:rPr>
              <w:t> </w:t>
            </w:r>
            <w:r w:rsidRPr="00406688">
              <w:rPr>
                <w:rFonts w:ascii="Times New Roman" w:hAnsi="Times New Roman"/>
                <w:i/>
                <w:iCs/>
                <w:sz w:val="24"/>
                <w:szCs w:val="24"/>
              </w:rPr>
              <w:t>pasākuma “Veicināt energoefektivitātes paaugstināšanu valsts ēkās” pirmās projektu iesniegumu atlases kārtas īstenošanas noteikumi” un Ministru kabineta 2018.</w:t>
            </w:r>
            <w:r w:rsidR="00420C7A" w:rsidRPr="00406688">
              <w:rPr>
                <w:rFonts w:ascii="Times New Roman" w:hAnsi="Times New Roman"/>
                <w:i/>
                <w:iCs/>
                <w:sz w:val="24"/>
                <w:szCs w:val="24"/>
              </w:rPr>
              <w:t> </w:t>
            </w:r>
            <w:r w:rsidRPr="00406688">
              <w:rPr>
                <w:rFonts w:ascii="Times New Roman" w:hAnsi="Times New Roman"/>
                <w:i/>
                <w:iCs/>
                <w:sz w:val="24"/>
                <w:szCs w:val="24"/>
              </w:rPr>
              <w:t>gada 4.</w:t>
            </w:r>
            <w:r w:rsidR="00420C7A" w:rsidRPr="00406688">
              <w:rPr>
                <w:rFonts w:ascii="Times New Roman" w:hAnsi="Times New Roman"/>
                <w:i/>
                <w:iCs/>
                <w:sz w:val="24"/>
                <w:szCs w:val="24"/>
              </w:rPr>
              <w:t> </w:t>
            </w:r>
            <w:r w:rsidRPr="00406688">
              <w:rPr>
                <w:rFonts w:ascii="Times New Roman" w:hAnsi="Times New Roman"/>
                <w:i/>
                <w:iCs/>
                <w:sz w:val="24"/>
                <w:szCs w:val="24"/>
              </w:rPr>
              <w:t>janvāra noteikumos Nr.</w:t>
            </w:r>
            <w:r w:rsidR="00420C7A" w:rsidRPr="00406688">
              <w:rPr>
                <w:rFonts w:ascii="Times New Roman" w:hAnsi="Times New Roman"/>
                <w:i/>
                <w:iCs/>
                <w:sz w:val="24"/>
                <w:szCs w:val="24"/>
              </w:rPr>
              <w:t> </w:t>
            </w:r>
            <w:r w:rsidRPr="00406688">
              <w:rPr>
                <w:rFonts w:ascii="Times New Roman" w:hAnsi="Times New Roman"/>
                <w:i/>
                <w:iCs/>
                <w:sz w:val="24"/>
                <w:szCs w:val="24"/>
              </w:rPr>
              <w:t xml:space="preserve">13 </w:t>
            </w:r>
            <w:r w:rsidR="00420C7A" w:rsidRPr="00406688">
              <w:rPr>
                <w:rFonts w:ascii="Times New Roman" w:hAnsi="Times New Roman"/>
                <w:i/>
                <w:iCs/>
                <w:sz w:val="24"/>
                <w:szCs w:val="24"/>
              </w:rPr>
              <w:t>“</w:t>
            </w:r>
            <w:r w:rsidRPr="00406688">
              <w:rPr>
                <w:rFonts w:ascii="Times New Roman" w:hAnsi="Times New Roman"/>
                <w:i/>
                <w:iCs/>
                <w:sz w:val="24"/>
                <w:szCs w:val="24"/>
              </w:rPr>
              <w:t xml:space="preserve">Darbības programmas </w:t>
            </w:r>
            <w:r w:rsidR="00420C7A" w:rsidRPr="00406688">
              <w:rPr>
                <w:rFonts w:ascii="Times New Roman" w:hAnsi="Times New Roman"/>
                <w:i/>
                <w:iCs/>
                <w:sz w:val="24"/>
                <w:szCs w:val="24"/>
              </w:rPr>
              <w:t>“</w:t>
            </w:r>
            <w:r w:rsidRPr="00406688">
              <w:rPr>
                <w:rFonts w:ascii="Times New Roman" w:hAnsi="Times New Roman"/>
                <w:i/>
                <w:iCs/>
                <w:sz w:val="24"/>
                <w:szCs w:val="24"/>
              </w:rPr>
              <w:t>Izaugsme un nodarbinātība</w:t>
            </w:r>
            <w:r w:rsidR="00420C7A" w:rsidRPr="00406688">
              <w:rPr>
                <w:rFonts w:ascii="Times New Roman" w:hAnsi="Times New Roman"/>
                <w:i/>
                <w:iCs/>
                <w:sz w:val="24"/>
                <w:szCs w:val="24"/>
              </w:rPr>
              <w:t>”</w:t>
            </w:r>
            <w:r w:rsidRPr="00406688">
              <w:rPr>
                <w:rFonts w:ascii="Times New Roman" w:hAnsi="Times New Roman"/>
                <w:i/>
                <w:iCs/>
                <w:sz w:val="24"/>
                <w:szCs w:val="24"/>
              </w:rPr>
              <w:t xml:space="preserve"> 4.2.1.</w:t>
            </w:r>
            <w:r w:rsidR="00420C7A" w:rsidRPr="00406688">
              <w:rPr>
                <w:rFonts w:ascii="Times New Roman" w:hAnsi="Times New Roman"/>
                <w:i/>
                <w:iCs/>
                <w:sz w:val="24"/>
                <w:szCs w:val="24"/>
              </w:rPr>
              <w:t> </w:t>
            </w:r>
            <w:r w:rsidRPr="00406688">
              <w:rPr>
                <w:rFonts w:ascii="Times New Roman" w:hAnsi="Times New Roman"/>
                <w:i/>
                <w:iCs/>
                <w:sz w:val="24"/>
                <w:szCs w:val="24"/>
              </w:rPr>
              <w:t xml:space="preserve">specifiskā atbalsta mērķa </w:t>
            </w:r>
            <w:r w:rsidR="00420C7A" w:rsidRPr="00406688">
              <w:rPr>
                <w:rFonts w:ascii="Times New Roman" w:hAnsi="Times New Roman"/>
                <w:i/>
                <w:iCs/>
                <w:sz w:val="24"/>
                <w:szCs w:val="24"/>
              </w:rPr>
              <w:t>“</w:t>
            </w:r>
            <w:r w:rsidRPr="00406688">
              <w:rPr>
                <w:rFonts w:ascii="Times New Roman" w:hAnsi="Times New Roman"/>
                <w:i/>
                <w:iCs/>
                <w:sz w:val="24"/>
                <w:szCs w:val="24"/>
              </w:rPr>
              <w:t>Veicināt energoefektivitātes paaugstināšanu valsts un dzīvojamās ēkās</w:t>
            </w:r>
            <w:r w:rsidR="00420C7A" w:rsidRPr="00406688">
              <w:rPr>
                <w:rFonts w:ascii="Times New Roman" w:hAnsi="Times New Roman"/>
                <w:i/>
                <w:iCs/>
                <w:sz w:val="24"/>
                <w:szCs w:val="24"/>
              </w:rPr>
              <w:t>”</w:t>
            </w:r>
            <w:r w:rsidRPr="00406688">
              <w:rPr>
                <w:rFonts w:ascii="Times New Roman" w:hAnsi="Times New Roman"/>
                <w:i/>
                <w:iCs/>
                <w:sz w:val="24"/>
                <w:szCs w:val="24"/>
              </w:rPr>
              <w:t xml:space="preserve"> 4.2.1.2.</w:t>
            </w:r>
            <w:r w:rsidR="00420C7A" w:rsidRPr="00406688">
              <w:rPr>
                <w:rFonts w:ascii="Times New Roman" w:hAnsi="Times New Roman"/>
                <w:i/>
                <w:iCs/>
                <w:sz w:val="24"/>
                <w:szCs w:val="24"/>
              </w:rPr>
              <w:t> </w:t>
            </w:r>
            <w:r w:rsidRPr="00406688">
              <w:rPr>
                <w:rFonts w:ascii="Times New Roman" w:hAnsi="Times New Roman"/>
                <w:i/>
                <w:iCs/>
                <w:sz w:val="24"/>
                <w:szCs w:val="24"/>
              </w:rPr>
              <w:t xml:space="preserve">pasākuma </w:t>
            </w:r>
            <w:r w:rsidR="00420C7A" w:rsidRPr="00406688">
              <w:rPr>
                <w:rFonts w:ascii="Times New Roman" w:hAnsi="Times New Roman"/>
                <w:i/>
                <w:iCs/>
                <w:sz w:val="24"/>
                <w:szCs w:val="24"/>
              </w:rPr>
              <w:t>“</w:t>
            </w:r>
            <w:r w:rsidRPr="00406688">
              <w:rPr>
                <w:rFonts w:ascii="Times New Roman" w:hAnsi="Times New Roman"/>
                <w:i/>
                <w:iCs/>
                <w:sz w:val="24"/>
                <w:szCs w:val="24"/>
              </w:rPr>
              <w:t>Veicināt energoefektivitātes paaugstināšanu valsts ēkās</w:t>
            </w:r>
            <w:r w:rsidR="00420C7A" w:rsidRPr="00406688">
              <w:rPr>
                <w:rFonts w:ascii="Times New Roman" w:hAnsi="Times New Roman"/>
                <w:i/>
                <w:iCs/>
                <w:sz w:val="24"/>
                <w:szCs w:val="24"/>
              </w:rPr>
              <w:t>”</w:t>
            </w:r>
            <w:r w:rsidRPr="00406688">
              <w:rPr>
                <w:rFonts w:ascii="Times New Roman" w:hAnsi="Times New Roman"/>
                <w:i/>
                <w:iCs/>
                <w:sz w:val="24"/>
                <w:szCs w:val="24"/>
              </w:rPr>
              <w:t xml:space="preserve"> otrās projektu iesniegumu atlases kārtas īstenošanas noteikumi</w:t>
            </w:r>
            <w:r w:rsidR="00420C7A" w:rsidRPr="00406688">
              <w:rPr>
                <w:rFonts w:ascii="Times New Roman" w:hAnsi="Times New Roman"/>
                <w:i/>
                <w:iCs/>
                <w:sz w:val="24"/>
                <w:szCs w:val="24"/>
              </w:rPr>
              <w:t>”</w:t>
            </w:r>
            <w:r w:rsidRPr="00406688">
              <w:rPr>
                <w:rFonts w:ascii="Times New Roman" w:hAnsi="Times New Roman"/>
                <w:i/>
                <w:iCs/>
                <w:sz w:val="24"/>
                <w:szCs w:val="24"/>
              </w:rPr>
              <w:t>, lai veiktu atlikušā 4.2.1.2.</w:t>
            </w:r>
            <w:r w:rsidR="00420C7A" w:rsidRPr="00406688">
              <w:rPr>
                <w:rFonts w:ascii="Times New Roman" w:hAnsi="Times New Roman"/>
                <w:i/>
                <w:iCs/>
                <w:sz w:val="24"/>
                <w:szCs w:val="24"/>
              </w:rPr>
              <w:t> </w:t>
            </w:r>
            <w:r w:rsidRPr="00406688">
              <w:rPr>
                <w:rFonts w:ascii="Times New Roman" w:hAnsi="Times New Roman"/>
                <w:i/>
                <w:iCs/>
                <w:sz w:val="24"/>
                <w:szCs w:val="24"/>
              </w:rPr>
              <w:t>pasākuma pirmās iesniegumu atlases kārtas kvotu pārpalikuma pārdali 4.2.1.2.</w:t>
            </w:r>
            <w:r w:rsidR="00420C7A" w:rsidRPr="00406688">
              <w:rPr>
                <w:rFonts w:ascii="Times New Roman" w:hAnsi="Times New Roman"/>
                <w:i/>
                <w:iCs/>
                <w:sz w:val="24"/>
                <w:szCs w:val="24"/>
              </w:rPr>
              <w:t> </w:t>
            </w:r>
            <w:r w:rsidRPr="00406688">
              <w:rPr>
                <w:rFonts w:ascii="Times New Roman" w:hAnsi="Times New Roman"/>
                <w:i/>
                <w:iCs/>
                <w:sz w:val="24"/>
                <w:szCs w:val="24"/>
              </w:rPr>
              <w:t>pasākuma otrajās iesniegumu atlases kārtas projektu attiecināmo izmaksu palielināšanai atbilstoši Ministru kabineta 2020.</w:t>
            </w:r>
            <w:r w:rsidR="00420C7A" w:rsidRPr="00406688">
              <w:rPr>
                <w:rFonts w:ascii="Times New Roman" w:hAnsi="Times New Roman"/>
                <w:i/>
                <w:iCs/>
                <w:sz w:val="24"/>
                <w:szCs w:val="24"/>
              </w:rPr>
              <w:t> </w:t>
            </w:r>
            <w:r w:rsidRPr="00406688">
              <w:rPr>
                <w:rFonts w:ascii="Times New Roman" w:hAnsi="Times New Roman"/>
                <w:i/>
                <w:iCs/>
                <w:sz w:val="24"/>
                <w:szCs w:val="24"/>
              </w:rPr>
              <w:t>gada 19.</w:t>
            </w:r>
            <w:r w:rsidR="00420C7A" w:rsidRPr="00406688">
              <w:rPr>
                <w:rFonts w:ascii="Times New Roman" w:hAnsi="Times New Roman"/>
                <w:i/>
                <w:iCs/>
                <w:sz w:val="24"/>
                <w:szCs w:val="24"/>
              </w:rPr>
              <w:t> </w:t>
            </w:r>
            <w:r w:rsidRPr="00406688">
              <w:rPr>
                <w:rFonts w:ascii="Times New Roman" w:hAnsi="Times New Roman"/>
                <w:i/>
                <w:iCs/>
                <w:sz w:val="24"/>
                <w:szCs w:val="24"/>
              </w:rPr>
              <w:t xml:space="preserve">maija sēdes </w:t>
            </w:r>
            <w:proofErr w:type="spellStart"/>
            <w:r w:rsidRPr="00406688">
              <w:rPr>
                <w:rFonts w:ascii="Times New Roman" w:hAnsi="Times New Roman"/>
                <w:i/>
                <w:iCs/>
                <w:sz w:val="24"/>
                <w:szCs w:val="24"/>
              </w:rPr>
              <w:t>protokollēmuma</w:t>
            </w:r>
            <w:proofErr w:type="spellEnd"/>
            <w:r w:rsidRPr="00406688">
              <w:rPr>
                <w:rFonts w:ascii="Times New Roman" w:hAnsi="Times New Roman"/>
                <w:i/>
                <w:iCs/>
                <w:sz w:val="24"/>
                <w:szCs w:val="24"/>
              </w:rPr>
              <w:t xml:space="preserve"> (prot. Nr.34 33.§) 3.</w:t>
            </w:r>
            <w:r w:rsidR="00420C7A" w:rsidRPr="00406688">
              <w:rPr>
                <w:rFonts w:ascii="Times New Roman" w:hAnsi="Times New Roman"/>
                <w:i/>
                <w:iCs/>
                <w:sz w:val="24"/>
                <w:szCs w:val="24"/>
              </w:rPr>
              <w:t> </w:t>
            </w:r>
            <w:r w:rsidRPr="00406688">
              <w:rPr>
                <w:rFonts w:ascii="Times New Roman" w:hAnsi="Times New Roman"/>
                <w:i/>
                <w:iCs/>
                <w:sz w:val="24"/>
                <w:szCs w:val="24"/>
              </w:rPr>
              <w:t>punktā noteiktajam, dodot priekšroku gatavākajiem un efektīvākajiem projektiem, tai skaitā augstas prioritātes kultūras un izglītības nozares ēku projektiem.”</w:t>
            </w:r>
          </w:p>
          <w:p w14:paraId="7EB8E82C" w14:textId="2CC80496" w:rsidR="00E31779" w:rsidRPr="00406688" w:rsidRDefault="00420C7A" w:rsidP="005146A5">
            <w:pPr>
              <w:spacing w:after="0" w:line="240" w:lineRule="auto"/>
              <w:contextualSpacing/>
              <w:jc w:val="both"/>
              <w:rPr>
                <w:rFonts w:ascii="Times New Roman" w:hAnsi="Times New Roman"/>
                <w:sz w:val="24"/>
                <w:szCs w:val="24"/>
              </w:rPr>
            </w:pPr>
            <w:r w:rsidRPr="00406688">
              <w:rPr>
                <w:rFonts w:ascii="Times New Roman" w:hAnsi="Times New Roman"/>
                <w:i/>
                <w:iCs/>
                <w:sz w:val="24"/>
                <w:szCs w:val="24"/>
              </w:rPr>
              <w:t xml:space="preserve"> </w:t>
            </w:r>
            <w:r w:rsidRPr="00406688">
              <w:rPr>
                <w:rFonts w:ascii="Times New Roman" w:hAnsi="Times New Roman"/>
                <w:sz w:val="24"/>
                <w:szCs w:val="24"/>
              </w:rPr>
              <w:t xml:space="preserve">Ņemot vērā iepriekš minēto, Ekonomikas ministrija ir izstrādājusi Ministru kabineta noteikumu projektus, ar kuriem plānots veikt izmaiņas Darbības programmas “Izaugsme un nodarbinātība” 4.2.1. specifiskā atbalsta mērķa “Veicināt energoefektivitātes paaugstināšanu valsts un dzīvojamās ēkās” 4.2.1.2. pasākuma “Veicināt energoefektivitātes paaugstināšanu valsts ēkās” (turpmāk – 4.2.1.2. pasākums) pirmo un otro kārtu regulējošajos Ministru kabineta noteikumos. </w:t>
            </w:r>
          </w:p>
          <w:p w14:paraId="2FB928B5" w14:textId="64421F22" w:rsidR="00420C7A" w:rsidRDefault="00420C7A" w:rsidP="005146A5">
            <w:pPr>
              <w:spacing w:after="0" w:line="240" w:lineRule="auto"/>
              <w:contextualSpacing/>
              <w:jc w:val="both"/>
              <w:rPr>
                <w:rFonts w:ascii="Times New Roman" w:hAnsi="Times New Roman"/>
                <w:sz w:val="24"/>
                <w:szCs w:val="24"/>
              </w:rPr>
            </w:pPr>
          </w:p>
          <w:p w14:paraId="302B1934" w14:textId="60E86572" w:rsidR="003824EA" w:rsidRDefault="003824EA" w:rsidP="003824EA">
            <w:pPr>
              <w:spacing w:line="240" w:lineRule="auto"/>
              <w:contextualSpacing/>
              <w:jc w:val="both"/>
              <w:rPr>
                <w:rFonts w:ascii="Times New Roman" w:hAnsi="Times New Roman"/>
                <w:sz w:val="24"/>
                <w:szCs w:val="24"/>
                <w:lang w:eastAsia="lv-LV"/>
              </w:rPr>
            </w:pPr>
            <w:r>
              <w:rPr>
                <w:rFonts w:ascii="Times New Roman" w:hAnsi="Times New Roman"/>
                <w:sz w:val="24"/>
                <w:szCs w:val="24"/>
              </w:rPr>
              <w:t xml:space="preserve">Lai nodrošinātu korektu izpratni par papildinošās saimnieciskās darbības jēdzienu </w:t>
            </w:r>
            <w:r>
              <w:rPr>
                <w:rFonts w:ascii="Times New Roman" w:hAnsi="Times New Roman"/>
                <w:sz w:val="24"/>
                <w:szCs w:val="24"/>
                <w:lang w:eastAsia="lv-LV"/>
              </w:rPr>
              <w:t>MK noteikumu Nr.534 ietvaros, Noteikumu projekts tiek papildināts ar Komercdarbības atbalsta piemērošanas normām.</w:t>
            </w:r>
          </w:p>
          <w:p w14:paraId="4E88BBD3" w14:textId="77777777" w:rsidR="00D4049D" w:rsidRPr="00074741" w:rsidRDefault="00D4049D" w:rsidP="003824EA">
            <w:pPr>
              <w:spacing w:line="240" w:lineRule="auto"/>
              <w:contextualSpacing/>
              <w:jc w:val="both"/>
              <w:rPr>
                <w:rFonts w:ascii="Times New Roman" w:hAnsi="Times New Roman"/>
                <w:color w:val="000000" w:themeColor="text1"/>
                <w:sz w:val="24"/>
                <w:szCs w:val="24"/>
                <w:lang w:eastAsia="lv-LV"/>
              </w:rPr>
            </w:pPr>
          </w:p>
          <w:p w14:paraId="094EC457" w14:textId="78AC98FC" w:rsidR="00D4049D" w:rsidRDefault="00D4049D" w:rsidP="00D4049D">
            <w:pPr>
              <w:shd w:val="clear" w:color="auto" w:fill="FFFFFF"/>
              <w:spacing w:after="0" w:line="240" w:lineRule="auto"/>
              <w:jc w:val="both"/>
              <w:rPr>
                <w:rFonts w:ascii="Times New Roman" w:hAnsi="Times New Roman"/>
                <w:color w:val="000000" w:themeColor="text1"/>
                <w:sz w:val="24"/>
                <w:szCs w:val="24"/>
                <w:shd w:val="clear" w:color="auto" w:fill="FFFFFF"/>
              </w:rPr>
            </w:pPr>
            <w:r w:rsidRPr="00074741">
              <w:rPr>
                <w:rFonts w:ascii="Times New Roman" w:hAnsi="Times New Roman"/>
                <w:color w:val="000000" w:themeColor="text1"/>
                <w:sz w:val="24"/>
                <w:szCs w:val="24"/>
                <w:shd w:val="clear" w:color="auto" w:fill="FFFFFF"/>
              </w:rPr>
              <w:t>Projekta iesniedzēja īpašumā, lietošanā vai valdījumā esošajā infrastruktūrā (</w:t>
            </w:r>
            <w:r w:rsidR="00EF27F9" w:rsidRPr="00074741">
              <w:rPr>
                <w:rFonts w:ascii="Times New Roman" w:hAnsi="Times New Roman"/>
                <w:color w:val="000000" w:themeColor="text1"/>
                <w:sz w:val="24"/>
                <w:szCs w:val="24"/>
                <w:shd w:val="clear" w:color="auto" w:fill="FFFFFF"/>
              </w:rPr>
              <w:t>ēkā vai ēku grupā par kuru iesniegts projektu iesniegums</w:t>
            </w:r>
            <w:r w:rsidRPr="00074741">
              <w:rPr>
                <w:rFonts w:ascii="Times New Roman" w:hAnsi="Times New Roman"/>
                <w:color w:val="000000" w:themeColor="text1"/>
                <w:sz w:val="24"/>
                <w:szCs w:val="24"/>
                <w:shd w:val="clear" w:color="auto" w:fill="FFFFFF"/>
              </w:rPr>
              <w:t>), kas tiek izmantota tādu funkciju vai pārvaldes uzdevumu nodrošināšanai, kuri nav saistīti ar saimniecisko darbību</w:t>
            </w:r>
            <w:r w:rsidRPr="00754F98">
              <w:rPr>
                <w:rFonts w:ascii="Times New Roman" w:hAnsi="Times New Roman"/>
                <w:color w:val="000000" w:themeColor="text1"/>
                <w:sz w:val="24"/>
                <w:szCs w:val="24"/>
                <w:shd w:val="clear" w:color="auto" w:fill="FFFFFF"/>
              </w:rPr>
              <w:t>, pamatlīdzekļu un ilgtermiņa ieguldījumu nolietojuma periodā pieļaujams veikt papildinošu saimniecisko darbību (</w:t>
            </w:r>
            <w:r w:rsidRPr="00754F98">
              <w:rPr>
                <w:rFonts w:ascii="Times New Roman" w:hAnsi="Times New Roman"/>
                <w:color w:val="000000" w:themeColor="text1"/>
                <w:sz w:val="24"/>
                <w:szCs w:val="24"/>
                <w:lang w:eastAsia="lv-LV"/>
              </w:rPr>
              <w:t>darbības, kas ir  tieši saistītas ar  ēkas vai ēku grupas ekspluatāciju un tai nepieciešamas vai nesaraujami saistītas ar tās  galveno nesaimniecisko izmantojumu</w:t>
            </w:r>
            <w:r w:rsidRPr="00754F98">
              <w:rPr>
                <w:rFonts w:ascii="Times New Roman" w:hAnsi="Times New Roman"/>
                <w:color w:val="000000" w:themeColor="text1"/>
                <w:sz w:val="24"/>
                <w:szCs w:val="24"/>
              </w:rPr>
              <w:t>)</w:t>
            </w:r>
            <w:r w:rsidRPr="00754F98">
              <w:rPr>
                <w:rFonts w:ascii="Times New Roman" w:hAnsi="Times New Roman"/>
                <w:color w:val="000000" w:themeColor="text1"/>
                <w:sz w:val="24"/>
                <w:szCs w:val="24"/>
                <w:shd w:val="clear" w:color="auto" w:fill="FFFFFF"/>
              </w:rPr>
              <w:t xml:space="preserve"> 20 % apmērā no infrastruktūras gada jaudas platības, laika vai finanšu izteiksmē, lai atbalsts pasākuma ietvaros netiktu kvalificēts kā komercdarbības atbalsts.</w:t>
            </w:r>
          </w:p>
          <w:p w14:paraId="279036B8" w14:textId="77777777" w:rsidR="00D4049D" w:rsidRPr="00754F98" w:rsidRDefault="00D4049D" w:rsidP="00D4049D">
            <w:pPr>
              <w:shd w:val="clear" w:color="auto" w:fill="FFFFFF"/>
              <w:spacing w:after="0" w:line="240" w:lineRule="auto"/>
              <w:jc w:val="both"/>
              <w:rPr>
                <w:rFonts w:ascii="Times New Roman" w:hAnsi="Times New Roman"/>
                <w:color w:val="000000" w:themeColor="text1"/>
                <w:sz w:val="24"/>
                <w:szCs w:val="24"/>
                <w:shd w:val="clear" w:color="auto" w:fill="FFFFFF"/>
              </w:rPr>
            </w:pPr>
          </w:p>
          <w:p w14:paraId="447D1181" w14:textId="5A8A743F" w:rsidR="00D4049D" w:rsidRDefault="00D4049D" w:rsidP="003824EA">
            <w:pPr>
              <w:spacing w:line="240" w:lineRule="auto"/>
              <w:contextualSpacing/>
              <w:jc w:val="both"/>
              <w:rPr>
                <w:rFonts w:ascii="Times New Roman" w:hAnsi="Times New Roman"/>
                <w:sz w:val="24"/>
                <w:szCs w:val="24"/>
              </w:rPr>
            </w:pPr>
            <w:r w:rsidRPr="00074741">
              <w:rPr>
                <w:rFonts w:ascii="Times New Roman" w:hAnsi="Times New Roman"/>
                <w:color w:val="000000" w:themeColor="text1"/>
                <w:sz w:val="24"/>
                <w:szCs w:val="24"/>
              </w:rPr>
              <w:t>Ēkā</w:t>
            </w:r>
            <w:r w:rsidR="00E14382" w:rsidRPr="00074741">
              <w:rPr>
                <w:rFonts w:ascii="Times New Roman" w:hAnsi="Times New Roman"/>
                <w:color w:val="000000" w:themeColor="text1"/>
                <w:sz w:val="24"/>
                <w:szCs w:val="24"/>
                <w:shd w:val="clear" w:color="auto" w:fill="FFFFFF"/>
              </w:rPr>
              <w:t xml:space="preserve"> vai ēku grupā</w:t>
            </w:r>
            <w:r w:rsidRPr="00074741">
              <w:rPr>
                <w:rFonts w:ascii="Times New Roman" w:hAnsi="Times New Roman"/>
                <w:color w:val="000000" w:themeColor="text1"/>
                <w:sz w:val="24"/>
                <w:szCs w:val="24"/>
              </w:rPr>
              <w:t xml:space="preserve">, kurā </w:t>
            </w:r>
            <w:r w:rsidRPr="0079163B">
              <w:rPr>
                <w:rFonts w:ascii="Times New Roman" w:hAnsi="Times New Roman"/>
                <w:sz w:val="24"/>
                <w:szCs w:val="24"/>
              </w:rPr>
              <w:t>veic energoefektivitātes projektu, ir pieļaujams veikt papildpakalpojumus, t.i.</w:t>
            </w:r>
            <w:r>
              <w:rPr>
                <w:rFonts w:ascii="Times New Roman" w:hAnsi="Times New Roman"/>
                <w:sz w:val="24"/>
                <w:szCs w:val="24"/>
              </w:rPr>
              <w:t xml:space="preserve"> </w:t>
            </w:r>
            <w:r w:rsidRPr="0079163B">
              <w:rPr>
                <w:rFonts w:ascii="Times New Roman" w:hAnsi="Times New Roman"/>
                <w:sz w:val="24"/>
                <w:szCs w:val="24"/>
              </w:rPr>
              <w:t>tādus pakalpojumus infrastruktūrā,</w:t>
            </w:r>
            <w:r>
              <w:rPr>
                <w:rFonts w:ascii="Times New Roman" w:hAnsi="Times New Roman"/>
                <w:sz w:val="24"/>
                <w:szCs w:val="24"/>
              </w:rPr>
              <w:t xml:space="preserve"> </w:t>
            </w:r>
            <w:r w:rsidRPr="0079163B">
              <w:rPr>
                <w:rFonts w:ascii="Times New Roman" w:hAnsi="Times New Roman"/>
                <w:sz w:val="24"/>
                <w:szCs w:val="24"/>
              </w:rPr>
              <w:t>kurus galvenokārt izmanto tikai nesaimnieciskajai darbībai, un kuriem pašiem par sevi nebūtu ietekme uz tirdzniecību un konkurenci Eiropas Savienības iekšējā tirgū.</w:t>
            </w:r>
          </w:p>
          <w:p w14:paraId="0EF80CD5" w14:textId="77777777" w:rsidR="004E719D" w:rsidRPr="00074741" w:rsidRDefault="004E719D" w:rsidP="00074741">
            <w:pPr>
              <w:jc w:val="both"/>
              <w:rPr>
                <w:rFonts w:ascii="Times New Roman" w:eastAsiaTheme="minorHAnsi" w:hAnsi="Times New Roman"/>
                <w:color w:val="000000" w:themeColor="text1"/>
                <w:sz w:val="24"/>
                <w:szCs w:val="24"/>
              </w:rPr>
            </w:pPr>
            <w:r w:rsidRPr="00074741">
              <w:rPr>
                <w:rFonts w:ascii="Times New Roman" w:hAnsi="Times New Roman"/>
                <w:color w:val="000000" w:themeColor="text1"/>
                <w:sz w:val="24"/>
                <w:szCs w:val="24"/>
              </w:rPr>
              <w:lastRenderedPageBreak/>
              <w:t>Papildpakalpojumi ir tādi pakalpojumi infrastruktūrā, kurus galvenokārt izmanto tikai nesaimnieciskajai darbībai. Papildpakalpojumi parasti neietekmē tirdzniecību starp dalībvalstīm, jo tie diez vai piesaistītu citu dalībvalstu klientus un to finansēšana diez vai izraisītu būtisku ietekmi uz pārrobežu ieguldījumiem vai uzņēmējdarbību,  tiem ir vietēja ietekme. Šādiem papildpakalpojumiem nav nepieciešams piemērot valsts atbalsta regulējumu, jo attiecībā uz tiem neizpildās valsts atbalsta ceturtā pazīme – ietekme uz Eiropas Savienības iekšējo tirgu un konkurenci.</w:t>
            </w:r>
          </w:p>
          <w:p w14:paraId="0C9A7B9E" w14:textId="5A1FF56B" w:rsidR="004E719D" w:rsidRPr="00074741" w:rsidRDefault="004E719D" w:rsidP="00074741">
            <w:pPr>
              <w:jc w:val="both"/>
              <w:rPr>
                <w:rFonts w:eastAsiaTheme="minorHAnsi"/>
                <w:color w:val="000000" w:themeColor="text1"/>
              </w:rPr>
            </w:pPr>
            <w:r w:rsidRPr="00074741">
              <w:rPr>
                <w:rFonts w:ascii="Times New Roman" w:hAnsi="Times New Roman"/>
                <w:color w:val="000000" w:themeColor="text1"/>
                <w:sz w:val="24"/>
                <w:szCs w:val="24"/>
              </w:rPr>
              <w:t>Papildpakalpojumi nav nesaraujami saistīti ar nesaimnieciskās infrastruktūras pamatdarbību, tie neizmanto tos pašus resursus, kā tas ir papildinošas saimnieciskas darbības gadījumā. Papildpakalpojumiem nav noteikts procentuāls ierobežojums pret infrastruktūras gada jaudu, kā tas ir papildinošas saimnieciskas darbības gadījumā, tomēr ir jāievēro, ka papildpakalpojumiem ir jābūt galvenokārt saistītiem ar infrastruktūras nesaimniecisko pamatdarbību. Kā piemērs: maksas garderobe muzejā, vai kafejnīca, kas nomā nelielu platību universitātes telpās, ja tā nepatērē tos pašus resursus, ko nesaimnieciskās infrastruktūras pamatdarbības.</w:t>
            </w:r>
            <w:r w:rsidR="00DD4D85" w:rsidRPr="00074741">
              <w:rPr>
                <w:rFonts w:ascii="Times New Roman" w:hAnsi="Times New Roman"/>
                <w:color w:val="000000" w:themeColor="text1"/>
                <w:sz w:val="24"/>
                <w:szCs w:val="24"/>
              </w:rPr>
              <w:t xml:space="preserve"> </w:t>
            </w:r>
          </w:p>
          <w:p w14:paraId="382194AD" w14:textId="470DECEC" w:rsidR="00D4049D" w:rsidRDefault="00D4049D" w:rsidP="003824EA">
            <w:pPr>
              <w:spacing w:line="240" w:lineRule="auto"/>
              <w:contextualSpacing/>
              <w:jc w:val="both"/>
              <w:rPr>
                <w:rFonts w:ascii="Times New Roman" w:hAnsi="Times New Roman"/>
                <w:iCs/>
                <w:color w:val="000000" w:themeColor="text1"/>
                <w:sz w:val="24"/>
                <w:szCs w:val="24"/>
                <w:lang w:eastAsia="lv-LV"/>
              </w:rPr>
            </w:pPr>
            <w:r w:rsidRPr="00E146AC">
              <w:rPr>
                <w:rFonts w:ascii="Times New Roman" w:hAnsi="Times New Roman"/>
                <w:iCs/>
                <w:color w:val="000000" w:themeColor="text1"/>
                <w:sz w:val="24"/>
                <w:szCs w:val="24"/>
                <w:lang w:eastAsia="lv-LV"/>
              </w:rPr>
              <w:t>Ja tiek konstatēts, ka ēkā vai ēku grupā, par kuru iesniegts projekta iesniegums,</w:t>
            </w:r>
            <w:r w:rsidR="0067059F" w:rsidRPr="00E146AC">
              <w:rPr>
                <w:rFonts w:ascii="Times New Roman" w:hAnsi="Times New Roman"/>
                <w:color w:val="000000" w:themeColor="text1"/>
                <w:sz w:val="24"/>
                <w:szCs w:val="24"/>
                <w:lang w:eastAsia="lv-LV"/>
              </w:rPr>
              <w:t xml:space="preserve"> tiek veikta saimnieciskā darbība, kas nav uzskatāma par papildpakalpojumu, vai</w:t>
            </w:r>
            <w:r w:rsidRPr="00E146AC">
              <w:rPr>
                <w:rFonts w:ascii="Times New Roman" w:hAnsi="Times New Roman"/>
                <w:iCs/>
                <w:color w:val="000000" w:themeColor="text1"/>
                <w:sz w:val="24"/>
                <w:szCs w:val="24"/>
                <w:lang w:eastAsia="lv-LV"/>
              </w:rPr>
              <w:t xml:space="preserve"> tiek veikta papildinoša saimnieciskā darbība, kas pārsniedz šo noteikumu </w:t>
            </w:r>
            <w:hyperlink r:id="rId8" w:anchor="p48" w:history="1">
              <w:r w:rsidRPr="00E146AC">
                <w:rPr>
                  <w:rFonts w:ascii="Times New Roman" w:hAnsi="Times New Roman"/>
                  <w:iCs/>
                  <w:color w:val="000000" w:themeColor="text1"/>
                  <w:sz w:val="24"/>
                  <w:szCs w:val="24"/>
                  <w:lang w:eastAsia="lv-LV"/>
                </w:rPr>
                <w:t>48.</w:t>
              </w:r>
            </w:hyperlink>
            <w:r w:rsidRPr="00754F98">
              <w:rPr>
                <w:rFonts w:ascii="Times New Roman" w:hAnsi="Times New Roman"/>
                <w:iCs/>
                <w:color w:val="000000" w:themeColor="text1"/>
                <w:sz w:val="24"/>
                <w:szCs w:val="24"/>
                <w:lang w:eastAsia="lv-LV"/>
              </w:rPr>
              <w:t xml:space="preserve">punktā minēto apmēru, vai tiek veikta saimnieciskā darbība, kas nav uzskatāma par papildinošu saimniecisko darbību, projekta iesniedzējam proporcionāli šai ēkas vai ēku grupas daļai platības, laika vai finanšu izteiksmē ir pienākums atmaksāt sadarbības iestādei saņemto nelikumīgo komercdarbības atbalstu kopā ar procentiem, kuru likmi publicē Eiropas Komisija saskaņā ar Komisijas 2004.gada 21.aprīļa Regulas (EK) Nr.794/2004, ar ko īsteno Padomes Regulu (ES) </w:t>
            </w:r>
            <w:hyperlink r:id="rId9" w:tgtFrame="_blank" w:history="1">
              <w:r w:rsidRPr="00754F98">
                <w:rPr>
                  <w:rFonts w:ascii="Times New Roman" w:hAnsi="Times New Roman"/>
                  <w:iCs/>
                  <w:color w:val="000000" w:themeColor="text1"/>
                  <w:sz w:val="24"/>
                  <w:szCs w:val="24"/>
                  <w:lang w:eastAsia="lv-LV"/>
                </w:rPr>
                <w:t>2015/1589</w:t>
              </w:r>
            </w:hyperlink>
            <w:r w:rsidRPr="00754F98">
              <w:rPr>
                <w:rFonts w:ascii="Times New Roman" w:hAnsi="Times New Roman"/>
                <w:iCs/>
                <w:color w:val="000000" w:themeColor="text1"/>
                <w:sz w:val="24"/>
                <w:szCs w:val="24"/>
                <w:lang w:eastAsia="lv-LV"/>
              </w:rPr>
              <w:t xml:space="preserve">, ar ko nosaka sīki izstrādātus noteikumus Līguma par Eiropas Savienības darbību </w:t>
            </w:r>
            <w:hyperlink r:id="rId10" w:anchor="p108" w:history="1">
              <w:r w:rsidRPr="00754F98">
                <w:rPr>
                  <w:rFonts w:ascii="Times New Roman" w:hAnsi="Times New Roman"/>
                  <w:iCs/>
                  <w:color w:val="000000" w:themeColor="text1"/>
                  <w:sz w:val="24"/>
                  <w:szCs w:val="24"/>
                  <w:lang w:eastAsia="lv-LV"/>
                </w:rPr>
                <w:t>108.</w:t>
              </w:r>
            </w:hyperlink>
            <w:r w:rsidRPr="00754F98">
              <w:rPr>
                <w:rFonts w:ascii="Times New Roman" w:hAnsi="Times New Roman"/>
                <w:iCs/>
                <w:color w:val="000000" w:themeColor="text1"/>
                <w:sz w:val="24"/>
                <w:szCs w:val="24"/>
                <w:lang w:eastAsia="lv-LV"/>
              </w:rPr>
              <w:t>panta piemērošanai (turpmāk – Komisijas regula Nr.794/2004), 10.pantu, tiem pieskaitot 100 bāzes punktus, no dienas, kad atbalsts tika izmaksāts finansējuma saņēmējam, līdz tā atgūšanas dienai, ievērojot Komisijas regulas Nr.794/2004 11. pantā noteikto procentu likmes piemērošanas metodi.</w:t>
            </w:r>
          </w:p>
          <w:p w14:paraId="7C46FD3C" w14:textId="77777777" w:rsidR="00EA253F" w:rsidRDefault="00EA253F" w:rsidP="003824EA">
            <w:pPr>
              <w:spacing w:line="240" w:lineRule="auto"/>
              <w:contextualSpacing/>
              <w:jc w:val="both"/>
              <w:rPr>
                <w:rFonts w:ascii="Times New Roman" w:hAnsi="Times New Roman"/>
                <w:iCs/>
                <w:color w:val="000000" w:themeColor="text1"/>
                <w:sz w:val="24"/>
                <w:szCs w:val="24"/>
                <w:lang w:eastAsia="lv-LV"/>
              </w:rPr>
            </w:pPr>
          </w:p>
          <w:p w14:paraId="33F10F18" w14:textId="6862FECA" w:rsidR="00DD4D85" w:rsidRPr="00E146AC" w:rsidRDefault="00DD4D85" w:rsidP="003824EA">
            <w:pPr>
              <w:spacing w:line="240" w:lineRule="auto"/>
              <w:contextualSpacing/>
              <w:jc w:val="both"/>
              <w:rPr>
                <w:rFonts w:ascii="Times New Roman" w:hAnsi="Times New Roman"/>
                <w:color w:val="000000" w:themeColor="text1"/>
                <w:sz w:val="24"/>
                <w:szCs w:val="24"/>
                <w:lang w:eastAsia="lv-LV"/>
              </w:rPr>
            </w:pPr>
            <w:r w:rsidRPr="00E146AC">
              <w:rPr>
                <w:rFonts w:ascii="Times New Roman" w:hAnsi="Times New Roman"/>
                <w:color w:val="000000" w:themeColor="text1"/>
                <w:sz w:val="24"/>
                <w:szCs w:val="24"/>
                <w:shd w:val="clear" w:color="auto" w:fill="FFFFFF"/>
              </w:rPr>
              <w:t>Veikto investīciju atbilstības uzraudzību šo noteikumu </w:t>
            </w:r>
            <w:hyperlink r:id="rId11" w:anchor="p48" w:history="1">
              <w:r w:rsidRPr="00E146AC">
                <w:rPr>
                  <w:rStyle w:val="Hyperlink"/>
                  <w:rFonts w:ascii="Times New Roman" w:hAnsi="Times New Roman"/>
                  <w:color w:val="000000" w:themeColor="text1"/>
                  <w:sz w:val="24"/>
                  <w:szCs w:val="24"/>
                  <w:u w:val="none"/>
                  <w:shd w:val="clear" w:color="auto" w:fill="FFFFFF"/>
                </w:rPr>
                <w:t xml:space="preserve">48. un </w:t>
              </w:r>
              <w:r w:rsidRPr="00E146AC">
                <w:rPr>
                  <w:rFonts w:ascii="Times New Roman" w:hAnsi="Times New Roman"/>
                  <w:color w:val="000000" w:themeColor="text1"/>
                  <w:sz w:val="24"/>
                  <w:szCs w:val="24"/>
                </w:rPr>
                <w:t>48.</w:t>
              </w:r>
              <w:r w:rsidRPr="00E146AC">
                <w:rPr>
                  <w:rFonts w:ascii="Times New Roman" w:hAnsi="Times New Roman"/>
                  <w:color w:val="000000" w:themeColor="text1"/>
                  <w:sz w:val="24"/>
                  <w:szCs w:val="24"/>
                  <w:vertAlign w:val="superscript"/>
                </w:rPr>
                <w:t>1</w:t>
              </w:r>
              <w:r w:rsidRPr="00E146AC">
                <w:rPr>
                  <w:rFonts w:ascii="Times New Roman" w:hAnsi="Times New Roman"/>
                  <w:color w:val="000000" w:themeColor="text1"/>
                  <w:sz w:val="24"/>
                  <w:szCs w:val="24"/>
                </w:rPr>
                <w:t xml:space="preserve"> </w:t>
              </w:r>
              <w:r w:rsidRPr="00E146AC">
                <w:rPr>
                  <w:rStyle w:val="Hyperlink"/>
                  <w:rFonts w:ascii="Times New Roman" w:hAnsi="Times New Roman"/>
                  <w:color w:val="000000" w:themeColor="text1"/>
                  <w:sz w:val="24"/>
                  <w:szCs w:val="24"/>
                  <w:shd w:val="clear" w:color="auto" w:fill="FFFFFF"/>
                </w:rPr>
                <w:t>punkta</w:t>
              </w:r>
            </w:hyperlink>
            <w:r w:rsidRPr="00E146AC">
              <w:rPr>
                <w:rFonts w:ascii="Times New Roman" w:hAnsi="Times New Roman"/>
                <w:color w:val="000000" w:themeColor="text1"/>
                <w:sz w:val="24"/>
                <w:szCs w:val="24"/>
                <w:shd w:val="clear" w:color="auto" w:fill="FFFFFF"/>
              </w:rPr>
              <w:t> nosacījumiem reizi gadā visā projekta dzīves ciklā nodrošina sadarbības iestāde.”</w:t>
            </w:r>
          </w:p>
          <w:p w14:paraId="3B8D6663" w14:textId="77777777" w:rsidR="009E7B1C" w:rsidRPr="00406688" w:rsidRDefault="009E7B1C" w:rsidP="005146A5">
            <w:pPr>
              <w:spacing w:after="0" w:line="240" w:lineRule="auto"/>
              <w:contextualSpacing/>
              <w:jc w:val="both"/>
              <w:rPr>
                <w:rFonts w:ascii="Times New Roman" w:hAnsi="Times New Roman"/>
                <w:sz w:val="24"/>
                <w:szCs w:val="24"/>
              </w:rPr>
            </w:pPr>
          </w:p>
          <w:p w14:paraId="72F47E15" w14:textId="446BD0AD" w:rsidR="00420C7A" w:rsidRPr="00406688" w:rsidRDefault="00420C7A" w:rsidP="005146A5">
            <w:pPr>
              <w:pStyle w:val="ListParagraph"/>
              <w:numPr>
                <w:ilvl w:val="0"/>
                <w:numId w:val="6"/>
              </w:numPr>
              <w:spacing w:after="0" w:line="240" w:lineRule="auto"/>
              <w:jc w:val="both"/>
              <w:rPr>
                <w:rFonts w:ascii="Times New Roman" w:hAnsi="Times New Roman"/>
                <w:sz w:val="24"/>
                <w:szCs w:val="24"/>
              </w:rPr>
            </w:pPr>
            <w:r w:rsidRPr="00406688">
              <w:rPr>
                <w:rFonts w:ascii="Times New Roman" w:hAnsi="Times New Roman"/>
                <w:b/>
                <w:bCs/>
                <w:i/>
                <w:iCs/>
                <w:sz w:val="24"/>
                <w:szCs w:val="24"/>
                <w:u w:val="single"/>
              </w:rPr>
              <w:t xml:space="preserve">Finansējuma pārdale starp finansējuma saņēmējiem un 4.2.1.2. pasākuma otrās iesniegumu atlases kārtas projektiem. </w:t>
            </w:r>
          </w:p>
          <w:p w14:paraId="33440967" w14:textId="77777777" w:rsidR="00376F9C" w:rsidRDefault="00376F9C" w:rsidP="00376F9C">
            <w:pPr>
              <w:spacing w:after="0" w:line="240" w:lineRule="auto"/>
              <w:ind w:left="142"/>
              <w:jc w:val="both"/>
              <w:rPr>
                <w:rFonts w:ascii="Times New Roman" w:hAnsi="Times New Roman"/>
                <w:sz w:val="24"/>
                <w:szCs w:val="24"/>
              </w:rPr>
            </w:pPr>
            <w:r w:rsidRPr="00406688">
              <w:rPr>
                <w:rFonts w:ascii="Times New Roman" w:hAnsi="Times New Roman"/>
                <w:sz w:val="24"/>
                <w:szCs w:val="24"/>
              </w:rPr>
              <w:t xml:space="preserve">Atbilstoši Protokolā Nr. 55 noteiktajam, Noteikumu projekts paredz 4.2.1.2. pasākuma pirmās iesnieguma atlases kārtas (noslēgusies) neizmantoto finansējumu (gan finansējumu, kas netika pieprasīts, gan pārtraukto un atsaukto projektu finansējumu) pārdalīt 4.2.1.2. pasākuma otrās iesniegumu atlases kārtas </w:t>
            </w:r>
            <w:r w:rsidRPr="00376F9C">
              <w:rPr>
                <w:rFonts w:ascii="Times New Roman" w:hAnsi="Times New Roman"/>
                <w:color w:val="000000" w:themeColor="text1"/>
                <w:sz w:val="24"/>
                <w:szCs w:val="24"/>
                <w:lang w:eastAsia="lv-LV"/>
              </w:rPr>
              <w:t>augstas gatavības</w:t>
            </w:r>
            <w:r w:rsidRPr="00376F9C">
              <w:rPr>
                <w:color w:val="000000" w:themeColor="text1"/>
                <w:szCs w:val="24"/>
                <w:lang w:eastAsia="lv-LV"/>
              </w:rPr>
              <w:t xml:space="preserve"> </w:t>
            </w:r>
            <w:r w:rsidRPr="00376F9C">
              <w:rPr>
                <w:rFonts w:ascii="Times New Roman" w:hAnsi="Times New Roman"/>
                <w:color w:val="000000" w:themeColor="text1"/>
                <w:sz w:val="24"/>
                <w:szCs w:val="24"/>
              </w:rPr>
              <w:t>projektiem</w:t>
            </w:r>
            <w:r w:rsidRPr="00406688">
              <w:rPr>
                <w:rFonts w:ascii="Times New Roman" w:hAnsi="Times New Roman"/>
                <w:sz w:val="24"/>
                <w:szCs w:val="24"/>
              </w:rPr>
              <w:t xml:space="preserve">. </w:t>
            </w:r>
          </w:p>
          <w:p w14:paraId="542971EF" w14:textId="3266A6A2" w:rsidR="00376F9C" w:rsidRPr="008B2675" w:rsidRDefault="00376F9C" w:rsidP="00376F9C">
            <w:pPr>
              <w:spacing w:after="0" w:line="240" w:lineRule="auto"/>
              <w:ind w:left="142"/>
              <w:jc w:val="both"/>
              <w:rPr>
                <w:rFonts w:ascii="Times New Roman" w:hAnsi="Times New Roman"/>
                <w:sz w:val="24"/>
                <w:szCs w:val="24"/>
              </w:rPr>
            </w:pPr>
            <w:r w:rsidRPr="008B2675">
              <w:rPr>
                <w:rFonts w:ascii="Times New Roman" w:hAnsi="Times New Roman"/>
                <w:sz w:val="24"/>
                <w:szCs w:val="24"/>
              </w:rPr>
              <w:t xml:space="preserve">Ekonomikas ministrija savu kvotu </w:t>
            </w:r>
            <w:r w:rsidR="002D1934">
              <w:rPr>
                <w:rFonts w:ascii="Times New Roman" w:hAnsi="Times New Roman"/>
                <w:sz w:val="24"/>
                <w:szCs w:val="24"/>
              </w:rPr>
              <w:t>2843514</w:t>
            </w:r>
            <w:r w:rsidRPr="008B2675">
              <w:rPr>
                <w:rFonts w:ascii="Times New Roman" w:hAnsi="Times New Roman"/>
                <w:sz w:val="24"/>
                <w:szCs w:val="24"/>
              </w:rPr>
              <w:t xml:space="preserve"> EUR</w:t>
            </w:r>
            <w:r w:rsidR="002D1934">
              <w:rPr>
                <w:rFonts w:ascii="Times New Roman" w:hAnsi="Times New Roman"/>
                <w:sz w:val="24"/>
                <w:szCs w:val="24"/>
              </w:rPr>
              <w:t xml:space="preserve"> (ERAF 2416987</w:t>
            </w:r>
            <w:r w:rsidR="00C57F7D">
              <w:rPr>
                <w:rFonts w:ascii="Times New Roman" w:hAnsi="Times New Roman"/>
                <w:sz w:val="24"/>
                <w:szCs w:val="24"/>
              </w:rPr>
              <w:t xml:space="preserve"> EUR</w:t>
            </w:r>
            <w:r w:rsidR="002D1934">
              <w:rPr>
                <w:rFonts w:ascii="Times New Roman" w:hAnsi="Times New Roman"/>
                <w:sz w:val="24"/>
                <w:szCs w:val="24"/>
              </w:rPr>
              <w:t>; VB 426527</w:t>
            </w:r>
            <w:r w:rsidR="00C57F7D">
              <w:rPr>
                <w:rFonts w:ascii="Times New Roman" w:hAnsi="Times New Roman"/>
                <w:sz w:val="24"/>
                <w:szCs w:val="24"/>
              </w:rPr>
              <w:t xml:space="preserve"> EUR</w:t>
            </w:r>
            <w:r w:rsidR="002D1934">
              <w:rPr>
                <w:rFonts w:ascii="Times New Roman" w:hAnsi="Times New Roman"/>
                <w:sz w:val="24"/>
                <w:szCs w:val="24"/>
              </w:rPr>
              <w:t xml:space="preserve">) </w:t>
            </w:r>
            <w:r w:rsidRPr="008B2675">
              <w:rPr>
                <w:rFonts w:ascii="Times New Roman" w:hAnsi="Times New Roman"/>
                <w:sz w:val="24"/>
                <w:szCs w:val="24"/>
              </w:rPr>
              <w:t>pārdalīja:</w:t>
            </w:r>
          </w:p>
          <w:p w14:paraId="5504BC88" w14:textId="5B82FD91" w:rsidR="00376F9C" w:rsidRPr="002D1934" w:rsidRDefault="00376F9C" w:rsidP="002D1934">
            <w:pPr>
              <w:pStyle w:val="ListParagraph"/>
              <w:numPr>
                <w:ilvl w:val="0"/>
                <w:numId w:val="13"/>
              </w:numPr>
              <w:spacing w:after="0" w:line="240" w:lineRule="auto"/>
              <w:jc w:val="both"/>
              <w:rPr>
                <w:rFonts w:ascii="Times New Roman" w:eastAsia="Times New Roman" w:hAnsi="Times New Roman"/>
                <w:sz w:val="24"/>
                <w:szCs w:val="24"/>
              </w:rPr>
            </w:pPr>
            <w:proofErr w:type="spellStart"/>
            <w:r w:rsidRPr="002D1934">
              <w:rPr>
                <w:rFonts w:ascii="Times New Roman" w:hAnsi="Times New Roman"/>
                <w:sz w:val="24"/>
                <w:szCs w:val="24"/>
              </w:rPr>
              <w:t>Iekšlietu</w:t>
            </w:r>
            <w:proofErr w:type="spellEnd"/>
            <w:r w:rsidRPr="002D1934">
              <w:rPr>
                <w:rFonts w:ascii="Times New Roman" w:hAnsi="Times New Roman"/>
                <w:sz w:val="24"/>
                <w:szCs w:val="24"/>
              </w:rPr>
              <w:t xml:space="preserve"> ministrijai </w:t>
            </w:r>
            <w:r w:rsidR="002D1934" w:rsidRPr="002D1934">
              <w:rPr>
                <w:rFonts w:ascii="Times New Roman" w:hAnsi="Times New Roman"/>
                <w:sz w:val="24"/>
                <w:szCs w:val="24"/>
              </w:rPr>
              <w:t xml:space="preserve"> 1348000 EUR (</w:t>
            </w:r>
            <w:r w:rsidRPr="002D1934">
              <w:rPr>
                <w:rFonts w:ascii="Times New Roman" w:hAnsi="Times New Roman"/>
                <w:sz w:val="24"/>
                <w:szCs w:val="24"/>
              </w:rPr>
              <w:t>ERAF 1145 800</w:t>
            </w:r>
            <w:r w:rsidR="003E2911">
              <w:rPr>
                <w:rFonts w:ascii="Times New Roman" w:hAnsi="Times New Roman"/>
                <w:sz w:val="24"/>
                <w:szCs w:val="24"/>
              </w:rPr>
              <w:t xml:space="preserve"> EUR</w:t>
            </w:r>
            <w:r w:rsidRPr="002D1934">
              <w:rPr>
                <w:rFonts w:ascii="Times New Roman" w:hAnsi="Times New Roman"/>
                <w:sz w:val="24"/>
                <w:szCs w:val="24"/>
              </w:rPr>
              <w:t xml:space="preserve"> </w:t>
            </w:r>
            <w:r w:rsidR="002D1934">
              <w:rPr>
                <w:rFonts w:ascii="Times New Roman" w:hAnsi="Times New Roman"/>
                <w:sz w:val="24"/>
                <w:szCs w:val="24"/>
              </w:rPr>
              <w:t>; V</w:t>
            </w:r>
            <w:r w:rsidR="003E2911">
              <w:rPr>
                <w:rFonts w:ascii="Times New Roman" w:hAnsi="Times New Roman"/>
                <w:sz w:val="24"/>
                <w:szCs w:val="24"/>
              </w:rPr>
              <w:t>B</w:t>
            </w:r>
            <w:r w:rsidRPr="002D1934">
              <w:rPr>
                <w:rFonts w:ascii="Times New Roman" w:hAnsi="Times New Roman"/>
                <w:sz w:val="24"/>
                <w:szCs w:val="24"/>
              </w:rPr>
              <w:t xml:space="preserve"> 202</w:t>
            </w:r>
            <w:r w:rsidR="003E2911">
              <w:rPr>
                <w:rFonts w:ascii="Times New Roman" w:hAnsi="Times New Roman"/>
                <w:sz w:val="24"/>
                <w:szCs w:val="24"/>
              </w:rPr>
              <w:t> </w:t>
            </w:r>
            <w:r w:rsidRPr="002D1934">
              <w:rPr>
                <w:rFonts w:ascii="Times New Roman" w:hAnsi="Times New Roman"/>
                <w:sz w:val="24"/>
                <w:szCs w:val="24"/>
              </w:rPr>
              <w:t>200</w:t>
            </w:r>
            <w:r w:rsidR="003E2911">
              <w:rPr>
                <w:rFonts w:ascii="Times New Roman" w:hAnsi="Times New Roman"/>
                <w:sz w:val="24"/>
                <w:szCs w:val="24"/>
              </w:rPr>
              <w:t>EUR</w:t>
            </w:r>
            <w:r w:rsidR="002D1934" w:rsidRPr="002D1934">
              <w:rPr>
                <w:rFonts w:ascii="Times New Roman" w:hAnsi="Times New Roman"/>
                <w:sz w:val="24"/>
                <w:szCs w:val="24"/>
              </w:rPr>
              <w:t>)</w:t>
            </w:r>
            <w:r w:rsidRPr="002D1934">
              <w:rPr>
                <w:rFonts w:ascii="Times New Roman" w:hAnsi="Times New Roman"/>
                <w:sz w:val="24"/>
                <w:szCs w:val="24"/>
              </w:rPr>
              <w:t>;</w:t>
            </w:r>
          </w:p>
          <w:p w14:paraId="31C19E06" w14:textId="2B319615" w:rsidR="00376F9C" w:rsidRPr="00AF0107" w:rsidRDefault="00376F9C" w:rsidP="00376F9C">
            <w:pPr>
              <w:pStyle w:val="ListParagraph"/>
              <w:numPr>
                <w:ilvl w:val="0"/>
                <w:numId w:val="13"/>
              </w:numPr>
              <w:spacing w:after="0" w:line="240" w:lineRule="auto"/>
              <w:jc w:val="both"/>
              <w:rPr>
                <w:rFonts w:ascii="Times New Roman" w:eastAsia="Times New Roman" w:hAnsi="Times New Roman"/>
                <w:sz w:val="24"/>
                <w:szCs w:val="24"/>
              </w:rPr>
            </w:pPr>
            <w:r w:rsidRPr="00AF0107">
              <w:rPr>
                <w:rFonts w:ascii="Times New Roman" w:hAnsi="Times New Roman"/>
                <w:sz w:val="24"/>
                <w:szCs w:val="24"/>
              </w:rPr>
              <w:t xml:space="preserve">Kultūras ministrijai </w:t>
            </w:r>
            <w:r w:rsidR="002D1934">
              <w:rPr>
                <w:rFonts w:ascii="Times New Roman" w:hAnsi="Times New Roman"/>
                <w:sz w:val="24"/>
                <w:szCs w:val="24"/>
              </w:rPr>
              <w:t>135000 EUR (</w:t>
            </w:r>
            <w:r w:rsidRPr="00AF0107">
              <w:rPr>
                <w:rFonts w:ascii="Times New Roman" w:hAnsi="Times New Roman"/>
                <w:sz w:val="24"/>
                <w:szCs w:val="24"/>
              </w:rPr>
              <w:t>ERAF 114750 EUR</w:t>
            </w:r>
            <w:r w:rsidR="002D1934">
              <w:rPr>
                <w:rFonts w:ascii="Times New Roman" w:hAnsi="Times New Roman"/>
                <w:sz w:val="24"/>
                <w:szCs w:val="24"/>
              </w:rPr>
              <w:t xml:space="preserve">; </w:t>
            </w:r>
            <w:r w:rsidRPr="00AF0107">
              <w:rPr>
                <w:rFonts w:ascii="Times New Roman" w:hAnsi="Times New Roman"/>
                <w:sz w:val="24"/>
                <w:szCs w:val="24"/>
              </w:rPr>
              <w:t>VB 20250EUR</w:t>
            </w:r>
            <w:r w:rsidR="002D1934">
              <w:rPr>
                <w:rFonts w:ascii="Times New Roman" w:hAnsi="Times New Roman"/>
                <w:sz w:val="24"/>
                <w:szCs w:val="24"/>
              </w:rPr>
              <w:t>)</w:t>
            </w:r>
            <w:r w:rsidRPr="00AF0107">
              <w:rPr>
                <w:rFonts w:ascii="Times New Roman" w:hAnsi="Times New Roman"/>
                <w:sz w:val="24"/>
                <w:szCs w:val="24"/>
              </w:rPr>
              <w:t>;</w:t>
            </w:r>
          </w:p>
          <w:p w14:paraId="6BD8263E" w14:textId="6F9E1A5A" w:rsidR="00376F9C" w:rsidRDefault="00376F9C" w:rsidP="00376F9C">
            <w:pPr>
              <w:pStyle w:val="ListParagraph"/>
              <w:numPr>
                <w:ilvl w:val="0"/>
                <w:numId w:val="13"/>
              </w:numPr>
              <w:spacing w:after="0" w:line="240" w:lineRule="auto"/>
              <w:jc w:val="both"/>
              <w:rPr>
                <w:rFonts w:ascii="Times New Roman" w:eastAsia="Times New Roman" w:hAnsi="Times New Roman"/>
                <w:sz w:val="24"/>
                <w:szCs w:val="24"/>
              </w:rPr>
            </w:pPr>
            <w:r w:rsidRPr="00AF0107">
              <w:rPr>
                <w:rFonts w:ascii="Times New Roman" w:eastAsia="Times New Roman" w:hAnsi="Times New Roman"/>
                <w:sz w:val="24"/>
                <w:szCs w:val="24"/>
              </w:rPr>
              <w:t>Labklājības ministrijai</w:t>
            </w:r>
            <w:r w:rsidR="002D1934">
              <w:rPr>
                <w:rFonts w:ascii="Times New Roman" w:eastAsia="Times New Roman" w:hAnsi="Times New Roman"/>
                <w:sz w:val="24"/>
                <w:szCs w:val="24"/>
              </w:rPr>
              <w:t xml:space="preserve"> 1360514EUR (</w:t>
            </w:r>
            <w:r w:rsidRPr="00AF0107">
              <w:rPr>
                <w:rFonts w:ascii="Times New Roman" w:eastAsia="Times New Roman" w:hAnsi="Times New Roman"/>
                <w:sz w:val="24"/>
                <w:szCs w:val="24"/>
              </w:rPr>
              <w:t>ERAF</w:t>
            </w:r>
            <w:r w:rsidR="002D1934">
              <w:rPr>
                <w:rFonts w:ascii="Times New Roman" w:eastAsia="Times New Roman" w:hAnsi="Times New Roman"/>
                <w:sz w:val="24"/>
                <w:szCs w:val="24"/>
              </w:rPr>
              <w:t xml:space="preserve"> </w:t>
            </w:r>
            <w:r w:rsidRPr="00AF0107">
              <w:rPr>
                <w:rFonts w:ascii="Times New Roman" w:eastAsia="Times New Roman" w:hAnsi="Times New Roman"/>
                <w:sz w:val="24"/>
                <w:szCs w:val="24"/>
              </w:rPr>
              <w:t>1156 437 EUR</w:t>
            </w:r>
            <w:r w:rsidR="002D1934">
              <w:rPr>
                <w:rFonts w:ascii="Times New Roman" w:eastAsia="Times New Roman" w:hAnsi="Times New Roman"/>
                <w:sz w:val="24"/>
                <w:szCs w:val="24"/>
              </w:rPr>
              <w:t xml:space="preserve">; </w:t>
            </w:r>
            <w:r w:rsidRPr="00AF0107">
              <w:rPr>
                <w:rFonts w:ascii="Times New Roman" w:eastAsia="Times New Roman" w:hAnsi="Times New Roman"/>
                <w:sz w:val="24"/>
                <w:szCs w:val="24"/>
              </w:rPr>
              <w:t>VB 204 077EUR</w:t>
            </w:r>
            <w:r w:rsidR="002D1934">
              <w:rPr>
                <w:rFonts w:ascii="Times New Roman" w:eastAsia="Times New Roman" w:hAnsi="Times New Roman"/>
                <w:sz w:val="24"/>
                <w:szCs w:val="24"/>
              </w:rPr>
              <w:t>).</w:t>
            </w:r>
          </w:p>
          <w:p w14:paraId="6B1ED748" w14:textId="77777777" w:rsidR="002D1934" w:rsidRDefault="002D1934" w:rsidP="00376F9C">
            <w:pPr>
              <w:spacing w:after="0" w:line="240" w:lineRule="auto"/>
              <w:ind w:left="150"/>
              <w:jc w:val="both"/>
              <w:rPr>
                <w:rFonts w:ascii="Times New Roman" w:eastAsia="Times New Roman" w:hAnsi="Times New Roman"/>
                <w:sz w:val="24"/>
                <w:szCs w:val="24"/>
              </w:rPr>
            </w:pPr>
          </w:p>
          <w:p w14:paraId="7BB298A9" w14:textId="62CEF458" w:rsidR="00023AE2" w:rsidRDefault="00376F9C" w:rsidP="00023AE2">
            <w:pPr>
              <w:spacing w:after="0" w:line="240" w:lineRule="auto"/>
              <w:ind w:left="150"/>
              <w:jc w:val="both"/>
              <w:rPr>
                <w:rFonts w:ascii="Times New Roman" w:eastAsia="Times New Roman" w:hAnsi="Times New Roman"/>
                <w:sz w:val="24"/>
                <w:szCs w:val="24"/>
              </w:rPr>
            </w:pPr>
            <w:r>
              <w:rPr>
                <w:rFonts w:ascii="Times New Roman" w:eastAsia="Times New Roman" w:hAnsi="Times New Roman"/>
                <w:sz w:val="24"/>
                <w:szCs w:val="24"/>
              </w:rPr>
              <w:t xml:space="preserve">Kultūras ministrija no savas kvotas </w:t>
            </w:r>
            <w:r w:rsidR="00023AE2">
              <w:rPr>
                <w:rFonts w:ascii="Times New Roman" w:eastAsia="Times New Roman" w:hAnsi="Times New Roman"/>
                <w:sz w:val="24"/>
                <w:szCs w:val="24"/>
              </w:rPr>
              <w:t>atdeva 464980 EUR:</w:t>
            </w:r>
          </w:p>
          <w:p w14:paraId="582A558C" w14:textId="0179E506" w:rsidR="00376F9C" w:rsidRPr="00023AE2" w:rsidRDefault="00376F9C" w:rsidP="00023AE2">
            <w:pPr>
              <w:pStyle w:val="ListParagraph"/>
              <w:numPr>
                <w:ilvl w:val="0"/>
                <w:numId w:val="13"/>
              </w:numPr>
              <w:spacing w:after="0" w:line="240" w:lineRule="auto"/>
              <w:jc w:val="both"/>
              <w:rPr>
                <w:rFonts w:ascii="Times New Roman" w:eastAsia="Times New Roman" w:hAnsi="Times New Roman"/>
                <w:sz w:val="24"/>
                <w:szCs w:val="24"/>
              </w:rPr>
            </w:pPr>
            <w:r w:rsidRPr="00023AE2">
              <w:rPr>
                <w:rFonts w:ascii="Times New Roman" w:eastAsia="Times New Roman" w:hAnsi="Times New Roman"/>
                <w:sz w:val="24"/>
                <w:szCs w:val="24"/>
              </w:rPr>
              <w:t xml:space="preserve">VAS “Valsts nekustamie </w:t>
            </w:r>
            <w:r w:rsidR="00D55EE2">
              <w:rPr>
                <w:rFonts w:ascii="Times New Roman" w:eastAsia="Times New Roman" w:hAnsi="Times New Roman"/>
                <w:sz w:val="24"/>
                <w:szCs w:val="24"/>
              </w:rPr>
              <w:t>ī</w:t>
            </w:r>
            <w:r w:rsidRPr="00023AE2">
              <w:rPr>
                <w:rFonts w:ascii="Times New Roman" w:eastAsia="Times New Roman" w:hAnsi="Times New Roman"/>
                <w:sz w:val="24"/>
                <w:szCs w:val="24"/>
              </w:rPr>
              <w:t>pašumi”</w:t>
            </w:r>
            <w:r w:rsidR="00023AE2" w:rsidRPr="00023AE2">
              <w:rPr>
                <w:rFonts w:ascii="Times New Roman" w:eastAsia="Times New Roman" w:hAnsi="Times New Roman"/>
                <w:sz w:val="24"/>
                <w:szCs w:val="24"/>
              </w:rPr>
              <w:t xml:space="preserve"> 464980 EUR (</w:t>
            </w:r>
            <w:r w:rsidRPr="00023AE2">
              <w:rPr>
                <w:rFonts w:ascii="Times New Roman" w:eastAsia="Times New Roman" w:hAnsi="Times New Roman"/>
                <w:sz w:val="24"/>
                <w:szCs w:val="24"/>
              </w:rPr>
              <w:t>ERAF 395233 EUR un VB 69747EUR.</w:t>
            </w:r>
          </w:p>
          <w:p w14:paraId="6B20B22D" w14:textId="77777777" w:rsidR="00376F9C" w:rsidRDefault="00376F9C" w:rsidP="00376F9C">
            <w:pPr>
              <w:spacing w:after="0" w:line="240" w:lineRule="auto"/>
              <w:ind w:left="142"/>
              <w:jc w:val="both"/>
              <w:rPr>
                <w:rFonts w:ascii="Times New Roman" w:hAnsi="Times New Roman"/>
                <w:sz w:val="24"/>
                <w:szCs w:val="24"/>
              </w:rPr>
            </w:pPr>
          </w:p>
          <w:p w14:paraId="60604BC7" w14:textId="77777777" w:rsidR="00376F9C" w:rsidRPr="00406688" w:rsidRDefault="00376F9C" w:rsidP="00376F9C">
            <w:pPr>
              <w:spacing w:after="0" w:line="240" w:lineRule="auto"/>
              <w:ind w:left="142"/>
              <w:jc w:val="both"/>
              <w:rPr>
                <w:rFonts w:ascii="Times New Roman" w:hAnsi="Times New Roman"/>
                <w:sz w:val="24"/>
                <w:szCs w:val="24"/>
              </w:rPr>
            </w:pPr>
            <w:r w:rsidRPr="00406688">
              <w:rPr>
                <w:rFonts w:ascii="Times New Roman" w:hAnsi="Times New Roman"/>
                <w:sz w:val="24"/>
                <w:szCs w:val="24"/>
              </w:rPr>
              <w:t>Pirmās iesniegumu atlases kārtas ietvaros identificēts sekojošu iestāžu finansējuma kvotu pārpalikums:</w:t>
            </w:r>
          </w:p>
          <w:p w14:paraId="6DC9EDA4" w14:textId="77777777" w:rsidR="00074CDF" w:rsidRPr="00406688" w:rsidRDefault="00074CDF" w:rsidP="00074CDF">
            <w:pPr>
              <w:spacing w:after="0" w:line="240" w:lineRule="auto"/>
              <w:ind w:left="142"/>
              <w:jc w:val="both"/>
              <w:rPr>
                <w:rFonts w:ascii="Times New Roman" w:hAnsi="Times New Roman"/>
                <w:sz w:val="24"/>
                <w:szCs w:val="24"/>
              </w:rPr>
            </w:pPr>
            <w:r w:rsidRPr="00406688">
              <w:rPr>
                <w:rFonts w:ascii="Times New Roman" w:hAnsi="Times New Roman"/>
                <w:sz w:val="24"/>
                <w:szCs w:val="24"/>
              </w:rPr>
              <w:t>kvotu pārpalikums:</w:t>
            </w:r>
          </w:p>
          <w:p w14:paraId="7159C82E" w14:textId="77777777" w:rsidR="00056C2E" w:rsidRPr="00056C2E" w:rsidRDefault="00056C2E" w:rsidP="00056C2E">
            <w:pPr>
              <w:pStyle w:val="ListParagraph"/>
              <w:numPr>
                <w:ilvl w:val="0"/>
                <w:numId w:val="10"/>
              </w:numPr>
              <w:spacing w:after="0" w:line="240" w:lineRule="auto"/>
              <w:ind w:left="502"/>
              <w:jc w:val="both"/>
              <w:rPr>
                <w:rFonts w:ascii="Times New Roman" w:hAnsi="Times New Roman"/>
                <w:sz w:val="24"/>
                <w:szCs w:val="24"/>
              </w:rPr>
            </w:pPr>
            <w:r w:rsidRPr="00056C2E">
              <w:rPr>
                <w:rFonts w:ascii="Times New Roman" w:hAnsi="Times New Roman"/>
                <w:sz w:val="24"/>
                <w:szCs w:val="24"/>
              </w:rPr>
              <w:t>Aizsardzības ministrija 272 415 EUR (ERAF 231553;VB 40862);</w:t>
            </w:r>
          </w:p>
          <w:p w14:paraId="1C618353" w14:textId="77777777" w:rsidR="00056C2E" w:rsidRPr="00056C2E" w:rsidRDefault="00056C2E" w:rsidP="00056C2E">
            <w:pPr>
              <w:pStyle w:val="ListParagraph"/>
              <w:numPr>
                <w:ilvl w:val="0"/>
                <w:numId w:val="10"/>
              </w:numPr>
              <w:spacing w:after="0" w:line="240" w:lineRule="auto"/>
              <w:ind w:left="502"/>
              <w:jc w:val="both"/>
              <w:rPr>
                <w:rFonts w:ascii="Times New Roman" w:hAnsi="Times New Roman"/>
                <w:color w:val="000000" w:themeColor="text1"/>
                <w:sz w:val="24"/>
                <w:szCs w:val="24"/>
              </w:rPr>
            </w:pPr>
            <w:proofErr w:type="spellStart"/>
            <w:r w:rsidRPr="00056C2E">
              <w:rPr>
                <w:rFonts w:ascii="Times New Roman" w:hAnsi="Times New Roman"/>
                <w:sz w:val="24"/>
                <w:szCs w:val="24"/>
              </w:rPr>
              <w:t>Iekšlietu</w:t>
            </w:r>
            <w:proofErr w:type="spellEnd"/>
            <w:r w:rsidRPr="00056C2E">
              <w:rPr>
                <w:rFonts w:ascii="Times New Roman" w:hAnsi="Times New Roman"/>
                <w:sz w:val="24"/>
                <w:szCs w:val="24"/>
              </w:rPr>
              <w:t xml:space="preserve"> ministrija</w:t>
            </w:r>
            <w:r w:rsidRPr="00056C2E">
              <w:rPr>
                <w:rFonts w:ascii="Times New Roman" w:hAnsi="Times New Roman"/>
                <w:color w:val="000000" w:themeColor="text1"/>
                <w:sz w:val="24"/>
                <w:szCs w:val="24"/>
              </w:rPr>
              <w:t xml:space="preserve"> 1149302 EUR ( ERAF 976906; VB 172396 );</w:t>
            </w:r>
          </w:p>
          <w:p w14:paraId="63F7CF4E" w14:textId="77777777" w:rsidR="00056C2E" w:rsidRPr="00056C2E" w:rsidRDefault="00056C2E" w:rsidP="00056C2E">
            <w:pPr>
              <w:pStyle w:val="ListParagraph"/>
              <w:numPr>
                <w:ilvl w:val="0"/>
                <w:numId w:val="10"/>
              </w:numPr>
              <w:spacing w:after="0" w:line="240" w:lineRule="auto"/>
              <w:ind w:left="502"/>
              <w:jc w:val="both"/>
              <w:rPr>
                <w:rFonts w:ascii="Times New Roman" w:hAnsi="Times New Roman"/>
                <w:strike/>
                <w:color w:val="000000" w:themeColor="text1"/>
                <w:sz w:val="24"/>
                <w:szCs w:val="24"/>
              </w:rPr>
            </w:pPr>
            <w:r w:rsidRPr="00056C2E">
              <w:rPr>
                <w:rFonts w:ascii="Times New Roman" w:hAnsi="Times New Roman"/>
                <w:color w:val="000000" w:themeColor="text1"/>
                <w:sz w:val="24"/>
                <w:szCs w:val="24"/>
              </w:rPr>
              <w:t>Izglītības un zinātnes ministrija 1449853 EUR (ERAF1232375;VB 217478);</w:t>
            </w:r>
          </w:p>
          <w:p w14:paraId="34D8E078" w14:textId="77777777" w:rsidR="00056C2E" w:rsidRPr="00E8395D" w:rsidRDefault="00056C2E" w:rsidP="00056C2E">
            <w:pPr>
              <w:pStyle w:val="ListParagraph"/>
              <w:numPr>
                <w:ilvl w:val="0"/>
                <w:numId w:val="10"/>
              </w:numPr>
              <w:spacing w:after="0" w:line="240" w:lineRule="auto"/>
              <w:ind w:left="502"/>
              <w:jc w:val="both"/>
              <w:rPr>
                <w:rFonts w:ascii="Times New Roman" w:hAnsi="Times New Roman"/>
                <w:color w:val="000000" w:themeColor="text1"/>
                <w:sz w:val="24"/>
                <w:szCs w:val="24"/>
              </w:rPr>
            </w:pPr>
            <w:r w:rsidRPr="00056C2E">
              <w:rPr>
                <w:rFonts w:ascii="Times New Roman" w:hAnsi="Times New Roman"/>
                <w:color w:val="000000" w:themeColor="text1"/>
                <w:sz w:val="24"/>
                <w:szCs w:val="24"/>
              </w:rPr>
              <w:t xml:space="preserve">Labklājības ministrija </w:t>
            </w:r>
            <w:r w:rsidRPr="00E8395D">
              <w:rPr>
                <w:rFonts w:ascii="Times New Roman" w:hAnsi="Times New Roman"/>
                <w:color w:val="000000" w:themeColor="text1"/>
                <w:sz w:val="24"/>
                <w:szCs w:val="24"/>
              </w:rPr>
              <w:t>64030 EUR (ERAF 54425; VB 9605);</w:t>
            </w:r>
          </w:p>
          <w:p w14:paraId="7F281C1A" w14:textId="77777777" w:rsidR="00056C2E" w:rsidRPr="00E8395D" w:rsidRDefault="00056C2E" w:rsidP="00056C2E">
            <w:pPr>
              <w:pStyle w:val="ListParagraph"/>
              <w:numPr>
                <w:ilvl w:val="0"/>
                <w:numId w:val="10"/>
              </w:numPr>
              <w:spacing w:after="0" w:line="240" w:lineRule="auto"/>
              <w:ind w:left="502"/>
              <w:jc w:val="both"/>
              <w:rPr>
                <w:rFonts w:ascii="Times New Roman" w:hAnsi="Times New Roman"/>
                <w:strike/>
                <w:color w:val="000000" w:themeColor="text1"/>
                <w:sz w:val="24"/>
                <w:szCs w:val="24"/>
              </w:rPr>
            </w:pPr>
            <w:r w:rsidRPr="00E8395D">
              <w:rPr>
                <w:rFonts w:ascii="Times New Roman" w:hAnsi="Times New Roman"/>
                <w:color w:val="000000" w:themeColor="text1"/>
                <w:sz w:val="24"/>
                <w:szCs w:val="24"/>
              </w:rPr>
              <w:t>Tieslietu ministrija 55068 EUR  (ERAF 46807;VB 8261);</w:t>
            </w:r>
          </w:p>
          <w:p w14:paraId="40CB20B5" w14:textId="77777777" w:rsidR="00056C2E" w:rsidRPr="00E8395D" w:rsidRDefault="00056C2E" w:rsidP="00056C2E">
            <w:pPr>
              <w:pStyle w:val="ListParagraph"/>
              <w:numPr>
                <w:ilvl w:val="0"/>
                <w:numId w:val="10"/>
              </w:numPr>
              <w:spacing w:after="0" w:line="240" w:lineRule="auto"/>
              <w:ind w:left="502"/>
              <w:jc w:val="both"/>
              <w:rPr>
                <w:rFonts w:ascii="Times New Roman" w:hAnsi="Times New Roman"/>
                <w:strike/>
                <w:color w:val="000000" w:themeColor="text1"/>
                <w:sz w:val="24"/>
                <w:szCs w:val="24"/>
              </w:rPr>
            </w:pPr>
            <w:r w:rsidRPr="00E8395D">
              <w:rPr>
                <w:rFonts w:ascii="Times New Roman" w:hAnsi="Times New Roman"/>
                <w:color w:val="000000" w:themeColor="text1"/>
                <w:sz w:val="24"/>
                <w:szCs w:val="24"/>
              </w:rPr>
              <w:t>Veselības ministrija 7004 EUR (ERAF 5953; VB 1051);</w:t>
            </w:r>
          </w:p>
          <w:p w14:paraId="4BB2A4FB" w14:textId="77777777" w:rsidR="00056C2E" w:rsidRPr="00E8395D" w:rsidRDefault="00056C2E" w:rsidP="00056C2E">
            <w:pPr>
              <w:pStyle w:val="ListParagraph"/>
              <w:numPr>
                <w:ilvl w:val="0"/>
                <w:numId w:val="10"/>
              </w:numPr>
              <w:spacing w:after="0" w:line="240" w:lineRule="auto"/>
              <w:ind w:left="502"/>
              <w:jc w:val="both"/>
              <w:rPr>
                <w:rFonts w:ascii="Times New Roman" w:hAnsi="Times New Roman"/>
                <w:color w:val="000000" w:themeColor="text1"/>
                <w:sz w:val="24"/>
                <w:szCs w:val="24"/>
              </w:rPr>
            </w:pPr>
            <w:r w:rsidRPr="00E8395D">
              <w:rPr>
                <w:rFonts w:ascii="Times New Roman" w:hAnsi="Times New Roman"/>
                <w:color w:val="000000" w:themeColor="text1"/>
                <w:sz w:val="24"/>
                <w:szCs w:val="24"/>
              </w:rPr>
              <w:t>Vides aizsardzības ministrija 17513 EUR ( ERAF 14886; VB 2627):</w:t>
            </w:r>
          </w:p>
          <w:p w14:paraId="1F701A3C" w14:textId="5B8B6647" w:rsidR="00056C2E" w:rsidRPr="00E8395D" w:rsidRDefault="00056C2E" w:rsidP="00056C2E">
            <w:pPr>
              <w:pStyle w:val="ListParagraph"/>
              <w:numPr>
                <w:ilvl w:val="0"/>
                <w:numId w:val="10"/>
              </w:numPr>
              <w:spacing w:after="0" w:line="240" w:lineRule="auto"/>
              <w:ind w:left="502"/>
              <w:jc w:val="both"/>
              <w:rPr>
                <w:rFonts w:ascii="Times New Roman" w:hAnsi="Times New Roman"/>
                <w:color w:val="000000" w:themeColor="text1"/>
                <w:sz w:val="24"/>
                <w:szCs w:val="24"/>
              </w:rPr>
            </w:pPr>
            <w:r w:rsidRPr="00E8395D">
              <w:rPr>
                <w:rFonts w:ascii="Times New Roman" w:hAnsi="Times New Roman"/>
                <w:color w:val="000000" w:themeColor="text1"/>
                <w:sz w:val="24"/>
                <w:szCs w:val="24"/>
              </w:rPr>
              <w:t>Zemkopības ministrija 8</w:t>
            </w:r>
            <w:r w:rsidR="009A5E3C" w:rsidRPr="00E8395D">
              <w:rPr>
                <w:rFonts w:ascii="Times New Roman" w:hAnsi="Times New Roman"/>
                <w:color w:val="000000" w:themeColor="text1"/>
                <w:sz w:val="24"/>
                <w:szCs w:val="24"/>
              </w:rPr>
              <w:t xml:space="preserve">28 187 </w:t>
            </w:r>
            <w:r w:rsidRPr="00E8395D">
              <w:rPr>
                <w:rFonts w:ascii="Times New Roman" w:hAnsi="Times New Roman"/>
                <w:color w:val="000000" w:themeColor="text1"/>
                <w:sz w:val="24"/>
                <w:szCs w:val="24"/>
              </w:rPr>
              <w:t>EUR ( ERAF 7</w:t>
            </w:r>
            <w:r w:rsidR="009A5E3C" w:rsidRPr="00E8395D">
              <w:rPr>
                <w:rFonts w:ascii="Times New Roman" w:hAnsi="Times New Roman"/>
                <w:color w:val="000000" w:themeColor="text1"/>
                <w:sz w:val="24"/>
                <w:szCs w:val="24"/>
              </w:rPr>
              <w:t>03 959</w:t>
            </w:r>
            <w:r w:rsidRPr="00E8395D">
              <w:rPr>
                <w:rFonts w:ascii="Times New Roman" w:hAnsi="Times New Roman"/>
                <w:color w:val="000000" w:themeColor="text1"/>
                <w:sz w:val="24"/>
                <w:szCs w:val="24"/>
              </w:rPr>
              <w:t xml:space="preserve">; VB </w:t>
            </w:r>
            <w:r w:rsidR="009A5E3C" w:rsidRPr="00E8395D">
              <w:rPr>
                <w:rFonts w:ascii="Times New Roman" w:hAnsi="Times New Roman"/>
                <w:color w:val="000000" w:themeColor="text1"/>
                <w:sz w:val="24"/>
                <w:szCs w:val="24"/>
              </w:rPr>
              <w:t>124 228</w:t>
            </w:r>
            <w:r w:rsidRPr="00E8395D">
              <w:rPr>
                <w:rFonts w:ascii="Times New Roman" w:hAnsi="Times New Roman"/>
                <w:color w:val="000000" w:themeColor="text1"/>
                <w:sz w:val="24"/>
                <w:szCs w:val="24"/>
              </w:rPr>
              <w:t>);</w:t>
            </w:r>
          </w:p>
          <w:p w14:paraId="23255323" w14:textId="20656D9B" w:rsidR="00814BD2" w:rsidRPr="00E8395D" w:rsidRDefault="00056C2E" w:rsidP="00056C2E">
            <w:pPr>
              <w:pStyle w:val="ListParagraph"/>
              <w:numPr>
                <w:ilvl w:val="0"/>
                <w:numId w:val="13"/>
              </w:numPr>
              <w:spacing w:after="0" w:line="240" w:lineRule="auto"/>
              <w:jc w:val="both"/>
              <w:rPr>
                <w:rFonts w:ascii="Times New Roman" w:hAnsi="Times New Roman"/>
                <w:color w:val="000000" w:themeColor="text1"/>
                <w:sz w:val="24"/>
                <w:szCs w:val="24"/>
              </w:rPr>
            </w:pPr>
            <w:r w:rsidRPr="00E8395D">
              <w:rPr>
                <w:rFonts w:ascii="Times New Roman" w:hAnsi="Times New Roman"/>
                <w:color w:val="000000" w:themeColor="text1"/>
                <w:sz w:val="24"/>
                <w:szCs w:val="24"/>
              </w:rPr>
              <w:t>VAS “Valsts nekustamie īpašumi” 9370 EUR ( ERAF 7964; VB 1406</w:t>
            </w:r>
            <w:r w:rsidR="00602249" w:rsidRPr="00E8395D">
              <w:rPr>
                <w:rFonts w:ascii="Times New Roman" w:hAnsi="Times New Roman"/>
                <w:color w:val="000000" w:themeColor="text1"/>
                <w:sz w:val="24"/>
                <w:szCs w:val="24"/>
              </w:rPr>
              <w:t>).</w:t>
            </w:r>
          </w:p>
          <w:p w14:paraId="7AEA4CD8" w14:textId="77777777" w:rsidR="00056C2E" w:rsidRPr="00E8395D" w:rsidRDefault="00056C2E" w:rsidP="00056C2E">
            <w:pPr>
              <w:pStyle w:val="ListParagraph"/>
              <w:spacing w:after="0" w:line="240" w:lineRule="auto"/>
              <w:ind w:left="862"/>
              <w:jc w:val="both"/>
              <w:rPr>
                <w:rFonts w:ascii="Times New Roman" w:hAnsi="Times New Roman"/>
                <w:color w:val="000000" w:themeColor="text1"/>
                <w:sz w:val="24"/>
                <w:szCs w:val="24"/>
              </w:rPr>
            </w:pPr>
          </w:p>
          <w:p w14:paraId="624F7C5A" w14:textId="31FCC1CC" w:rsidR="00B53F77" w:rsidRDefault="008942A6" w:rsidP="00376F9C">
            <w:pPr>
              <w:spacing w:after="0" w:line="240" w:lineRule="auto"/>
              <w:jc w:val="both"/>
              <w:rPr>
                <w:rFonts w:ascii="Times New Roman" w:hAnsi="Times New Roman"/>
                <w:sz w:val="24"/>
                <w:szCs w:val="24"/>
              </w:rPr>
            </w:pPr>
            <w:r w:rsidRPr="00E8395D">
              <w:rPr>
                <w:rFonts w:ascii="Times New Roman" w:hAnsi="Times New Roman"/>
                <w:color w:val="000000" w:themeColor="text1"/>
                <w:sz w:val="24"/>
                <w:szCs w:val="24"/>
              </w:rPr>
              <w:t xml:space="preserve">Kopā neizlietotais finansējums sastāda </w:t>
            </w:r>
            <w:r w:rsidR="00602249" w:rsidRPr="00E8395D">
              <w:rPr>
                <w:rFonts w:ascii="Times New Roman" w:hAnsi="Times New Roman"/>
                <w:color w:val="000000" w:themeColor="text1"/>
                <w:sz w:val="24"/>
                <w:szCs w:val="24"/>
              </w:rPr>
              <w:t>3</w:t>
            </w:r>
            <w:r w:rsidR="009A5E3C" w:rsidRPr="00E8395D">
              <w:rPr>
                <w:rFonts w:ascii="Times New Roman" w:hAnsi="Times New Roman"/>
                <w:color w:val="000000" w:themeColor="text1"/>
                <w:sz w:val="24"/>
                <w:szCs w:val="24"/>
              </w:rPr>
              <w:t> </w:t>
            </w:r>
            <w:r w:rsidR="00602249" w:rsidRPr="00E8395D">
              <w:rPr>
                <w:rFonts w:ascii="Times New Roman" w:hAnsi="Times New Roman"/>
                <w:color w:val="000000" w:themeColor="text1"/>
                <w:sz w:val="24"/>
                <w:szCs w:val="24"/>
              </w:rPr>
              <w:t>8</w:t>
            </w:r>
            <w:r w:rsidR="009A5E3C" w:rsidRPr="00E8395D">
              <w:rPr>
                <w:rFonts w:ascii="Times New Roman" w:hAnsi="Times New Roman"/>
                <w:color w:val="000000" w:themeColor="text1"/>
                <w:sz w:val="24"/>
                <w:szCs w:val="24"/>
              </w:rPr>
              <w:t>52 742</w:t>
            </w:r>
            <w:r w:rsidR="00602249" w:rsidRPr="00E8395D">
              <w:rPr>
                <w:rFonts w:ascii="Times New Roman" w:hAnsi="Times New Roman"/>
                <w:color w:val="000000" w:themeColor="text1"/>
                <w:sz w:val="24"/>
                <w:szCs w:val="24"/>
              </w:rPr>
              <w:t xml:space="preserve"> EUR (ERAF </w:t>
            </w:r>
            <w:r w:rsidR="009A5E3C" w:rsidRPr="00E8395D">
              <w:rPr>
                <w:rFonts w:ascii="Times New Roman" w:hAnsi="Times New Roman"/>
                <w:color w:val="000000" w:themeColor="text1"/>
                <w:sz w:val="24"/>
                <w:szCs w:val="24"/>
              </w:rPr>
              <w:t>3274 828</w:t>
            </w:r>
            <w:r w:rsidR="00602249" w:rsidRPr="00E8395D">
              <w:rPr>
                <w:rFonts w:ascii="Times New Roman" w:hAnsi="Times New Roman"/>
                <w:color w:val="000000" w:themeColor="text1"/>
                <w:sz w:val="24"/>
                <w:szCs w:val="24"/>
              </w:rPr>
              <w:t xml:space="preserve"> EUR; VB   </w:t>
            </w:r>
            <w:r w:rsidR="009A5E3C" w:rsidRPr="00E8395D">
              <w:rPr>
                <w:rFonts w:ascii="Times New Roman" w:hAnsi="Times New Roman"/>
                <w:color w:val="000000" w:themeColor="text1"/>
                <w:sz w:val="24"/>
                <w:szCs w:val="24"/>
              </w:rPr>
              <w:t xml:space="preserve">537052 </w:t>
            </w:r>
            <w:r w:rsidR="00602249" w:rsidRPr="00E8395D">
              <w:rPr>
                <w:rFonts w:ascii="Times New Roman" w:hAnsi="Times New Roman"/>
                <w:color w:val="000000" w:themeColor="text1"/>
                <w:sz w:val="24"/>
                <w:szCs w:val="24"/>
              </w:rPr>
              <w:t>EUR)</w:t>
            </w:r>
            <w:r w:rsidRPr="00E8395D">
              <w:rPr>
                <w:rFonts w:ascii="Times New Roman" w:hAnsi="Times New Roman"/>
                <w:color w:val="000000" w:themeColor="text1"/>
                <w:sz w:val="24"/>
                <w:szCs w:val="24"/>
              </w:rPr>
              <w:t xml:space="preserve">, no kuriem </w:t>
            </w:r>
            <w:r w:rsidR="00602249" w:rsidRPr="00E8395D">
              <w:rPr>
                <w:rFonts w:ascii="Times New Roman" w:hAnsi="Times New Roman"/>
                <w:color w:val="000000" w:themeColor="text1"/>
                <w:sz w:val="24"/>
                <w:szCs w:val="24"/>
              </w:rPr>
              <w:t>299</w:t>
            </w:r>
            <w:r w:rsidR="009A5E3C" w:rsidRPr="00E8395D">
              <w:rPr>
                <w:rFonts w:ascii="Times New Roman" w:hAnsi="Times New Roman"/>
                <w:color w:val="000000" w:themeColor="text1"/>
                <w:sz w:val="24"/>
                <w:szCs w:val="24"/>
              </w:rPr>
              <w:t xml:space="preserve"> </w:t>
            </w:r>
            <w:r w:rsidR="00602249" w:rsidRPr="00E8395D">
              <w:rPr>
                <w:rFonts w:ascii="Times New Roman" w:hAnsi="Times New Roman"/>
                <w:color w:val="000000" w:themeColor="text1"/>
                <w:sz w:val="24"/>
                <w:szCs w:val="24"/>
              </w:rPr>
              <w:t xml:space="preserve">036 EUR (ERAF 254180 EUR; VB 44856 </w:t>
            </w:r>
            <w:r w:rsidR="00602249" w:rsidRPr="00602249">
              <w:rPr>
                <w:rFonts w:ascii="Times New Roman" w:hAnsi="Times New Roman"/>
                <w:color w:val="000000" w:themeColor="text1"/>
                <w:sz w:val="24"/>
                <w:szCs w:val="24"/>
              </w:rPr>
              <w:t xml:space="preserve">EUR) </w:t>
            </w:r>
            <w:r w:rsidRPr="008942A6">
              <w:rPr>
                <w:rFonts w:ascii="Times New Roman" w:hAnsi="Times New Roman"/>
                <w:sz w:val="24"/>
                <w:szCs w:val="24"/>
              </w:rPr>
              <w:t>plānots novirzīt 4.2.1.2. pasākuma pirmās iesnieguma atlases kārtas projektiem, kuriem nepieciešams papildus finansējums. Ņemot vērā, ka Labklājības ministrijai ir kvotu atlikums, summa tiek novirzīta finansējuma nepieciešamībai.</w:t>
            </w:r>
          </w:p>
          <w:p w14:paraId="634EEC4B" w14:textId="77777777" w:rsidR="00B53F77" w:rsidRPr="00406688" w:rsidRDefault="00B53F77" w:rsidP="00376F9C">
            <w:pPr>
              <w:spacing w:after="0" w:line="240" w:lineRule="auto"/>
              <w:jc w:val="both"/>
              <w:rPr>
                <w:rFonts w:ascii="Times New Roman" w:hAnsi="Times New Roman"/>
                <w:sz w:val="24"/>
                <w:szCs w:val="24"/>
              </w:rPr>
            </w:pPr>
          </w:p>
          <w:p w14:paraId="4986F5E8" w14:textId="77777777" w:rsidR="00376F9C" w:rsidRPr="00406688" w:rsidRDefault="00376F9C" w:rsidP="00376F9C">
            <w:pPr>
              <w:spacing w:after="0" w:line="240" w:lineRule="auto"/>
              <w:jc w:val="both"/>
              <w:rPr>
                <w:rFonts w:ascii="Times New Roman" w:hAnsi="Times New Roman"/>
                <w:sz w:val="24"/>
                <w:szCs w:val="24"/>
              </w:rPr>
            </w:pPr>
            <w:r w:rsidRPr="00406688">
              <w:rPr>
                <w:rFonts w:ascii="Times New Roman" w:hAnsi="Times New Roman"/>
                <w:sz w:val="24"/>
                <w:szCs w:val="24"/>
              </w:rPr>
              <w:t>4.2.1.2. pasākuma pirmās iesniegumu atlases kārtas ietvaros identificētas sekojošas papildus finansējuma nepieciešamības:</w:t>
            </w:r>
          </w:p>
          <w:p w14:paraId="59948F9C" w14:textId="266B0DC6" w:rsidR="00376F9C" w:rsidRPr="00406688" w:rsidRDefault="00376F9C" w:rsidP="00376F9C">
            <w:pPr>
              <w:pStyle w:val="ListParagraph"/>
              <w:numPr>
                <w:ilvl w:val="0"/>
                <w:numId w:val="11"/>
              </w:numPr>
              <w:spacing w:after="0" w:line="240" w:lineRule="auto"/>
              <w:jc w:val="both"/>
              <w:rPr>
                <w:rFonts w:ascii="Times New Roman" w:hAnsi="Times New Roman"/>
                <w:sz w:val="24"/>
                <w:szCs w:val="24"/>
              </w:rPr>
            </w:pPr>
            <w:r w:rsidRPr="00406688">
              <w:rPr>
                <w:rFonts w:ascii="Times New Roman" w:hAnsi="Times New Roman"/>
                <w:sz w:val="24"/>
                <w:szCs w:val="24"/>
              </w:rPr>
              <w:t xml:space="preserve">Kultūras ministrija </w:t>
            </w:r>
            <w:r w:rsidRPr="00496E53">
              <w:rPr>
                <w:rFonts w:ascii="Times New Roman" w:hAnsi="Times New Roman"/>
                <w:sz w:val="24"/>
                <w:szCs w:val="24"/>
              </w:rPr>
              <w:t xml:space="preserve">101 385 </w:t>
            </w:r>
            <w:r w:rsidRPr="00406688">
              <w:rPr>
                <w:rFonts w:ascii="Times New Roman" w:hAnsi="Times New Roman"/>
                <w:sz w:val="24"/>
                <w:szCs w:val="24"/>
              </w:rPr>
              <w:t>EUR (projekts:</w:t>
            </w:r>
            <w:r w:rsidR="00DA0523">
              <w:rPr>
                <w:rFonts w:ascii="Times New Roman" w:hAnsi="Times New Roman"/>
                <w:sz w:val="24"/>
                <w:szCs w:val="24"/>
              </w:rPr>
              <w:t xml:space="preserve"> </w:t>
            </w:r>
            <w:r w:rsidRPr="00406688">
              <w:rPr>
                <w:rFonts w:ascii="Times New Roman" w:hAnsi="Times New Roman"/>
                <w:sz w:val="24"/>
                <w:szCs w:val="24"/>
              </w:rPr>
              <w:t xml:space="preserve">“Energoefektivitātes paaugstināšana ēkā </w:t>
            </w:r>
            <w:r w:rsidR="00F94A11">
              <w:rPr>
                <w:rFonts w:ascii="Times New Roman" w:hAnsi="Times New Roman"/>
                <w:sz w:val="24"/>
                <w:szCs w:val="24"/>
              </w:rPr>
              <w:t xml:space="preserve"> </w:t>
            </w:r>
            <w:r w:rsidRPr="00406688">
              <w:rPr>
                <w:rFonts w:ascii="Times New Roman" w:hAnsi="Times New Roman"/>
                <w:sz w:val="24"/>
                <w:szCs w:val="24"/>
              </w:rPr>
              <w:t xml:space="preserve"> </w:t>
            </w:r>
            <w:proofErr w:type="spellStart"/>
            <w:r w:rsidR="00DA0523" w:rsidRPr="00406688">
              <w:rPr>
                <w:rFonts w:ascii="Times New Roman" w:hAnsi="Times New Roman"/>
                <w:sz w:val="24"/>
                <w:szCs w:val="24"/>
              </w:rPr>
              <w:t>A.Briāna</w:t>
            </w:r>
            <w:proofErr w:type="spellEnd"/>
            <w:r w:rsidR="00DA0523" w:rsidRPr="00406688">
              <w:rPr>
                <w:rFonts w:ascii="Times New Roman" w:hAnsi="Times New Roman"/>
                <w:sz w:val="24"/>
                <w:szCs w:val="24"/>
              </w:rPr>
              <w:t xml:space="preserve"> ielā 13, Rīgā</w:t>
            </w:r>
            <w:r w:rsidR="00DA0523">
              <w:rPr>
                <w:rFonts w:ascii="Times New Roman" w:hAnsi="Times New Roman"/>
                <w:sz w:val="24"/>
                <w:szCs w:val="24"/>
              </w:rPr>
              <w:t>).</w:t>
            </w:r>
          </w:p>
          <w:p w14:paraId="335634B5" w14:textId="77777777" w:rsidR="00376F9C" w:rsidRPr="00406688" w:rsidRDefault="00376F9C" w:rsidP="00376F9C">
            <w:pPr>
              <w:pStyle w:val="ListParagraph"/>
              <w:numPr>
                <w:ilvl w:val="0"/>
                <w:numId w:val="11"/>
              </w:numPr>
              <w:spacing w:after="0" w:line="240" w:lineRule="auto"/>
              <w:jc w:val="both"/>
              <w:rPr>
                <w:rFonts w:ascii="Times New Roman" w:hAnsi="Times New Roman"/>
                <w:sz w:val="24"/>
                <w:szCs w:val="24"/>
              </w:rPr>
            </w:pPr>
            <w:r w:rsidRPr="00406688">
              <w:rPr>
                <w:rFonts w:ascii="Times New Roman" w:hAnsi="Times New Roman"/>
                <w:sz w:val="24"/>
                <w:szCs w:val="24"/>
              </w:rPr>
              <w:t>Labklājības ministrija 261 681 EUR (projekts: “Energoefektivitātes paaugstināšanas pasākumi VSAC „Kurzeme” filiāles „Veģi” ēkā”).</w:t>
            </w:r>
          </w:p>
          <w:p w14:paraId="0D30BFDA" w14:textId="71846A0D" w:rsidR="00376F9C" w:rsidRDefault="00376F9C" w:rsidP="00376F9C">
            <w:pPr>
              <w:spacing w:after="0" w:line="240" w:lineRule="auto"/>
              <w:jc w:val="both"/>
              <w:rPr>
                <w:rFonts w:ascii="Times New Roman" w:hAnsi="Times New Roman"/>
                <w:sz w:val="24"/>
                <w:szCs w:val="24"/>
              </w:rPr>
            </w:pPr>
            <w:r w:rsidRPr="00406688">
              <w:rPr>
                <w:rFonts w:ascii="Times New Roman" w:hAnsi="Times New Roman"/>
                <w:sz w:val="24"/>
                <w:szCs w:val="24"/>
              </w:rPr>
              <w:t>Skaidrojam, ka Kultūras ministrijai norādīt</w:t>
            </w:r>
            <w:r w:rsidR="00E52C65">
              <w:rPr>
                <w:rFonts w:ascii="Times New Roman" w:hAnsi="Times New Roman"/>
                <w:sz w:val="24"/>
                <w:szCs w:val="24"/>
              </w:rPr>
              <w:t>a</w:t>
            </w:r>
            <w:r w:rsidRPr="00406688">
              <w:rPr>
                <w:rFonts w:ascii="Times New Roman" w:hAnsi="Times New Roman"/>
                <w:sz w:val="24"/>
                <w:szCs w:val="24"/>
              </w:rPr>
              <w:t xml:space="preserve"> papildus finansējuma nepieciešamība izveidojusies dažādos projektos, tādēļ veikta attiecīgi nepieciešamā finansējuma pārdale Kultūras ministrijas kvotai.</w:t>
            </w:r>
          </w:p>
          <w:p w14:paraId="7FE57838" w14:textId="77777777" w:rsidR="00602249" w:rsidRDefault="00602249" w:rsidP="00376F9C">
            <w:pPr>
              <w:spacing w:after="0" w:line="240" w:lineRule="auto"/>
              <w:jc w:val="both"/>
              <w:rPr>
                <w:rFonts w:ascii="Times New Roman" w:hAnsi="Times New Roman"/>
                <w:sz w:val="24"/>
                <w:szCs w:val="24"/>
              </w:rPr>
            </w:pPr>
          </w:p>
          <w:p w14:paraId="1AD2CD96" w14:textId="27B5E242" w:rsidR="00B53F77" w:rsidRDefault="00B53F77" w:rsidP="00376F9C">
            <w:pPr>
              <w:spacing w:after="0" w:line="240" w:lineRule="auto"/>
              <w:jc w:val="both"/>
              <w:rPr>
                <w:rFonts w:ascii="Times New Roman" w:hAnsi="Times New Roman"/>
                <w:sz w:val="24"/>
                <w:szCs w:val="24"/>
              </w:rPr>
            </w:pPr>
            <w:r w:rsidRPr="008942A6">
              <w:rPr>
                <w:rFonts w:ascii="Times New Roman" w:hAnsi="Times New Roman"/>
                <w:sz w:val="24"/>
                <w:szCs w:val="24"/>
              </w:rPr>
              <w:t xml:space="preserve">Uz 30.04.2021. kopējie 4.2.1.2.pasākuma </w:t>
            </w:r>
            <w:r w:rsidR="00076729">
              <w:rPr>
                <w:rFonts w:ascii="Times New Roman" w:hAnsi="Times New Roman"/>
                <w:sz w:val="24"/>
                <w:szCs w:val="24"/>
              </w:rPr>
              <w:t xml:space="preserve">pirmās iesniegumu atlases </w:t>
            </w:r>
            <w:r w:rsidRPr="008942A6">
              <w:rPr>
                <w:rFonts w:ascii="Times New Roman" w:hAnsi="Times New Roman"/>
                <w:sz w:val="24"/>
                <w:szCs w:val="24"/>
              </w:rPr>
              <w:t xml:space="preserve">kārtas projektu ietaupījumi un neatbilstoši veiktie izdevumi, kas ir atskaitīti no projektu attiecināmajām izmaksām, un kurus nevar izmantot un pārdalīt citiem projektiem/darbībām (atbilstoši 2020.gada 22.septembra </w:t>
            </w:r>
            <w:proofErr w:type="spellStart"/>
            <w:r w:rsidRPr="008942A6">
              <w:rPr>
                <w:rFonts w:ascii="Times New Roman" w:hAnsi="Times New Roman"/>
                <w:sz w:val="24"/>
                <w:szCs w:val="24"/>
              </w:rPr>
              <w:t>protokollēmuma</w:t>
            </w:r>
            <w:proofErr w:type="spellEnd"/>
            <w:r w:rsidRPr="008942A6">
              <w:rPr>
                <w:rFonts w:ascii="Times New Roman" w:hAnsi="Times New Roman"/>
                <w:sz w:val="24"/>
                <w:szCs w:val="24"/>
              </w:rPr>
              <w:t xml:space="preserve"> 30.paragrāfa 2.1.apakšpunktam) sastāda 384631EUR (ERAF 326936; VB 57695</w:t>
            </w:r>
            <w:r w:rsidRPr="008942A6">
              <w:rPr>
                <w:rFonts w:ascii="Times New Roman" w:hAnsi="Times New Roman"/>
                <w:i/>
                <w:iCs/>
                <w:sz w:val="24"/>
                <w:szCs w:val="24"/>
              </w:rPr>
              <w:t>), s</w:t>
            </w:r>
            <w:r w:rsidRPr="008942A6">
              <w:rPr>
                <w:rFonts w:ascii="Times New Roman" w:hAnsi="Times New Roman"/>
                <w:sz w:val="24"/>
                <w:szCs w:val="24"/>
              </w:rPr>
              <w:t>ummu atstājot pasākuma 4.2.1.2  pirmās iesniegumu atlases kārtā.</w:t>
            </w:r>
          </w:p>
          <w:p w14:paraId="32A0FB78" w14:textId="77777777" w:rsidR="00B53F77" w:rsidRDefault="00B53F77" w:rsidP="00376F9C">
            <w:pPr>
              <w:spacing w:after="0" w:line="240" w:lineRule="auto"/>
              <w:jc w:val="both"/>
              <w:rPr>
                <w:rFonts w:ascii="Times New Roman" w:hAnsi="Times New Roman"/>
                <w:sz w:val="24"/>
                <w:szCs w:val="24"/>
              </w:rPr>
            </w:pPr>
          </w:p>
          <w:p w14:paraId="4EECF99F" w14:textId="38F0F190" w:rsidR="00B53F77" w:rsidRPr="007C4629" w:rsidRDefault="00B53F77" w:rsidP="00B53F77">
            <w:pPr>
              <w:spacing w:after="0" w:line="240" w:lineRule="auto"/>
              <w:jc w:val="both"/>
              <w:rPr>
                <w:color w:val="000000" w:themeColor="text1"/>
                <w:sz w:val="24"/>
                <w:szCs w:val="24"/>
              </w:rPr>
            </w:pPr>
            <w:r w:rsidRPr="008942A6">
              <w:rPr>
                <w:rFonts w:ascii="Times New Roman" w:hAnsi="Times New Roman"/>
                <w:sz w:val="24"/>
                <w:szCs w:val="24"/>
              </w:rPr>
              <w:t xml:space="preserve">Vienlaikus  atlikušos </w:t>
            </w:r>
            <w:r w:rsidR="00602249" w:rsidRPr="00E8395D">
              <w:rPr>
                <w:rFonts w:ascii="Times New Roman" w:hAnsi="Times New Roman"/>
                <w:color w:val="000000" w:themeColor="text1"/>
                <w:sz w:val="24"/>
                <w:szCs w:val="24"/>
              </w:rPr>
              <w:t>3</w:t>
            </w:r>
            <w:r w:rsidR="0095322B" w:rsidRPr="00E8395D">
              <w:rPr>
                <w:rFonts w:ascii="Times New Roman" w:hAnsi="Times New Roman"/>
                <w:color w:val="000000" w:themeColor="text1"/>
                <w:sz w:val="24"/>
                <w:szCs w:val="24"/>
              </w:rPr>
              <w:t xml:space="preserve"> </w:t>
            </w:r>
            <w:r w:rsidR="00602249" w:rsidRPr="00E8395D">
              <w:rPr>
                <w:rFonts w:ascii="Times New Roman" w:hAnsi="Times New Roman"/>
                <w:color w:val="000000" w:themeColor="text1"/>
                <w:sz w:val="24"/>
                <w:szCs w:val="24"/>
              </w:rPr>
              <w:t>1</w:t>
            </w:r>
            <w:r w:rsidR="0095322B" w:rsidRPr="00E8395D">
              <w:rPr>
                <w:rFonts w:ascii="Times New Roman" w:hAnsi="Times New Roman"/>
                <w:color w:val="000000" w:themeColor="text1"/>
                <w:sz w:val="24"/>
                <w:szCs w:val="24"/>
              </w:rPr>
              <w:t xml:space="preserve">05 044 </w:t>
            </w:r>
            <w:r w:rsidR="00602249" w:rsidRPr="00E8395D">
              <w:rPr>
                <w:rFonts w:ascii="Times New Roman" w:hAnsi="Times New Roman"/>
                <w:color w:val="000000" w:themeColor="text1"/>
                <w:sz w:val="24"/>
                <w:szCs w:val="24"/>
              </w:rPr>
              <w:t xml:space="preserve">EUR (ERAF </w:t>
            </w:r>
            <w:r w:rsidR="0037021B" w:rsidRPr="00E8395D">
              <w:rPr>
                <w:rFonts w:ascii="Times New Roman" w:hAnsi="Times New Roman"/>
                <w:color w:val="000000" w:themeColor="text1"/>
                <w:sz w:val="24"/>
                <w:szCs w:val="24"/>
              </w:rPr>
              <w:t>2</w:t>
            </w:r>
            <w:r w:rsidR="0095322B" w:rsidRPr="00E8395D">
              <w:rPr>
                <w:rFonts w:ascii="Times New Roman" w:hAnsi="Times New Roman"/>
                <w:color w:val="000000" w:themeColor="text1"/>
                <w:sz w:val="24"/>
                <w:szCs w:val="24"/>
              </w:rPr>
              <w:t xml:space="preserve"> </w:t>
            </w:r>
            <w:r w:rsidR="0037021B" w:rsidRPr="00E8395D">
              <w:rPr>
                <w:rFonts w:ascii="Times New Roman" w:hAnsi="Times New Roman"/>
                <w:color w:val="000000" w:themeColor="text1"/>
                <w:sz w:val="24"/>
                <w:szCs w:val="24"/>
              </w:rPr>
              <w:t>639</w:t>
            </w:r>
            <w:r w:rsidR="0095322B" w:rsidRPr="00E8395D">
              <w:rPr>
                <w:rFonts w:ascii="Times New Roman" w:hAnsi="Times New Roman"/>
                <w:color w:val="000000" w:themeColor="text1"/>
                <w:sz w:val="24"/>
                <w:szCs w:val="24"/>
              </w:rPr>
              <w:t xml:space="preserve"> </w:t>
            </w:r>
            <w:r w:rsidR="0037021B" w:rsidRPr="00E8395D">
              <w:rPr>
                <w:rFonts w:ascii="Times New Roman" w:hAnsi="Times New Roman"/>
                <w:color w:val="000000" w:themeColor="text1"/>
                <w:sz w:val="24"/>
                <w:szCs w:val="24"/>
              </w:rPr>
              <w:t>287</w:t>
            </w:r>
            <w:r w:rsidR="00602249" w:rsidRPr="00E8395D">
              <w:rPr>
                <w:rFonts w:ascii="Times New Roman" w:hAnsi="Times New Roman"/>
                <w:color w:val="000000" w:themeColor="text1"/>
                <w:sz w:val="24"/>
                <w:szCs w:val="24"/>
              </w:rPr>
              <w:t>; VB</w:t>
            </w:r>
            <w:r w:rsidR="0037021B" w:rsidRPr="00E8395D">
              <w:rPr>
                <w:rFonts w:ascii="Times New Roman" w:hAnsi="Times New Roman"/>
                <w:color w:val="000000" w:themeColor="text1"/>
                <w:sz w:val="24"/>
                <w:szCs w:val="24"/>
              </w:rPr>
              <w:t xml:space="preserve"> 465</w:t>
            </w:r>
            <w:r w:rsidR="0095322B" w:rsidRPr="00E8395D">
              <w:rPr>
                <w:rFonts w:ascii="Times New Roman" w:hAnsi="Times New Roman"/>
                <w:color w:val="000000" w:themeColor="text1"/>
                <w:sz w:val="24"/>
                <w:szCs w:val="24"/>
              </w:rPr>
              <w:t xml:space="preserve"> </w:t>
            </w:r>
            <w:r w:rsidR="0037021B" w:rsidRPr="00E8395D">
              <w:rPr>
                <w:rFonts w:ascii="Times New Roman" w:hAnsi="Times New Roman"/>
                <w:color w:val="000000" w:themeColor="text1"/>
                <w:sz w:val="24"/>
                <w:szCs w:val="24"/>
              </w:rPr>
              <w:t>75</w:t>
            </w:r>
            <w:r w:rsidR="0095322B" w:rsidRPr="00E8395D">
              <w:rPr>
                <w:rFonts w:ascii="Times New Roman" w:hAnsi="Times New Roman"/>
                <w:color w:val="000000" w:themeColor="text1"/>
                <w:sz w:val="24"/>
                <w:szCs w:val="24"/>
              </w:rPr>
              <w:t>7</w:t>
            </w:r>
            <w:r w:rsidR="00602249" w:rsidRPr="00E8395D">
              <w:rPr>
                <w:rFonts w:ascii="Times New Roman" w:hAnsi="Times New Roman"/>
                <w:color w:val="000000" w:themeColor="text1"/>
                <w:sz w:val="24"/>
                <w:szCs w:val="24"/>
              </w:rPr>
              <w:t xml:space="preserve">) </w:t>
            </w:r>
            <w:r w:rsidRPr="00E8395D">
              <w:rPr>
                <w:rFonts w:ascii="Times New Roman" w:hAnsi="Times New Roman"/>
                <w:color w:val="000000" w:themeColor="text1"/>
                <w:sz w:val="24"/>
                <w:szCs w:val="24"/>
              </w:rPr>
              <w:t xml:space="preserve">plānots </w:t>
            </w:r>
            <w:r w:rsidRPr="00602249">
              <w:rPr>
                <w:rFonts w:ascii="Times New Roman" w:hAnsi="Times New Roman"/>
                <w:sz w:val="24"/>
                <w:szCs w:val="24"/>
              </w:rPr>
              <w:t xml:space="preserve">pārdalīt 4.2.1.2. pasākuma otrās iesniegumu atlases kārtas augstas gatavības projektu īstenošanai, no kuriem </w:t>
            </w:r>
            <w:r w:rsidR="00602249" w:rsidRPr="00602249">
              <w:rPr>
                <w:rFonts w:ascii="Times New Roman" w:hAnsi="Times New Roman"/>
                <w:color w:val="000000" w:themeColor="text1"/>
                <w:sz w:val="24"/>
                <w:szCs w:val="24"/>
              </w:rPr>
              <w:t>1 062 416 EUR (ERAF 903053; VB 159363</w:t>
            </w:r>
            <w:r w:rsidR="00602249" w:rsidRPr="007C4629">
              <w:rPr>
                <w:rFonts w:ascii="Times New Roman" w:hAnsi="Times New Roman"/>
                <w:color w:val="000000" w:themeColor="text1"/>
                <w:sz w:val="24"/>
                <w:szCs w:val="24"/>
              </w:rPr>
              <w:t>)</w:t>
            </w:r>
            <w:r w:rsidR="00602249">
              <w:rPr>
                <w:rFonts w:ascii="Times New Roman" w:hAnsi="Times New Roman"/>
                <w:color w:val="000000" w:themeColor="text1"/>
                <w:sz w:val="24"/>
                <w:szCs w:val="24"/>
              </w:rPr>
              <w:t xml:space="preserve"> </w:t>
            </w:r>
            <w:r w:rsidRPr="008942A6">
              <w:rPr>
                <w:rFonts w:ascii="Times New Roman" w:hAnsi="Times New Roman"/>
                <w:sz w:val="24"/>
                <w:szCs w:val="24"/>
              </w:rPr>
              <w:t>atbilstoši papildus finansējuma nepieciešamībai un Protokola Nr. 55 3. punktam</w:t>
            </w:r>
            <w:r w:rsidRPr="007C4629">
              <w:rPr>
                <w:color w:val="000000" w:themeColor="text1"/>
              </w:rPr>
              <w:t xml:space="preserve">. </w:t>
            </w:r>
          </w:p>
          <w:p w14:paraId="054440EE" w14:textId="77777777" w:rsidR="00376F9C" w:rsidRPr="00406688" w:rsidRDefault="00376F9C" w:rsidP="00376F9C">
            <w:pPr>
              <w:spacing w:after="0" w:line="240" w:lineRule="auto"/>
              <w:jc w:val="both"/>
              <w:rPr>
                <w:rFonts w:ascii="Times New Roman" w:hAnsi="Times New Roman"/>
                <w:sz w:val="24"/>
                <w:szCs w:val="24"/>
              </w:rPr>
            </w:pPr>
          </w:p>
          <w:p w14:paraId="66BEEECE" w14:textId="77777777" w:rsidR="001D5C74" w:rsidRPr="002F65E1" w:rsidRDefault="001D5C74" w:rsidP="001D5C74">
            <w:pPr>
              <w:pStyle w:val="ListParagraph"/>
              <w:numPr>
                <w:ilvl w:val="0"/>
                <w:numId w:val="6"/>
              </w:numPr>
              <w:spacing w:after="0"/>
              <w:jc w:val="both"/>
              <w:rPr>
                <w:rFonts w:ascii="Times New Roman" w:hAnsi="Times New Roman"/>
                <w:sz w:val="24"/>
                <w:szCs w:val="24"/>
              </w:rPr>
            </w:pPr>
            <w:r w:rsidRPr="002F65E1">
              <w:rPr>
                <w:rFonts w:ascii="Times New Roman" w:hAnsi="Times New Roman"/>
                <w:b/>
                <w:i/>
                <w:sz w:val="24"/>
                <w:szCs w:val="24"/>
                <w:u w:val="single"/>
              </w:rPr>
              <w:t xml:space="preserve">Izmaiņas sasniedzamajos 4.2.1.2. pasākuma </w:t>
            </w:r>
            <w:r w:rsidRPr="00C12B90">
              <w:rPr>
                <w:rFonts w:ascii="Times New Roman" w:hAnsi="Times New Roman"/>
                <w:b/>
                <w:i/>
                <w:sz w:val="24"/>
                <w:szCs w:val="24"/>
                <w:u w:val="single"/>
              </w:rPr>
              <w:t>pirmās</w:t>
            </w:r>
            <w:r w:rsidRPr="009429E7">
              <w:rPr>
                <w:rFonts w:ascii="Times New Roman" w:hAnsi="Times New Roman"/>
                <w:b/>
                <w:i/>
                <w:sz w:val="24"/>
                <w:szCs w:val="24"/>
                <w:u w:val="single"/>
              </w:rPr>
              <w:t xml:space="preserve"> </w:t>
            </w:r>
            <w:r w:rsidRPr="00C12B90">
              <w:rPr>
                <w:rFonts w:ascii="Times New Roman" w:hAnsi="Times New Roman"/>
                <w:b/>
                <w:i/>
                <w:sz w:val="24"/>
                <w:szCs w:val="24"/>
                <w:u w:val="single"/>
              </w:rPr>
              <w:t>un otrās</w:t>
            </w:r>
            <w:r w:rsidRPr="002F65E1">
              <w:rPr>
                <w:rFonts w:ascii="Times New Roman" w:hAnsi="Times New Roman"/>
                <w:b/>
                <w:i/>
                <w:sz w:val="24"/>
                <w:szCs w:val="24"/>
                <w:u w:val="single"/>
              </w:rPr>
              <w:t xml:space="preserve"> iesniegumu atlases kārtas iznākumu rādītājos.</w:t>
            </w:r>
          </w:p>
          <w:p w14:paraId="45DC4D2C" w14:textId="77777777" w:rsidR="001D5C74" w:rsidRPr="002F65E1" w:rsidRDefault="001D5C74" w:rsidP="001D5C74">
            <w:pPr>
              <w:spacing w:after="0" w:line="240" w:lineRule="auto"/>
              <w:ind w:left="55" w:right="35"/>
              <w:jc w:val="both"/>
              <w:rPr>
                <w:rFonts w:ascii="Times New Roman" w:hAnsi="Times New Roman"/>
                <w:sz w:val="24"/>
                <w:szCs w:val="24"/>
              </w:rPr>
            </w:pPr>
            <w:r w:rsidRPr="002F65E1">
              <w:rPr>
                <w:rFonts w:ascii="Times New Roman" w:hAnsi="Times New Roman"/>
                <w:sz w:val="24"/>
                <w:szCs w:val="24"/>
              </w:rPr>
              <w:lastRenderedPageBreak/>
              <w:t>Ņemot vērā 4.2.1.2. pasākuma publiskā finansējuma apjoma izmaiņas, attiecīgi nepieciešams precizēt arī iznākuma rādītājus, kas tiek aprēķināti proporcionāli pasākuma īstenošanai piešķirtajam finansējuma apmēram.</w:t>
            </w:r>
          </w:p>
          <w:p w14:paraId="2F895FE3" w14:textId="77777777" w:rsidR="001D5C74" w:rsidRPr="002F65E1" w:rsidRDefault="001D5C74" w:rsidP="001D5C74">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Rādītāju vērtības aprēķinātas atbilstoši noteiktajai metodikai “Rādītāju pase investīciju prioritātes specifiskajiem mērķiem” prioritārā virziena “Pāreja uz ekonomiku ar zemu oglekļa emisijas līmeni visās nozarēs” specifiskajam atbalsta mērķim “Veicināt energoefektivitātes paaugstināšanu valsts un dzīvojamās ēkās”.</w:t>
            </w:r>
          </w:p>
          <w:p w14:paraId="44304535" w14:textId="77777777" w:rsidR="001D5C74" w:rsidRPr="002F65E1" w:rsidRDefault="001D5C74" w:rsidP="001D5C74">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Ņemto vērā, ka iepriekš, veicot izmaiņas 4.2.1.2. pasākuma finansējuma apjomā rādītāju vērtības tika neprecīzi pārrēķinātas, šobrīd veicamās izmaiņas minētajās rādītāju vērtībās ir  šķietami neproporcionālas, tomēr vērtības aprēķinātas atbilstoši aktuālajam finansējuma apjomam, izmantojot apstiprinātu metodiku.</w:t>
            </w:r>
          </w:p>
          <w:p w14:paraId="0ADBCF82" w14:textId="07B5D040" w:rsidR="001D5C74" w:rsidRPr="002F65E1" w:rsidRDefault="001D5C74" w:rsidP="001D5C74">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Ņemot vērā, ka darbības programmas “Izaugsme un nodarbinātīb</w:t>
            </w:r>
            <w:r w:rsidR="00076729">
              <w:rPr>
                <w:rFonts w:ascii="Times New Roman" w:hAnsi="Times New Roman"/>
                <w:sz w:val="24"/>
                <w:szCs w:val="24"/>
              </w:rPr>
              <w:t>a</w:t>
            </w:r>
            <w:r w:rsidRPr="002F65E1">
              <w:rPr>
                <w:rFonts w:ascii="Times New Roman" w:hAnsi="Times New Roman"/>
                <w:sz w:val="24"/>
                <w:szCs w:val="24"/>
              </w:rPr>
              <w:t>”" 4.2.1. specifiskā atbalsta mērķa “Veicināt energoefektivitātes paaugstināšanu valsts un dzīvojamās ēkās” ietvaros tiek īstenoti divi pasākumi (4.2.1.1. pasākums “Veicināt energoefektivitātes paaugstināšanu dzīvojamās ēkās” un 4.2.1.2. pasākums “Veicināt energoefektivitātes paaugstināšanu valsts ēkās”, rādītāju vērtības tiek rēķinātas vienas rādītāju pases ietvaros abiem pasākumiem. Lai nonāktu pie precīzām katra pasākuma iznākuma rādītāju vērtībām, specifiskā atbalsta mērķa kopējais iznākuma rādītājs tiek sadalīts proporcionāli piešķirtajam finansējuma apjomam katrā pasākumā. Savukārt, ņemot vērā, ka 4.2.1.2. pasākums iedalīts divās kārtās, iznākuma rādītāja vērtība sadalīta 4.2.1.2. pasākuma kārtām proporcionāli kārtām piešķirtajam finansējuma apjomam, attiecīgi:</w:t>
            </w:r>
          </w:p>
          <w:p w14:paraId="2DB46C1E" w14:textId="2B5536CB" w:rsidR="001D5C74" w:rsidRPr="002F65E1" w:rsidRDefault="001D5C74" w:rsidP="001D5C74">
            <w:pPr>
              <w:pStyle w:val="ListParagraph"/>
              <w:numPr>
                <w:ilvl w:val="0"/>
                <w:numId w:val="9"/>
              </w:numPr>
              <w:spacing w:after="0" w:line="240" w:lineRule="auto"/>
              <w:ind w:right="35"/>
              <w:jc w:val="both"/>
              <w:rPr>
                <w:rFonts w:ascii="Times New Roman" w:hAnsi="Times New Roman"/>
                <w:sz w:val="24"/>
                <w:szCs w:val="24"/>
              </w:rPr>
            </w:pPr>
            <w:r w:rsidRPr="002F65E1">
              <w:rPr>
                <w:rFonts w:ascii="Times New Roman" w:hAnsi="Times New Roman"/>
                <w:sz w:val="24"/>
                <w:szCs w:val="24"/>
              </w:rPr>
              <w:t xml:space="preserve">Pirmajā </w:t>
            </w:r>
            <w:r w:rsidR="00076729">
              <w:rPr>
                <w:rFonts w:ascii="Times New Roman" w:hAnsi="Times New Roman"/>
                <w:sz w:val="24"/>
                <w:szCs w:val="24"/>
              </w:rPr>
              <w:t xml:space="preserve">projektu </w:t>
            </w:r>
            <w:r w:rsidRPr="002F65E1">
              <w:rPr>
                <w:rFonts w:ascii="Times New Roman" w:hAnsi="Times New Roman"/>
                <w:sz w:val="24"/>
                <w:szCs w:val="24"/>
              </w:rPr>
              <w:t xml:space="preserve">iesniegumu atlases kārtā: primārās enerģijas gada patēriņa samazinājums sabiedriskajās ēkās  - </w:t>
            </w:r>
            <w:r>
              <w:rPr>
                <w:rFonts w:ascii="Times New Roman" w:eastAsia="Times New Roman" w:hAnsi="Times New Roman"/>
                <w:sz w:val="24"/>
                <w:szCs w:val="24"/>
              </w:rPr>
              <w:t>26</w:t>
            </w:r>
            <w:r w:rsidR="008B5BCF">
              <w:rPr>
                <w:rFonts w:ascii="Times New Roman" w:eastAsia="Times New Roman" w:hAnsi="Times New Roman"/>
                <w:sz w:val="24"/>
                <w:szCs w:val="24"/>
              </w:rPr>
              <w:t>761</w:t>
            </w:r>
            <w:r w:rsidRPr="002F65E1">
              <w:rPr>
                <w:rFonts w:ascii="Times New Roman" w:eastAsia="Times New Roman" w:hAnsi="Times New Roman"/>
                <w:sz w:val="24"/>
                <w:szCs w:val="24"/>
              </w:rPr>
              <w:t xml:space="preserve"> </w:t>
            </w:r>
            <w:proofErr w:type="spellStart"/>
            <w:r w:rsidRPr="002F65E1">
              <w:rPr>
                <w:rFonts w:ascii="Times New Roman" w:eastAsia="Times New Roman" w:hAnsi="Times New Roman"/>
                <w:sz w:val="24"/>
                <w:szCs w:val="24"/>
              </w:rPr>
              <w:t>MWh</w:t>
            </w:r>
            <w:proofErr w:type="spellEnd"/>
            <w:r w:rsidRPr="002F65E1">
              <w:rPr>
                <w:rFonts w:ascii="Times New Roman" w:eastAsia="Times New Roman" w:hAnsi="Times New Roman"/>
                <w:sz w:val="24"/>
                <w:szCs w:val="24"/>
              </w:rPr>
              <w:t xml:space="preserve">/gadā; no atjaunojamiem energoresursiem ražotā </w:t>
            </w:r>
            <w:proofErr w:type="spellStart"/>
            <w:r w:rsidRPr="002F65E1">
              <w:rPr>
                <w:rFonts w:ascii="Times New Roman" w:eastAsia="Times New Roman" w:hAnsi="Times New Roman"/>
                <w:sz w:val="24"/>
                <w:szCs w:val="24"/>
              </w:rPr>
              <w:t>papildjauda</w:t>
            </w:r>
            <w:proofErr w:type="spellEnd"/>
            <w:r w:rsidRPr="002F65E1">
              <w:rPr>
                <w:rFonts w:ascii="Times New Roman" w:eastAsia="Times New Roman" w:hAnsi="Times New Roman"/>
                <w:sz w:val="24"/>
                <w:szCs w:val="24"/>
              </w:rPr>
              <w:t xml:space="preserve"> – 0,</w:t>
            </w:r>
            <w:r w:rsidR="00602249">
              <w:rPr>
                <w:rFonts w:ascii="Times New Roman" w:eastAsia="Times New Roman" w:hAnsi="Times New Roman"/>
                <w:sz w:val="24"/>
                <w:szCs w:val="24"/>
              </w:rPr>
              <w:t>21</w:t>
            </w:r>
            <w:r w:rsidRPr="002F65E1">
              <w:rPr>
                <w:rFonts w:ascii="Times New Roman" w:eastAsia="Times New Roman" w:hAnsi="Times New Roman"/>
                <w:sz w:val="24"/>
                <w:szCs w:val="24"/>
              </w:rPr>
              <w:t xml:space="preserve"> MW; aprēķinātais siltumnīcefekta gāzu samazinājums gadā – 4</w:t>
            </w:r>
            <w:r w:rsidR="008B5BCF">
              <w:rPr>
                <w:rFonts w:ascii="Times New Roman" w:eastAsia="Times New Roman" w:hAnsi="Times New Roman"/>
                <w:sz w:val="24"/>
                <w:szCs w:val="24"/>
              </w:rPr>
              <w:t> </w:t>
            </w:r>
            <w:r w:rsidR="00011E37">
              <w:rPr>
                <w:rFonts w:ascii="Times New Roman" w:eastAsia="Times New Roman" w:hAnsi="Times New Roman"/>
                <w:sz w:val="24"/>
                <w:szCs w:val="24"/>
              </w:rPr>
              <w:t>1</w:t>
            </w:r>
            <w:r w:rsidR="008B5BCF">
              <w:rPr>
                <w:rFonts w:ascii="Times New Roman" w:eastAsia="Times New Roman" w:hAnsi="Times New Roman"/>
                <w:sz w:val="24"/>
                <w:szCs w:val="24"/>
              </w:rPr>
              <w:t xml:space="preserve">58 </w:t>
            </w:r>
            <w:r w:rsidRPr="002F65E1">
              <w:rPr>
                <w:rFonts w:ascii="Times New Roman" w:eastAsia="Times New Roman" w:hAnsi="Times New Roman"/>
                <w:sz w:val="24"/>
                <w:szCs w:val="24"/>
              </w:rPr>
              <w:t>ekvivalenta tonnas gadā;</w:t>
            </w:r>
          </w:p>
          <w:p w14:paraId="1027ED15" w14:textId="034ACB51" w:rsidR="001D5C74" w:rsidRPr="00027F19" w:rsidRDefault="001D5C74" w:rsidP="001D5C74">
            <w:pPr>
              <w:pStyle w:val="ListParagraph"/>
              <w:numPr>
                <w:ilvl w:val="0"/>
                <w:numId w:val="9"/>
              </w:numPr>
              <w:spacing w:after="0" w:line="240" w:lineRule="auto"/>
              <w:ind w:right="35"/>
              <w:jc w:val="both"/>
              <w:rPr>
                <w:rFonts w:ascii="Times New Roman" w:hAnsi="Times New Roman"/>
                <w:sz w:val="24"/>
                <w:szCs w:val="24"/>
              </w:rPr>
            </w:pPr>
            <w:r w:rsidRPr="002F65E1">
              <w:rPr>
                <w:rFonts w:ascii="Times New Roman" w:eastAsia="Times New Roman" w:hAnsi="Times New Roman"/>
                <w:sz w:val="24"/>
                <w:szCs w:val="24"/>
              </w:rPr>
              <w:t xml:space="preserve">Otrajā </w:t>
            </w:r>
            <w:r w:rsidR="00076729">
              <w:rPr>
                <w:rFonts w:ascii="Times New Roman" w:eastAsia="Times New Roman" w:hAnsi="Times New Roman"/>
                <w:sz w:val="24"/>
                <w:szCs w:val="24"/>
              </w:rPr>
              <w:t xml:space="preserve">projektu </w:t>
            </w:r>
            <w:r w:rsidRPr="002F65E1">
              <w:rPr>
                <w:rFonts w:ascii="Times New Roman" w:eastAsia="Times New Roman" w:hAnsi="Times New Roman"/>
                <w:sz w:val="24"/>
                <w:szCs w:val="24"/>
              </w:rPr>
              <w:t xml:space="preserve">iesniegumu atlases kārtā: </w:t>
            </w:r>
            <w:r w:rsidRPr="002F65E1">
              <w:rPr>
                <w:rFonts w:ascii="Times New Roman" w:hAnsi="Times New Roman"/>
                <w:sz w:val="24"/>
                <w:szCs w:val="24"/>
              </w:rPr>
              <w:t xml:space="preserve">primārās enerģijas gada patēriņa samazinājums sabiedriskajās ēkās  - </w:t>
            </w:r>
            <w:r w:rsidRPr="002F65E1">
              <w:rPr>
                <w:rFonts w:ascii="Times New Roman" w:eastAsia="Times New Roman" w:hAnsi="Times New Roman"/>
                <w:sz w:val="24"/>
                <w:szCs w:val="24"/>
              </w:rPr>
              <w:t>1</w:t>
            </w:r>
            <w:r>
              <w:rPr>
                <w:rFonts w:ascii="Times New Roman" w:eastAsia="Times New Roman" w:hAnsi="Times New Roman"/>
                <w:sz w:val="24"/>
                <w:szCs w:val="24"/>
              </w:rPr>
              <w:t>4</w:t>
            </w:r>
            <w:r w:rsidR="00011E37">
              <w:rPr>
                <w:rFonts w:ascii="Times New Roman" w:eastAsia="Times New Roman" w:hAnsi="Times New Roman"/>
                <w:sz w:val="24"/>
                <w:szCs w:val="24"/>
              </w:rPr>
              <w:t>0</w:t>
            </w:r>
            <w:r w:rsidR="008B5BCF">
              <w:rPr>
                <w:rFonts w:ascii="Times New Roman" w:eastAsia="Times New Roman" w:hAnsi="Times New Roman"/>
                <w:sz w:val="24"/>
                <w:szCs w:val="24"/>
              </w:rPr>
              <w:t>34</w:t>
            </w:r>
            <w:r w:rsidRPr="002F65E1">
              <w:rPr>
                <w:rFonts w:ascii="Times New Roman" w:eastAsia="Times New Roman" w:hAnsi="Times New Roman"/>
                <w:sz w:val="24"/>
                <w:szCs w:val="24"/>
              </w:rPr>
              <w:t xml:space="preserve"> </w:t>
            </w:r>
            <w:proofErr w:type="spellStart"/>
            <w:r w:rsidRPr="002F65E1">
              <w:rPr>
                <w:rFonts w:ascii="Times New Roman" w:eastAsia="Times New Roman" w:hAnsi="Times New Roman"/>
                <w:sz w:val="24"/>
                <w:szCs w:val="24"/>
              </w:rPr>
              <w:t>MWh</w:t>
            </w:r>
            <w:proofErr w:type="spellEnd"/>
            <w:r w:rsidRPr="002F65E1">
              <w:rPr>
                <w:rFonts w:ascii="Times New Roman" w:eastAsia="Times New Roman" w:hAnsi="Times New Roman"/>
                <w:sz w:val="24"/>
                <w:szCs w:val="24"/>
              </w:rPr>
              <w:t xml:space="preserve">/gadā; no atjaunojamiem energoresursiem ražotā </w:t>
            </w:r>
            <w:proofErr w:type="spellStart"/>
            <w:r w:rsidRPr="002F65E1">
              <w:rPr>
                <w:rFonts w:ascii="Times New Roman" w:eastAsia="Times New Roman" w:hAnsi="Times New Roman"/>
                <w:sz w:val="24"/>
                <w:szCs w:val="24"/>
              </w:rPr>
              <w:t>papildjauda</w:t>
            </w:r>
            <w:proofErr w:type="spellEnd"/>
            <w:r w:rsidRPr="002F65E1">
              <w:rPr>
                <w:rFonts w:ascii="Times New Roman" w:eastAsia="Times New Roman" w:hAnsi="Times New Roman"/>
                <w:sz w:val="24"/>
                <w:szCs w:val="24"/>
              </w:rPr>
              <w:t xml:space="preserve"> – 0,</w:t>
            </w:r>
            <w:r w:rsidR="00011E37">
              <w:rPr>
                <w:rFonts w:ascii="Times New Roman" w:eastAsia="Times New Roman" w:hAnsi="Times New Roman"/>
                <w:sz w:val="24"/>
                <w:szCs w:val="24"/>
              </w:rPr>
              <w:t>1</w:t>
            </w:r>
            <w:r w:rsidR="00602249">
              <w:rPr>
                <w:rFonts w:ascii="Times New Roman" w:eastAsia="Times New Roman" w:hAnsi="Times New Roman"/>
                <w:sz w:val="24"/>
                <w:szCs w:val="24"/>
              </w:rPr>
              <w:t>3</w:t>
            </w:r>
            <w:r w:rsidRPr="002F65E1">
              <w:rPr>
                <w:rFonts w:ascii="Times New Roman" w:eastAsia="Times New Roman" w:hAnsi="Times New Roman"/>
                <w:sz w:val="24"/>
                <w:szCs w:val="24"/>
              </w:rPr>
              <w:t xml:space="preserve"> MW; aprēķinātais siltumnīcefekta gāzu samazinājums gadā – </w:t>
            </w:r>
            <w:r w:rsidR="00F5781F">
              <w:rPr>
                <w:rFonts w:ascii="Times New Roman" w:eastAsia="Times New Roman" w:hAnsi="Times New Roman"/>
                <w:sz w:val="24"/>
                <w:szCs w:val="24"/>
              </w:rPr>
              <w:t>250</w:t>
            </w:r>
            <w:r w:rsidR="008B5BCF">
              <w:rPr>
                <w:rFonts w:ascii="Times New Roman" w:eastAsia="Times New Roman" w:hAnsi="Times New Roman"/>
                <w:sz w:val="24"/>
                <w:szCs w:val="24"/>
              </w:rPr>
              <w:t>4</w:t>
            </w:r>
            <w:r w:rsidRPr="002F65E1">
              <w:rPr>
                <w:rFonts w:ascii="Times New Roman" w:eastAsia="Times New Roman" w:hAnsi="Times New Roman"/>
                <w:sz w:val="24"/>
                <w:szCs w:val="24"/>
              </w:rPr>
              <w:t xml:space="preserve"> ekvivalenta tonnas gadā.</w:t>
            </w:r>
          </w:p>
          <w:p w14:paraId="4EBD67FF" w14:textId="77777777" w:rsidR="00027F19" w:rsidRPr="001D5C74" w:rsidRDefault="00027F19" w:rsidP="00027F19">
            <w:pPr>
              <w:pStyle w:val="ListParagraph"/>
              <w:spacing w:after="0" w:line="240" w:lineRule="auto"/>
              <w:ind w:left="775" w:right="35"/>
              <w:jc w:val="both"/>
              <w:rPr>
                <w:rFonts w:ascii="Times New Roman" w:hAnsi="Times New Roman"/>
                <w:sz w:val="24"/>
                <w:szCs w:val="24"/>
              </w:rPr>
            </w:pPr>
          </w:p>
          <w:p w14:paraId="50EBE7F5" w14:textId="0FC83F0F" w:rsidR="00377C14" w:rsidRPr="00406688" w:rsidRDefault="00377C14" w:rsidP="005146A5">
            <w:pPr>
              <w:pStyle w:val="ListParagraph"/>
              <w:numPr>
                <w:ilvl w:val="0"/>
                <w:numId w:val="6"/>
              </w:numPr>
              <w:spacing w:after="0" w:line="240" w:lineRule="auto"/>
              <w:ind w:right="35"/>
              <w:rPr>
                <w:rFonts w:ascii="Times New Roman" w:hAnsi="Times New Roman"/>
                <w:b/>
                <w:bCs/>
                <w:i/>
                <w:iCs/>
                <w:sz w:val="24"/>
                <w:szCs w:val="24"/>
                <w:u w:val="single"/>
              </w:rPr>
            </w:pPr>
            <w:r w:rsidRPr="00406688">
              <w:rPr>
                <w:rFonts w:ascii="Times New Roman" w:hAnsi="Times New Roman"/>
                <w:b/>
                <w:bCs/>
                <w:i/>
                <w:iCs/>
                <w:sz w:val="24"/>
                <w:szCs w:val="24"/>
                <w:u w:val="single"/>
              </w:rPr>
              <w:t>Projektu aktivitāšu īstenošanas termiņa pagarinājums</w:t>
            </w:r>
          </w:p>
          <w:p w14:paraId="40185C87" w14:textId="7A680878" w:rsidR="00377C14" w:rsidRPr="00406688" w:rsidRDefault="00F36B93"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 xml:space="preserve">Paredzēts pagarināt 4.2.1.2. pasākuma īstenošanas termiņu </w:t>
            </w:r>
            <w:r w:rsidR="005727F9" w:rsidRPr="00406688">
              <w:rPr>
                <w:rFonts w:ascii="Times New Roman" w:hAnsi="Times New Roman"/>
                <w:sz w:val="24"/>
                <w:szCs w:val="24"/>
              </w:rPr>
              <w:t>līdz 2023. gada 31. decembrim, lai nodrošināt iespēju finansējuma saņēmējiem veikt kvalitatīvu projektu īstenošanu</w:t>
            </w:r>
            <w:r w:rsidR="000D1F66">
              <w:rPr>
                <w:rFonts w:ascii="Times New Roman" w:hAnsi="Times New Roman"/>
                <w:sz w:val="24"/>
                <w:szCs w:val="24"/>
              </w:rPr>
              <w:t>,</w:t>
            </w:r>
            <w:r w:rsidR="005727F9" w:rsidRPr="00406688">
              <w:rPr>
                <w:rFonts w:ascii="Times New Roman" w:hAnsi="Times New Roman"/>
                <w:sz w:val="24"/>
                <w:szCs w:val="24"/>
              </w:rPr>
              <w:t xml:space="preserve"> neraugoties uz valstī noteiktajiem ierobežojumiem Covid-19 saslimstības ierobežošanai.</w:t>
            </w:r>
          </w:p>
          <w:p w14:paraId="6CE2AC20" w14:textId="525880CF" w:rsidR="005727F9" w:rsidRPr="00406688" w:rsidRDefault="005727F9"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 xml:space="preserve">Papildus saņemta informācija, ka Valsts akciju sabiedrība “Valsts nekustamie īpašumi” (turpmāk – VNĪ) 2019.gada 10.decembrī ir parakstījusi līgumu ar Centrālo finanšu un līgumu aģentūru par projekta “Energoefektivitātes paaugstināšana ēkā </w:t>
            </w:r>
            <w:proofErr w:type="spellStart"/>
            <w:r w:rsidRPr="00406688">
              <w:rPr>
                <w:rFonts w:ascii="Times New Roman" w:hAnsi="Times New Roman"/>
                <w:sz w:val="24"/>
                <w:szCs w:val="24"/>
              </w:rPr>
              <w:t>A.Briāna</w:t>
            </w:r>
            <w:proofErr w:type="spellEnd"/>
            <w:r w:rsidRPr="00406688">
              <w:rPr>
                <w:rFonts w:ascii="Times New Roman" w:hAnsi="Times New Roman"/>
                <w:sz w:val="24"/>
                <w:szCs w:val="24"/>
              </w:rPr>
              <w:t xml:space="preserve"> ielā 13, Rīgā” (Nr.4.2.1.2/18/I/055) (turpmāk – Projekts Nr.4.2.1.2/18/I/055)  īstenošanu  4.2.1.2. pasākuma pirmās projektu iesniegumu atlases kārtas ietvaros par kopējo summu 506 924,96 </w:t>
            </w:r>
            <w:proofErr w:type="spellStart"/>
            <w:r w:rsidRPr="00406688">
              <w:rPr>
                <w:rFonts w:ascii="Times New Roman" w:hAnsi="Times New Roman"/>
                <w:i/>
                <w:iCs/>
                <w:sz w:val="24"/>
                <w:szCs w:val="24"/>
              </w:rPr>
              <w:t>euro</w:t>
            </w:r>
            <w:proofErr w:type="spellEnd"/>
            <w:r w:rsidRPr="00406688">
              <w:rPr>
                <w:rFonts w:ascii="Times New Roman" w:hAnsi="Times New Roman"/>
                <w:sz w:val="24"/>
                <w:szCs w:val="24"/>
              </w:rPr>
              <w:t>. Saskaņā ar līgumu Projekta Nr.4.2.1.2/18/I/055 īstenošanas termiņš ir 2022.gada 31.oktobris (35 mēneši).</w:t>
            </w:r>
          </w:p>
          <w:p w14:paraId="4EF23120" w14:textId="560D6004" w:rsidR="005727F9" w:rsidRPr="00406688" w:rsidRDefault="005727F9"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 xml:space="preserve">Papildus VNĪ objektā </w:t>
            </w:r>
            <w:proofErr w:type="spellStart"/>
            <w:r w:rsidRPr="00406688">
              <w:rPr>
                <w:rFonts w:ascii="Times New Roman" w:hAnsi="Times New Roman"/>
                <w:sz w:val="24"/>
                <w:szCs w:val="24"/>
              </w:rPr>
              <w:t>Aristida</w:t>
            </w:r>
            <w:proofErr w:type="spellEnd"/>
            <w:r w:rsidRPr="00406688">
              <w:rPr>
                <w:rFonts w:ascii="Times New Roman" w:hAnsi="Times New Roman"/>
                <w:sz w:val="24"/>
                <w:szCs w:val="24"/>
              </w:rPr>
              <w:t xml:space="preserve"> Briāna ielā 13, Rīgā vienlaicīgi ar Projektu Nr.4.2.1.2/18/I/055 īsteno Darbības programmas “Izaugsme un nodarbinātība” 5.6.1. specifiskā atbalsta mērķa “Veicināt Rīgas pilsētas </w:t>
            </w:r>
            <w:proofErr w:type="spellStart"/>
            <w:r w:rsidRPr="00406688">
              <w:rPr>
                <w:rFonts w:ascii="Times New Roman" w:hAnsi="Times New Roman"/>
                <w:sz w:val="24"/>
                <w:szCs w:val="24"/>
              </w:rPr>
              <w:t>revitalizāciju</w:t>
            </w:r>
            <w:proofErr w:type="spellEnd"/>
            <w:r w:rsidRPr="00406688">
              <w:rPr>
                <w:rFonts w:ascii="Times New Roman" w:hAnsi="Times New Roman"/>
                <w:sz w:val="24"/>
                <w:szCs w:val="24"/>
              </w:rPr>
              <w:t>, nodrošinot teritorijas efektīvu sociālekonomisko izmantošanu” projektu “</w:t>
            </w:r>
            <w:proofErr w:type="spellStart"/>
            <w:r w:rsidRPr="00406688">
              <w:rPr>
                <w:rFonts w:ascii="Times New Roman" w:hAnsi="Times New Roman"/>
                <w:sz w:val="24"/>
                <w:szCs w:val="24"/>
              </w:rPr>
              <w:t>Prototipēšanas</w:t>
            </w:r>
            <w:proofErr w:type="spellEnd"/>
            <w:r w:rsidRPr="00406688">
              <w:rPr>
                <w:rFonts w:ascii="Times New Roman" w:hAnsi="Times New Roman"/>
                <w:sz w:val="24"/>
                <w:szCs w:val="24"/>
              </w:rPr>
              <w:t xml:space="preserve"> darbnīcas “R</w:t>
            </w:r>
            <w:r w:rsidR="00F5781F">
              <w:rPr>
                <w:rFonts w:ascii="Times New Roman" w:hAnsi="Times New Roman"/>
                <w:sz w:val="24"/>
                <w:szCs w:val="24"/>
              </w:rPr>
              <w:t>ī</w:t>
            </w:r>
            <w:r w:rsidRPr="00406688">
              <w:rPr>
                <w:rFonts w:ascii="Times New Roman" w:hAnsi="Times New Roman"/>
                <w:sz w:val="24"/>
                <w:szCs w:val="24"/>
              </w:rPr>
              <w:t xml:space="preserve">ga </w:t>
            </w:r>
            <w:proofErr w:type="spellStart"/>
            <w:r w:rsidRPr="00406688">
              <w:rPr>
                <w:rFonts w:ascii="Times New Roman" w:hAnsi="Times New Roman"/>
                <w:sz w:val="24"/>
                <w:szCs w:val="24"/>
              </w:rPr>
              <w:t>Makerspace</w:t>
            </w:r>
            <w:proofErr w:type="spellEnd"/>
            <w:r w:rsidRPr="00406688">
              <w:rPr>
                <w:rFonts w:ascii="Times New Roman" w:hAnsi="Times New Roman"/>
                <w:sz w:val="24"/>
                <w:szCs w:val="24"/>
              </w:rPr>
              <w:t xml:space="preserve">” izveide nekustamajā īpašumā </w:t>
            </w:r>
            <w:proofErr w:type="spellStart"/>
            <w:r w:rsidRPr="00406688">
              <w:rPr>
                <w:rFonts w:ascii="Times New Roman" w:hAnsi="Times New Roman"/>
                <w:sz w:val="24"/>
                <w:szCs w:val="24"/>
              </w:rPr>
              <w:t>A.Briāna</w:t>
            </w:r>
            <w:proofErr w:type="spellEnd"/>
            <w:r w:rsidRPr="00406688">
              <w:rPr>
                <w:rFonts w:ascii="Times New Roman" w:hAnsi="Times New Roman"/>
                <w:sz w:val="24"/>
                <w:szCs w:val="24"/>
              </w:rPr>
              <w:t xml:space="preserve"> ielā 13, Rīgā” (ID Nr. 5.6.1.0/17/I/004) (turpmāk – Projekts Nr.5.6.1.0/17/I/004). Šobrīd Projekta </w:t>
            </w:r>
            <w:r w:rsidRPr="00406688">
              <w:rPr>
                <w:rFonts w:ascii="Times New Roman" w:hAnsi="Times New Roman"/>
                <w:sz w:val="24"/>
                <w:szCs w:val="24"/>
              </w:rPr>
              <w:lastRenderedPageBreak/>
              <w:t>Nr.5.6.1.0/17/I/004 īstenošanas termiņš ir 2022.gada 31.decembris, bet ņemot vērā būvniecības darbu īstenošanai nepieciešamo termiņu  (24 mēnešus), Projekta Nr.5.6.1.0/17/I/004 termiņu plānots pagarināt līdz 2023.gada 30.jūnijam.</w:t>
            </w:r>
          </w:p>
          <w:p w14:paraId="66EB2174" w14:textId="4E17C660" w:rsidR="005727F9" w:rsidRPr="00406688" w:rsidRDefault="005727F9"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Svarīgi ņemt vērā, ka Projekts Nr.4.2.1.2/18/I/0</w:t>
            </w:r>
            <w:r w:rsidR="000423E0">
              <w:rPr>
                <w:rFonts w:ascii="Times New Roman" w:hAnsi="Times New Roman"/>
                <w:sz w:val="24"/>
                <w:szCs w:val="24"/>
              </w:rPr>
              <w:t>5</w:t>
            </w:r>
            <w:r w:rsidRPr="00406688">
              <w:rPr>
                <w:rFonts w:ascii="Times New Roman" w:hAnsi="Times New Roman"/>
                <w:sz w:val="24"/>
                <w:szCs w:val="24"/>
              </w:rPr>
              <w:t>5 tiek īstenots vienlaicīgi ar Projektu Nr.5.6.1.0/17/I/004 un tie ir savstarpēji saistīti, tajā skaitā projektēšanas darbu veikšana, būvuzraudzība, autoruzraudzība, projekta vadības izmaksas tiek 100% apmērā finansētas no Projekta Nr.5.6.1.0/17/I/004 budžeta, savukārt būvniecības darbi abos projektos ir savstarpēji papildinoši, nav iespējams projektu Nr.4.2.1.2/18/I/0</w:t>
            </w:r>
            <w:r w:rsidR="000423E0">
              <w:rPr>
                <w:rFonts w:ascii="Times New Roman" w:hAnsi="Times New Roman"/>
                <w:sz w:val="24"/>
                <w:szCs w:val="24"/>
              </w:rPr>
              <w:t>5</w:t>
            </w:r>
            <w:r w:rsidRPr="00406688">
              <w:rPr>
                <w:rFonts w:ascii="Times New Roman" w:hAnsi="Times New Roman"/>
                <w:sz w:val="24"/>
                <w:szCs w:val="24"/>
              </w:rPr>
              <w:t>5 pabeigt ātrāk.</w:t>
            </w:r>
          </w:p>
          <w:p w14:paraId="6B6CC663" w14:textId="5963D2D9" w:rsidR="008E0919" w:rsidRPr="00F95E45" w:rsidRDefault="005727F9"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Līdz ar to Projekta Nr. 4.2.1.2/18/I/0</w:t>
            </w:r>
            <w:r w:rsidR="000423E0">
              <w:rPr>
                <w:rFonts w:ascii="Times New Roman" w:hAnsi="Times New Roman"/>
                <w:sz w:val="24"/>
                <w:szCs w:val="24"/>
              </w:rPr>
              <w:t>5</w:t>
            </w:r>
            <w:r w:rsidRPr="00406688">
              <w:rPr>
                <w:rFonts w:ascii="Times New Roman" w:hAnsi="Times New Roman"/>
                <w:sz w:val="24"/>
                <w:szCs w:val="24"/>
              </w:rPr>
              <w:t>5 īstenošanas termiņu nepieciešams pagarināt līdz 2023.gada 30.jūnijam</w:t>
            </w:r>
            <w:r w:rsidR="000D1F66">
              <w:rPr>
                <w:rFonts w:ascii="Times New Roman" w:hAnsi="Times New Roman"/>
                <w:sz w:val="24"/>
                <w:szCs w:val="24"/>
              </w:rPr>
              <w:t xml:space="preserve">, </w:t>
            </w:r>
            <w:r w:rsidR="000D1F66" w:rsidRPr="00CA1821">
              <w:rPr>
                <w:rFonts w:ascii="Times New Roman" w:hAnsi="Times New Roman"/>
                <w:color w:val="000000" w:themeColor="text1"/>
                <w:sz w:val="24"/>
                <w:szCs w:val="24"/>
              </w:rPr>
              <w:t xml:space="preserve">izvērtējot </w:t>
            </w:r>
            <w:r w:rsidR="001E355B" w:rsidRPr="00CA1821">
              <w:rPr>
                <w:rFonts w:ascii="Times New Roman" w:hAnsi="Times New Roman"/>
                <w:color w:val="000000" w:themeColor="text1"/>
                <w:sz w:val="24"/>
                <w:szCs w:val="24"/>
              </w:rPr>
              <w:t xml:space="preserve">ar projekta īstenošanu saistītos </w:t>
            </w:r>
            <w:r w:rsidR="000D1F66" w:rsidRPr="00CA1821">
              <w:rPr>
                <w:rFonts w:ascii="Times New Roman" w:hAnsi="Times New Roman"/>
                <w:color w:val="000000" w:themeColor="text1"/>
                <w:sz w:val="24"/>
                <w:szCs w:val="24"/>
              </w:rPr>
              <w:t>riskus</w:t>
            </w:r>
            <w:r w:rsidRPr="00CA1821">
              <w:rPr>
                <w:rFonts w:ascii="Times New Roman" w:hAnsi="Times New Roman"/>
                <w:color w:val="000000" w:themeColor="text1"/>
                <w:sz w:val="24"/>
                <w:szCs w:val="24"/>
              </w:rPr>
              <w:t xml:space="preserve">. </w:t>
            </w:r>
          </w:p>
          <w:p w14:paraId="3F999454" w14:textId="77777777" w:rsidR="00E82787" w:rsidRPr="00F95E45" w:rsidRDefault="00E82787" w:rsidP="005146A5">
            <w:pPr>
              <w:spacing w:after="0" w:line="240" w:lineRule="auto"/>
              <w:ind w:right="35"/>
              <w:jc w:val="both"/>
              <w:rPr>
                <w:rFonts w:ascii="Times New Roman" w:hAnsi="Times New Roman"/>
                <w:sz w:val="24"/>
                <w:szCs w:val="24"/>
              </w:rPr>
            </w:pPr>
          </w:p>
          <w:p w14:paraId="1B91F8EB" w14:textId="65CADA47" w:rsidR="00E82787" w:rsidRPr="00406688" w:rsidRDefault="00E82787" w:rsidP="005146A5">
            <w:pPr>
              <w:spacing w:after="0" w:line="240" w:lineRule="auto"/>
              <w:ind w:right="35"/>
              <w:jc w:val="both"/>
              <w:rPr>
                <w:rFonts w:ascii="Times New Roman" w:hAnsi="Times New Roman"/>
                <w:sz w:val="24"/>
                <w:szCs w:val="24"/>
              </w:rPr>
            </w:pPr>
            <w:r w:rsidRPr="00406688">
              <w:rPr>
                <w:rFonts w:ascii="Times New Roman" w:hAnsi="Times New Roman"/>
                <w:sz w:val="24"/>
                <w:szCs w:val="24"/>
              </w:rPr>
              <w:t>Līdz ar to Noteikumu projekts paredz precizēt Noteikumu 37.punktu, pieļaujot   projektu īstenošanas termiņa pagarināšana līdz ES struktūrfondu 2014.-2020. gada perioda beigām, t.i. – 2023. gada 31. decembrim. Tas nodrošinās labvēlīgākus nosacījumus finansējuma saņēmējiem projektu īstenošanā, t.sk. mazinās nenoteiktību un riskus, ko uz projektu īstenošanu un projektu īstenošanas termiņu ievērošanu varētu atstāt, piemēram, COVID-19.</w:t>
            </w:r>
          </w:p>
          <w:p w14:paraId="2B35C26F" w14:textId="37F51BD5" w:rsidR="001D7B32" w:rsidRPr="00406688" w:rsidRDefault="00E82787" w:rsidP="001E355B">
            <w:pPr>
              <w:pStyle w:val="Default"/>
              <w:spacing w:after="120"/>
              <w:jc w:val="both"/>
            </w:pPr>
            <w:bookmarkStart w:id="2" w:name="_Hlk40364181"/>
            <w:r w:rsidRPr="00406688">
              <w:rPr>
                <w:color w:val="auto"/>
              </w:rPr>
              <w:t xml:space="preserve">Ievērojot, ka projekta īstenošanas termiņa ierobežojums </w:t>
            </w:r>
            <w:r w:rsidRPr="00406688">
              <w:t xml:space="preserve">nav saistīts ar projekta mērķi, galvenajām darbībām, kopējām izmaksām un plānoto rezultātu, norma par četru </w:t>
            </w:r>
            <w:bookmarkStart w:id="3" w:name="_Hlk40364203"/>
            <w:bookmarkEnd w:id="2"/>
            <w:r w:rsidRPr="00406688">
              <w:t>gadu maksimālo termiņu ir izslēdzama un gala termiņš projekta īstenošanai ir grozāms</w:t>
            </w:r>
            <w:r w:rsidR="000C26D0">
              <w:t>,</w:t>
            </w:r>
            <w:r w:rsidR="000C26D0" w:rsidRPr="00CA1821">
              <w:rPr>
                <w:color w:val="000000" w:themeColor="text1"/>
              </w:rPr>
              <w:t xml:space="preserve"> </w:t>
            </w:r>
            <w:r w:rsidR="000C26D0" w:rsidRPr="009D4289">
              <w:rPr>
                <w:color w:val="000000" w:themeColor="text1"/>
              </w:rPr>
              <w:t>izvērtējot ar projekta īstenošanu saistītos riskus</w:t>
            </w:r>
            <w:r w:rsidRPr="009D4289">
              <w:rPr>
                <w:color w:val="000000" w:themeColor="text1"/>
              </w:rPr>
              <w:t xml:space="preserve">. </w:t>
            </w:r>
            <w:r w:rsidRPr="00406688">
              <w:t>Termiņa ierobežojuma atcelšana nepasliktina sākotnējo projekta vērtējumu pēc projekta iesnieguma vērtēšanas kritērijiem, bet normas sākotnējais mērķis – disciplinēt finansējuma saņēmēju – var tikt sasniegts ar Ministru kabineta 2014. gada 16. decembra noteikumu Nr. 784 “Kārtība, kādā Eiropas Savienības struktūrfondu un Kohēzijas fonda vadībā iesaistītās institūcijas nodrošina plānošanas dokumentu sagatavošanu un šo fondu ieviešanu 2014.-2020.gada plānošanas periodā” 51.</w:t>
            </w:r>
            <w:r w:rsidRPr="00406688">
              <w:rPr>
                <w:vertAlign w:val="superscript"/>
              </w:rPr>
              <w:t>3</w:t>
            </w:r>
            <w:r w:rsidRPr="00406688">
              <w:t xml:space="preserve"> un 51.</w:t>
            </w:r>
            <w:r w:rsidRPr="00406688">
              <w:rPr>
                <w:vertAlign w:val="superscript"/>
              </w:rPr>
              <w:t>4</w:t>
            </w:r>
            <w:r w:rsidRPr="00406688">
              <w:t xml:space="preserve"> punktā ietverto regulējumu. Papildus secināms, ka noteikumu projektā, izslēdzot normas par projekta īstenošanas termiņa ierobežojumu, finansējuma saņēmēji projekta gaitā varētu elastīgāk vadīt iespējamos neparedzamos riskus.</w:t>
            </w:r>
            <w:bookmarkEnd w:id="3"/>
            <w:r w:rsidR="000D1F66">
              <w:t xml:space="preserve"> </w:t>
            </w:r>
          </w:p>
        </w:tc>
      </w:tr>
      <w:tr w:rsidR="009A312E" w:rsidRPr="00406688" w14:paraId="5FB32C2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500FE0E"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lastRenderedPageBreak/>
              <w:t>3. Projekta izstrādē iesaistītās institūcijas</w:t>
            </w:r>
            <w:r w:rsidR="004F4E38" w:rsidRPr="00406688">
              <w:rPr>
                <w:rFonts w:ascii="Times New Roman" w:eastAsia="Times New Roman" w:hAnsi="Times New Roman"/>
                <w:sz w:val="24"/>
                <w:szCs w:val="24"/>
                <w:lang w:eastAsia="lv-LV"/>
              </w:rPr>
              <w:t xml:space="preserve"> un </w:t>
            </w:r>
            <w:r w:rsidR="001A4868" w:rsidRPr="00406688">
              <w:rPr>
                <w:rFonts w:ascii="Times New Roman" w:hAnsi="Times New Roman"/>
                <w:sz w:val="24"/>
                <w:szCs w:val="24"/>
              </w:rPr>
              <w:t>publiskas personas kapitālsabiedrības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406688" w:rsidRDefault="00EB67CA" w:rsidP="00012D1F">
            <w:pPr>
              <w:spacing w:after="0" w:line="240" w:lineRule="auto"/>
              <w:contextualSpacing/>
              <w:jc w:val="both"/>
              <w:rPr>
                <w:rFonts w:ascii="Times New Roman" w:hAnsi="Times New Roman"/>
                <w:color w:val="000000"/>
                <w:sz w:val="24"/>
                <w:szCs w:val="24"/>
              </w:rPr>
            </w:pPr>
            <w:r w:rsidRPr="00406688">
              <w:rPr>
                <w:rFonts w:ascii="Times New Roman" w:hAnsi="Times New Roman"/>
                <w:color w:val="000000"/>
                <w:sz w:val="24"/>
                <w:szCs w:val="24"/>
              </w:rPr>
              <w:t>Ekonomikas ministrija</w:t>
            </w:r>
          </w:p>
        </w:tc>
      </w:tr>
      <w:tr w:rsidR="009A312E" w:rsidRPr="00406688" w14:paraId="51FE2A99" w14:textId="77777777" w:rsidTr="0004780E">
        <w:trPr>
          <w:trHeight w:val="2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 4. Cita informācija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406688" w:rsidRDefault="009A312E" w:rsidP="00012D1F">
            <w:pPr>
              <w:spacing w:after="0" w:line="240" w:lineRule="auto"/>
              <w:contextualSpacing/>
              <w:jc w:val="both"/>
              <w:rPr>
                <w:rFonts w:ascii="Times New Roman" w:hAnsi="Times New Roman"/>
                <w:sz w:val="24"/>
                <w:szCs w:val="24"/>
              </w:rPr>
            </w:pPr>
            <w:r w:rsidRPr="00406688">
              <w:rPr>
                <w:rFonts w:ascii="Times New Roman" w:hAnsi="Times New Roman"/>
                <w:sz w:val="24"/>
                <w:szCs w:val="24"/>
              </w:rPr>
              <w:t>Nav</w:t>
            </w:r>
          </w:p>
        </w:tc>
      </w:tr>
    </w:tbl>
    <w:p w14:paraId="1EB51B7B" w14:textId="77777777" w:rsidR="009A312E" w:rsidRPr="00406688"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406688"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406688" w:rsidRDefault="00BD0514" w:rsidP="00206EAD">
            <w:pPr>
              <w:spacing w:after="0" w:line="240" w:lineRule="auto"/>
              <w:contextualSpacing/>
              <w:jc w:val="center"/>
              <w:rPr>
                <w:rFonts w:ascii="Times New Roman" w:eastAsia="Times New Roman" w:hAnsi="Times New Roman"/>
                <w:b/>
                <w:bCs/>
                <w:sz w:val="24"/>
                <w:szCs w:val="24"/>
                <w:lang w:eastAsia="lv-LV"/>
              </w:rPr>
            </w:pPr>
            <w:r w:rsidRPr="00406688">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406688"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 xml:space="preserve">Sabiedrības </w:t>
            </w:r>
            <w:proofErr w:type="spellStart"/>
            <w:r w:rsidRPr="00406688">
              <w:rPr>
                <w:rFonts w:ascii="Times New Roman" w:eastAsia="Times New Roman" w:hAnsi="Times New Roman"/>
                <w:sz w:val="24"/>
                <w:szCs w:val="24"/>
                <w:lang w:eastAsia="lv-LV"/>
              </w:rPr>
              <w:t>mērķgrupas</w:t>
            </w:r>
            <w:proofErr w:type="spellEnd"/>
            <w:r w:rsidRPr="00406688">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486BB" w14:textId="77777777" w:rsidR="00BD0514" w:rsidRPr="00406688"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406688">
              <w:rPr>
                <w:rFonts w:ascii="Times New Roman" w:eastAsia="Times New Roman" w:hAnsi="Times New Roman"/>
                <w:iCs/>
                <w:sz w:val="24"/>
                <w:szCs w:val="24"/>
                <w:lang w:eastAsia="lv-LV"/>
              </w:rPr>
              <w:t>Valsts ēku īpašnieki un lietotāji.</w:t>
            </w:r>
          </w:p>
        </w:tc>
      </w:tr>
      <w:tr w:rsidR="00BD0514" w:rsidRPr="00406688"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lastRenderedPageBreak/>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Pr="00406688" w:rsidRDefault="000A7DC0" w:rsidP="00111ABB">
            <w:pPr>
              <w:spacing w:after="0" w:line="240" w:lineRule="auto"/>
              <w:ind w:left="59"/>
              <w:contextualSpacing/>
              <w:jc w:val="both"/>
              <w:rPr>
                <w:rFonts w:ascii="Times New Roman" w:eastAsia="Times New Roman" w:hAnsi="Times New Roman"/>
                <w:iCs/>
                <w:sz w:val="24"/>
                <w:szCs w:val="24"/>
                <w:lang w:eastAsia="lv-LV"/>
              </w:rPr>
            </w:pPr>
            <w:r w:rsidRPr="00406688">
              <w:rPr>
                <w:rFonts w:ascii="Times New Roman" w:eastAsia="Times New Roman" w:hAnsi="Times New Roman"/>
                <w:iCs/>
                <w:sz w:val="24"/>
                <w:szCs w:val="24"/>
                <w:lang w:eastAsia="lv-LV"/>
              </w:rPr>
              <w:t>P</w:t>
            </w:r>
            <w:r w:rsidR="00BD0514" w:rsidRPr="00406688">
              <w:rPr>
                <w:rFonts w:ascii="Times New Roman" w:eastAsia="Times New Roman" w:hAnsi="Times New Roman"/>
                <w:iCs/>
                <w:sz w:val="24"/>
                <w:szCs w:val="24"/>
                <w:lang w:eastAsia="lv-LV"/>
              </w:rPr>
              <w:t>rojekts neparedz ietekmi uz administratīvo slogu un tautsaimniecību.</w:t>
            </w:r>
          </w:p>
          <w:p w14:paraId="70528FA2" w14:textId="1655E8FB" w:rsidR="00520759" w:rsidRPr="00406688" w:rsidRDefault="00BF0D13" w:rsidP="006E441A">
            <w:pPr>
              <w:spacing w:after="0" w:line="240" w:lineRule="auto"/>
              <w:ind w:left="95"/>
              <w:contextualSpacing/>
              <w:jc w:val="both"/>
              <w:rPr>
                <w:rFonts w:ascii="Times New Roman" w:hAnsi="Times New Roman"/>
                <w:sz w:val="24"/>
                <w:szCs w:val="24"/>
              </w:rPr>
            </w:pPr>
            <w:r w:rsidRPr="00406688">
              <w:rPr>
                <w:rFonts w:ascii="Times New Roman" w:hAnsi="Times New Roman"/>
                <w:sz w:val="24"/>
                <w:szCs w:val="24"/>
              </w:rPr>
              <w:t>N</w:t>
            </w:r>
            <w:r w:rsidR="00520759" w:rsidRPr="00406688">
              <w:rPr>
                <w:rFonts w:ascii="Times New Roman" w:hAnsi="Times New Roman"/>
                <w:sz w:val="24"/>
                <w:szCs w:val="24"/>
              </w:rPr>
              <w:t>av identificēts administratīvā sloga palielinājums ne potenciālajiem finansējuma saņēmējiem, ne fondu vadībā iesaistītajām institūcijām.</w:t>
            </w:r>
          </w:p>
        </w:tc>
      </w:tr>
      <w:tr w:rsidR="00BD0514" w:rsidRPr="00406688"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406688" w:rsidRDefault="004F4E38" w:rsidP="003D48E4">
            <w:pPr>
              <w:spacing w:after="0" w:line="240" w:lineRule="auto"/>
              <w:ind w:left="59"/>
              <w:contextualSpacing/>
              <w:jc w:val="both"/>
              <w:rPr>
                <w:rFonts w:ascii="Times New Roman" w:eastAsia="Times New Roman" w:hAnsi="Times New Roman"/>
                <w:sz w:val="24"/>
                <w:szCs w:val="24"/>
                <w:lang w:eastAsia="lv-LV"/>
              </w:rPr>
            </w:pPr>
            <w:r w:rsidRPr="00406688">
              <w:rPr>
                <w:rFonts w:ascii="Times New Roman" w:eastAsia="Times New Roman" w:hAnsi="Times New Roman"/>
                <w:color w:val="000000"/>
                <w:sz w:val="24"/>
                <w:szCs w:val="24"/>
                <w:lang w:eastAsia="lv-LV"/>
              </w:rPr>
              <w:t>P</w:t>
            </w:r>
            <w:r w:rsidR="00BD0514" w:rsidRPr="00406688">
              <w:rPr>
                <w:rFonts w:ascii="Times New Roman" w:eastAsia="Times New Roman" w:hAnsi="Times New Roman"/>
                <w:color w:val="000000"/>
                <w:sz w:val="24"/>
                <w:szCs w:val="24"/>
                <w:lang w:eastAsia="lv-LV"/>
              </w:rPr>
              <w:t>rojekts šo jomu neskar.</w:t>
            </w:r>
          </w:p>
        </w:tc>
      </w:tr>
      <w:tr w:rsidR="00F62D5E" w:rsidRPr="00406688"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406688" w:rsidRDefault="00F62D5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406688" w:rsidRDefault="00107948"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Pr="00406688"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sidRPr="00406688">
              <w:rPr>
                <w:rFonts w:ascii="Times New Roman" w:eastAsia="Times New Roman" w:hAnsi="Times New Roman"/>
                <w:color w:val="000000"/>
                <w:sz w:val="24"/>
                <w:szCs w:val="24"/>
                <w:lang w:eastAsia="lv-LV"/>
              </w:rPr>
              <w:t>Projekts šo jomu neskar.</w:t>
            </w:r>
          </w:p>
        </w:tc>
      </w:tr>
      <w:tr w:rsidR="00BD0514" w:rsidRPr="00406688"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406688" w:rsidRDefault="00875120"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5</w:t>
            </w:r>
            <w:r w:rsidR="00BD0514" w:rsidRPr="00406688">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406688"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406688">
              <w:rPr>
                <w:rFonts w:ascii="Times New Roman" w:eastAsia="Times New Roman" w:hAnsi="Times New Roman"/>
                <w:color w:val="000000"/>
                <w:sz w:val="24"/>
                <w:szCs w:val="24"/>
                <w:lang w:eastAsia="lv-LV"/>
              </w:rPr>
              <w:t>Nav</w:t>
            </w:r>
          </w:p>
        </w:tc>
      </w:tr>
    </w:tbl>
    <w:tbl>
      <w:tblPr>
        <w:tblStyle w:val="TableGrid"/>
        <w:tblW w:w="11205" w:type="dxa"/>
        <w:tblInd w:w="-1433" w:type="dxa"/>
        <w:tblLayout w:type="fixed"/>
        <w:tblLook w:val="04A0" w:firstRow="1" w:lastRow="0" w:firstColumn="1" w:lastColumn="0" w:noHBand="0" w:noVBand="1"/>
      </w:tblPr>
      <w:tblGrid>
        <w:gridCol w:w="2054"/>
        <w:gridCol w:w="1349"/>
        <w:gridCol w:w="1276"/>
        <w:gridCol w:w="6"/>
        <w:gridCol w:w="1270"/>
        <w:gridCol w:w="1275"/>
        <w:gridCol w:w="6"/>
        <w:gridCol w:w="1270"/>
        <w:gridCol w:w="1276"/>
        <w:gridCol w:w="6"/>
        <w:gridCol w:w="1411"/>
        <w:gridCol w:w="6"/>
      </w:tblGrid>
      <w:tr w:rsidR="00D372EF" w14:paraId="76154F66" w14:textId="77777777" w:rsidTr="00D372EF">
        <w:tc>
          <w:tcPr>
            <w:tcW w:w="11205" w:type="dxa"/>
            <w:gridSpan w:val="12"/>
            <w:tcBorders>
              <w:top w:val="single" w:sz="4" w:space="0" w:color="auto"/>
              <w:left w:val="single" w:sz="4" w:space="0" w:color="auto"/>
              <w:bottom w:val="single" w:sz="4" w:space="0" w:color="auto"/>
              <w:right w:val="single" w:sz="4" w:space="0" w:color="auto"/>
            </w:tcBorders>
            <w:hideMark/>
          </w:tcPr>
          <w:p w14:paraId="3C5A7A5E" w14:textId="77777777" w:rsidR="00D372EF" w:rsidRDefault="00D372EF">
            <w:pPr>
              <w:spacing w:before="120" w:after="120"/>
              <w:jc w:val="center"/>
              <w:rPr>
                <w:rFonts w:ascii="Times New Roman" w:hAnsi="Times New Roman"/>
                <w:sz w:val="24"/>
                <w:szCs w:val="24"/>
              </w:rPr>
            </w:pPr>
            <w:r>
              <w:rPr>
                <w:rFonts w:ascii="Times New Roman" w:eastAsia="Times New Roman" w:hAnsi="Times New Roman"/>
                <w:b/>
                <w:sz w:val="24"/>
                <w:szCs w:val="24"/>
              </w:rPr>
              <w:t>III. Tiesību akta projekta ietekme uz valsts budžetu un pašvaldību budžetiem</w:t>
            </w:r>
          </w:p>
        </w:tc>
      </w:tr>
      <w:tr w:rsidR="00D372EF" w14:paraId="1C18FA31" w14:textId="77777777" w:rsidTr="00D372EF">
        <w:tc>
          <w:tcPr>
            <w:tcW w:w="2054" w:type="dxa"/>
            <w:vMerge w:val="restart"/>
            <w:tcBorders>
              <w:top w:val="single" w:sz="4" w:space="0" w:color="auto"/>
              <w:left w:val="single" w:sz="4" w:space="0" w:color="auto"/>
              <w:bottom w:val="single" w:sz="4" w:space="0" w:color="auto"/>
              <w:right w:val="single" w:sz="4" w:space="0" w:color="auto"/>
            </w:tcBorders>
            <w:vAlign w:val="center"/>
            <w:hideMark/>
          </w:tcPr>
          <w:p w14:paraId="2A93E16F" w14:textId="77777777" w:rsidR="00D372EF" w:rsidRDefault="00D372EF">
            <w:pPr>
              <w:jc w:val="center"/>
              <w:rPr>
                <w:rFonts w:ascii="Times New Roman" w:eastAsia="Times New Roman" w:hAnsi="Times New Roman"/>
                <w:b/>
                <w:sz w:val="24"/>
                <w:szCs w:val="24"/>
              </w:rPr>
            </w:pPr>
            <w:r>
              <w:rPr>
                <w:rFonts w:ascii="Times New Roman" w:eastAsia="Times New Roman" w:hAnsi="Times New Roman"/>
                <w:b/>
                <w:sz w:val="24"/>
                <w:szCs w:val="24"/>
              </w:rPr>
              <w:t>Rādītāji</w:t>
            </w:r>
          </w:p>
        </w:tc>
        <w:tc>
          <w:tcPr>
            <w:tcW w:w="263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63C3007" w14:textId="77777777" w:rsidR="00D372EF" w:rsidRDefault="00D372EF">
            <w:pPr>
              <w:spacing w:before="120" w:after="120"/>
              <w:jc w:val="center"/>
              <w:rPr>
                <w:rFonts w:ascii="Times New Roman" w:hAnsi="Times New Roman"/>
                <w:b/>
                <w:sz w:val="24"/>
                <w:szCs w:val="24"/>
              </w:rPr>
            </w:pPr>
            <w:r>
              <w:rPr>
                <w:rFonts w:ascii="Times New Roman" w:eastAsia="Times New Roman" w:hAnsi="Times New Roman"/>
                <w:b/>
                <w:sz w:val="24"/>
                <w:szCs w:val="24"/>
              </w:rPr>
              <w:t>2021.gads</w:t>
            </w:r>
          </w:p>
        </w:tc>
        <w:tc>
          <w:tcPr>
            <w:tcW w:w="6520" w:type="dxa"/>
            <w:gridSpan w:val="8"/>
            <w:tcBorders>
              <w:top w:val="single" w:sz="4" w:space="0" w:color="auto"/>
              <w:left w:val="single" w:sz="4" w:space="0" w:color="auto"/>
              <w:bottom w:val="single" w:sz="4" w:space="0" w:color="auto"/>
              <w:right w:val="single" w:sz="4" w:space="0" w:color="auto"/>
            </w:tcBorders>
            <w:vAlign w:val="center"/>
            <w:hideMark/>
          </w:tcPr>
          <w:p w14:paraId="4E0B21B5" w14:textId="77777777" w:rsidR="00D372EF" w:rsidRDefault="00D372EF">
            <w:pPr>
              <w:tabs>
                <w:tab w:val="left" w:pos="1792"/>
              </w:tabs>
              <w:spacing w:before="120" w:after="120"/>
              <w:rPr>
                <w:rFonts w:ascii="Times New Roman" w:hAnsi="Times New Roman"/>
                <w:sz w:val="24"/>
                <w:szCs w:val="24"/>
              </w:rPr>
            </w:pPr>
            <w:r>
              <w:rPr>
                <w:rFonts w:ascii="Times New Roman" w:hAnsi="Times New Roman"/>
                <w:sz w:val="24"/>
                <w:szCs w:val="24"/>
              </w:rPr>
              <w:tab/>
            </w:r>
            <w:r>
              <w:rPr>
                <w:rFonts w:ascii="Times New Roman" w:eastAsia="Times New Roman" w:hAnsi="Times New Roman"/>
                <w:b/>
                <w:sz w:val="24"/>
                <w:szCs w:val="24"/>
              </w:rPr>
              <w:t>Turpmākie trīs gadi (</w:t>
            </w:r>
            <w:proofErr w:type="spellStart"/>
            <w:r>
              <w:rPr>
                <w:rFonts w:ascii="Times New Roman" w:eastAsia="Times New Roman" w:hAnsi="Times New Roman"/>
                <w:b/>
                <w:i/>
                <w:sz w:val="24"/>
                <w:szCs w:val="24"/>
              </w:rPr>
              <w:t>euro</w:t>
            </w:r>
            <w:proofErr w:type="spellEnd"/>
            <w:r>
              <w:rPr>
                <w:rFonts w:ascii="Times New Roman" w:eastAsia="Times New Roman" w:hAnsi="Times New Roman"/>
                <w:b/>
                <w:sz w:val="24"/>
                <w:szCs w:val="24"/>
              </w:rPr>
              <w:t>)</w:t>
            </w:r>
          </w:p>
        </w:tc>
      </w:tr>
      <w:tr w:rsidR="00D372EF" w14:paraId="037AA482" w14:textId="77777777" w:rsidTr="00D372EF">
        <w:tc>
          <w:tcPr>
            <w:tcW w:w="2054" w:type="dxa"/>
            <w:vMerge/>
            <w:tcBorders>
              <w:top w:val="single" w:sz="4" w:space="0" w:color="auto"/>
              <w:left w:val="single" w:sz="4" w:space="0" w:color="auto"/>
              <w:bottom w:val="single" w:sz="4" w:space="0" w:color="auto"/>
              <w:right w:val="single" w:sz="4" w:space="0" w:color="auto"/>
            </w:tcBorders>
            <w:vAlign w:val="center"/>
            <w:hideMark/>
          </w:tcPr>
          <w:p w14:paraId="0542F0B0" w14:textId="77777777" w:rsidR="00D372EF" w:rsidRDefault="00D372EF">
            <w:pPr>
              <w:spacing w:after="0" w:line="240" w:lineRule="auto"/>
              <w:rPr>
                <w:rFonts w:ascii="Times New Roman" w:eastAsia="Times New Roman" w:hAnsi="Times New Roman"/>
                <w:b/>
                <w:sz w:val="24"/>
                <w:szCs w:val="24"/>
              </w:rPr>
            </w:pPr>
          </w:p>
        </w:tc>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4183CF7" w14:textId="77777777" w:rsidR="00D372EF" w:rsidRDefault="00D372EF">
            <w:pPr>
              <w:spacing w:after="0" w:line="240" w:lineRule="auto"/>
              <w:rPr>
                <w:rFonts w:ascii="Times New Roman" w:hAnsi="Times New Roman"/>
                <w:b/>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0E7D64D" w14:textId="77777777" w:rsidR="00D372EF" w:rsidRDefault="00D372EF">
            <w:pPr>
              <w:spacing w:before="120" w:after="120"/>
              <w:jc w:val="center"/>
              <w:rPr>
                <w:rFonts w:ascii="Times New Roman" w:hAnsi="Times New Roman"/>
                <w:b/>
                <w:sz w:val="24"/>
                <w:szCs w:val="24"/>
              </w:rPr>
            </w:pPr>
            <w:r>
              <w:rPr>
                <w:rFonts w:ascii="Times New Roman" w:hAnsi="Times New Roman"/>
                <w:b/>
                <w:sz w:val="24"/>
                <w:szCs w:val="24"/>
              </w:rPr>
              <w:t>2022.gads</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9152A81" w14:textId="77777777" w:rsidR="00D372EF" w:rsidRDefault="00D372EF">
            <w:pPr>
              <w:spacing w:before="120" w:after="120"/>
              <w:jc w:val="center"/>
              <w:rPr>
                <w:rFonts w:ascii="Times New Roman" w:hAnsi="Times New Roman"/>
                <w:b/>
                <w:sz w:val="24"/>
                <w:szCs w:val="24"/>
              </w:rPr>
            </w:pPr>
            <w:r>
              <w:rPr>
                <w:rFonts w:ascii="Times New Roman" w:hAnsi="Times New Roman"/>
                <w:b/>
                <w:sz w:val="24"/>
                <w:szCs w:val="24"/>
              </w:rPr>
              <w:t>2023.gads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C0C6B3B" w14:textId="4ACE617E" w:rsidR="00D372EF" w:rsidRDefault="00D372EF">
            <w:pPr>
              <w:spacing w:before="120" w:after="120"/>
              <w:jc w:val="center"/>
              <w:rPr>
                <w:rFonts w:ascii="Times New Roman" w:hAnsi="Times New Roman"/>
                <w:b/>
                <w:sz w:val="24"/>
                <w:szCs w:val="24"/>
              </w:rPr>
            </w:pPr>
            <w:r>
              <w:rPr>
                <w:rFonts w:ascii="Times New Roman" w:hAnsi="Times New Roman"/>
                <w:b/>
                <w:sz w:val="24"/>
                <w:szCs w:val="24"/>
              </w:rPr>
              <w:t>202</w:t>
            </w:r>
            <w:r w:rsidR="00041393">
              <w:rPr>
                <w:rFonts w:ascii="Times New Roman" w:hAnsi="Times New Roman"/>
                <w:b/>
                <w:sz w:val="24"/>
                <w:szCs w:val="24"/>
              </w:rPr>
              <w:t>3</w:t>
            </w:r>
            <w:r>
              <w:rPr>
                <w:rFonts w:ascii="Times New Roman" w:hAnsi="Times New Roman"/>
                <w:b/>
                <w:sz w:val="24"/>
                <w:szCs w:val="24"/>
              </w:rPr>
              <w:t>.gads</w:t>
            </w:r>
          </w:p>
        </w:tc>
      </w:tr>
      <w:tr w:rsidR="00D372EF" w14:paraId="0E53C4F7" w14:textId="77777777" w:rsidTr="00D372EF">
        <w:trPr>
          <w:gridAfter w:val="1"/>
          <w:wAfter w:w="6" w:type="dxa"/>
        </w:trPr>
        <w:tc>
          <w:tcPr>
            <w:tcW w:w="2054" w:type="dxa"/>
            <w:vMerge/>
            <w:tcBorders>
              <w:top w:val="single" w:sz="4" w:space="0" w:color="auto"/>
              <w:left w:val="single" w:sz="4" w:space="0" w:color="auto"/>
              <w:bottom w:val="single" w:sz="4" w:space="0" w:color="auto"/>
              <w:right w:val="single" w:sz="4" w:space="0" w:color="auto"/>
            </w:tcBorders>
            <w:vAlign w:val="center"/>
            <w:hideMark/>
          </w:tcPr>
          <w:p w14:paraId="1305BC43" w14:textId="77777777" w:rsidR="00D372EF" w:rsidRDefault="00D372EF">
            <w:pPr>
              <w:spacing w:after="0" w:line="240" w:lineRule="auto"/>
              <w:rPr>
                <w:rFonts w:ascii="Times New Roman" w:eastAsia="Times New Roman" w:hAnsi="Times New Roman"/>
                <w:b/>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5E14102F" w14:textId="77777777" w:rsidR="00D372EF" w:rsidRDefault="00D372EF">
            <w:pPr>
              <w:jc w:val="center"/>
              <w:rPr>
                <w:rFonts w:ascii="Times New Roman" w:hAnsi="Times New Roman"/>
                <w:sz w:val="24"/>
                <w:szCs w:val="24"/>
              </w:rPr>
            </w:pPr>
            <w:r>
              <w:rPr>
                <w:rFonts w:ascii="Times New Roman" w:eastAsia="Times New Roman" w:hAnsi="Times New Roman"/>
                <w:sz w:val="24"/>
                <w:szCs w:val="24"/>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BDBD9B" w14:textId="77777777" w:rsidR="00D372EF" w:rsidRDefault="00D372EF">
            <w:pPr>
              <w:jc w:val="center"/>
              <w:rPr>
                <w:rFonts w:ascii="Times New Roman" w:hAnsi="Times New Roman"/>
                <w:sz w:val="24"/>
                <w:szCs w:val="24"/>
              </w:rPr>
            </w:pPr>
            <w:r>
              <w:rPr>
                <w:rFonts w:ascii="Times New Roman" w:eastAsia="Times New Roman" w:hAnsi="Times New Roman"/>
                <w:sz w:val="24"/>
                <w:szCs w:val="24"/>
              </w:rPr>
              <w:t>izmaiņas kārtējā gadā, salīdzinot ar valsts budžetu kārtējam gadam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41FB7AF" w14:textId="77777777" w:rsidR="00D372EF" w:rsidRDefault="00D372EF">
            <w:pPr>
              <w:jc w:val="center"/>
              <w:rPr>
                <w:rFonts w:ascii="Times New Roman" w:hAnsi="Times New Roman"/>
                <w:sz w:val="24"/>
                <w:szCs w:val="24"/>
              </w:rPr>
            </w:pPr>
            <w:r>
              <w:rPr>
                <w:rFonts w:ascii="Times New Roman" w:eastAsia="Times New Roman" w:hAnsi="Times New Roman"/>
                <w:sz w:val="24"/>
                <w:szCs w:val="24"/>
              </w:rPr>
              <w:t>saskaņā ar vidēja termiņa budžeta ietvaru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D655EB" w14:textId="77777777" w:rsidR="00D372EF" w:rsidRDefault="00D372EF">
            <w:pPr>
              <w:jc w:val="center"/>
              <w:rPr>
                <w:rFonts w:ascii="Times New Roman" w:hAnsi="Times New Roman"/>
                <w:sz w:val="24"/>
                <w:szCs w:val="24"/>
              </w:rPr>
            </w:pPr>
            <w:r>
              <w:rPr>
                <w:rFonts w:ascii="Times New Roman" w:hAnsi="Times New Roman"/>
                <w:sz w:val="24"/>
                <w:szCs w:val="24"/>
              </w:rPr>
              <w:t>izmaiņas, salīdzinot ar vidēja termiņa budžeta ietvaru 2022. gadam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CAAEBB0" w14:textId="77777777" w:rsidR="00D372EF" w:rsidRDefault="00D372EF">
            <w:pPr>
              <w:jc w:val="center"/>
              <w:rPr>
                <w:rFonts w:ascii="Times New Roman" w:hAnsi="Times New Roman"/>
                <w:sz w:val="24"/>
                <w:szCs w:val="24"/>
              </w:rPr>
            </w:pPr>
            <w:r>
              <w:rPr>
                <w:rFonts w:ascii="Times New Roman" w:eastAsia="Times New Roman" w:hAnsi="Times New Roman"/>
                <w:sz w:val="24"/>
                <w:szCs w:val="24"/>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20BE8A" w14:textId="77777777" w:rsidR="00D372EF" w:rsidRDefault="00D372EF">
            <w:pPr>
              <w:jc w:val="center"/>
              <w:rPr>
                <w:rFonts w:ascii="Times New Roman" w:hAnsi="Times New Roman"/>
                <w:sz w:val="24"/>
                <w:szCs w:val="24"/>
              </w:rPr>
            </w:pPr>
            <w:r>
              <w:rPr>
                <w:rFonts w:ascii="Times New Roman" w:hAnsi="Times New Roman"/>
                <w:sz w:val="24"/>
                <w:szCs w:val="24"/>
              </w:rPr>
              <w:t>izmaiņas, salīdzinot ar vidēja termiņa budžeta ietvaru 2023. gadam</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73A9ADD" w14:textId="26F16FBB" w:rsidR="00D372EF" w:rsidRDefault="00D372EF">
            <w:pPr>
              <w:jc w:val="center"/>
              <w:rPr>
                <w:rFonts w:ascii="Times New Roman" w:hAnsi="Times New Roman"/>
                <w:sz w:val="24"/>
                <w:szCs w:val="24"/>
              </w:rPr>
            </w:pPr>
            <w:r>
              <w:rPr>
                <w:rFonts w:ascii="Times New Roman" w:eastAsia="Times New Roman" w:hAnsi="Times New Roman"/>
                <w:sz w:val="24"/>
                <w:szCs w:val="24"/>
              </w:rPr>
              <w:t>izmaiņas, salīdzinot ar vidēja termiņa budžeta ietvaru 202</w:t>
            </w:r>
            <w:r w:rsidR="00041393">
              <w:rPr>
                <w:rFonts w:ascii="Times New Roman" w:eastAsia="Times New Roman" w:hAnsi="Times New Roman"/>
                <w:sz w:val="24"/>
                <w:szCs w:val="24"/>
              </w:rPr>
              <w:t>3</w:t>
            </w:r>
            <w:r>
              <w:rPr>
                <w:rFonts w:ascii="Times New Roman" w:eastAsia="Times New Roman" w:hAnsi="Times New Roman"/>
                <w:sz w:val="24"/>
                <w:szCs w:val="24"/>
              </w:rPr>
              <w:t>. gadam</w:t>
            </w:r>
          </w:p>
        </w:tc>
      </w:tr>
      <w:tr w:rsidR="00D372EF" w14:paraId="4D9E7A7F"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vAlign w:val="center"/>
            <w:hideMark/>
          </w:tcPr>
          <w:p w14:paraId="3EB7DF71" w14:textId="77777777" w:rsidR="00D372EF" w:rsidRDefault="00D372EF">
            <w:pPr>
              <w:jc w:val="center"/>
              <w:rPr>
                <w:rFonts w:ascii="Times New Roman" w:hAnsi="Times New Roman"/>
                <w:sz w:val="24"/>
                <w:szCs w:val="24"/>
              </w:rPr>
            </w:pPr>
            <w:r>
              <w:rPr>
                <w:rFonts w:ascii="Times New Roman" w:hAnsi="Times New Roman"/>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F03D63B" w14:textId="77777777" w:rsidR="00D372EF" w:rsidRDefault="00D372EF">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E69A7" w14:textId="77777777" w:rsidR="00D372EF" w:rsidRDefault="00D372EF">
            <w:pPr>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2680BCE" w14:textId="77777777" w:rsidR="00D372EF" w:rsidRDefault="00D372EF">
            <w:pPr>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999309" w14:textId="77777777" w:rsidR="00D372EF" w:rsidRDefault="00D372EF">
            <w:pPr>
              <w:jc w:val="center"/>
              <w:rPr>
                <w:rFonts w:ascii="Times New Roman" w:hAnsi="Times New Roman"/>
                <w:sz w:val="24"/>
                <w:szCs w:val="24"/>
              </w:rPr>
            </w:pPr>
            <w:r>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AAA98C2" w14:textId="77777777" w:rsidR="00D372EF" w:rsidRDefault="00D372EF">
            <w:pPr>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B3382C" w14:textId="77777777" w:rsidR="00D372EF" w:rsidRDefault="00D372EF">
            <w:pPr>
              <w:jc w:val="center"/>
              <w:rPr>
                <w:rFonts w:ascii="Times New Roman" w:hAnsi="Times New Roman"/>
                <w:sz w:val="24"/>
                <w:szCs w:val="24"/>
              </w:rPr>
            </w:pPr>
            <w:r>
              <w:rPr>
                <w:rFonts w:ascii="Times New Roman" w:hAnsi="Times New Roman"/>
                <w:sz w:val="24"/>
                <w:szCs w:val="24"/>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F7EC6D3" w14:textId="77777777" w:rsidR="00D372EF" w:rsidRDefault="00D372EF">
            <w:pPr>
              <w:jc w:val="center"/>
              <w:rPr>
                <w:rFonts w:ascii="Times New Roman" w:hAnsi="Times New Roman"/>
                <w:sz w:val="24"/>
                <w:szCs w:val="24"/>
              </w:rPr>
            </w:pPr>
            <w:r>
              <w:rPr>
                <w:rFonts w:ascii="Times New Roman" w:hAnsi="Times New Roman"/>
                <w:sz w:val="24"/>
                <w:szCs w:val="24"/>
              </w:rPr>
              <w:t>8</w:t>
            </w:r>
          </w:p>
        </w:tc>
      </w:tr>
      <w:tr w:rsidR="00B537DA" w:rsidRPr="00B537DA" w14:paraId="272C1E4F" w14:textId="77777777" w:rsidTr="00DA3DBB">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3CE3EEA" w14:textId="77777777" w:rsidR="00D372EF" w:rsidRDefault="00D372EF">
            <w:pPr>
              <w:rPr>
                <w:rFonts w:ascii="Times New Roman" w:hAnsi="Times New Roman"/>
                <w:sz w:val="24"/>
                <w:szCs w:val="24"/>
              </w:rPr>
            </w:pPr>
            <w:r>
              <w:rPr>
                <w:rFonts w:ascii="Times New Roman" w:eastAsia="Times New Roman" w:hAnsi="Times New Roman"/>
                <w:sz w:val="24"/>
                <w:szCs w:val="24"/>
              </w:rPr>
              <w:t>1. Budžeta ieņēmumi:</w:t>
            </w:r>
          </w:p>
        </w:tc>
        <w:tc>
          <w:tcPr>
            <w:tcW w:w="1349" w:type="dxa"/>
            <w:tcBorders>
              <w:top w:val="single" w:sz="4" w:space="0" w:color="auto"/>
              <w:left w:val="single" w:sz="4" w:space="0" w:color="auto"/>
              <w:bottom w:val="single" w:sz="4" w:space="0" w:color="auto"/>
              <w:right w:val="single" w:sz="4" w:space="0" w:color="auto"/>
            </w:tcBorders>
            <w:vAlign w:val="center"/>
          </w:tcPr>
          <w:p w14:paraId="2A507C9D" w14:textId="28AC8763" w:rsidR="00D372EF" w:rsidRPr="00A30E76" w:rsidRDefault="0075139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14 941 765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95233" w14:textId="4643E9DE" w:rsidR="00D372EF" w:rsidRPr="00A30E76" w:rsidRDefault="00D372EF">
            <w:pPr>
              <w:jc w:val="center"/>
              <w:rPr>
                <w:rFonts w:ascii="Times New Roman" w:eastAsia="Times New Roman" w:hAnsi="Times New Roman"/>
                <w:color w:val="000000" w:themeColor="text1"/>
                <w:sz w:val="24"/>
                <w:szCs w:val="24"/>
              </w:rPr>
            </w:pPr>
            <w:r w:rsidRPr="00A30E76">
              <w:rPr>
                <w:rFonts w:ascii="Times New Roman" w:eastAsia="Times New Roman" w:hAnsi="Times New Roman"/>
                <w:color w:val="000000" w:themeColor="text1"/>
                <w:sz w:val="24"/>
                <w:szCs w:val="24"/>
              </w:rPr>
              <w:t>-2</w:t>
            </w:r>
            <w:r w:rsidR="004B7866" w:rsidRPr="00A30E76">
              <w:rPr>
                <w:rFonts w:ascii="Times New Roman" w:eastAsia="Times New Roman" w:hAnsi="Times New Roman"/>
                <w:color w:val="000000" w:themeColor="text1"/>
                <w:sz w:val="24"/>
                <w:szCs w:val="24"/>
              </w:rPr>
              <w:t> 639 287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2634D17" w14:textId="77777777" w:rsidR="00D372EF" w:rsidRPr="00A30E76" w:rsidRDefault="00D372EF">
            <w:pPr>
              <w:jc w:val="center"/>
              <w:rPr>
                <w:rFonts w:ascii="Times New Roman" w:eastAsia="Times New Roman" w:hAnsi="Times New Roman"/>
                <w:color w:val="000000" w:themeColor="text1"/>
                <w:sz w:val="24"/>
                <w:szCs w:val="24"/>
              </w:rPr>
            </w:pPr>
            <w:r w:rsidRPr="00A30E76">
              <w:rPr>
                <w:rFonts w:ascii="Times New Roman" w:eastAsia="Times New Roman" w:hAnsi="Times New Roman"/>
                <w:color w:val="000000" w:themeColor="text1"/>
                <w:sz w:val="24"/>
                <w:szCs w:val="24"/>
              </w:rPr>
              <w:t>9 093 862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127D3"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9B19388"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75BCFF"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E04E64"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r>
      <w:tr w:rsidR="00B537DA" w:rsidRPr="00B537DA" w14:paraId="382BA9DF" w14:textId="77777777" w:rsidTr="00DA3DBB">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62937737" w14:textId="77777777" w:rsidR="00D372EF" w:rsidRDefault="00D372EF">
            <w:pPr>
              <w:rPr>
                <w:rFonts w:ascii="Times New Roman" w:hAnsi="Times New Roman"/>
                <w:sz w:val="24"/>
                <w:szCs w:val="24"/>
              </w:rPr>
            </w:pPr>
            <w:r>
              <w:rPr>
                <w:rFonts w:ascii="Times New Roman" w:hAnsi="Times New Roman"/>
                <w:sz w:val="24"/>
                <w:szCs w:val="24"/>
              </w:rPr>
              <w:t>1.1. valsts pamatbudžets, tai skaitā ieņēmumi no maksas pakalpojumiem un citi pašu ieņēmumi</w:t>
            </w:r>
          </w:p>
        </w:tc>
        <w:tc>
          <w:tcPr>
            <w:tcW w:w="1349" w:type="dxa"/>
            <w:tcBorders>
              <w:top w:val="single" w:sz="4" w:space="0" w:color="auto"/>
              <w:left w:val="single" w:sz="4" w:space="0" w:color="auto"/>
              <w:bottom w:val="single" w:sz="4" w:space="0" w:color="auto"/>
              <w:right w:val="single" w:sz="4" w:space="0" w:color="auto"/>
            </w:tcBorders>
            <w:vAlign w:val="center"/>
          </w:tcPr>
          <w:p w14:paraId="4E5173DD" w14:textId="53AA1661" w:rsidR="00D372EF" w:rsidRPr="00A30E76" w:rsidRDefault="0075139D">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14 941 765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6BAEE" w14:textId="45F0E85C" w:rsidR="00D372EF" w:rsidRPr="00A30E76" w:rsidRDefault="00205CE5">
            <w:pPr>
              <w:jc w:val="center"/>
              <w:rPr>
                <w:rFonts w:ascii="Times New Roman" w:eastAsia="Times New Roman" w:hAnsi="Times New Roman"/>
                <w:color w:val="000000" w:themeColor="text1"/>
                <w:sz w:val="24"/>
                <w:szCs w:val="24"/>
              </w:rPr>
            </w:pPr>
            <w:r w:rsidRPr="00A30E76">
              <w:rPr>
                <w:rFonts w:ascii="Times New Roman" w:eastAsia="Times New Roman" w:hAnsi="Times New Roman"/>
                <w:color w:val="000000" w:themeColor="text1"/>
                <w:sz w:val="24"/>
                <w:szCs w:val="24"/>
              </w:rPr>
              <w:t>-</w:t>
            </w:r>
            <w:r w:rsidR="00D372EF" w:rsidRPr="00A30E76">
              <w:rPr>
                <w:rFonts w:ascii="Times New Roman" w:eastAsia="Times New Roman" w:hAnsi="Times New Roman"/>
                <w:color w:val="000000" w:themeColor="text1"/>
                <w:sz w:val="24"/>
                <w:szCs w:val="24"/>
              </w:rPr>
              <w:t>2</w:t>
            </w:r>
            <w:r w:rsidR="004B7866" w:rsidRPr="00A30E76">
              <w:rPr>
                <w:rFonts w:ascii="Times New Roman" w:eastAsia="Times New Roman" w:hAnsi="Times New Roman"/>
                <w:color w:val="000000" w:themeColor="text1"/>
                <w:sz w:val="24"/>
                <w:szCs w:val="24"/>
              </w:rPr>
              <w:t> 639 287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9CE078A" w14:textId="3399BA55" w:rsidR="00D372EF" w:rsidRPr="00A30E76" w:rsidRDefault="00D372EF">
            <w:pPr>
              <w:jc w:val="center"/>
              <w:rPr>
                <w:rFonts w:ascii="Times New Roman" w:eastAsia="Times New Roman" w:hAnsi="Times New Roman"/>
                <w:color w:val="000000" w:themeColor="text1"/>
                <w:sz w:val="24"/>
                <w:szCs w:val="24"/>
              </w:rPr>
            </w:pPr>
            <w:r w:rsidRPr="00A30E76">
              <w:rPr>
                <w:rFonts w:ascii="Times New Roman" w:eastAsia="Times New Roman" w:hAnsi="Times New Roman"/>
                <w:color w:val="000000" w:themeColor="text1"/>
                <w:sz w:val="24"/>
                <w:szCs w:val="24"/>
              </w:rPr>
              <w:t>9</w:t>
            </w:r>
            <w:r w:rsidR="007A7BFE" w:rsidRPr="00A30E76">
              <w:rPr>
                <w:rFonts w:ascii="Times New Roman" w:eastAsia="Times New Roman" w:hAnsi="Times New Roman"/>
                <w:color w:val="000000" w:themeColor="text1"/>
                <w:sz w:val="24"/>
                <w:szCs w:val="24"/>
              </w:rPr>
              <w:t xml:space="preserve"> </w:t>
            </w:r>
            <w:r w:rsidRPr="00A30E76">
              <w:rPr>
                <w:rFonts w:ascii="Times New Roman" w:eastAsia="Times New Roman" w:hAnsi="Times New Roman"/>
                <w:color w:val="000000" w:themeColor="text1"/>
                <w:sz w:val="24"/>
                <w:szCs w:val="24"/>
              </w:rPr>
              <w:t>093</w:t>
            </w:r>
            <w:r w:rsidR="007A7BFE" w:rsidRPr="00A30E76">
              <w:rPr>
                <w:rFonts w:ascii="Times New Roman" w:eastAsia="Times New Roman" w:hAnsi="Times New Roman"/>
                <w:color w:val="000000" w:themeColor="text1"/>
                <w:sz w:val="24"/>
                <w:szCs w:val="24"/>
              </w:rPr>
              <w:t xml:space="preserve"> </w:t>
            </w:r>
            <w:r w:rsidRPr="00A30E76">
              <w:rPr>
                <w:rFonts w:ascii="Times New Roman" w:eastAsia="Times New Roman" w:hAnsi="Times New Roman"/>
                <w:color w:val="000000" w:themeColor="text1"/>
                <w:sz w:val="24"/>
                <w:szCs w:val="24"/>
              </w:rPr>
              <w:t>862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04131F"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 xml:space="preserve"> 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75E6BDF"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D1B28"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AE7C2DE" w14:textId="77777777" w:rsidR="00D372EF" w:rsidRPr="00B537DA" w:rsidRDefault="00D372EF">
            <w:pPr>
              <w:jc w:val="center"/>
              <w:rPr>
                <w:rFonts w:ascii="Times New Roman" w:eastAsia="Times New Roman" w:hAnsi="Times New Roman"/>
                <w:color w:val="000000" w:themeColor="text1"/>
                <w:sz w:val="24"/>
                <w:szCs w:val="24"/>
              </w:rPr>
            </w:pPr>
            <w:r w:rsidRPr="00B537DA">
              <w:rPr>
                <w:rFonts w:ascii="Times New Roman" w:eastAsia="Times New Roman" w:hAnsi="Times New Roman"/>
                <w:color w:val="000000" w:themeColor="text1"/>
                <w:sz w:val="24"/>
                <w:szCs w:val="24"/>
              </w:rPr>
              <w:t>0</w:t>
            </w:r>
          </w:p>
        </w:tc>
      </w:tr>
      <w:tr w:rsidR="00B537DA" w:rsidRPr="00B537DA" w14:paraId="3859F008"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7E20A713" w14:textId="77777777" w:rsidR="00D372EF" w:rsidRDefault="00D372EF">
            <w:pPr>
              <w:rPr>
                <w:rFonts w:ascii="Times New Roman" w:hAnsi="Times New Roman"/>
                <w:sz w:val="24"/>
                <w:szCs w:val="24"/>
              </w:rPr>
            </w:pPr>
            <w:r>
              <w:rPr>
                <w:rFonts w:ascii="Times New Roman" w:hAnsi="Times New Roman"/>
                <w:sz w:val="24"/>
                <w:szCs w:val="24"/>
              </w:rPr>
              <w:t>1.2. valsts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B686A7"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88D2A"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E2C253B"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9CF8E9"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705F07D"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7D030"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2AA71E"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4F86AF1B"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6D5A3D58" w14:textId="77777777" w:rsidR="00D372EF" w:rsidRDefault="00D372EF">
            <w:pPr>
              <w:rPr>
                <w:rFonts w:ascii="Times New Roman" w:hAnsi="Times New Roman"/>
                <w:sz w:val="24"/>
                <w:szCs w:val="24"/>
              </w:rPr>
            </w:pPr>
            <w:r>
              <w:rPr>
                <w:rFonts w:ascii="Times New Roman" w:hAnsi="Times New Roman"/>
                <w:sz w:val="24"/>
                <w:szCs w:val="24"/>
              </w:rPr>
              <w:t>1.3.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9F03C06"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B911D"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83AE4B2"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644E5E"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11F2D7C"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0D6D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AE0075A"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DA3DBB" w:rsidRPr="00B537DA" w14:paraId="2CB2409F" w14:textId="77777777" w:rsidTr="00F9787B">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7CF88D79" w14:textId="77777777" w:rsidR="00DA3DBB" w:rsidRDefault="00DA3DBB" w:rsidP="00DA3DBB">
            <w:pPr>
              <w:rPr>
                <w:rFonts w:ascii="Times New Roman" w:hAnsi="Times New Roman"/>
                <w:sz w:val="24"/>
                <w:szCs w:val="24"/>
              </w:rPr>
            </w:pPr>
            <w:r>
              <w:rPr>
                <w:rFonts w:ascii="Times New Roman" w:hAnsi="Times New Roman"/>
                <w:sz w:val="24"/>
                <w:szCs w:val="24"/>
              </w:rPr>
              <w:t>2. Budžeta izdevumi:</w:t>
            </w:r>
          </w:p>
        </w:tc>
        <w:tc>
          <w:tcPr>
            <w:tcW w:w="1349" w:type="dxa"/>
            <w:tcBorders>
              <w:top w:val="single" w:sz="4" w:space="0" w:color="auto"/>
              <w:left w:val="single" w:sz="4" w:space="0" w:color="auto"/>
              <w:bottom w:val="single" w:sz="4" w:space="0" w:color="auto"/>
              <w:right w:val="single" w:sz="4" w:space="0" w:color="auto"/>
            </w:tcBorders>
          </w:tcPr>
          <w:p w14:paraId="66586606" w14:textId="3C00EB79" w:rsidR="00DA3DBB" w:rsidRPr="00A30E76" w:rsidRDefault="00DA3DBB" w:rsidP="00DA3DBB">
            <w:pPr>
              <w:jc w:val="center"/>
              <w:rPr>
                <w:rFonts w:ascii="Times New Roman" w:hAnsi="Times New Roman"/>
                <w:color w:val="000000" w:themeColor="text1"/>
                <w:sz w:val="24"/>
                <w:szCs w:val="24"/>
              </w:rPr>
            </w:pPr>
            <w:r w:rsidRPr="00A30E76">
              <w:rPr>
                <w:rFonts w:ascii="Times New Roman" w:eastAsia="Times New Roman" w:hAnsi="Times New Roman"/>
                <w:color w:val="000000" w:themeColor="text1"/>
                <w:sz w:val="24"/>
                <w:szCs w:val="24"/>
              </w:rPr>
              <w:t>17</w:t>
            </w:r>
            <w:r w:rsidR="001C70A1">
              <w:rPr>
                <w:rFonts w:ascii="Times New Roman" w:eastAsia="Times New Roman" w:hAnsi="Times New Roman"/>
                <w:color w:val="000000" w:themeColor="text1"/>
                <w:sz w:val="24"/>
                <w:szCs w:val="24"/>
              </w:rPr>
              <w:t> 578 548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ED2D0" w14:textId="681CB3FE" w:rsidR="00DA3DBB" w:rsidRPr="00A30E76" w:rsidRDefault="00DA3DBB" w:rsidP="00DA3DBB">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 xml:space="preserve">  -3  105 044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2FA5F36" w14:textId="77777777" w:rsidR="00DA3DBB" w:rsidRPr="00A30E76" w:rsidRDefault="00DA3DBB" w:rsidP="00DA3DBB">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10 698 661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2378CD"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DDE36AD"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45B65"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9315A6"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DA3DBB" w:rsidRPr="00B537DA" w14:paraId="42FF7756" w14:textId="77777777" w:rsidTr="00F9787B">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4D65D9E5" w14:textId="77777777" w:rsidR="00DA3DBB" w:rsidRDefault="00DA3DBB" w:rsidP="00DA3DBB">
            <w:pPr>
              <w:rPr>
                <w:rFonts w:ascii="Times New Roman" w:hAnsi="Times New Roman"/>
                <w:sz w:val="24"/>
                <w:szCs w:val="24"/>
              </w:rPr>
            </w:pPr>
            <w:r>
              <w:rPr>
                <w:rFonts w:ascii="Times New Roman" w:hAnsi="Times New Roman"/>
                <w:sz w:val="24"/>
                <w:szCs w:val="24"/>
              </w:rPr>
              <w:lastRenderedPageBreak/>
              <w:t>2.1. valsts pamatbudžets</w:t>
            </w:r>
          </w:p>
        </w:tc>
        <w:tc>
          <w:tcPr>
            <w:tcW w:w="1349" w:type="dxa"/>
            <w:tcBorders>
              <w:top w:val="single" w:sz="4" w:space="0" w:color="auto"/>
              <w:left w:val="single" w:sz="4" w:space="0" w:color="auto"/>
              <w:bottom w:val="single" w:sz="4" w:space="0" w:color="auto"/>
              <w:right w:val="single" w:sz="4" w:space="0" w:color="auto"/>
            </w:tcBorders>
          </w:tcPr>
          <w:p w14:paraId="0AEBAB47" w14:textId="336B7F70" w:rsidR="001C70A1" w:rsidRPr="001C70A1" w:rsidRDefault="001C70A1" w:rsidP="001C70A1">
            <w:pPr>
              <w:jc w:val="center"/>
              <w:rPr>
                <w:rFonts w:ascii="Times New Roman" w:hAnsi="Times New Roman"/>
                <w:color w:val="000000" w:themeColor="text1"/>
                <w:sz w:val="24"/>
                <w:szCs w:val="24"/>
              </w:rPr>
            </w:pPr>
            <w:r w:rsidRPr="001C70A1">
              <w:rPr>
                <w:rFonts w:ascii="Times New Roman" w:eastAsia="Times New Roman" w:hAnsi="Times New Roman"/>
                <w:color w:val="000000" w:themeColor="text1"/>
                <w:sz w:val="24"/>
                <w:szCs w:val="24"/>
              </w:rPr>
              <w:t>17 578 548</w:t>
            </w:r>
          </w:p>
          <w:p w14:paraId="576500A1" w14:textId="35124AE5" w:rsidR="00DA3DBB" w:rsidRPr="001C70A1" w:rsidRDefault="00DA3DBB" w:rsidP="00DA3DBB">
            <w:pPr>
              <w:jc w:val="center"/>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8D6038B" w14:textId="53D7C15B" w:rsidR="00DA3DBB" w:rsidRPr="001C70A1" w:rsidRDefault="00DA3DBB" w:rsidP="00DA3DBB">
            <w:pPr>
              <w:jc w:val="center"/>
              <w:rPr>
                <w:rFonts w:ascii="Times New Roman" w:hAnsi="Times New Roman"/>
                <w:color w:val="000000" w:themeColor="text1"/>
                <w:sz w:val="24"/>
                <w:szCs w:val="24"/>
              </w:rPr>
            </w:pPr>
            <w:r w:rsidRPr="001C70A1">
              <w:rPr>
                <w:rFonts w:ascii="Times New Roman" w:hAnsi="Times New Roman"/>
                <w:color w:val="000000" w:themeColor="text1"/>
                <w:sz w:val="24"/>
                <w:szCs w:val="24"/>
              </w:rPr>
              <w:t>-3 105 044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552CA48" w14:textId="77777777" w:rsidR="00DA3DBB" w:rsidRPr="00A30E76" w:rsidRDefault="00DA3DBB" w:rsidP="00DA3DBB">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10 698 661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26FD60"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6D3482F"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4F3BD"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1876A23" w14:textId="77777777" w:rsidR="00DA3DBB" w:rsidRPr="00B537DA" w:rsidRDefault="00DA3DBB" w:rsidP="00DA3DB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5C200DCD"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D92080A" w14:textId="77777777" w:rsidR="00D372EF" w:rsidRDefault="00D372EF">
            <w:pPr>
              <w:rPr>
                <w:rFonts w:ascii="Times New Roman" w:hAnsi="Times New Roman"/>
                <w:sz w:val="24"/>
                <w:szCs w:val="24"/>
              </w:rPr>
            </w:pPr>
            <w:r>
              <w:rPr>
                <w:rFonts w:ascii="Times New Roman" w:hAnsi="Times New Roman"/>
                <w:sz w:val="24"/>
                <w:szCs w:val="24"/>
              </w:rPr>
              <w:t>2.2. valsts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64B5F38"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0BD49"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FBA8078"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DF6B76"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62A6EF9"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02FE2"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D69BA61"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3FCB5A20"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4BE6755" w14:textId="77777777" w:rsidR="00D372EF" w:rsidRDefault="00D372EF">
            <w:pPr>
              <w:rPr>
                <w:rFonts w:ascii="Times New Roman" w:hAnsi="Times New Roman"/>
                <w:sz w:val="24"/>
                <w:szCs w:val="24"/>
              </w:rPr>
            </w:pPr>
            <w:r>
              <w:rPr>
                <w:rFonts w:ascii="Times New Roman" w:hAnsi="Times New Roman"/>
                <w:sz w:val="24"/>
                <w:szCs w:val="24"/>
              </w:rPr>
              <w:t>2.3.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8F1D5E"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671CC"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D285FF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F79F04"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69C2D13"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A1CD3"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7B0AC36"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162E2F36"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774D548A" w14:textId="77777777" w:rsidR="00D372EF" w:rsidRDefault="00D372EF">
            <w:pPr>
              <w:rPr>
                <w:rFonts w:ascii="Times New Roman" w:hAnsi="Times New Roman"/>
                <w:sz w:val="24"/>
                <w:szCs w:val="24"/>
              </w:rPr>
            </w:pPr>
            <w:r>
              <w:rPr>
                <w:rFonts w:ascii="Times New Roman" w:hAnsi="Times New Roman"/>
                <w:sz w:val="24"/>
                <w:szCs w:val="24"/>
              </w:rPr>
              <w:t>3. Finansiālā ietekme:</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CB126F2" w14:textId="6BC45E6A" w:rsidR="00D372EF" w:rsidRPr="00A30E76" w:rsidRDefault="00D372EF">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E07E21" w:rsidRPr="00A30E76">
              <w:rPr>
                <w:rFonts w:ascii="Times New Roman" w:hAnsi="Times New Roman"/>
                <w:color w:val="000000" w:themeColor="text1"/>
                <w:sz w:val="24"/>
                <w:szCs w:val="24"/>
              </w:rPr>
              <w:t>2</w:t>
            </w:r>
            <w:r w:rsidR="006843C6" w:rsidRPr="00A30E76">
              <w:rPr>
                <w:rFonts w:ascii="Times New Roman" w:hAnsi="Times New Roman"/>
                <w:color w:val="000000" w:themeColor="text1"/>
                <w:sz w:val="24"/>
                <w:szCs w:val="24"/>
              </w:rPr>
              <w:t> </w:t>
            </w:r>
            <w:r w:rsidR="00E07E21" w:rsidRPr="00A30E76">
              <w:rPr>
                <w:rFonts w:ascii="Times New Roman" w:hAnsi="Times New Roman"/>
                <w:color w:val="000000" w:themeColor="text1"/>
                <w:sz w:val="24"/>
                <w:szCs w:val="24"/>
              </w:rPr>
              <w:t>6</w:t>
            </w:r>
            <w:r w:rsidR="006843C6" w:rsidRPr="00A30E76">
              <w:rPr>
                <w:rFonts w:ascii="Times New Roman" w:hAnsi="Times New Roman"/>
                <w:color w:val="000000" w:themeColor="text1"/>
                <w:sz w:val="24"/>
                <w:szCs w:val="24"/>
              </w:rPr>
              <w:t>36 783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FF2A5" w14:textId="3B1771DC" w:rsidR="00D372EF" w:rsidRPr="00A30E76" w:rsidRDefault="00D372EF">
            <w:pP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4B7866" w:rsidRPr="00A30E76">
              <w:rPr>
                <w:rFonts w:ascii="Times New Roman" w:hAnsi="Times New Roman"/>
                <w:color w:val="000000" w:themeColor="text1"/>
                <w:sz w:val="24"/>
                <w:szCs w:val="24"/>
              </w:rPr>
              <w:t>465 757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17C90F6" w14:textId="77777777" w:rsidR="00D372EF" w:rsidRPr="00A30E76" w:rsidRDefault="00D372EF">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-1 604 799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D21238"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011DAEB"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08246A"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B69D572"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668E6D5D"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04D5F852" w14:textId="77777777" w:rsidR="00D372EF" w:rsidRDefault="00D372EF">
            <w:pPr>
              <w:rPr>
                <w:rFonts w:ascii="Times New Roman" w:hAnsi="Times New Roman"/>
                <w:sz w:val="24"/>
                <w:szCs w:val="24"/>
              </w:rPr>
            </w:pPr>
            <w:r>
              <w:rPr>
                <w:rFonts w:ascii="Times New Roman" w:hAnsi="Times New Roman"/>
                <w:sz w:val="24"/>
                <w:szCs w:val="24"/>
              </w:rPr>
              <w:t>3.1. valsts pamatbudžets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FA42321" w14:textId="0B568C7A" w:rsidR="00D372EF" w:rsidRPr="00A30E76" w:rsidRDefault="00D372EF">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E07E21" w:rsidRPr="00A30E76">
              <w:rPr>
                <w:rFonts w:ascii="Times New Roman" w:hAnsi="Times New Roman"/>
                <w:color w:val="000000" w:themeColor="text1"/>
                <w:sz w:val="24"/>
                <w:szCs w:val="24"/>
              </w:rPr>
              <w:t>2</w:t>
            </w:r>
            <w:r w:rsidR="006843C6" w:rsidRPr="00A30E76">
              <w:rPr>
                <w:rFonts w:ascii="Times New Roman" w:hAnsi="Times New Roman"/>
                <w:color w:val="000000" w:themeColor="text1"/>
                <w:sz w:val="24"/>
                <w:szCs w:val="24"/>
              </w:rPr>
              <w:t> 636 783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46B72" w14:textId="07E68673" w:rsidR="00D372EF" w:rsidRPr="00A30E76" w:rsidRDefault="00D372EF">
            <w:pP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4B7866" w:rsidRPr="00A30E76">
              <w:rPr>
                <w:rFonts w:ascii="Times New Roman" w:hAnsi="Times New Roman"/>
                <w:color w:val="000000" w:themeColor="text1"/>
                <w:sz w:val="24"/>
                <w:szCs w:val="24"/>
              </w:rPr>
              <w:t>465 757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3FAF90A" w14:textId="77777777" w:rsidR="00D372EF" w:rsidRPr="00A30E76" w:rsidRDefault="00D372EF">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-1604 799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30BB97"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E996A37"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8CC26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90BD8F1"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006EAA94" w14:textId="77777777" w:rsidTr="00D372E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0106847F" w14:textId="77777777" w:rsidR="00D372EF" w:rsidRDefault="00D372EF">
            <w:pPr>
              <w:rPr>
                <w:rFonts w:ascii="Times New Roman" w:hAnsi="Times New Roman"/>
                <w:sz w:val="24"/>
                <w:szCs w:val="24"/>
              </w:rPr>
            </w:pPr>
            <w:r>
              <w:rPr>
                <w:rFonts w:ascii="Times New Roman" w:hAnsi="Times New Roman"/>
                <w:sz w:val="24"/>
                <w:szCs w:val="24"/>
              </w:rPr>
              <w:t>3.2.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215AB57"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5B1314"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4F7CFFD"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F30210"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2A3020B"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923EDC"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F822FC0"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6FAA186F"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3092A15F" w14:textId="77777777" w:rsidR="00D372EF" w:rsidRDefault="00D372EF">
            <w:pPr>
              <w:rPr>
                <w:rFonts w:ascii="Times New Roman" w:hAnsi="Times New Roman"/>
                <w:sz w:val="24"/>
                <w:szCs w:val="24"/>
              </w:rPr>
            </w:pPr>
            <w:r>
              <w:rPr>
                <w:rFonts w:ascii="Times New Roman" w:hAnsi="Times New Roman"/>
                <w:sz w:val="24"/>
                <w:szCs w:val="24"/>
              </w:rPr>
              <w:t>3.3.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45766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DD32C9"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BF242E3"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FCFC6C"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F6C7BB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43749"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B59D0BF"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B537DA" w:rsidRPr="00B537DA" w14:paraId="443C1620"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6B784DA3" w14:textId="77777777" w:rsidR="00D372EF" w:rsidRDefault="00D372EF">
            <w:pPr>
              <w:rPr>
                <w:rFonts w:ascii="Times New Roman" w:hAnsi="Times New Roman"/>
                <w:sz w:val="24"/>
                <w:szCs w:val="24"/>
              </w:rPr>
            </w:pPr>
            <w:r>
              <w:rPr>
                <w:rFonts w:ascii="Times New Roman" w:hAnsi="Times New Roman"/>
                <w:sz w:val="24"/>
                <w:szCs w:val="24"/>
              </w:rPr>
              <w:t>4. Finanšu līdzekļi papildu izdevumu finansēšanai (kompensējošu izdevumu samazinājumu norāda ar "+" zīmi)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147550A" w14:textId="3D58D4B7" w:rsidR="00D372EF" w:rsidRPr="00B537DA" w:rsidRDefault="00E07E21">
            <w:pPr>
              <w:jc w:val="center"/>
              <w:rPr>
                <w:rFonts w:ascii="Times New Roman" w:hAnsi="Times New Roman"/>
                <w:color w:val="000000" w:themeColor="text1"/>
                <w:sz w:val="24"/>
                <w:szCs w:val="24"/>
              </w:rPr>
            </w:pPr>
            <w:r>
              <w:rPr>
                <w:rFonts w:ascii="Times New Roman" w:hAnsi="Times New Roman"/>
                <w:color w:val="000000" w:themeColor="text1"/>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9606A0"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E88DF20" w14:textId="5C80F30F" w:rsidR="00D372EF" w:rsidRPr="00B537DA" w:rsidRDefault="00E07E21">
            <w:pPr>
              <w:jc w:val="center"/>
              <w:rPr>
                <w:rFonts w:ascii="Times New Roman" w:hAnsi="Times New Roman"/>
                <w:color w:val="000000" w:themeColor="text1"/>
                <w:sz w:val="24"/>
                <w:szCs w:val="24"/>
              </w:rPr>
            </w:pPr>
            <w:r>
              <w:rPr>
                <w:rFonts w:ascii="Times New Roman" w:hAnsi="Times New Roman"/>
                <w:color w:val="000000" w:themeColor="text1"/>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E49A0B"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3F657CB" w14:textId="4E856D57" w:rsidR="00D372EF" w:rsidRPr="00B537DA" w:rsidRDefault="00E07E21">
            <w:pPr>
              <w:jc w:val="center"/>
              <w:rPr>
                <w:rFonts w:ascii="Times New Roman" w:hAnsi="Times New Roman"/>
                <w:color w:val="000000" w:themeColor="text1"/>
                <w:sz w:val="24"/>
                <w:szCs w:val="24"/>
              </w:rPr>
            </w:pPr>
            <w:r>
              <w:rPr>
                <w:rFonts w:ascii="Times New Roman" w:hAnsi="Times New Roman"/>
                <w:color w:val="000000" w:themeColor="text1"/>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930D5B"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0742F01" w14:textId="77777777" w:rsidR="00D372EF" w:rsidRPr="00B537DA" w:rsidRDefault="00D372EF">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0</w:t>
            </w:r>
          </w:p>
        </w:tc>
      </w:tr>
      <w:tr w:rsidR="00781A5B" w:rsidRPr="00B537DA" w14:paraId="6F92BB9B"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0299E85" w14:textId="0E2B93B2" w:rsidR="00781A5B" w:rsidRDefault="00781A5B" w:rsidP="00781A5B">
            <w:pPr>
              <w:rPr>
                <w:rFonts w:ascii="Times New Roman" w:hAnsi="Times New Roman"/>
                <w:sz w:val="24"/>
                <w:szCs w:val="24"/>
              </w:rPr>
            </w:pPr>
            <w:r>
              <w:rPr>
                <w:rFonts w:ascii="Times New Roman" w:hAnsi="Times New Roman"/>
                <w:sz w:val="24"/>
                <w:szCs w:val="24"/>
              </w:rPr>
              <w:t>5. Precizēta finansiālā ietekme:</w:t>
            </w:r>
          </w:p>
        </w:tc>
        <w:tc>
          <w:tcPr>
            <w:tcW w:w="1349" w:type="dxa"/>
            <w:tcBorders>
              <w:top w:val="single" w:sz="4" w:space="0" w:color="auto"/>
              <w:left w:val="single" w:sz="4" w:space="0" w:color="auto"/>
              <w:bottom w:val="nil"/>
              <w:right w:val="single" w:sz="4" w:space="0" w:color="auto"/>
            </w:tcBorders>
            <w:vAlign w:val="center"/>
            <w:hideMark/>
          </w:tcPr>
          <w:p w14:paraId="4C3D60A4" w14:textId="77777777" w:rsidR="00781A5B" w:rsidRDefault="00781A5B" w:rsidP="00781A5B">
            <w:pPr>
              <w:rPr>
                <w:rFonts w:ascii="Times New Roman" w:hAnsi="Times New Roman"/>
                <w:color w:val="000000" w:themeColor="text1"/>
                <w:sz w:val="24"/>
                <w:szCs w:val="24"/>
              </w:rPr>
            </w:pPr>
          </w:p>
          <w:p w14:paraId="67B32670" w14:textId="543CE9D3" w:rsidR="00781A5B" w:rsidRPr="00B537DA" w:rsidRDefault="00781A5B" w:rsidP="00781A5B">
            <w:pPr>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D67386" w14:textId="052C8AD1" w:rsidR="00781A5B" w:rsidRPr="00A30E76" w:rsidRDefault="00781A5B" w:rsidP="00781A5B">
            <w:pP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4B7866" w:rsidRPr="00A30E76">
              <w:rPr>
                <w:rFonts w:ascii="Times New Roman" w:hAnsi="Times New Roman"/>
                <w:color w:val="000000" w:themeColor="text1"/>
                <w:sz w:val="24"/>
                <w:szCs w:val="24"/>
              </w:rPr>
              <w:t>465 757</w:t>
            </w:r>
          </w:p>
        </w:tc>
        <w:tc>
          <w:tcPr>
            <w:tcW w:w="1276" w:type="dxa"/>
            <w:gridSpan w:val="2"/>
            <w:tcBorders>
              <w:top w:val="single" w:sz="4" w:space="0" w:color="auto"/>
              <w:left w:val="single" w:sz="4" w:space="0" w:color="auto"/>
              <w:bottom w:val="nil"/>
              <w:right w:val="single" w:sz="4" w:space="0" w:color="auto"/>
            </w:tcBorders>
            <w:vAlign w:val="center"/>
            <w:hideMark/>
          </w:tcPr>
          <w:p w14:paraId="242CE24E" w14:textId="77777777" w:rsidR="00781A5B" w:rsidRDefault="00781A5B" w:rsidP="00781A5B">
            <w:pPr>
              <w:jc w:val="center"/>
              <w:rPr>
                <w:rFonts w:ascii="Times New Roman" w:hAnsi="Times New Roman"/>
                <w:color w:val="000000" w:themeColor="text1"/>
                <w:sz w:val="24"/>
                <w:szCs w:val="24"/>
              </w:rPr>
            </w:pPr>
          </w:p>
          <w:p w14:paraId="641AB78A" w14:textId="1900E91A" w:rsidR="00781A5B" w:rsidRPr="00B537DA" w:rsidRDefault="00781A5B" w:rsidP="00781A5B">
            <w:pPr>
              <w:jc w:val="center"/>
              <w:rPr>
                <w:rFonts w:ascii="Times New Roman" w:hAnsi="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0001D7E" w14:textId="5074D4D9"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nil"/>
              <w:right w:val="single" w:sz="4" w:space="0" w:color="auto"/>
            </w:tcBorders>
            <w:vAlign w:val="center"/>
            <w:hideMark/>
          </w:tcPr>
          <w:p w14:paraId="51C83025" w14:textId="77777777" w:rsidR="00781A5B" w:rsidRDefault="00781A5B" w:rsidP="00781A5B">
            <w:pPr>
              <w:jc w:val="center"/>
              <w:rPr>
                <w:rFonts w:ascii="Times New Roman" w:hAnsi="Times New Roman"/>
                <w:color w:val="000000" w:themeColor="text1"/>
                <w:sz w:val="24"/>
                <w:szCs w:val="24"/>
              </w:rPr>
            </w:pPr>
          </w:p>
          <w:p w14:paraId="4F786E59" w14:textId="032241A4" w:rsidR="00781A5B" w:rsidRPr="00B537DA" w:rsidRDefault="00781A5B" w:rsidP="00781A5B">
            <w:pPr>
              <w:jc w:val="center"/>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2E24AC" w14:textId="0C0B532B"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741BA3E" w14:textId="08E19369"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781A5B" w:rsidRPr="00B537DA" w14:paraId="5EF64185"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6B341667" w14:textId="5C34A7D4" w:rsidR="00781A5B" w:rsidRDefault="00781A5B" w:rsidP="00781A5B">
            <w:pPr>
              <w:rPr>
                <w:rFonts w:ascii="Times New Roman" w:hAnsi="Times New Roman"/>
                <w:sz w:val="24"/>
                <w:szCs w:val="24"/>
              </w:rPr>
            </w:pPr>
            <w:r>
              <w:rPr>
                <w:rFonts w:ascii="Times New Roman" w:hAnsi="Times New Roman"/>
                <w:sz w:val="24"/>
                <w:szCs w:val="24"/>
              </w:rPr>
              <w:t>5.1. valsts pamatbudžets</w:t>
            </w:r>
          </w:p>
        </w:tc>
        <w:tc>
          <w:tcPr>
            <w:tcW w:w="1349" w:type="dxa"/>
            <w:vMerge w:val="restart"/>
            <w:tcBorders>
              <w:top w:val="nil"/>
              <w:left w:val="single" w:sz="4" w:space="0" w:color="auto"/>
              <w:bottom w:val="nil"/>
              <w:right w:val="single" w:sz="4" w:space="0" w:color="auto"/>
            </w:tcBorders>
            <w:vAlign w:val="center"/>
            <w:hideMark/>
          </w:tcPr>
          <w:p w14:paraId="484C593D" w14:textId="77777777" w:rsidR="00781A5B" w:rsidRPr="00B537DA" w:rsidRDefault="00781A5B" w:rsidP="00781A5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861B0" w14:textId="617FF6D1" w:rsidR="00781A5B" w:rsidRPr="00A30E76" w:rsidRDefault="00781A5B" w:rsidP="00781A5B">
            <w:pPr>
              <w:jc w:val="center"/>
              <w:rPr>
                <w:rFonts w:ascii="Times New Roman" w:hAnsi="Times New Roman"/>
                <w:color w:val="000000" w:themeColor="text1"/>
                <w:sz w:val="24"/>
                <w:szCs w:val="24"/>
              </w:rPr>
            </w:pPr>
            <w:r w:rsidRPr="00A30E76">
              <w:rPr>
                <w:rFonts w:ascii="Times New Roman" w:hAnsi="Times New Roman"/>
                <w:color w:val="000000" w:themeColor="text1"/>
                <w:sz w:val="24"/>
                <w:szCs w:val="24"/>
              </w:rPr>
              <w:t>+</w:t>
            </w:r>
            <w:r w:rsidR="004B7866" w:rsidRPr="00A30E76">
              <w:rPr>
                <w:rFonts w:ascii="Times New Roman" w:hAnsi="Times New Roman"/>
                <w:color w:val="000000" w:themeColor="text1"/>
                <w:sz w:val="24"/>
                <w:szCs w:val="24"/>
              </w:rPr>
              <w:t>465 757</w:t>
            </w:r>
          </w:p>
        </w:tc>
        <w:tc>
          <w:tcPr>
            <w:tcW w:w="1276" w:type="dxa"/>
            <w:gridSpan w:val="2"/>
            <w:vMerge w:val="restart"/>
            <w:tcBorders>
              <w:top w:val="nil"/>
              <w:left w:val="single" w:sz="4" w:space="0" w:color="auto"/>
              <w:bottom w:val="nil"/>
              <w:right w:val="single" w:sz="4" w:space="0" w:color="auto"/>
            </w:tcBorders>
            <w:vAlign w:val="center"/>
            <w:hideMark/>
          </w:tcPr>
          <w:p w14:paraId="40985F53" w14:textId="77777777" w:rsidR="00781A5B" w:rsidRPr="00B537DA" w:rsidRDefault="00781A5B" w:rsidP="00781A5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8DCA72" w14:textId="7CA24733"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vMerge w:val="restart"/>
            <w:tcBorders>
              <w:top w:val="nil"/>
              <w:left w:val="single" w:sz="4" w:space="0" w:color="auto"/>
              <w:bottom w:val="nil"/>
              <w:right w:val="single" w:sz="4" w:space="0" w:color="auto"/>
            </w:tcBorders>
            <w:vAlign w:val="center"/>
            <w:hideMark/>
          </w:tcPr>
          <w:p w14:paraId="4A9C4258" w14:textId="77777777" w:rsidR="00781A5B" w:rsidRPr="00B537DA" w:rsidRDefault="00781A5B" w:rsidP="00781A5B">
            <w:pPr>
              <w:jc w:val="center"/>
              <w:rPr>
                <w:rFonts w:ascii="Times New Roman" w:hAnsi="Times New Roman"/>
                <w:color w:val="000000" w:themeColor="text1"/>
                <w:sz w:val="24"/>
                <w:szCs w:val="24"/>
              </w:rPr>
            </w:pPr>
            <w:r w:rsidRPr="00B537DA">
              <w:rPr>
                <w:rFonts w:ascii="Times New Roman" w:hAnsi="Times New Roman"/>
                <w:color w:val="000000" w:themeColor="text1"/>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A9F605" w14:textId="21E6EC83"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E5005AA" w14:textId="733670FB"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781A5B" w:rsidRPr="00B537DA" w14:paraId="722340B0"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83C6169" w14:textId="33608190" w:rsidR="00781A5B" w:rsidRDefault="00781A5B" w:rsidP="00781A5B">
            <w:pPr>
              <w:rPr>
                <w:rFonts w:ascii="Times New Roman" w:hAnsi="Times New Roman"/>
                <w:sz w:val="24"/>
                <w:szCs w:val="24"/>
              </w:rPr>
            </w:pPr>
            <w:r>
              <w:rPr>
                <w:rFonts w:ascii="Times New Roman" w:hAnsi="Times New Roman"/>
                <w:sz w:val="24"/>
                <w:szCs w:val="24"/>
              </w:rPr>
              <w:t>5.2. speciālais budžets</w:t>
            </w:r>
          </w:p>
        </w:tc>
        <w:tc>
          <w:tcPr>
            <w:tcW w:w="1349" w:type="dxa"/>
            <w:vMerge/>
            <w:tcBorders>
              <w:top w:val="nil"/>
              <w:left w:val="single" w:sz="4" w:space="0" w:color="auto"/>
              <w:bottom w:val="nil"/>
              <w:right w:val="single" w:sz="4" w:space="0" w:color="auto"/>
            </w:tcBorders>
            <w:vAlign w:val="center"/>
            <w:hideMark/>
          </w:tcPr>
          <w:p w14:paraId="2F71C7AC"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B05D2BF" w14:textId="64C8ECEB"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6972CB3E"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3EBEBE7" w14:textId="2F91C2CB"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3CC5E9B7"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A3E16F" w14:textId="156C4137"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0C0B89" w14:textId="4DB4EB0F"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781A5B" w:rsidRPr="00B537DA" w14:paraId="16B2DE53" w14:textId="77777777" w:rsidTr="00BA331F">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4D758970" w14:textId="17C135F4" w:rsidR="00781A5B" w:rsidRDefault="00781A5B" w:rsidP="00781A5B">
            <w:pPr>
              <w:rPr>
                <w:rFonts w:ascii="Times New Roman" w:hAnsi="Times New Roman"/>
                <w:sz w:val="24"/>
                <w:szCs w:val="24"/>
              </w:rPr>
            </w:pPr>
            <w:r>
              <w:rPr>
                <w:rFonts w:ascii="Times New Roman" w:hAnsi="Times New Roman"/>
                <w:sz w:val="24"/>
                <w:szCs w:val="24"/>
              </w:rPr>
              <w:t>5.3. pašvaldību budžets</w:t>
            </w:r>
          </w:p>
        </w:tc>
        <w:tc>
          <w:tcPr>
            <w:tcW w:w="1349" w:type="dxa"/>
            <w:vMerge/>
            <w:tcBorders>
              <w:top w:val="nil"/>
              <w:left w:val="single" w:sz="4" w:space="0" w:color="auto"/>
              <w:bottom w:val="nil"/>
              <w:right w:val="single" w:sz="4" w:space="0" w:color="auto"/>
            </w:tcBorders>
            <w:vAlign w:val="center"/>
            <w:hideMark/>
          </w:tcPr>
          <w:p w14:paraId="31265DF0"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EE8845" w14:textId="22EB15AD"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04EE8EDE"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EEB9F48" w14:textId="589117D7"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404A75AE" w14:textId="77777777" w:rsidR="00781A5B" w:rsidRPr="00B537DA" w:rsidRDefault="00781A5B" w:rsidP="00781A5B">
            <w:pPr>
              <w:spacing w:after="0" w:line="240" w:lineRule="auto"/>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917CF7" w14:textId="7D10452B"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F73C0A8" w14:textId="01DC7FDF" w:rsidR="00781A5B" w:rsidRPr="00B537DA" w:rsidRDefault="00781A5B" w:rsidP="00781A5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B6DD4" w14:paraId="4EA3BBC8" w14:textId="77777777" w:rsidTr="00D372EF">
        <w:tc>
          <w:tcPr>
            <w:tcW w:w="2054" w:type="dxa"/>
            <w:tcBorders>
              <w:top w:val="single" w:sz="4" w:space="0" w:color="auto"/>
              <w:left w:val="single" w:sz="4" w:space="0" w:color="auto"/>
              <w:bottom w:val="single" w:sz="4" w:space="0" w:color="auto"/>
              <w:right w:val="single" w:sz="4" w:space="0" w:color="auto"/>
            </w:tcBorders>
            <w:hideMark/>
          </w:tcPr>
          <w:p w14:paraId="6707E234" w14:textId="77777777" w:rsidR="006B6DD4" w:rsidRDefault="006B6DD4" w:rsidP="006B6DD4">
            <w:pPr>
              <w:rPr>
                <w:rFonts w:ascii="Times New Roman" w:hAnsi="Times New Roman"/>
                <w:sz w:val="24"/>
                <w:szCs w:val="24"/>
              </w:rPr>
            </w:pPr>
            <w:r>
              <w:rPr>
                <w:rFonts w:ascii="Times New Roman" w:hAnsi="Times New Roman"/>
                <w:sz w:val="24"/>
                <w:szCs w:val="24"/>
              </w:rPr>
              <w:t>6. Detalizēts ieņēmumu un izdevumu aprēķins (ja nepie</w:t>
            </w:r>
            <w:r>
              <w:rPr>
                <w:rFonts w:ascii="Times New Roman" w:hAnsi="Times New Roman"/>
                <w:sz w:val="24"/>
                <w:szCs w:val="24"/>
              </w:rPr>
              <w:softHyphen/>
              <w:t xml:space="preserve">ciešams, detalizētu </w:t>
            </w:r>
            <w:r>
              <w:rPr>
                <w:rFonts w:ascii="Times New Roman" w:hAnsi="Times New Roman"/>
                <w:sz w:val="24"/>
                <w:szCs w:val="24"/>
              </w:rPr>
              <w:lastRenderedPageBreak/>
              <w:t>ieņēmumu un izdevumu aprēķinu var pie</w:t>
            </w:r>
            <w:r>
              <w:rPr>
                <w:rFonts w:ascii="Times New Roman" w:hAnsi="Times New Roman"/>
                <w:sz w:val="24"/>
                <w:szCs w:val="24"/>
              </w:rPr>
              <w:softHyphen/>
              <w:t>vienot anotācijas pielikumā):</w:t>
            </w:r>
          </w:p>
        </w:tc>
        <w:tc>
          <w:tcPr>
            <w:tcW w:w="9151" w:type="dxa"/>
            <w:gridSpan w:val="11"/>
            <w:vMerge w:val="restart"/>
            <w:tcBorders>
              <w:top w:val="single" w:sz="4" w:space="0" w:color="auto"/>
              <w:left w:val="single" w:sz="4" w:space="0" w:color="auto"/>
              <w:bottom w:val="single" w:sz="4" w:space="0" w:color="auto"/>
              <w:right w:val="single" w:sz="4" w:space="0" w:color="auto"/>
            </w:tcBorders>
          </w:tcPr>
          <w:p w14:paraId="347DCCBE" w14:textId="6171978A" w:rsidR="006B6DD4" w:rsidRPr="00B537DA" w:rsidRDefault="006B6DD4" w:rsidP="006B6DD4">
            <w:pPr>
              <w:shd w:val="clear" w:color="auto" w:fill="FFFFFF"/>
              <w:spacing w:after="0" w:line="240" w:lineRule="auto"/>
              <w:jc w:val="both"/>
              <w:rPr>
                <w:rFonts w:ascii="Times New Roman" w:eastAsia="Times New Roman" w:hAnsi="Times New Roman"/>
                <w:color w:val="000000" w:themeColor="text1"/>
                <w:sz w:val="24"/>
                <w:szCs w:val="24"/>
                <w:lang w:eastAsia="lv-LV"/>
              </w:rPr>
            </w:pPr>
            <w:r w:rsidRPr="00B537DA">
              <w:rPr>
                <w:rFonts w:ascii="Times New Roman" w:eastAsia="Times New Roman" w:hAnsi="Times New Roman"/>
                <w:color w:val="000000" w:themeColor="text1"/>
                <w:sz w:val="24"/>
                <w:szCs w:val="24"/>
                <w:lang w:eastAsia="lv-LV"/>
              </w:rPr>
              <w:lastRenderedPageBreak/>
              <w:t xml:space="preserve">Atlases kārtas īstenošanai 2021.gadā nepieciešamais kopējais publiskais finansējums ir </w:t>
            </w:r>
            <w:r w:rsidRPr="00B537DA">
              <w:rPr>
                <w:rFonts w:ascii="Times New Roman" w:hAnsi="Times New Roman"/>
                <w:color w:val="000000" w:themeColor="text1"/>
                <w:sz w:val="24"/>
                <w:szCs w:val="24"/>
              </w:rPr>
              <w:t>14473504</w:t>
            </w:r>
            <w:r w:rsidRPr="00B537DA">
              <w:rPr>
                <w:rFonts w:ascii="Times New Roman" w:eastAsia="Times New Roman" w:hAnsi="Times New Roman"/>
                <w:color w:val="000000" w:themeColor="text1"/>
                <w:sz w:val="24"/>
                <w:szCs w:val="24"/>
                <w:lang w:eastAsia="lv-LV"/>
              </w:rPr>
              <w:t xml:space="preserve"> </w:t>
            </w:r>
            <w:proofErr w:type="spellStart"/>
            <w:r w:rsidRPr="00B537DA">
              <w:rPr>
                <w:rFonts w:ascii="Times New Roman" w:eastAsia="Times New Roman" w:hAnsi="Times New Roman"/>
                <w:i/>
                <w:iCs/>
                <w:color w:val="000000" w:themeColor="text1"/>
                <w:sz w:val="24"/>
                <w:szCs w:val="24"/>
                <w:lang w:eastAsia="lv-LV"/>
              </w:rPr>
              <w:t>euro</w:t>
            </w:r>
            <w:proofErr w:type="spellEnd"/>
            <w:r w:rsidRPr="00B537DA">
              <w:rPr>
                <w:rFonts w:ascii="Times New Roman" w:eastAsia="Times New Roman" w:hAnsi="Times New Roman"/>
                <w:color w:val="000000" w:themeColor="text1"/>
                <w:sz w:val="24"/>
                <w:szCs w:val="24"/>
                <w:lang w:eastAsia="lv-LV"/>
              </w:rPr>
              <w:t xml:space="preserve"> (ERAF </w:t>
            </w:r>
            <w:r w:rsidRPr="00B537DA">
              <w:rPr>
                <w:rFonts w:ascii="Times New Roman" w:eastAsia="Times New Roman" w:hAnsi="Times New Roman"/>
                <w:color w:val="000000" w:themeColor="text1"/>
                <w:sz w:val="24"/>
                <w:szCs w:val="24"/>
              </w:rPr>
              <w:t>12302478</w:t>
            </w:r>
            <w:r w:rsidRPr="00B537DA">
              <w:rPr>
                <w:rFonts w:ascii="Times New Roman" w:eastAsia="Times New Roman" w:hAnsi="Times New Roman"/>
                <w:color w:val="000000" w:themeColor="text1"/>
                <w:sz w:val="24"/>
                <w:szCs w:val="24"/>
                <w:lang w:eastAsia="lv-LV"/>
              </w:rPr>
              <w:t xml:space="preserve"> </w:t>
            </w:r>
            <w:proofErr w:type="spellStart"/>
            <w:r w:rsidRPr="00B537DA">
              <w:rPr>
                <w:rFonts w:ascii="Times New Roman" w:eastAsia="Times New Roman" w:hAnsi="Times New Roman"/>
                <w:i/>
                <w:iCs/>
                <w:color w:val="000000" w:themeColor="text1"/>
                <w:sz w:val="24"/>
                <w:szCs w:val="24"/>
                <w:lang w:eastAsia="lv-LV"/>
              </w:rPr>
              <w:t>euro</w:t>
            </w:r>
            <w:proofErr w:type="spellEnd"/>
            <w:r w:rsidRPr="00B537DA">
              <w:rPr>
                <w:rFonts w:ascii="Times New Roman" w:eastAsia="Times New Roman" w:hAnsi="Times New Roman"/>
                <w:color w:val="000000" w:themeColor="text1"/>
                <w:sz w:val="24"/>
                <w:szCs w:val="24"/>
                <w:lang w:eastAsia="lv-LV"/>
              </w:rPr>
              <w:t xml:space="preserve"> un VB </w:t>
            </w:r>
            <w:r w:rsidRPr="00B537DA">
              <w:rPr>
                <w:rFonts w:ascii="Times New Roman" w:hAnsi="Times New Roman"/>
                <w:color w:val="000000" w:themeColor="text1"/>
                <w:sz w:val="24"/>
                <w:szCs w:val="24"/>
              </w:rPr>
              <w:t>217102</w:t>
            </w:r>
            <w:r w:rsidR="00751754">
              <w:rPr>
                <w:rFonts w:ascii="Times New Roman" w:hAnsi="Times New Roman"/>
                <w:color w:val="000000" w:themeColor="text1"/>
                <w:sz w:val="24"/>
                <w:szCs w:val="24"/>
              </w:rPr>
              <w:t>6</w:t>
            </w:r>
            <w:r w:rsidRPr="00B537DA">
              <w:rPr>
                <w:rFonts w:ascii="Times New Roman" w:hAnsi="Times New Roman"/>
                <w:color w:val="000000" w:themeColor="text1"/>
                <w:sz w:val="24"/>
                <w:szCs w:val="24"/>
              </w:rPr>
              <w:t xml:space="preserve"> </w:t>
            </w:r>
            <w:proofErr w:type="spellStart"/>
            <w:r w:rsidRPr="00B537DA">
              <w:rPr>
                <w:rFonts w:ascii="Times New Roman" w:eastAsia="Times New Roman" w:hAnsi="Times New Roman"/>
                <w:i/>
                <w:iCs/>
                <w:color w:val="000000" w:themeColor="text1"/>
                <w:sz w:val="24"/>
                <w:szCs w:val="24"/>
                <w:lang w:eastAsia="lv-LV"/>
              </w:rPr>
              <w:t>euro</w:t>
            </w:r>
            <w:proofErr w:type="spellEnd"/>
            <w:r w:rsidRPr="00B537DA">
              <w:rPr>
                <w:rFonts w:ascii="Times New Roman" w:eastAsia="Times New Roman" w:hAnsi="Times New Roman"/>
                <w:color w:val="000000" w:themeColor="text1"/>
                <w:sz w:val="24"/>
                <w:szCs w:val="24"/>
                <w:lang w:eastAsia="lv-LV"/>
              </w:rPr>
              <w:t xml:space="preserve">) un 2022.gadā plānotais kopējais publiskais finansējums ir 10698661euro (ERAF  9093862 </w:t>
            </w:r>
            <w:proofErr w:type="spellStart"/>
            <w:r w:rsidRPr="00B537DA">
              <w:rPr>
                <w:rFonts w:ascii="Times New Roman" w:eastAsia="Times New Roman" w:hAnsi="Times New Roman"/>
                <w:color w:val="000000" w:themeColor="text1"/>
                <w:sz w:val="24"/>
                <w:szCs w:val="24"/>
                <w:lang w:eastAsia="lv-LV"/>
              </w:rPr>
              <w:t>euro</w:t>
            </w:r>
            <w:proofErr w:type="spellEnd"/>
            <w:r w:rsidRPr="00B537DA">
              <w:rPr>
                <w:rFonts w:ascii="Times New Roman" w:eastAsia="Times New Roman" w:hAnsi="Times New Roman"/>
                <w:color w:val="000000" w:themeColor="text1"/>
                <w:sz w:val="24"/>
                <w:szCs w:val="24"/>
                <w:lang w:eastAsia="lv-LV"/>
              </w:rPr>
              <w:t xml:space="preserve"> un VB 1604799 </w:t>
            </w:r>
            <w:proofErr w:type="spellStart"/>
            <w:r w:rsidRPr="00B537DA">
              <w:rPr>
                <w:rFonts w:ascii="Times New Roman" w:eastAsia="Times New Roman" w:hAnsi="Times New Roman"/>
                <w:color w:val="000000" w:themeColor="text1"/>
                <w:sz w:val="24"/>
                <w:szCs w:val="24"/>
                <w:lang w:eastAsia="lv-LV"/>
              </w:rPr>
              <w:t>euro</w:t>
            </w:r>
            <w:proofErr w:type="spellEnd"/>
            <w:r w:rsidRPr="00B537DA">
              <w:rPr>
                <w:rFonts w:ascii="Times New Roman" w:eastAsia="Times New Roman" w:hAnsi="Times New Roman"/>
                <w:color w:val="000000" w:themeColor="text1"/>
                <w:sz w:val="24"/>
                <w:szCs w:val="24"/>
                <w:lang w:eastAsia="lv-LV"/>
              </w:rPr>
              <w:t>).</w:t>
            </w:r>
          </w:p>
          <w:p w14:paraId="5924656C" w14:textId="77777777" w:rsidR="006B6DD4" w:rsidRPr="00B537DA" w:rsidRDefault="006B6DD4" w:rsidP="006B6DD4">
            <w:pPr>
              <w:spacing w:after="0" w:line="240" w:lineRule="auto"/>
              <w:jc w:val="both"/>
              <w:rPr>
                <w:rFonts w:ascii="Times New Roman" w:hAnsi="Times New Roman"/>
                <w:color w:val="000000" w:themeColor="text1"/>
                <w:sz w:val="24"/>
                <w:szCs w:val="24"/>
              </w:rPr>
            </w:pPr>
          </w:p>
          <w:p w14:paraId="2717945F" w14:textId="77777777" w:rsidR="006B6DD4" w:rsidRPr="00B537DA" w:rsidRDefault="006B6DD4" w:rsidP="006B6DD4">
            <w:pPr>
              <w:spacing w:after="0" w:line="240" w:lineRule="auto"/>
              <w:jc w:val="both"/>
              <w:rPr>
                <w:rFonts w:ascii="Times New Roman" w:hAnsi="Times New Roman"/>
                <w:color w:val="000000" w:themeColor="text1"/>
                <w:sz w:val="24"/>
                <w:szCs w:val="24"/>
              </w:rPr>
            </w:pPr>
          </w:p>
        </w:tc>
      </w:tr>
      <w:tr w:rsidR="006B6DD4" w14:paraId="5084FCB4" w14:textId="77777777" w:rsidTr="00D372EF">
        <w:tc>
          <w:tcPr>
            <w:tcW w:w="2054" w:type="dxa"/>
            <w:tcBorders>
              <w:top w:val="single" w:sz="4" w:space="0" w:color="auto"/>
              <w:left w:val="single" w:sz="4" w:space="0" w:color="auto"/>
              <w:bottom w:val="single" w:sz="4" w:space="0" w:color="auto"/>
              <w:right w:val="single" w:sz="4" w:space="0" w:color="auto"/>
            </w:tcBorders>
            <w:hideMark/>
          </w:tcPr>
          <w:p w14:paraId="7A67B521" w14:textId="77777777" w:rsidR="006B6DD4" w:rsidRDefault="006B6DD4" w:rsidP="006B6DD4">
            <w:pPr>
              <w:rPr>
                <w:rFonts w:ascii="Times New Roman" w:hAnsi="Times New Roman"/>
                <w:sz w:val="24"/>
                <w:szCs w:val="24"/>
              </w:rPr>
            </w:pPr>
            <w:r>
              <w:rPr>
                <w:rFonts w:ascii="Times New Roman" w:hAnsi="Times New Roman"/>
                <w:sz w:val="24"/>
                <w:szCs w:val="24"/>
              </w:rPr>
              <w:t>6.1. detalizēts ieņēmumu aprēķins</w:t>
            </w:r>
          </w:p>
        </w:tc>
        <w:tc>
          <w:tcPr>
            <w:tcW w:w="9151" w:type="dxa"/>
            <w:gridSpan w:val="11"/>
            <w:vMerge/>
            <w:tcBorders>
              <w:top w:val="single" w:sz="4" w:space="0" w:color="auto"/>
              <w:left w:val="single" w:sz="4" w:space="0" w:color="auto"/>
              <w:bottom w:val="single" w:sz="4" w:space="0" w:color="auto"/>
              <w:right w:val="single" w:sz="4" w:space="0" w:color="auto"/>
            </w:tcBorders>
            <w:vAlign w:val="center"/>
            <w:hideMark/>
          </w:tcPr>
          <w:p w14:paraId="779CAC25" w14:textId="77777777" w:rsidR="006B6DD4" w:rsidRDefault="006B6DD4" w:rsidP="006B6DD4">
            <w:pPr>
              <w:spacing w:after="0" w:line="240" w:lineRule="auto"/>
              <w:rPr>
                <w:rFonts w:ascii="Times New Roman" w:hAnsi="Times New Roman"/>
                <w:sz w:val="24"/>
                <w:szCs w:val="24"/>
              </w:rPr>
            </w:pPr>
          </w:p>
        </w:tc>
      </w:tr>
      <w:tr w:rsidR="006B6DD4" w14:paraId="6C7EF61B" w14:textId="77777777" w:rsidTr="00D372EF">
        <w:tc>
          <w:tcPr>
            <w:tcW w:w="2054" w:type="dxa"/>
            <w:tcBorders>
              <w:top w:val="single" w:sz="4" w:space="0" w:color="auto"/>
              <w:left w:val="single" w:sz="4" w:space="0" w:color="auto"/>
              <w:bottom w:val="single" w:sz="4" w:space="0" w:color="auto"/>
              <w:right w:val="single" w:sz="4" w:space="0" w:color="auto"/>
            </w:tcBorders>
            <w:hideMark/>
          </w:tcPr>
          <w:p w14:paraId="18DF6993" w14:textId="77777777" w:rsidR="006B6DD4" w:rsidRDefault="006B6DD4" w:rsidP="006B6DD4">
            <w:pPr>
              <w:rPr>
                <w:rFonts w:ascii="Times New Roman" w:hAnsi="Times New Roman"/>
                <w:sz w:val="24"/>
                <w:szCs w:val="24"/>
              </w:rPr>
            </w:pPr>
            <w:r>
              <w:rPr>
                <w:rFonts w:ascii="Times New Roman" w:hAnsi="Times New Roman"/>
                <w:sz w:val="24"/>
                <w:szCs w:val="24"/>
              </w:rPr>
              <w:t>6.2. detalizēts izdevumu aprēķins</w:t>
            </w:r>
          </w:p>
        </w:tc>
        <w:tc>
          <w:tcPr>
            <w:tcW w:w="9151" w:type="dxa"/>
            <w:gridSpan w:val="11"/>
            <w:vMerge/>
            <w:tcBorders>
              <w:top w:val="single" w:sz="4" w:space="0" w:color="auto"/>
              <w:left w:val="single" w:sz="4" w:space="0" w:color="auto"/>
              <w:bottom w:val="single" w:sz="4" w:space="0" w:color="auto"/>
              <w:right w:val="single" w:sz="4" w:space="0" w:color="auto"/>
            </w:tcBorders>
            <w:vAlign w:val="center"/>
            <w:hideMark/>
          </w:tcPr>
          <w:p w14:paraId="4DE1DA42" w14:textId="77777777" w:rsidR="006B6DD4" w:rsidRDefault="006B6DD4" w:rsidP="006B6DD4">
            <w:pPr>
              <w:spacing w:after="0" w:line="240" w:lineRule="auto"/>
              <w:rPr>
                <w:rFonts w:ascii="Times New Roman" w:hAnsi="Times New Roman"/>
                <w:sz w:val="24"/>
                <w:szCs w:val="24"/>
              </w:rPr>
            </w:pPr>
          </w:p>
        </w:tc>
      </w:tr>
      <w:tr w:rsidR="006B6DD4" w14:paraId="2A564375" w14:textId="77777777" w:rsidTr="00D372EF">
        <w:tc>
          <w:tcPr>
            <w:tcW w:w="2054" w:type="dxa"/>
            <w:tcBorders>
              <w:top w:val="single" w:sz="4" w:space="0" w:color="auto"/>
              <w:left w:val="single" w:sz="4" w:space="0" w:color="auto"/>
              <w:bottom w:val="single" w:sz="4" w:space="0" w:color="auto"/>
              <w:right w:val="single" w:sz="4" w:space="0" w:color="auto"/>
            </w:tcBorders>
            <w:hideMark/>
          </w:tcPr>
          <w:p w14:paraId="5DB46BBC" w14:textId="77777777" w:rsidR="006B6DD4" w:rsidRDefault="006B6DD4" w:rsidP="006B6DD4">
            <w:pPr>
              <w:rPr>
                <w:rFonts w:ascii="Times New Roman" w:hAnsi="Times New Roman"/>
                <w:sz w:val="24"/>
                <w:szCs w:val="24"/>
              </w:rPr>
            </w:pPr>
            <w:r>
              <w:rPr>
                <w:rFonts w:ascii="Times New Roman" w:hAnsi="Times New Roman"/>
                <w:sz w:val="24"/>
                <w:szCs w:val="24"/>
              </w:rPr>
              <w:t>7. Amata vietu skaita izmaiņas</w:t>
            </w:r>
          </w:p>
        </w:tc>
        <w:tc>
          <w:tcPr>
            <w:tcW w:w="9151" w:type="dxa"/>
            <w:gridSpan w:val="11"/>
            <w:tcBorders>
              <w:top w:val="single" w:sz="4" w:space="0" w:color="auto"/>
              <w:left w:val="single" w:sz="4" w:space="0" w:color="auto"/>
              <w:bottom w:val="single" w:sz="4" w:space="0" w:color="auto"/>
              <w:right w:val="single" w:sz="4" w:space="0" w:color="auto"/>
            </w:tcBorders>
            <w:hideMark/>
          </w:tcPr>
          <w:p w14:paraId="6D95E3EF" w14:textId="77777777" w:rsidR="006B6DD4" w:rsidRDefault="006B6DD4" w:rsidP="006B6DD4">
            <w:pPr>
              <w:rPr>
                <w:rFonts w:ascii="Times New Roman" w:hAnsi="Times New Roman"/>
                <w:sz w:val="24"/>
                <w:szCs w:val="24"/>
              </w:rPr>
            </w:pPr>
            <w:r>
              <w:rPr>
                <w:rFonts w:ascii="Times New Roman" w:hAnsi="Times New Roman"/>
                <w:sz w:val="24"/>
                <w:szCs w:val="24"/>
              </w:rPr>
              <w:t>Projekts šo jomu neskar.</w:t>
            </w:r>
          </w:p>
        </w:tc>
      </w:tr>
      <w:tr w:rsidR="006B6DD4" w14:paraId="5744D326" w14:textId="77777777" w:rsidTr="00D372EF">
        <w:tc>
          <w:tcPr>
            <w:tcW w:w="2054" w:type="dxa"/>
            <w:tcBorders>
              <w:top w:val="single" w:sz="4" w:space="0" w:color="auto"/>
              <w:left w:val="single" w:sz="4" w:space="0" w:color="auto"/>
              <w:bottom w:val="single" w:sz="4" w:space="0" w:color="auto"/>
              <w:right w:val="single" w:sz="4" w:space="0" w:color="auto"/>
            </w:tcBorders>
            <w:hideMark/>
          </w:tcPr>
          <w:p w14:paraId="4A66AE41" w14:textId="77777777" w:rsidR="006B6DD4" w:rsidRDefault="006B6DD4" w:rsidP="006B6DD4">
            <w:pPr>
              <w:rPr>
                <w:rFonts w:ascii="Times New Roman" w:hAnsi="Times New Roman"/>
                <w:sz w:val="24"/>
                <w:szCs w:val="24"/>
              </w:rPr>
            </w:pPr>
            <w:r>
              <w:rPr>
                <w:rFonts w:ascii="Times New Roman" w:hAnsi="Times New Roman"/>
                <w:sz w:val="24"/>
                <w:szCs w:val="24"/>
              </w:rPr>
              <w:t>8. Cita informācija</w:t>
            </w:r>
          </w:p>
        </w:tc>
        <w:tc>
          <w:tcPr>
            <w:tcW w:w="9151" w:type="dxa"/>
            <w:gridSpan w:val="11"/>
            <w:tcBorders>
              <w:top w:val="single" w:sz="4" w:space="0" w:color="auto"/>
              <w:left w:val="single" w:sz="4" w:space="0" w:color="auto"/>
              <w:bottom w:val="single" w:sz="4" w:space="0" w:color="auto"/>
              <w:right w:val="single" w:sz="4" w:space="0" w:color="auto"/>
            </w:tcBorders>
            <w:hideMark/>
          </w:tcPr>
          <w:p w14:paraId="6037C9C7" w14:textId="3A88F57F" w:rsidR="006B6DD4" w:rsidRDefault="006B6DD4" w:rsidP="006B6DD4">
            <w:pPr>
              <w:rPr>
                <w:rFonts w:ascii="Times New Roman" w:hAnsi="Times New Roman"/>
                <w:sz w:val="24"/>
                <w:szCs w:val="24"/>
              </w:rPr>
            </w:pPr>
            <w:r>
              <w:rPr>
                <w:rFonts w:ascii="Times New Roman" w:hAnsi="Times New Roman"/>
                <w:sz w:val="24"/>
                <w:szCs w:val="24"/>
              </w:rPr>
              <w:t xml:space="preserve">4.2.1.2.pasākuma pirmās projektu iesniegumu atlases kārtas </w:t>
            </w:r>
            <w:r w:rsidR="004B7866" w:rsidRPr="00A30E76">
              <w:rPr>
                <w:rFonts w:ascii="Times New Roman" w:hAnsi="Times New Roman"/>
                <w:color w:val="000000" w:themeColor="text1"/>
                <w:sz w:val="24"/>
                <w:szCs w:val="24"/>
              </w:rPr>
              <w:t xml:space="preserve">3 105 044 EUR (ERAF 2 639 287; VB 465 757) </w:t>
            </w:r>
            <w:r w:rsidRPr="00A30E76">
              <w:rPr>
                <w:rFonts w:ascii="Times New Roman" w:hAnsi="Times New Roman"/>
                <w:color w:val="000000" w:themeColor="text1"/>
                <w:sz w:val="24"/>
                <w:szCs w:val="24"/>
              </w:rPr>
              <w:t xml:space="preserve"> apmērā tiek pārdalīts 4.2.1.2. pasākuma otrās iesniegumu atlases </w:t>
            </w:r>
            <w:r>
              <w:rPr>
                <w:rFonts w:ascii="Times New Roman" w:hAnsi="Times New Roman"/>
                <w:color w:val="000000" w:themeColor="text1"/>
                <w:sz w:val="24"/>
                <w:szCs w:val="24"/>
              </w:rPr>
              <w:t>kārtas projektu īstenošanai</w:t>
            </w:r>
            <w:r>
              <w:rPr>
                <w:rFonts w:ascii="Times New Roman" w:hAnsi="Times New Roman"/>
                <w:sz w:val="24"/>
                <w:szCs w:val="24"/>
              </w:rPr>
              <w:t>.</w:t>
            </w:r>
          </w:p>
        </w:tc>
      </w:tr>
    </w:tbl>
    <w:p w14:paraId="24CFB002" w14:textId="77777777" w:rsidR="003765A6" w:rsidRPr="00406688" w:rsidRDefault="003765A6"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406688" w14:paraId="5137FA0A" w14:textId="77777777" w:rsidTr="00140353">
        <w:tc>
          <w:tcPr>
            <w:tcW w:w="9356" w:type="dxa"/>
            <w:vAlign w:val="center"/>
            <w:hideMark/>
          </w:tcPr>
          <w:p w14:paraId="67CD7CC2" w14:textId="14925963" w:rsidR="00BD0514" w:rsidRPr="00406688" w:rsidRDefault="00BD0514" w:rsidP="00206EAD">
            <w:pPr>
              <w:spacing w:after="0" w:line="240" w:lineRule="auto"/>
              <w:contextualSpacing/>
              <w:jc w:val="center"/>
              <w:rPr>
                <w:rFonts w:ascii="Times New Roman" w:eastAsia="Times New Roman" w:hAnsi="Times New Roman"/>
                <w:b/>
                <w:bCs/>
                <w:sz w:val="24"/>
                <w:szCs w:val="24"/>
                <w:lang w:eastAsia="lv-LV"/>
              </w:rPr>
            </w:pPr>
            <w:r w:rsidRPr="00406688">
              <w:rPr>
                <w:rFonts w:ascii="Times New Roman" w:eastAsia="Times New Roman" w:hAnsi="Times New Roman"/>
                <w:b/>
                <w:bCs/>
                <w:sz w:val="24"/>
                <w:szCs w:val="24"/>
                <w:lang w:eastAsia="lv-LV"/>
              </w:rPr>
              <w:t>IV. Tiesību akta projekta ietekme uz spēkā esošo tiesību normu sistēmu</w:t>
            </w:r>
          </w:p>
        </w:tc>
      </w:tr>
      <w:tr w:rsidR="00BD0514" w:rsidRPr="00406688" w14:paraId="0FBD3215" w14:textId="77777777" w:rsidTr="00140353">
        <w:tc>
          <w:tcPr>
            <w:tcW w:w="9356" w:type="dxa"/>
            <w:vAlign w:val="center"/>
          </w:tcPr>
          <w:p w14:paraId="22E3944E" w14:textId="08E7196B" w:rsidR="00BD0514" w:rsidRPr="00406688" w:rsidRDefault="00BD0514" w:rsidP="00206EAD">
            <w:pPr>
              <w:spacing w:after="0" w:line="240" w:lineRule="auto"/>
              <w:contextualSpacing/>
              <w:jc w:val="center"/>
              <w:rPr>
                <w:rFonts w:ascii="Times New Roman" w:eastAsia="Times New Roman" w:hAnsi="Times New Roman"/>
                <w:bCs/>
                <w:sz w:val="24"/>
                <w:szCs w:val="24"/>
                <w:lang w:eastAsia="lv-LV"/>
              </w:rPr>
            </w:pPr>
            <w:r w:rsidRPr="00406688">
              <w:rPr>
                <w:rFonts w:ascii="Times New Roman" w:eastAsia="Times New Roman" w:hAnsi="Times New Roman"/>
                <w:bCs/>
                <w:sz w:val="24"/>
                <w:szCs w:val="24"/>
                <w:lang w:eastAsia="lv-LV"/>
              </w:rPr>
              <w:t>Projekts šo jomu neskar</w:t>
            </w:r>
          </w:p>
        </w:tc>
      </w:tr>
    </w:tbl>
    <w:p w14:paraId="442C0520" w14:textId="77777777" w:rsidR="00BD0514" w:rsidRPr="00406688" w:rsidRDefault="00BD0514" w:rsidP="00206EAD">
      <w:pPr>
        <w:spacing w:after="0" w:line="240" w:lineRule="auto"/>
        <w:contextualSpacing/>
        <w:rPr>
          <w:rFonts w:ascii="Times New Roman" w:eastAsia="Arial Unicode MS" w:hAnsi="Times New Roman"/>
          <w:b/>
          <w:sz w:val="24"/>
          <w:szCs w:val="24"/>
        </w:rPr>
      </w:pPr>
    </w:p>
    <w:p w14:paraId="016B4068" w14:textId="77777777" w:rsidR="00647573" w:rsidRPr="00406688"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647573" w:rsidRPr="00406688" w14:paraId="03D03EB6"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406688" w:rsidRDefault="00647573" w:rsidP="001E5EF3">
            <w:pPr>
              <w:spacing w:after="0" w:line="240" w:lineRule="auto"/>
              <w:contextualSpacing/>
              <w:jc w:val="center"/>
              <w:rPr>
                <w:rFonts w:ascii="Times New Roman" w:eastAsia="Times New Roman" w:hAnsi="Times New Roman"/>
                <w:b/>
                <w:sz w:val="24"/>
                <w:szCs w:val="24"/>
                <w:lang w:eastAsia="lv-LV"/>
              </w:rPr>
            </w:pPr>
            <w:r w:rsidRPr="00406688">
              <w:rPr>
                <w:rFonts w:ascii="Times New Roman" w:eastAsia="Times New Roman" w:hAnsi="Times New Roman"/>
                <w:b/>
                <w:bCs/>
                <w:sz w:val="24"/>
                <w:szCs w:val="24"/>
                <w:lang w:eastAsia="lv-LV"/>
              </w:rPr>
              <w:t>V. Tiesību akta projekta atbilstība Latvijas Republikas starptautiskajām saistībām</w:t>
            </w:r>
          </w:p>
        </w:tc>
      </w:tr>
      <w:tr w:rsidR="00647573" w:rsidRPr="00406688" w14:paraId="54C5364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026CA2" w14:textId="77777777" w:rsidR="00647573" w:rsidRPr="00406688" w:rsidRDefault="00647573" w:rsidP="001E5EF3">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0E7C9C" w14:textId="5DB922CD" w:rsidR="00647573" w:rsidRPr="00406688" w:rsidRDefault="00647573" w:rsidP="001E5EF3">
            <w:pPr>
              <w:spacing w:after="0" w:line="240" w:lineRule="auto"/>
              <w:contextualSpacing/>
              <w:rPr>
                <w:rFonts w:ascii="Times New Roman" w:eastAsia="Times New Roman" w:hAnsi="Times New Roman"/>
                <w:sz w:val="24"/>
                <w:szCs w:val="24"/>
                <w:lang w:eastAsia="lv-LV"/>
              </w:rPr>
            </w:pPr>
            <w:r w:rsidRPr="00406688">
              <w:rPr>
                <w:rFonts w:ascii="Times New Roman" w:hAnsi="Times New Roman"/>
                <w:sz w:val="24"/>
                <w:szCs w:val="24"/>
              </w:rPr>
              <w:t>Citas starptautiskās saistības</w:t>
            </w:r>
            <w:r w:rsidRPr="00406688">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CF4CE1" w14:textId="4575ACD3" w:rsidR="00647573" w:rsidRPr="00406688" w:rsidRDefault="00647573" w:rsidP="001E5EF3">
            <w:pPr>
              <w:spacing w:after="0" w:line="240" w:lineRule="auto"/>
              <w:ind w:left="124" w:right="142"/>
              <w:contextualSpacing/>
              <w:jc w:val="both"/>
              <w:rPr>
                <w:rFonts w:ascii="Times New Roman" w:eastAsia="Times New Roman" w:hAnsi="Times New Roman"/>
                <w:sz w:val="24"/>
                <w:szCs w:val="24"/>
                <w:lang w:eastAsia="lv-LV"/>
              </w:rPr>
            </w:pPr>
            <w:r w:rsidRPr="00406688">
              <w:rPr>
                <w:rFonts w:ascii="Times New Roman" w:eastAsia="Times New Roman" w:hAnsi="Times New Roman"/>
                <w:iCs/>
                <w:sz w:val="24"/>
                <w:szCs w:val="24"/>
                <w:lang w:eastAsia="lv-LV"/>
              </w:rPr>
              <w:t>Nav</w:t>
            </w:r>
          </w:p>
        </w:tc>
      </w:tr>
      <w:tr w:rsidR="00647573" w:rsidRPr="00406688" w14:paraId="0806A75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BFC970" w14:textId="77777777" w:rsidR="00647573" w:rsidRPr="00406688" w:rsidRDefault="00647573" w:rsidP="001E5EF3">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9F9565" w14:textId="693BC5AE" w:rsidR="00647573" w:rsidRPr="00406688" w:rsidRDefault="00647573" w:rsidP="001E5EF3">
            <w:pPr>
              <w:spacing w:after="0" w:line="240" w:lineRule="auto"/>
              <w:contextualSpacing/>
              <w:rPr>
                <w:rFonts w:ascii="Times New Roman" w:hAnsi="Times New Roman"/>
                <w:sz w:val="24"/>
                <w:szCs w:val="24"/>
              </w:rPr>
            </w:pPr>
            <w:r w:rsidRPr="00406688">
              <w:rPr>
                <w:rFonts w:ascii="Times New Roman" w:hAnsi="Times New Roman"/>
                <w:sz w:val="24"/>
                <w:szCs w:val="24"/>
              </w:rPr>
              <w:t>Citas starptautiskās saistības</w:t>
            </w:r>
            <w:r w:rsidRPr="00406688">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331704" w14:textId="4E73E3EF" w:rsidR="00647573" w:rsidRPr="00406688" w:rsidRDefault="00647573" w:rsidP="001E5EF3">
            <w:pPr>
              <w:spacing w:after="0" w:line="240" w:lineRule="auto"/>
              <w:ind w:left="142" w:right="142"/>
              <w:contextualSpacing/>
              <w:rPr>
                <w:rFonts w:ascii="Times New Roman" w:hAnsi="Times New Roman"/>
                <w:sz w:val="24"/>
                <w:szCs w:val="24"/>
              </w:rPr>
            </w:pPr>
            <w:r w:rsidRPr="00406688">
              <w:rPr>
                <w:rFonts w:ascii="Times New Roman" w:eastAsia="Times New Roman" w:hAnsi="Times New Roman"/>
                <w:iCs/>
                <w:sz w:val="24"/>
                <w:szCs w:val="24"/>
                <w:lang w:eastAsia="lv-LV"/>
              </w:rPr>
              <w:t>Nav</w:t>
            </w:r>
          </w:p>
        </w:tc>
      </w:tr>
      <w:tr w:rsidR="00647573" w:rsidRPr="00406688" w14:paraId="225CF88E"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C396A" w14:textId="77777777" w:rsidR="00647573" w:rsidRPr="00406688" w:rsidRDefault="00647573" w:rsidP="001E5EF3">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935879" w14:textId="77777777" w:rsidR="00647573" w:rsidRPr="00406688" w:rsidRDefault="00647573" w:rsidP="001E5EF3">
            <w:pPr>
              <w:spacing w:after="0" w:line="240" w:lineRule="auto"/>
              <w:contextualSpacing/>
              <w:rPr>
                <w:rFonts w:ascii="Times New Roman" w:eastAsia="Times New Roman" w:hAnsi="Times New Roman"/>
                <w:sz w:val="24"/>
                <w:szCs w:val="24"/>
                <w:lang w:eastAsia="lv-LV"/>
              </w:rPr>
            </w:pPr>
            <w:r w:rsidRPr="00406688">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B5DFF0" w14:textId="7216D594" w:rsidR="00647573" w:rsidRPr="00406688" w:rsidRDefault="0043519D" w:rsidP="0043519D">
            <w:pPr>
              <w:spacing w:after="0" w:line="240" w:lineRule="auto"/>
              <w:ind w:left="142" w:right="142"/>
              <w:contextualSpacing/>
              <w:rPr>
                <w:rFonts w:ascii="Times New Roman" w:eastAsia="Times New Roman" w:hAnsi="Times New Roman"/>
                <w:sz w:val="24"/>
                <w:szCs w:val="24"/>
                <w:lang w:eastAsia="lv-LV"/>
              </w:rPr>
            </w:pPr>
            <w:r w:rsidRPr="00406688">
              <w:rPr>
                <w:rFonts w:ascii="Times New Roman" w:eastAsia="Times New Roman" w:hAnsi="Times New Roman"/>
                <w:iCs/>
                <w:sz w:val="24"/>
                <w:szCs w:val="24"/>
                <w:lang w:eastAsia="lv-LV"/>
              </w:rPr>
              <w:t>Eiropas Parlamenta un Padomes 2012. gada 25. oktobra Direktīva 2012/27/ES par energoefektivitāti, ar ko groza Direktīvas 2009/125/EK un 2010/30/ES un atceļ Direktīvas 2004/8/EK un 2006/32/EK (turpmāk – Direktīva 2012/27/ES) ir pārņemta ar Energoefektivitātes likumu, bet ar 4.2.1.2.</w:t>
            </w:r>
            <w:r w:rsidR="00EA732E" w:rsidRPr="00406688">
              <w:rPr>
                <w:rFonts w:ascii="Times New Roman" w:eastAsia="Times New Roman" w:hAnsi="Times New Roman"/>
                <w:iCs/>
                <w:sz w:val="24"/>
                <w:szCs w:val="24"/>
                <w:lang w:eastAsia="lv-LV"/>
              </w:rPr>
              <w:t> </w:t>
            </w:r>
            <w:r w:rsidRPr="00406688">
              <w:rPr>
                <w:rFonts w:ascii="Times New Roman" w:eastAsia="Times New Roman" w:hAnsi="Times New Roman"/>
                <w:iCs/>
                <w:sz w:val="24"/>
                <w:szCs w:val="24"/>
                <w:lang w:eastAsia="lv-LV"/>
              </w:rPr>
              <w:t>pasākuma pieejamo finansējumu tiek sniegts ieguldījums Direktīvas 2012/27/ES noteikto mērķu sasniegšanā.</w:t>
            </w:r>
          </w:p>
        </w:tc>
      </w:tr>
    </w:tbl>
    <w:p w14:paraId="36E5DDCB" w14:textId="77777777" w:rsidR="00BD0514" w:rsidRPr="00406688" w:rsidRDefault="00BD0514" w:rsidP="00206EAD">
      <w:pPr>
        <w:spacing w:after="0" w:line="240" w:lineRule="auto"/>
        <w:contextualSpacing/>
        <w:rPr>
          <w:rFonts w:ascii="Times New Roman" w:eastAsia="Arial Unicode MS" w:hAnsi="Times New Roman"/>
          <w:b/>
          <w:sz w:val="24"/>
          <w:szCs w:val="24"/>
        </w:rPr>
      </w:pPr>
    </w:p>
    <w:p w14:paraId="106D426A" w14:textId="77777777" w:rsidR="00647573" w:rsidRPr="00406688"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406688"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406688" w:rsidRDefault="009A312E" w:rsidP="00206EAD">
            <w:pPr>
              <w:spacing w:after="0" w:line="240" w:lineRule="auto"/>
              <w:contextualSpacing/>
              <w:jc w:val="center"/>
              <w:rPr>
                <w:rFonts w:ascii="Times New Roman" w:eastAsia="Times New Roman" w:hAnsi="Times New Roman"/>
                <w:b/>
                <w:sz w:val="24"/>
                <w:szCs w:val="24"/>
                <w:lang w:eastAsia="lv-LV"/>
              </w:rPr>
            </w:pPr>
            <w:r w:rsidRPr="00406688">
              <w:rPr>
                <w:rFonts w:ascii="Times New Roman" w:hAnsi="Times New Roman"/>
                <w:b/>
                <w:bCs/>
                <w:sz w:val="24"/>
                <w:szCs w:val="24"/>
              </w:rPr>
              <w:t>VI. Sabiedrības līdzdalība un komunikācijas aktivitātes</w:t>
            </w:r>
          </w:p>
        </w:tc>
      </w:tr>
      <w:tr w:rsidR="009A312E" w:rsidRPr="00406688"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406688" w:rsidRDefault="009A312E" w:rsidP="00FC69D7">
            <w:pPr>
              <w:spacing w:after="0" w:line="240" w:lineRule="auto"/>
              <w:contextualSpacing/>
              <w:rPr>
                <w:rFonts w:ascii="Times New Roman" w:eastAsia="Times New Roman" w:hAnsi="Times New Roman"/>
                <w:sz w:val="24"/>
                <w:szCs w:val="24"/>
                <w:lang w:eastAsia="lv-LV"/>
              </w:rPr>
            </w:pPr>
            <w:r w:rsidRPr="00406688">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69ECCBE6" w:rsidR="009A312E" w:rsidRPr="00406688" w:rsidRDefault="009E07CD" w:rsidP="00FC69D7">
            <w:pPr>
              <w:spacing w:after="0" w:line="240" w:lineRule="auto"/>
              <w:ind w:left="124" w:right="142"/>
              <w:contextualSpacing/>
              <w:jc w:val="both"/>
              <w:rPr>
                <w:rFonts w:ascii="Times New Roman" w:eastAsia="Times New Roman" w:hAnsi="Times New Roman"/>
                <w:sz w:val="24"/>
                <w:szCs w:val="24"/>
                <w:lang w:eastAsia="lv-LV"/>
              </w:rPr>
            </w:pPr>
            <w:r w:rsidRPr="002F65E1">
              <w:rPr>
                <w:rFonts w:ascii="Times New Roman" w:eastAsia="Times New Roman" w:hAnsi="Times New Roman"/>
                <w:iCs/>
                <w:sz w:val="24"/>
                <w:szCs w:val="24"/>
                <w:lang w:eastAsia="lv-LV"/>
              </w:rPr>
              <w:t>4.2.1.2. pasākums “Veicināt energoefektivitātes paaugstināšanu valsts ēkās" tiek ieviests kā ierobežota atlase, tāpēc Noteikumu projekts tiek skaņots ar visām ministrijām, kuras skar šie grozījumi</w:t>
            </w:r>
            <w:r>
              <w:rPr>
                <w:rFonts w:ascii="Times New Roman" w:eastAsia="Times New Roman" w:hAnsi="Times New Roman"/>
                <w:iCs/>
                <w:sz w:val="24"/>
                <w:szCs w:val="24"/>
                <w:lang w:eastAsia="lv-LV"/>
              </w:rPr>
              <w:t>, kā arī ar VAS “Valsts nekustamie īpašumi”</w:t>
            </w:r>
            <w:r w:rsidRPr="002F65E1">
              <w:rPr>
                <w:rFonts w:ascii="Times New Roman" w:eastAsia="Times New Roman" w:hAnsi="Times New Roman"/>
                <w:iCs/>
                <w:sz w:val="24"/>
                <w:szCs w:val="24"/>
                <w:lang w:eastAsia="lv-LV"/>
              </w:rPr>
              <w:t>.</w:t>
            </w:r>
          </w:p>
        </w:tc>
      </w:tr>
      <w:tr w:rsidR="00BD0514" w:rsidRPr="00406688"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lastRenderedPageBreak/>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406688" w:rsidRDefault="00BD0514" w:rsidP="00FC69D7">
            <w:pPr>
              <w:spacing w:after="0" w:line="240" w:lineRule="auto"/>
              <w:contextualSpacing/>
              <w:rPr>
                <w:rFonts w:ascii="Times New Roman" w:hAnsi="Times New Roman"/>
                <w:sz w:val="24"/>
                <w:szCs w:val="24"/>
              </w:rPr>
            </w:pPr>
            <w:r w:rsidRPr="00406688">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73B886B2" w:rsidR="00BD0514" w:rsidRPr="00406688" w:rsidRDefault="009E07CD" w:rsidP="00FC69D7">
            <w:pPr>
              <w:spacing w:line="240" w:lineRule="auto"/>
              <w:ind w:left="136" w:right="132"/>
              <w:contextualSpacing/>
              <w:jc w:val="both"/>
            </w:pPr>
            <w:r w:rsidRPr="002F65E1">
              <w:rPr>
                <w:rFonts w:ascii="Times New Roman" w:eastAsia="Times New Roman" w:hAnsi="Times New Roman"/>
                <w:iCs/>
                <w:sz w:val="24"/>
                <w:szCs w:val="24"/>
                <w:lang w:eastAsia="lv-LV"/>
              </w:rPr>
              <w:t>4.2.1.2. pasākums “Veicināt energoefektivitātes paaugstināšanu valsts ēkās" tiek ieviests kā ierobežota atlase, tāpēc Noteikumu projekts tiek skaņots ar visām ministrijām, kuras skar šie grozījumi</w:t>
            </w:r>
            <w:r>
              <w:rPr>
                <w:rFonts w:ascii="Times New Roman" w:eastAsia="Times New Roman" w:hAnsi="Times New Roman"/>
                <w:iCs/>
                <w:sz w:val="24"/>
                <w:szCs w:val="24"/>
                <w:lang w:eastAsia="lv-LV"/>
              </w:rPr>
              <w:t>, kā arī ar VAS “Valsts nekustamie īpašumi”</w:t>
            </w:r>
            <w:r w:rsidRPr="002F65E1">
              <w:rPr>
                <w:rFonts w:ascii="Times New Roman" w:eastAsia="Times New Roman" w:hAnsi="Times New Roman"/>
                <w:iCs/>
                <w:sz w:val="24"/>
                <w:szCs w:val="24"/>
                <w:lang w:eastAsia="lv-LV"/>
              </w:rPr>
              <w:t>.</w:t>
            </w:r>
          </w:p>
        </w:tc>
      </w:tr>
      <w:tr w:rsidR="00BD0514" w:rsidRPr="00406688"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406688" w:rsidRDefault="00BD0514"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406688" w:rsidRDefault="00BD0514" w:rsidP="00206EAD">
            <w:pPr>
              <w:spacing w:after="0" w:line="240" w:lineRule="auto"/>
              <w:contextualSpacing/>
              <w:rPr>
                <w:rFonts w:ascii="Times New Roman" w:hAnsi="Times New Roman"/>
                <w:sz w:val="24"/>
                <w:szCs w:val="24"/>
              </w:rPr>
            </w:pPr>
            <w:r w:rsidRPr="00406688">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1E915ABF" w:rsidR="00BD0514" w:rsidRPr="00406688" w:rsidRDefault="00EF5E8F" w:rsidP="00206EAD">
            <w:pPr>
              <w:spacing w:after="0" w:line="240" w:lineRule="auto"/>
              <w:ind w:right="142"/>
              <w:contextualSpacing/>
              <w:jc w:val="both"/>
              <w:rPr>
                <w:rFonts w:ascii="Times New Roman" w:hAnsi="Times New Roman"/>
                <w:sz w:val="24"/>
                <w:szCs w:val="24"/>
              </w:rPr>
            </w:pPr>
            <w:r w:rsidRPr="00406688">
              <w:rPr>
                <w:rFonts w:ascii="Times New Roman" w:hAnsi="Times New Roman"/>
                <w:sz w:val="24"/>
                <w:szCs w:val="24"/>
              </w:rPr>
              <w:t>Nav</w:t>
            </w:r>
          </w:p>
        </w:tc>
      </w:tr>
      <w:tr w:rsidR="009A312E" w:rsidRPr="00406688"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109765CD" w:rsidR="009A312E" w:rsidRPr="00406688" w:rsidRDefault="00FE5887" w:rsidP="00206EAD">
            <w:pPr>
              <w:spacing w:after="0" w:line="240" w:lineRule="auto"/>
              <w:contextualSpacing/>
              <w:jc w:val="both"/>
              <w:rPr>
                <w:rFonts w:ascii="Times New Roman" w:eastAsia="Times New Roman" w:hAnsi="Times New Roman"/>
                <w:sz w:val="24"/>
                <w:szCs w:val="24"/>
                <w:lang w:eastAsia="lv-LV"/>
              </w:rPr>
            </w:pPr>
            <w:r w:rsidRPr="00406688">
              <w:rPr>
                <w:rFonts w:ascii="Times New Roman" w:eastAsia="Times New Roman" w:hAnsi="Times New Roman"/>
                <w:iCs/>
                <w:sz w:val="24"/>
                <w:szCs w:val="24"/>
                <w:lang w:eastAsia="lv-LV"/>
              </w:rPr>
              <w:t xml:space="preserve"> </w:t>
            </w:r>
            <w:r w:rsidR="009A312E" w:rsidRPr="00406688">
              <w:rPr>
                <w:rFonts w:ascii="Times New Roman" w:eastAsia="Times New Roman" w:hAnsi="Times New Roman"/>
                <w:iCs/>
                <w:sz w:val="24"/>
                <w:szCs w:val="24"/>
                <w:lang w:eastAsia="lv-LV"/>
              </w:rPr>
              <w:t>Nav</w:t>
            </w:r>
          </w:p>
        </w:tc>
      </w:tr>
    </w:tbl>
    <w:p w14:paraId="24D64682" w14:textId="5553ABF0" w:rsidR="009A312E" w:rsidRPr="00406688" w:rsidRDefault="009A312E" w:rsidP="00206EAD">
      <w:pPr>
        <w:tabs>
          <w:tab w:val="left" w:pos="7655"/>
        </w:tabs>
        <w:spacing w:after="0" w:line="240" w:lineRule="auto"/>
        <w:contextualSpacing/>
        <w:jc w:val="both"/>
        <w:rPr>
          <w:rFonts w:ascii="Times New Roman" w:hAnsi="Times New Roman"/>
          <w:bCs/>
          <w:sz w:val="24"/>
          <w:szCs w:val="24"/>
        </w:rPr>
      </w:pPr>
    </w:p>
    <w:p w14:paraId="05F7F49A" w14:textId="77777777" w:rsidR="00B10F82" w:rsidRPr="00406688" w:rsidRDefault="00B10F82"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406688"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406688"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406688" w:rsidRDefault="009A312E" w:rsidP="00206EAD">
            <w:pPr>
              <w:spacing w:after="0" w:line="240" w:lineRule="auto"/>
              <w:contextualSpacing/>
              <w:jc w:val="center"/>
              <w:rPr>
                <w:rFonts w:ascii="Times New Roman" w:eastAsia="Times New Roman" w:hAnsi="Times New Roman"/>
                <w:b/>
                <w:sz w:val="24"/>
                <w:szCs w:val="24"/>
                <w:lang w:eastAsia="lv-LV"/>
              </w:rPr>
            </w:pPr>
            <w:r w:rsidRPr="00406688">
              <w:rPr>
                <w:rFonts w:ascii="Times New Roman" w:eastAsia="Times New Roman" w:hAnsi="Times New Roman"/>
                <w:b/>
                <w:sz w:val="24"/>
                <w:szCs w:val="24"/>
                <w:lang w:eastAsia="lv-LV"/>
              </w:rPr>
              <w:t>VII. Tiesību akta projekta izpildes nodrošināšana un tās ietekme uz institūcijām</w:t>
            </w:r>
          </w:p>
        </w:tc>
      </w:tr>
      <w:tr w:rsidR="009A312E" w:rsidRPr="00406688"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176878B9" w:rsidR="00111ABB" w:rsidRPr="00406688" w:rsidRDefault="00131C33" w:rsidP="004506E2">
            <w:pPr>
              <w:tabs>
                <w:tab w:val="left" w:pos="3922"/>
              </w:tabs>
              <w:spacing w:after="0" w:line="240" w:lineRule="auto"/>
              <w:ind w:left="95"/>
              <w:contextualSpacing/>
              <w:jc w:val="both"/>
              <w:rPr>
                <w:rFonts w:ascii="Times New Roman" w:hAnsi="Times New Roman"/>
                <w:sz w:val="24"/>
                <w:szCs w:val="24"/>
              </w:rPr>
            </w:pPr>
            <w:r w:rsidRPr="00406688">
              <w:rPr>
                <w:rFonts w:ascii="Times New Roman" w:eastAsia="Times New Roman" w:hAnsi="Times New Roman"/>
                <w:iCs/>
                <w:sz w:val="24"/>
                <w:szCs w:val="24"/>
                <w:lang w:eastAsia="lv-LV"/>
              </w:rPr>
              <w:t>Noteikumu p</w:t>
            </w:r>
            <w:r w:rsidR="00111ABB" w:rsidRPr="00406688">
              <w:rPr>
                <w:rFonts w:ascii="Times New Roman" w:eastAsia="Times New Roman" w:hAnsi="Times New Roman"/>
                <w:iCs/>
                <w:sz w:val="24"/>
                <w:szCs w:val="24"/>
                <w:lang w:eastAsia="lv-LV"/>
              </w:rPr>
              <w:t xml:space="preserve">rojekta īstenošanu nodrošinās </w:t>
            </w:r>
            <w:r w:rsidR="00735F4E" w:rsidRPr="00406688">
              <w:rPr>
                <w:rFonts w:ascii="Times New Roman" w:hAnsi="Times New Roman"/>
                <w:sz w:val="24"/>
                <w:szCs w:val="24"/>
              </w:rPr>
              <w:t xml:space="preserve">Ekonomikas ministrija </w:t>
            </w:r>
            <w:r w:rsidR="009A312E" w:rsidRPr="00406688">
              <w:rPr>
                <w:rFonts w:ascii="Times New Roman" w:hAnsi="Times New Roman"/>
                <w:sz w:val="24"/>
                <w:szCs w:val="24"/>
              </w:rPr>
              <w:t>kā atbildīgā iestāde</w:t>
            </w:r>
            <w:r w:rsidR="00A16A76" w:rsidRPr="00406688">
              <w:rPr>
                <w:rFonts w:ascii="Times New Roman" w:hAnsi="Times New Roman"/>
                <w:sz w:val="24"/>
                <w:szCs w:val="24"/>
              </w:rPr>
              <w:t>, kā arī</w:t>
            </w:r>
            <w:r w:rsidR="0080306D" w:rsidRPr="00406688">
              <w:rPr>
                <w:rFonts w:ascii="Times New Roman" w:hAnsi="Times New Roman"/>
                <w:sz w:val="24"/>
                <w:szCs w:val="24"/>
              </w:rPr>
              <w:t xml:space="preserve"> </w:t>
            </w:r>
            <w:r w:rsidR="009A312E" w:rsidRPr="00406688">
              <w:rPr>
                <w:rFonts w:ascii="Times New Roman" w:hAnsi="Times New Roman"/>
                <w:sz w:val="24"/>
                <w:szCs w:val="24"/>
              </w:rPr>
              <w:t>Centrālā finanšu un līgumu aģentūra kā sadarbības iestāde</w:t>
            </w:r>
            <w:r w:rsidR="00A16A76" w:rsidRPr="00406688">
              <w:rPr>
                <w:rFonts w:ascii="Times New Roman" w:hAnsi="Times New Roman"/>
                <w:sz w:val="24"/>
                <w:szCs w:val="24"/>
              </w:rPr>
              <w:t>, kas nodrošinās</w:t>
            </w:r>
            <w:r w:rsidR="004506E2" w:rsidRPr="00406688">
              <w:rPr>
                <w:rFonts w:ascii="Times New Roman" w:hAnsi="Times New Roman"/>
                <w:sz w:val="24"/>
                <w:szCs w:val="24"/>
              </w:rPr>
              <w:t xml:space="preserve"> i</w:t>
            </w:r>
            <w:r w:rsidR="005D67BB" w:rsidRPr="00406688">
              <w:rPr>
                <w:rFonts w:ascii="Times New Roman" w:hAnsi="Times New Roman"/>
                <w:sz w:val="24"/>
                <w:szCs w:val="24"/>
              </w:rPr>
              <w:t>esniegto projektu iesniegumu pieņemšanu un vērtēšanu</w:t>
            </w:r>
            <w:r w:rsidR="001E41B1" w:rsidRPr="00406688">
              <w:rPr>
                <w:rFonts w:ascii="Times New Roman" w:hAnsi="Times New Roman"/>
                <w:sz w:val="24"/>
                <w:szCs w:val="24"/>
              </w:rPr>
              <w:t>.</w:t>
            </w:r>
          </w:p>
        </w:tc>
      </w:tr>
      <w:tr w:rsidR="009A312E" w:rsidRPr="00406688"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Pr="00406688" w:rsidRDefault="00140353" w:rsidP="0080306D">
            <w:pPr>
              <w:spacing w:after="0" w:line="240" w:lineRule="auto"/>
              <w:ind w:left="95"/>
              <w:contextualSpacing/>
              <w:jc w:val="both"/>
              <w:rPr>
                <w:rFonts w:ascii="Times New Roman" w:hAnsi="Times New Roman"/>
                <w:sz w:val="24"/>
                <w:szCs w:val="24"/>
              </w:rPr>
            </w:pPr>
            <w:r w:rsidRPr="00406688">
              <w:rPr>
                <w:rFonts w:ascii="Times New Roman" w:hAnsi="Times New Roman"/>
                <w:sz w:val="24"/>
                <w:szCs w:val="24"/>
              </w:rPr>
              <w:t>Nav plānota jaunu institūciju izveide, esošu institūciju likvidācija vai reorganizācija.</w:t>
            </w:r>
          </w:p>
          <w:p w14:paraId="166387AC" w14:textId="77777777" w:rsidR="009A312E" w:rsidRDefault="009160BD" w:rsidP="005D67BB">
            <w:pPr>
              <w:spacing w:after="0" w:line="240" w:lineRule="auto"/>
              <w:ind w:left="95"/>
              <w:contextualSpacing/>
              <w:jc w:val="both"/>
              <w:rPr>
                <w:rFonts w:ascii="Times New Roman" w:hAnsi="Times New Roman"/>
                <w:sz w:val="24"/>
                <w:szCs w:val="24"/>
              </w:rPr>
            </w:pPr>
            <w:r w:rsidRPr="00406688">
              <w:rPr>
                <w:rFonts w:ascii="Times New Roman" w:hAnsi="Times New Roman"/>
                <w:sz w:val="24"/>
                <w:szCs w:val="24"/>
              </w:rPr>
              <w:t>Noteikumu projekts tiks realizēts esošo cilvēkresursu ietvaros.</w:t>
            </w:r>
          </w:p>
          <w:p w14:paraId="0A93EA10" w14:textId="31C9CF2B" w:rsidR="007A1B39" w:rsidRPr="00406688" w:rsidRDefault="007A1B39" w:rsidP="005D67BB">
            <w:pPr>
              <w:spacing w:after="0" w:line="240" w:lineRule="auto"/>
              <w:ind w:left="95"/>
              <w:contextualSpacing/>
              <w:jc w:val="both"/>
              <w:rPr>
                <w:rFonts w:ascii="Times New Roman" w:hAnsi="Times New Roman"/>
                <w:sz w:val="24"/>
                <w:szCs w:val="24"/>
              </w:rPr>
            </w:pPr>
          </w:p>
        </w:tc>
      </w:tr>
      <w:tr w:rsidR="009A312E" w:rsidRPr="00406688"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406688" w:rsidRDefault="009A312E" w:rsidP="00206EAD">
            <w:pPr>
              <w:spacing w:after="0" w:line="240" w:lineRule="auto"/>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406688" w:rsidRDefault="009A312E" w:rsidP="0080306D">
            <w:pPr>
              <w:spacing w:after="0" w:line="240" w:lineRule="auto"/>
              <w:ind w:left="95"/>
              <w:contextualSpacing/>
              <w:rPr>
                <w:rFonts w:ascii="Times New Roman" w:eastAsia="Times New Roman" w:hAnsi="Times New Roman"/>
                <w:sz w:val="24"/>
                <w:szCs w:val="24"/>
                <w:lang w:eastAsia="lv-LV"/>
              </w:rPr>
            </w:pPr>
            <w:r w:rsidRPr="00406688">
              <w:rPr>
                <w:rFonts w:ascii="Times New Roman" w:eastAsia="Times New Roman" w:hAnsi="Times New Roman"/>
                <w:sz w:val="24"/>
                <w:szCs w:val="24"/>
                <w:lang w:eastAsia="lv-LV"/>
              </w:rPr>
              <w:t>Nav</w:t>
            </w:r>
          </w:p>
        </w:tc>
      </w:tr>
    </w:tbl>
    <w:p w14:paraId="3D718903" w14:textId="77777777" w:rsidR="0080306D" w:rsidRPr="00406688" w:rsidRDefault="0080306D" w:rsidP="00206EAD">
      <w:pPr>
        <w:spacing w:after="0" w:line="240" w:lineRule="auto"/>
        <w:contextualSpacing/>
        <w:rPr>
          <w:rFonts w:ascii="Times New Roman" w:eastAsia="Times New Roman" w:hAnsi="Times New Roman"/>
          <w:sz w:val="24"/>
          <w:szCs w:val="24"/>
        </w:rPr>
      </w:pPr>
    </w:p>
    <w:p w14:paraId="2C498F28" w14:textId="77777777" w:rsidR="0080306D" w:rsidRPr="00406688" w:rsidRDefault="0080306D" w:rsidP="00206EAD">
      <w:pPr>
        <w:spacing w:after="0" w:line="240" w:lineRule="auto"/>
        <w:contextualSpacing/>
        <w:rPr>
          <w:rFonts w:ascii="Times New Roman" w:eastAsia="Times New Roman" w:hAnsi="Times New Roman"/>
          <w:sz w:val="24"/>
          <w:szCs w:val="24"/>
        </w:rPr>
      </w:pPr>
    </w:p>
    <w:p w14:paraId="5BB844E6" w14:textId="549E9354" w:rsidR="002119B7" w:rsidRPr="00406688" w:rsidRDefault="002119B7" w:rsidP="00EF5E8F">
      <w:pPr>
        <w:tabs>
          <w:tab w:val="left" w:pos="7088"/>
        </w:tabs>
        <w:spacing w:after="0" w:line="240" w:lineRule="auto"/>
        <w:contextualSpacing/>
        <w:rPr>
          <w:rFonts w:ascii="Times New Roman" w:eastAsia="Times New Roman" w:hAnsi="Times New Roman"/>
          <w:sz w:val="24"/>
          <w:szCs w:val="24"/>
        </w:rPr>
      </w:pPr>
      <w:r w:rsidRPr="00406688">
        <w:rPr>
          <w:rFonts w:ascii="Times New Roman" w:eastAsia="Times New Roman" w:hAnsi="Times New Roman"/>
          <w:sz w:val="24"/>
          <w:szCs w:val="24"/>
        </w:rPr>
        <w:t>Ekonomikas ministr</w:t>
      </w:r>
      <w:r w:rsidR="00DD794B">
        <w:rPr>
          <w:rFonts w:ascii="Times New Roman" w:eastAsia="Times New Roman" w:hAnsi="Times New Roman"/>
          <w:sz w:val="24"/>
          <w:szCs w:val="24"/>
        </w:rPr>
        <w:t xml:space="preserve">s </w:t>
      </w:r>
      <w:r w:rsidRPr="00406688">
        <w:rPr>
          <w:rFonts w:ascii="Times New Roman" w:eastAsia="Times New Roman" w:hAnsi="Times New Roman"/>
          <w:sz w:val="24"/>
          <w:szCs w:val="24"/>
        </w:rPr>
        <w:tab/>
      </w:r>
      <w:proofErr w:type="spellStart"/>
      <w:r w:rsidR="00DD794B">
        <w:rPr>
          <w:rFonts w:ascii="Times New Roman" w:eastAsia="Times New Roman" w:hAnsi="Times New Roman"/>
          <w:sz w:val="24"/>
          <w:szCs w:val="24"/>
        </w:rPr>
        <w:t>J.Vitenbergs</w:t>
      </w:r>
      <w:proofErr w:type="spellEnd"/>
    </w:p>
    <w:p w14:paraId="1E444487" w14:textId="77777777" w:rsidR="0080306D" w:rsidRPr="00406688" w:rsidRDefault="0080306D" w:rsidP="00206EAD">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Pr="00406688" w:rsidRDefault="0080306D" w:rsidP="00206EAD">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406688" w:rsidRDefault="009A312E" w:rsidP="00206EAD">
      <w:pPr>
        <w:tabs>
          <w:tab w:val="right" w:pos="9071"/>
        </w:tabs>
        <w:spacing w:after="0" w:line="240" w:lineRule="auto"/>
        <w:contextualSpacing/>
        <w:jc w:val="both"/>
        <w:rPr>
          <w:rFonts w:ascii="Times New Roman" w:hAnsi="Times New Roman"/>
          <w:color w:val="000000"/>
          <w:sz w:val="24"/>
          <w:szCs w:val="24"/>
        </w:rPr>
      </w:pPr>
      <w:r w:rsidRPr="00406688">
        <w:rPr>
          <w:rFonts w:ascii="Times New Roman" w:hAnsi="Times New Roman"/>
          <w:color w:val="000000"/>
          <w:sz w:val="24"/>
          <w:szCs w:val="24"/>
        </w:rPr>
        <w:t>Vīza:</w:t>
      </w:r>
    </w:p>
    <w:p w14:paraId="4FDF8EF9" w14:textId="589D831F" w:rsidR="009A312E" w:rsidRPr="00406688" w:rsidRDefault="0087754F" w:rsidP="001B4512">
      <w:pPr>
        <w:tabs>
          <w:tab w:val="left" w:pos="7088"/>
          <w:tab w:val="right" w:pos="9071"/>
        </w:tabs>
        <w:spacing w:after="0" w:line="240" w:lineRule="auto"/>
        <w:contextualSpacing/>
        <w:jc w:val="both"/>
        <w:rPr>
          <w:rFonts w:ascii="Times New Roman" w:hAnsi="Times New Roman"/>
          <w:color w:val="000000"/>
          <w:sz w:val="24"/>
          <w:szCs w:val="24"/>
        </w:rPr>
      </w:pPr>
      <w:r w:rsidRPr="00406688">
        <w:rPr>
          <w:rFonts w:ascii="Times New Roman" w:hAnsi="Times New Roman"/>
          <w:color w:val="000000"/>
          <w:sz w:val="24"/>
          <w:szCs w:val="24"/>
        </w:rPr>
        <w:t>Valsts sekretār</w:t>
      </w:r>
      <w:r w:rsidR="00D9198D" w:rsidRPr="00406688">
        <w:rPr>
          <w:rFonts w:ascii="Times New Roman" w:hAnsi="Times New Roman"/>
          <w:color w:val="000000"/>
          <w:sz w:val="24"/>
          <w:szCs w:val="24"/>
        </w:rPr>
        <w:t>s</w:t>
      </w:r>
      <w:r w:rsidR="00D9198D" w:rsidRPr="00406688">
        <w:rPr>
          <w:rFonts w:ascii="Times New Roman" w:hAnsi="Times New Roman"/>
          <w:color w:val="000000"/>
          <w:sz w:val="24"/>
          <w:szCs w:val="24"/>
        </w:rPr>
        <w:tab/>
      </w:r>
      <w:r w:rsidR="00D9198D" w:rsidRPr="00406688">
        <w:rPr>
          <w:rFonts w:ascii="Times New Roman" w:eastAsia="Times New Roman" w:hAnsi="Times New Roman"/>
          <w:sz w:val="24"/>
          <w:szCs w:val="24"/>
        </w:rPr>
        <w:t>E. Valantis</w:t>
      </w:r>
    </w:p>
    <w:p w14:paraId="7FDF69A2" w14:textId="77777777" w:rsidR="0080306D" w:rsidRPr="00406688" w:rsidRDefault="0080306D" w:rsidP="00206EAD">
      <w:pPr>
        <w:widowControl w:val="0"/>
        <w:spacing w:after="0" w:line="240" w:lineRule="auto"/>
        <w:contextualSpacing/>
        <w:jc w:val="both"/>
        <w:rPr>
          <w:rFonts w:ascii="Times New Roman" w:eastAsia="Times New Roman" w:hAnsi="Times New Roman"/>
          <w:sz w:val="20"/>
          <w:szCs w:val="20"/>
        </w:rPr>
      </w:pPr>
    </w:p>
    <w:p w14:paraId="0E440D32" w14:textId="63BAF4AE" w:rsidR="00BE772D" w:rsidRDefault="00BE772D" w:rsidP="00206EAD">
      <w:pPr>
        <w:widowControl w:val="0"/>
        <w:spacing w:after="0" w:line="240" w:lineRule="auto"/>
        <w:contextualSpacing/>
        <w:jc w:val="both"/>
        <w:rPr>
          <w:rFonts w:ascii="Times New Roman" w:eastAsia="Times New Roman" w:hAnsi="Times New Roman"/>
          <w:sz w:val="20"/>
          <w:szCs w:val="20"/>
        </w:rPr>
      </w:pPr>
    </w:p>
    <w:p w14:paraId="164995EC" w14:textId="5697B210" w:rsidR="00BE772D" w:rsidRDefault="00BE772D" w:rsidP="00206EAD">
      <w:pPr>
        <w:widowControl w:val="0"/>
        <w:spacing w:after="0" w:line="240" w:lineRule="auto"/>
        <w:contextualSpacing/>
        <w:jc w:val="both"/>
        <w:rPr>
          <w:rFonts w:ascii="Times New Roman" w:eastAsia="Times New Roman" w:hAnsi="Times New Roman"/>
          <w:sz w:val="20"/>
          <w:szCs w:val="20"/>
        </w:rPr>
      </w:pPr>
    </w:p>
    <w:p w14:paraId="1496F498" w14:textId="7E322A74" w:rsidR="00726469" w:rsidRDefault="00726469" w:rsidP="00206EAD">
      <w:pPr>
        <w:widowControl w:val="0"/>
        <w:spacing w:after="0" w:line="240" w:lineRule="auto"/>
        <w:contextualSpacing/>
        <w:jc w:val="both"/>
        <w:rPr>
          <w:rFonts w:ascii="Times New Roman" w:eastAsia="Times New Roman" w:hAnsi="Times New Roman"/>
          <w:sz w:val="20"/>
          <w:szCs w:val="20"/>
        </w:rPr>
      </w:pPr>
    </w:p>
    <w:p w14:paraId="6593B008" w14:textId="6DD5018A" w:rsidR="00726469" w:rsidRDefault="00726469" w:rsidP="00206EAD">
      <w:pPr>
        <w:widowControl w:val="0"/>
        <w:spacing w:after="0" w:line="240" w:lineRule="auto"/>
        <w:contextualSpacing/>
        <w:jc w:val="both"/>
        <w:rPr>
          <w:rFonts w:ascii="Times New Roman" w:eastAsia="Times New Roman" w:hAnsi="Times New Roman"/>
          <w:sz w:val="20"/>
          <w:szCs w:val="20"/>
        </w:rPr>
      </w:pPr>
    </w:p>
    <w:p w14:paraId="1FA8F4C9" w14:textId="2FC37AFE" w:rsidR="00726469" w:rsidRDefault="00726469" w:rsidP="00206EAD">
      <w:pPr>
        <w:widowControl w:val="0"/>
        <w:spacing w:after="0" w:line="240" w:lineRule="auto"/>
        <w:contextualSpacing/>
        <w:jc w:val="both"/>
        <w:rPr>
          <w:rFonts w:ascii="Times New Roman" w:eastAsia="Times New Roman" w:hAnsi="Times New Roman"/>
          <w:sz w:val="20"/>
          <w:szCs w:val="20"/>
        </w:rPr>
      </w:pPr>
    </w:p>
    <w:p w14:paraId="7952300C" w14:textId="77777777" w:rsidR="00726469" w:rsidRDefault="00726469" w:rsidP="00206EAD">
      <w:pPr>
        <w:widowControl w:val="0"/>
        <w:spacing w:after="0" w:line="240" w:lineRule="auto"/>
        <w:contextualSpacing/>
        <w:jc w:val="both"/>
        <w:rPr>
          <w:rFonts w:ascii="Times New Roman" w:eastAsia="Times New Roman" w:hAnsi="Times New Roman"/>
          <w:sz w:val="20"/>
          <w:szCs w:val="20"/>
        </w:rPr>
      </w:pPr>
    </w:p>
    <w:p w14:paraId="1F41EBFA" w14:textId="77777777" w:rsidR="00BE772D" w:rsidRDefault="00BE772D" w:rsidP="00206EAD">
      <w:pPr>
        <w:widowControl w:val="0"/>
        <w:spacing w:after="0" w:line="240" w:lineRule="auto"/>
        <w:contextualSpacing/>
        <w:jc w:val="both"/>
        <w:rPr>
          <w:rFonts w:ascii="Times New Roman" w:eastAsia="Times New Roman" w:hAnsi="Times New Roman"/>
          <w:sz w:val="20"/>
          <w:szCs w:val="20"/>
        </w:rPr>
      </w:pPr>
    </w:p>
    <w:p w14:paraId="310EC0F9" w14:textId="77777777" w:rsidR="000C2700" w:rsidRDefault="000C2700" w:rsidP="000C2700">
      <w:pPr>
        <w:spacing w:after="0" w:line="240" w:lineRule="auto"/>
        <w:rPr>
          <w:rFonts w:ascii="Times New Roman" w:hAnsi="Times New Roman"/>
          <w:noProof/>
          <w:sz w:val="20"/>
          <w:szCs w:val="20"/>
        </w:rPr>
      </w:pPr>
      <w:r>
        <w:rPr>
          <w:rFonts w:ascii="Times New Roman" w:hAnsi="Times New Roman"/>
          <w:noProof/>
          <w:sz w:val="20"/>
          <w:szCs w:val="20"/>
        </w:rPr>
        <w:t>Cauna</w:t>
      </w:r>
      <w:r>
        <w:rPr>
          <w:rFonts w:ascii="Times New Roman" w:hAnsi="Times New Roman"/>
          <w:sz w:val="20"/>
          <w:szCs w:val="20"/>
        </w:rPr>
        <w:t xml:space="preserve"> </w:t>
      </w:r>
      <w:r>
        <w:rPr>
          <w:rFonts w:ascii="Times New Roman" w:hAnsi="Times New Roman"/>
          <w:noProof/>
          <w:sz w:val="20"/>
          <w:szCs w:val="20"/>
        </w:rPr>
        <w:t>67013298</w:t>
      </w:r>
    </w:p>
    <w:p w14:paraId="6BC552B0" w14:textId="77777777" w:rsidR="000C2700" w:rsidRPr="001C267B" w:rsidRDefault="000C2700" w:rsidP="00206EAD">
      <w:pPr>
        <w:widowControl w:val="0"/>
        <w:spacing w:after="0" w:line="240" w:lineRule="auto"/>
        <w:contextualSpacing/>
        <w:jc w:val="both"/>
        <w:rPr>
          <w:rFonts w:ascii="Times New Roman" w:hAnsi="Times New Roman"/>
          <w:sz w:val="20"/>
          <w:szCs w:val="20"/>
        </w:rPr>
      </w:pPr>
    </w:p>
    <w:sectPr w:rsidR="000C2700" w:rsidRPr="001C267B" w:rsidSect="00242877">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5EF1" w14:textId="77777777" w:rsidR="004513AA" w:rsidRDefault="004513AA">
      <w:pPr>
        <w:spacing w:after="0" w:line="240" w:lineRule="auto"/>
      </w:pPr>
      <w:r>
        <w:separator/>
      </w:r>
    </w:p>
  </w:endnote>
  <w:endnote w:type="continuationSeparator" w:id="0">
    <w:p w14:paraId="52B3D67B" w14:textId="77777777" w:rsidR="004513AA" w:rsidRDefault="0045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3DB70C83"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A15FBA">
      <w:rPr>
        <w:rFonts w:ascii="Times New Roman" w:eastAsia="Times New Roman" w:hAnsi="Times New Roman"/>
        <w:noProof/>
        <w:sz w:val="20"/>
        <w:szCs w:val="20"/>
        <w:lang w:eastAsia="lv-LV"/>
      </w:rPr>
      <w:t>EMAnot_</w:t>
    </w:r>
    <w:r w:rsidR="00C0754D">
      <w:rPr>
        <w:rFonts w:ascii="Times New Roman" w:eastAsia="Times New Roman" w:hAnsi="Times New Roman"/>
        <w:noProof/>
        <w:sz w:val="20"/>
        <w:szCs w:val="20"/>
        <w:lang w:eastAsia="lv-LV"/>
      </w:rPr>
      <w:t>0306</w:t>
    </w:r>
    <w:r w:rsidR="00A15FBA">
      <w:rPr>
        <w:rFonts w:ascii="Times New Roman" w:eastAsia="Times New Roman" w:hAnsi="Times New Roman"/>
        <w:noProof/>
        <w:sz w:val="20"/>
        <w:szCs w:val="20"/>
        <w:lang w:eastAsia="lv-LV"/>
      </w:rPr>
      <w:t>2021_Groz534.docx</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20BD3EA1"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AF2E59">
      <w:rPr>
        <w:rFonts w:ascii="Times New Roman" w:eastAsia="Times New Roman" w:hAnsi="Times New Roman"/>
        <w:noProof/>
        <w:sz w:val="20"/>
        <w:szCs w:val="20"/>
        <w:lang w:eastAsia="lv-LV"/>
      </w:rPr>
      <w:t>EMAnot_</w:t>
    </w:r>
    <w:r w:rsidR="006C0B24">
      <w:rPr>
        <w:rFonts w:ascii="Times New Roman" w:eastAsia="Times New Roman" w:hAnsi="Times New Roman"/>
        <w:noProof/>
        <w:sz w:val="20"/>
        <w:szCs w:val="20"/>
        <w:lang w:eastAsia="lv-LV"/>
      </w:rPr>
      <w:t>0306</w:t>
    </w:r>
    <w:r w:rsidR="00AF2E59">
      <w:rPr>
        <w:rFonts w:ascii="Times New Roman" w:eastAsia="Times New Roman" w:hAnsi="Times New Roman"/>
        <w:noProof/>
        <w:sz w:val="20"/>
        <w:szCs w:val="20"/>
        <w:lang w:eastAsia="lv-LV"/>
      </w:rPr>
      <w:t>2021_Groz534.docx</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F1AF" w14:textId="77777777" w:rsidR="004513AA" w:rsidRDefault="004513AA">
      <w:pPr>
        <w:spacing w:after="0" w:line="240" w:lineRule="auto"/>
      </w:pPr>
      <w:r>
        <w:separator/>
      </w:r>
    </w:p>
  </w:footnote>
  <w:footnote w:type="continuationSeparator" w:id="0">
    <w:p w14:paraId="45A24502" w14:textId="77777777" w:rsidR="004513AA" w:rsidRDefault="0045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DA8"/>
    <w:multiLevelType w:val="hybridMultilevel"/>
    <w:tmpl w:val="ECD8BBF0"/>
    <w:lvl w:ilvl="0" w:tplc="28B062C6">
      <w:start w:val="1"/>
      <w:numFmt w:val="bullet"/>
      <w:lvlText w:val="-"/>
      <w:lvlJc w:val="left"/>
      <w:pPr>
        <w:ind w:left="218" w:hanging="360"/>
      </w:pPr>
      <w:rPr>
        <w:rFonts w:ascii="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3" w15:restartNumberingAfterBreak="0">
    <w:nsid w:val="22204B4B"/>
    <w:multiLevelType w:val="hybridMultilevel"/>
    <w:tmpl w:val="67BC32D4"/>
    <w:lvl w:ilvl="0" w:tplc="996EBF4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AD2865"/>
    <w:multiLevelType w:val="hybridMultilevel"/>
    <w:tmpl w:val="6EF4EEEA"/>
    <w:lvl w:ilvl="0" w:tplc="1A940A60">
      <w:start w:val="3"/>
      <w:numFmt w:val="bullet"/>
      <w:lvlText w:val="-"/>
      <w:lvlJc w:val="left"/>
      <w:pPr>
        <w:ind w:left="510" w:hanging="360"/>
      </w:pPr>
      <w:rPr>
        <w:rFonts w:ascii="Calibri" w:eastAsia="Calibri" w:hAnsi="Calibri" w:cs="Calibri"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5" w15:restartNumberingAfterBreak="0">
    <w:nsid w:val="47E56713"/>
    <w:multiLevelType w:val="hybridMultilevel"/>
    <w:tmpl w:val="0BAE728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6"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FB8097A"/>
    <w:multiLevelType w:val="hybridMultilevel"/>
    <w:tmpl w:val="7C0676D2"/>
    <w:lvl w:ilvl="0" w:tplc="996EBF46">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11"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2"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11"/>
  </w:num>
  <w:num w:numId="3">
    <w:abstractNumId w:val="8"/>
  </w:num>
  <w:num w:numId="4">
    <w:abstractNumId w:val="9"/>
  </w:num>
  <w:num w:numId="5">
    <w:abstractNumId w:val="1"/>
  </w:num>
  <w:num w:numId="6">
    <w:abstractNumId w:val="6"/>
  </w:num>
  <w:num w:numId="7">
    <w:abstractNumId w:val="10"/>
  </w:num>
  <w:num w:numId="8">
    <w:abstractNumId w:val="2"/>
  </w:num>
  <w:num w:numId="9">
    <w:abstractNumId w:val="5"/>
  </w:num>
  <w:num w:numId="10">
    <w:abstractNumId w:val="7"/>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03EA"/>
    <w:rsid w:val="000010B9"/>
    <w:rsid w:val="00003482"/>
    <w:rsid w:val="0000428C"/>
    <w:rsid w:val="000066B5"/>
    <w:rsid w:val="00006DC5"/>
    <w:rsid w:val="00011E37"/>
    <w:rsid w:val="00012D1F"/>
    <w:rsid w:val="0002241A"/>
    <w:rsid w:val="00023AE2"/>
    <w:rsid w:val="000249D7"/>
    <w:rsid w:val="00027F19"/>
    <w:rsid w:val="0003047F"/>
    <w:rsid w:val="000318AE"/>
    <w:rsid w:val="0003239E"/>
    <w:rsid w:val="00033F47"/>
    <w:rsid w:val="000353A1"/>
    <w:rsid w:val="00035460"/>
    <w:rsid w:val="00037FF4"/>
    <w:rsid w:val="00041393"/>
    <w:rsid w:val="000423E0"/>
    <w:rsid w:val="00043333"/>
    <w:rsid w:val="0004420B"/>
    <w:rsid w:val="00044274"/>
    <w:rsid w:val="0004780E"/>
    <w:rsid w:val="00053D47"/>
    <w:rsid w:val="0005475F"/>
    <w:rsid w:val="00056C2E"/>
    <w:rsid w:val="00064674"/>
    <w:rsid w:val="00066A52"/>
    <w:rsid w:val="0007099C"/>
    <w:rsid w:val="0007445B"/>
    <w:rsid w:val="00074741"/>
    <w:rsid w:val="00074CDF"/>
    <w:rsid w:val="00076569"/>
    <w:rsid w:val="00076729"/>
    <w:rsid w:val="000A088D"/>
    <w:rsid w:val="000A7DC0"/>
    <w:rsid w:val="000B4FA8"/>
    <w:rsid w:val="000B5B2F"/>
    <w:rsid w:val="000C26D0"/>
    <w:rsid w:val="000C2700"/>
    <w:rsid w:val="000C521E"/>
    <w:rsid w:val="000C556C"/>
    <w:rsid w:val="000C59D0"/>
    <w:rsid w:val="000C5ACC"/>
    <w:rsid w:val="000C60E4"/>
    <w:rsid w:val="000D1F66"/>
    <w:rsid w:val="000D34F7"/>
    <w:rsid w:val="000D6675"/>
    <w:rsid w:val="000D7798"/>
    <w:rsid w:val="000E06A7"/>
    <w:rsid w:val="000E2075"/>
    <w:rsid w:val="000E5AA6"/>
    <w:rsid w:val="000F6A97"/>
    <w:rsid w:val="000F72AE"/>
    <w:rsid w:val="000F79F6"/>
    <w:rsid w:val="001019E7"/>
    <w:rsid w:val="00101DB2"/>
    <w:rsid w:val="0010496B"/>
    <w:rsid w:val="00107948"/>
    <w:rsid w:val="0011073F"/>
    <w:rsid w:val="00111ABB"/>
    <w:rsid w:val="00112E74"/>
    <w:rsid w:val="00115B18"/>
    <w:rsid w:val="00115BD6"/>
    <w:rsid w:val="00115D54"/>
    <w:rsid w:val="001224DE"/>
    <w:rsid w:val="00123B61"/>
    <w:rsid w:val="001243B9"/>
    <w:rsid w:val="001263ED"/>
    <w:rsid w:val="00126451"/>
    <w:rsid w:val="001305B9"/>
    <w:rsid w:val="001312A1"/>
    <w:rsid w:val="00131C33"/>
    <w:rsid w:val="0013335D"/>
    <w:rsid w:val="0013654B"/>
    <w:rsid w:val="00140353"/>
    <w:rsid w:val="0014091D"/>
    <w:rsid w:val="00140EB5"/>
    <w:rsid w:val="001425B6"/>
    <w:rsid w:val="001526A3"/>
    <w:rsid w:val="00152E0D"/>
    <w:rsid w:val="0015517D"/>
    <w:rsid w:val="00163BA3"/>
    <w:rsid w:val="00163EA5"/>
    <w:rsid w:val="00164527"/>
    <w:rsid w:val="00164E69"/>
    <w:rsid w:val="00173FE5"/>
    <w:rsid w:val="00180199"/>
    <w:rsid w:val="00184CA5"/>
    <w:rsid w:val="00193596"/>
    <w:rsid w:val="0019514D"/>
    <w:rsid w:val="00196785"/>
    <w:rsid w:val="001969EC"/>
    <w:rsid w:val="001A4868"/>
    <w:rsid w:val="001A67CD"/>
    <w:rsid w:val="001A6DE0"/>
    <w:rsid w:val="001B1878"/>
    <w:rsid w:val="001B4512"/>
    <w:rsid w:val="001C267B"/>
    <w:rsid w:val="001C4BBF"/>
    <w:rsid w:val="001C70A1"/>
    <w:rsid w:val="001D209B"/>
    <w:rsid w:val="001D2690"/>
    <w:rsid w:val="001D5C74"/>
    <w:rsid w:val="001D7B32"/>
    <w:rsid w:val="001E355B"/>
    <w:rsid w:val="001E41B1"/>
    <w:rsid w:val="001F12CC"/>
    <w:rsid w:val="001F1613"/>
    <w:rsid w:val="001F1B7D"/>
    <w:rsid w:val="001F2173"/>
    <w:rsid w:val="001F44B8"/>
    <w:rsid w:val="001F7F8F"/>
    <w:rsid w:val="002029C7"/>
    <w:rsid w:val="00205CE5"/>
    <w:rsid w:val="00206EAD"/>
    <w:rsid w:val="002119B7"/>
    <w:rsid w:val="002171C9"/>
    <w:rsid w:val="00230D7C"/>
    <w:rsid w:val="002319EF"/>
    <w:rsid w:val="002330E4"/>
    <w:rsid w:val="00233A56"/>
    <w:rsid w:val="00235F20"/>
    <w:rsid w:val="00237940"/>
    <w:rsid w:val="00244FFB"/>
    <w:rsid w:val="00252E6A"/>
    <w:rsid w:val="00254CE8"/>
    <w:rsid w:val="002733DE"/>
    <w:rsid w:val="002757AE"/>
    <w:rsid w:val="00276A3D"/>
    <w:rsid w:val="00276DA9"/>
    <w:rsid w:val="00283698"/>
    <w:rsid w:val="0028557B"/>
    <w:rsid w:val="002932EF"/>
    <w:rsid w:val="002948B7"/>
    <w:rsid w:val="002A14D8"/>
    <w:rsid w:val="002A1C23"/>
    <w:rsid w:val="002B07E8"/>
    <w:rsid w:val="002B28B8"/>
    <w:rsid w:val="002B2AEB"/>
    <w:rsid w:val="002B4A36"/>
    <w:rsid w:val="002B57C6"/>
    <w:rsid w:val="002C1DCE"/>
    <w:rsid w:val="002C237C"/>
    <w:rsid w:val="002C3064"/>
    <w:rsid w:val="002C310B"/>
    <w:rsid w:val="002C4F05"/>
    <w:rsid w:val="002C7342"/>
    <w:rsid w:val="002D1934"/>
    <w:rsid w:val="002D2359"/>
    <w:rsid w:val="002D2667"/>
    <w:rsid w:val="002D40A6"/>
    <w:rsid w:val="002D50D3"/>
    <w:rsid w:val="002D59DF"/>
    <w:rsid w:val="002E1F44"/>
    <w:rsid w:val="002E507A"/>
    <w:rsid w:val="002E51B3"/>
    <w:rsid w:val="002E5DDE"/>
    <w:rsid w:val="002E7D0C"/>
    <w:rsid w:val="002F0D29"/>
    <w:rsid w:val="002F10D3"/>
    <w:rsid w:val="00307390"/>
    <w:rsid w:val="00310064"/>
    <w:rsid w:val="0031019E"/>
    <w:rsid w:val="003123AC"/>
    <w:rsid w:val="00316980"/>
    <w:rsid w:val="00316CCD"/>
    <w:rsid w:val="00322450"/>
    <w:rsid w:val="0033012F"/>
    <w:rsid w:val="0033091B"/>
    <w:rsid w:val="00331E0B"/>
    <w:rsid w:val="00336720"/>
    <w:rsid w:val="00336B4E"/>
    <w:rsid w:val="00343886"/>
    <w:rsid w:val="00345A19"/>
    <w:rsid w:val="00351649"/>
    <w:rsid w:val="00351C4F"/>
    <w:rsid w:val="00360FDD"/>
    <w:rsid w:val="0036778E"/>
    <w:rsid w:val="0037021B"/>
    <w:rsid w:val="003765A6"/>
    <w:rsid w:val="00376F9C"/>
    <w:rsid w:val="00377C14"/>
    <w:rsid w:val="0038201E"/>
    <w:rsid w:val="003824EA"/>
    <w:rsid w:val="00390E8D"/>
    <w:rsid w:val="003911F1"/>
    <w:rsid w:val="00392313"/>
    <w:rsid w:val="003947E8"/>
    <w:rsid w:val="00395125"/>
    <w:rsid w:val="00397AC2"/>
    <w:rsid w:val="00397E12"/>
    <w:rsid w:val="003A0953"/>
    <w:rsid w:val="003A10D9"/>
    <w:rsid w:val="003B101B"/>
    <w:rsid w:val="003B7949"/>
    <w:rsid w:val="003C69CA"/>
    <w:rsid w:val="003D205C"/>
    <w:rsid w:val="003D3BB6"/>
    <w:rsid w:val="003D48E4"/>
    <w:rsid w:val="003D6131"/>
    <w:rsid w:val="003D7F51"/>
    <w:rsid w:val="003E1F77"/>
    <w:rsid w:val="003E2911"/>
    <w:rsid w:val="003F1DE9"/>
    <w:rsid w:val="003F34A9"/>
    <w:rsid w:val="0040225A"/>
    <w:rsid w:val="00405E29"/>
    <w:rsid w:val="00406688"/>
    <w:rsid w:val="0041103E"/>
    <w:rsid w:val="004113F9"/>
    <w:rsid w:val="004127AE"/>
    <w:rsid w:val="0041710C"/>
    <w:rsid w:val="004175A3"/>
    <w:rsid w:val="00420C7A"/>
    <w:rsid w:val="0042491D"/>
    <w:rsid w:val="00424A1E"/>
    <w:rsid w:val="00425F83"/>
    <w:rsid w:val="00432AE3"/>
    <w:rsid w:val="00434F5C"/>
    <w:rsid w:val="0043519D"/>
    <w:rsid w:val="004357FB"/>
    <w:rsid w:val="00442109"/>
    <w:rsid w:val="00443CD3"/>
    <w:rsid w:val="004506E2"/>
    <w:rsid w:val="004513AA"/>
    <w:rsid w:val="00453B24"/>
    <w:rsid w:val="00454921"/>
    <w:rsid w:val="00456091"/>
    <w:rsid w:val="00460FE5"/>
    <w:rsid w:val="00463DBE"/>
    <w:rsid w:val="00464264"/>
    <w:rsid w:val="00466D1F"/>
    <w:rsid w:val="00471D4D"/>
    <w:rsid w:val="00471FAD"/>
    <w:rsid w:val="00476298"/>
    <w:rsid w:val="004763A8"/>
    <w:rsid w:val="004800D7"/>
    <w:rsid w:val="0049163F"/>
    <w:rsid w:val="00493624"/>
    <w:rsid w:val="00494FA3"/>
    <w:rsid w:val="00496E53"/>
    <w:rsid w:val="004A45A0"/>
    <w:rsid w:val="004B11BD"/>
    <w:rsid w:val="004B320A"/>
    <w:rsid w:val="004B423A"/>
    <w:rsid w:val="004B7866"/>
    <w:rsid w:val="004C1198"/>
    <w:rsid w:val="004C34B0"/>
    <w:rsid w:val="004C44CD"/>
    <w:rsid w:val="004C6777"/>
    <w:rsid w:val="004D45CE"/>
    <w:rsid w:val="004E0FE2"/>
    <w:rsid w:val="004E4AF7"/>
    <w:rsid w:val="004E719D"/>
    <w:rsid w:val="004E75B1"/>
    <w:rsid w:val="004F480E"/>
    <w:rsid w:val="004F4E38"/>
    <w:rsid w:val="0050254A"/>
    <w:rsid w:val="00502CCD"/>
    <w:rsid w:val="0050427E"/>
    <w:rsid w:val="00504A91"/>
    <w:rsid w:val="00504E49"/>
    <w:rsid w:val="00510C6C"/>
    <w:rsid w:val="00511272"/>
    <w:rsid w:val="00511C14"/>
    <w:rsid w:val="005146A5"/>
    <w:rsid w:val="00520759"/>
    <w:rsid w:val="005208FF"/>
    <w:rsid w:val="00525525"/>
    <w:rsid w:val="005313D3"/>
    <w:rsid w:val="00532372"/>
    <w:rsid w:val="00534373"/>
    <w:rsid w:val="00536D5A"/>
    <w:rsid w:val="00537C69"/>
    <w:rsid w:val="00540C80"/>
    <w:rsid w:val="00541371"/>
    <w:rsid w:val="0054143B"/>
    <w:rsid w:val="005439AB"/>
    <w:rsid w:val="00544B56"/>
    <w:rsid w:val="00551783"/>
    <w:rsid w:val="00560866"/>
    <w:rsid w:val="005630E5"/>
    <w:rsid w:val="00563992"/>
    <w:rsid w:val="0056492C"/>
    <w:rsid w:val="00570858"/>
    <w:rsid w:val="005727F9"/>
    <w:rsid w:val="00575A6C"/>
    <w:rsid w:val="005805CF"/>
    <w:rsid w:val="00587678"/>
    <w:rsid w:val="00587AC2"/>
    <w:rsid w:val="0059104A"/>
    <w:rsid w:val="00591BD0"/>
    <w:rsid w:val="00592779"/>
    <w:rsid w:val="005A0A82"/>
    <w:rsid w:val="005A1673"/>
    <w:rsid w:val="005A729F"/>
    <w:rsid w:val="005B5BEB"/>
    <w:rsid w:val="005C1C05"/>
    <w:rsid w:val="005C4A2F"/>
    <w:rsid w:val="005D0C9D"/>
    <w:rsid w:val="005D49EA"/>
    <w:rsid w:val="005D67BB"/>
    <w:rsid w:val="005E1B08"/>
    <w:rsid w:val="005E272D"/>
    <w:rsid w:val="005E499C"/>
    <w:rsid w:val="00601F28"/>
    <w:rsid w:val="00602249"/>
    <w:rsid w:val="00605F9E"/>
    <w:rsid w:val="00606264"/>
    <w:rsid w:val="006208EE"/>
    <w:rsid w:val="0062632F"/>
    <w:rsid w:val="00627107"/>
    <w:rsid w:val="006272F2"/>
    <w:rsid w:val="00636C56"/>
    <w:rsid w:val="00642642"/>
    <w:rsid w:val="006444AE"/>
    <w:rsid w:val="00644C2E"/>
    <w:rsid w:val="006452B4"/>
    <w:rsid w:val="006460D7"/>
    <w:rsid w:val="00647573"/>
    <w:rsid w:val="00657338"/>
    <w:rsid w:val="00660743"/>
    <w:rsid w:val="00662A8F"/>
    <w:rsid w:val="00666251"/>
    <w:rsid w:val="00667785"/>
    <w:rsid w:val="0067059F"/>
    <w:rsid w:val="0067212F"/>
    <w:rsid w:val="006723B8"/>
    <w:rsid w:val="0067519F"/>
    <w:rsid w:val="00676665"/>
    <w:rsid w:val="00676CC6"/>
    <w:rsid w:val="006810E0"/>
    <w:rsid w:val="00683DBC"/>
    <w:rsid w:val="006843C6"/>
    <w:rsid w:val="006876EB"/>
    <w:rsid w:val="00691E9A"/>
    <w:rsid w:val="006A30B4"/>
    <w:rsid w:val="006B319F"/>
    <w:rsid w:val="006B3E89"/>
    <w:rsid w:val="006B4BD3"/>
    <w:rsid w:val="006B538E"/>
    <w:rsid w:val="006B6DD4"/>
    <w:rsid w:val="006B742F"/>
    <w:rsid w:val="006C0B24"/>
    <w:rsid w:val="006C10B4"/>
    <w:rsid w:val="006C76FF"/>
    <w:rsid w:val="006D217A"/>
    <w:rsid w:val="006D3730"/>
    <w:rsid w:val="006D5F4A"/>
    <w:rsid w:val="006D7ED9"/>
    <w:rsid w:val="006E1CC9"/>
    <w:rsid w:val="006E441A"/>
    <w:rsid w:val="0070163B"/>
    <w:rsid w:val="007106C6"/>
    <w:rsid w:val="00712639"/>
    <w:rsid w:val="00721DB0"/>
    <w:rsid w:val="00724959"/>
    <w:rsid w:val="00726469"/>
    <w:rsid w:val="00731083"/>
    <w:rsid w:val="0073544A"/>
    <w:rsid w:val="00735F4E"/>
    <w:rsid w:val="00736B78"/>
    <w:rsid w:val="0074295E"/>
    <w:rsid w:val="007448C4"/>
    <w:rsid w:val="00744E9C"/>
    <w:rsid w:val="00745E27"/>
    <w:rsid w:val="007470E8"/>
    <w:rsid w:val="00750899"/>
    <w:rsid w:val="0075139D"/>
    <w:rsid w:val="00751754"/>
    <w:rsid w:val="00757D80"/>
    <w:rsid w:val="00763090"/>
    <w:rsid w:val="00771FE3"/>
    <w:rsid w:val="0077382C"/>
    <w:rsid w:val="007741A5"/>
    <w:rsid w:val="00774772"/>
    <w:rsid w:val="00777603"/>
    <w:rsid w:val="00781A5B"/>
    <w:rsid w:val="007855F2"/>
    <w:rsid w:val="007A108E"/>
    <w:rsid w:val="007A1B39"/>
    <w:rsid w:val="007A258B"/>
    <w:rsid w:val="007A7BFE"/>
    <w:rsid w:val="007B3495"/>
    <w:rsid w:val="007B576C"/>
    <w:rsid w:val="007B76D8"/>
    <w:rsid w:val="007C3465"/>
    <w:rsid w:val="007C4629"/>
    <w:rsid w:val="007C4A5C"/>
    <w:rsid w:val="007C7088"/>
    <w:rsid w:val="007C77CE"/>
    <w:rsid w:val="007E364A"/>
    <w:rsid w:val="007E400F"/>
    <w:rsid w:val="007E4D02"/>
    <w:rsid w:val="007E7545"/>
    <w:rsid w:val="007E7BF0"/>
    <w:rsid w:val="007F2113"/>
    <w:rsid w:val="00800451"/>
    <w:rsid w:val="0080306D"/>
    <w:rsid w:val="00807582"/>
    <w:rsid w:val="00814BD2"/>
    <w:rsid w:val="00816F48"/>
    <w:rsid w:val="00817E08"/>
    <w:rsid w:val="00823C32"/>
    <w:rsid w:val="00830EA0"/>
    <w:rsid w:val="008337C0"/>
    <w:rsid w:val="00841939"/>
    <w:rsid w:val="00850193"/>
    <w:rsid w:val="00850E57"/>
    <w:rsid w:val="00855143"/>
    <w:rsid w:val="00861701"/>
    <w:rsid w:val="00863559"/>
    <w:rsid w:val="00863703"/>
    <w:rsid w:val="00863BEF"/>
    <w:rsid w:val="008707D3"/>
    <w:rsid w:val="00874970"/>
    <w:rsid w:val="00875120"/>
    <w:rsid w:val="008756BD"/>
    <w:rsid w:val="00876556"/>
    <w:rsid w:val="0087754F"/>
    <w:rsid w:val="00880110"/>
    <w:rsid w:val="0088165B"/>
    <w:rsid w:val="00884DBE"/>
    <w:rsid w:val="00887336"/>
    <w:rsid w:val="00893B11"/>
    <w:rsid w:val="008942A6"/>
    <w:rsid w:val="008A3EB3"/>
    <w:rsid w:val="008A40CA"/>
    <w:rsid w:val="008B23A8"/>
    <w:rsid w:val="008B2675"/>
    <w:rsid w:val="008B5BCF"/>
    <w:rsid w:val="008B5ED6"/>
    <w:rsid w:val="008B70F4"/>
    <w:rsid w:val="008C4C6D"/>
    <w:rsid w:val="008C6289"/>
    <w:rsid w:val="008D2D7A"/>
    <w:rsid w:val="008D77C7"/>
    <w:rsid w:val="008E0919"/>
    <w:rsid w:val="008E0D93"/>
    <w:rsid w:val="008E2658"/>
    <w:rsid w:val="008E2908"/>
    <w:rsid w:val="008E5858"/>
    <w:rsid w:val="008E726F"/>
    <w:rsid w:val="008F1587"/>
    <w:rsid w:val="008F257A"/>
    <w:rsid w:val="008F32A7"/>
    <w:rsid w:val="008F4556"/>
    <w:rsid w:val="008F6640"/>
    <w:rsid w:val="008F69BB"/>
    <w:rsid w:val="008F7393"/>
    <w:rsid w:val="00900322"/>
    <w:rsid w:val="0090361D"/>
    <w:rsid w:val="0090372A"/>
    <w:rsid w:val="00904C5C"/>
    <w:rsid w:val="0091306A"/>
    <w:rsid w:val="00915852"/>
    <w:rsid w:val="00915921"/>
    <w:rsid w:val="009160BD"/>
    <w:rsid w:val="00923EF3"/>
    <w:rsid w:val="00924920"/>
    <w:rsid w:val="00924AC2"/>
    <w:rsid w:val="00927E8B"/>
    <w:rsid w:val="00930853"/>
    <w:rsid w:val="00932B86"/>
    <w:rsid w:val="00934F5F"/>
    <w:rsid w:val="0093538D"/>
    <w:rsid w:val="00936C26"/>
    <w:rsid w:val="009423B4"/>
    <w:rsid w:val="009440D7"/>
    <w:rsid w:val="00953059"/>
    <w:rsid w:val="0095322B"/>
    <w:rsid w:val="0095412A"/>
    <w:rsid w:val="00956ABE"/>
    <w:rsid w:val="009604E7"/>
    <w:rsid w:val="00961E1B"/>
    <w:rsid w:val="0096408D"/>
    <w:rsid w:val="00966B6C"/>
    <w:rsid w:val="0097202B"/>
    <w:rsid w:val="00977F6C"/>
    <w:rsid w:val="009A0478"/>
    <w:rsid w:val="009A312E"/>
    <w:rsid w:val="009A5E3C"/>
    <w:rsid w:val="009A74A1"/>
    <w:rsid w:val="009B2F0F"/>
    <w:rsid w:val="009B68F6"/>
    <w:rsid w:val="009C25F4"/>
    <w:rsid w:val="009C4168"/>
    <w:rsid w:val="009D101C"/>
    <w:rsid w:val="009D396C"/>
    <w:rsid w:val="009D4289"/>
    <w:rsid w:val="009E07CD"/>
    <w:rsid w:val="009E3E10"/>
    <w:rsid w:val="009E7B1C"/>
    <w:rsid w:val="009F13DA"/>
    <w:rsid w:val="009F4B85"/>
    <w:rsid w:val="009F5B84"/>
    <w:rsid w:val="009F60E2"/>
    <w:rsid w:val="00A01391"/>
    <w:rsid w:val="00A01CE9"/>
    <w:rsid w:val="00A02705"/>
    <w:rsid w:val="00A0576B"/>
    <w:rsid w:val="00A06507"/>
    <w:rsid w:val="00A133DF"/>
    <w:rsid w:val="00A1429A"/>
    <w:rsid w:val="00A152D9"/>
    <w:rsid w:val="00A15FBA"/>
    <w:rsid w:val="00A1692C"/>
    <w:rsid w:val="00A16A76"/>
    <w:rsid w:val="00A16C19"/>
    <w:rsid w:val="00A2056B"/>
    <w:rsid w:val="00A2193A"/>
    <w:rsid w:val="00A21DE2"/>
    <w:rsid w:val="00A22414"/>
    <w:rsid w:val="00A23849"/>
    <w:rsid w:val="00A2526D"/>
    <w:rsid w:val="00A27545"/>
    <w:rsid w:val="00A30E76"/>
    <w:rsid w:val="00A35D4B"/>
    <w:rsid w:val="00A40B3F"/>
    <w:rsid w:val="00A40FDB"/>
    <w:rsid w:val="00A420F9"/>
    <w:rsid w:val="00A44DBD"/>
    <w:rsid w:val="00A459EB"/>
    <w:rsid w:val="00A474C5"/>
    <w:rsid w:val="00A476A2"/>
    <w:rsid w:val="00A545C9"/>
    <w:rsid w:val="00A61FFA"/>
    <w:rsid w:val="00A6259F"/>
    <w:rsid w:val="00A62B8C"/>
    <w:rsid w:val="00A66C5C"/>
    <w:rsid w:val="00A67EE3"/>
    <w:rsid w:val="00A80577"/>
    <w:rsid w:val="00A8267E"/>
    <w:rsid w:val="00A910FA"/>
    <w:rsid w:val="00A92AB9"/>
    <w:rsid w:val="00A95766"/>
    <w:rsid w:val="00A96CE2"/>
    <w:rsid w:val="00AA1749"/>
    <w:rsid w:val="00AA398F"/>
    <w:rsid w:val="00AA646E"/>
    <w:rsid w:val="00AA7956"/>
    <w:rsid w:val="00AB0B37"/>
    <w:rsid w:val="00AB2C1B"/>
    <w:rsid w:val="00AB40C4"/>
    <w:rsid w:val="00AC0047"/>
    <w:rsid w:val="00AC2698"/>
    <w:rsid w:val="00AC3BF5"/>
    <w:rsid w:val="00AD0262"/>
    <w:rsid w:val="00AD0CA3"/>
    <w:rsid w:val="00AD1367"/>
    <w:rsid w:val="00AD47F6"/>
    <w:rsid w:val="00AD5F17"/>
    <w:rsid w:val="00AD61EA"/>
    <w:rsid w:val="00AE10A7"/>
    <w:rsid w:val="00AE43E0"/>
    <w:rsid w:val="00AE74A5"/>
    <w:rsid w:val="00AE75A0"/>
    <w:rsid w:val="00AF2E59"/>
    <w:rsid w:val="00AF7A46"/>
    <w:rsid w:val="00B0201C"/>
    <w:rsid w:val="00B04DF4"/>
    <w:rsid w:val="00B07BB3"/>
    <w:rsid w:val="00B10F82"/>
    <w:rsid w:val="00B11EA5"/>
    <w:rsid w:val="00B143B6"/>
    <w:rsid w:val="00B1637E"/>
    <w:rsid w:val="00B2343F"/>
    <w:rsid w:val="00B23916"/>
    <w:rsid w:val="00B26216"/>
    <w:rsid w:val="00B26BAE"/>
    <w:rsid w:val="00B27579"/>
    <w:rsid w:val="00B32CA1"/>
    <w:rsid w:val="00B33F0A"/>
    <w:rsid w:val="00B34BC4"/>
    <w:rsid w:val="00B4109B"/>
    <w:rsid w:val="00B43025"/>
    <w:rsid w:val="00B431F1"/>
    <w:rsid w:val="00B43FE4"/>
    <w:rsid w:val="00B477FF"/>
    <w:rsid w:val="00B4787E"/>
    <w:rsid w:val="00B510C8"/>
    <w:rsid w:val="00B537DA"/>
    <w:rsid w:val="00B53F77"/>
    <w:rsid w:val="00B55A6A"/>
    <w:rsid w:val="00B57DDB"/>
    <w:rsid w:val="00B603E9"/>
    <w:rsid w:val="00B633D3"/>
    <w:rsid w:val="00B7080C"/>
    <w:rsid w:val="00B7178A"/>
    <w:rsid w:val="00B742CC"/>
    <w:rsid w:val="00B749C9"/>
    <w:rsid w:val="00B7752B"/>
    <w:rsid w:val="00B8037C"/>
    <w:rsid w:val="00B80D89"/>
    <w:rsid w:val="00B80FA2"/>
    <w:rsid w:val="00B8208A"/>
    <w:rsid w:val="00B85C61"/>
    <w:rsid w:val="00B94698"/>
    <w:rsid w:val="00B97A02"/>
    <w:rsid w:val="00BA0017"/>
    <w:rsid w:val="00BA075C"/>
    <w:rsid w:val="00BA331F"/>
    <w:rsid w:val="00BA34A1"/>
    <w:rsid w:val="00BA6FB7"/>
    <w:rsid w:val="00BB3056"/>
    <w:rsid w:val="00BC1915"/>
    <w:rsid w:val="00BC6E70"/>
    <w:rsid w:val="00BD0514"/>
    <w:rsid w:val="00BD1CDD"/>
    <w:rsid w:val="00BE4388"/>
    <w:rsid w:val="00BE772D"/>
    <w:rsid w:val="00BF0D13"/>
    <w:rsid w:val="00BF12F0"/>
    <w:rsid w:val="00BF332A"/>
    <w:rsid w:val="00BF3C44"/>
    <w:rsid w:val="00BF5E80"/>
    <w:rsid w:val="00BF6F5B"/>
    <w:rsid w:val="00C0237E"/>
    <w:rsid w:val="00C03A89"/>
    <w:rsid w:val="00C04065"/>
    <w:rsid w:val="00C0649F"/>
    <w:rsid w:val="00C074FB"/>
    <w:rsid w:val="00C0754D"/>
    <w:rsid w:val="00C1009E"/>
    <w:rsid w:val="00C113C2"/>
    <w:rsid w:val="00C12BD9"/>
    <w:rsid w:val="00C154E0"/>
    <w:rsid w:val="00C250E3"/>
    <w:rsid w:val="00C32468"/>
    <w:rsid w:val="00C326D7"/>
    <w:rsid w:val="00C37984"/>
    <w:rsid w:val="00C41E7E"/>
    <w:rsid w:val="00C430D3"/>
    <w:rsid w:val="00C4560B"/>
    <w:rsid w:val="00C46A7D"/>
    <w:rsid w:val="00C52373"/>
    <w:rsid w:val="00C54C20"/>
    <w:rsid w:val="00C57F7D"/>
    <w:rsid w:val="00C6181C"/>
    <w:rsid w:val="00C62058"/>
    <w:rsid w:val="00C63B0C"/>
    <w:rsid w:val="00C67E4B"/>
    <w:rsid w:val="00C749C9"/>
    <w:rsid w:val="00C9264F"/>
    <w:rsid w:val="00C93C4B"/>
    <w:rsid w:val="00C96EA1"/>
    <w:rsid w:val="00CA115C"/>
    <w:rsid w:val="00CA1821"/>
    <w:rsid w:val="00CA6220"/>
    <w:rsid w:val="00CA7A80"/>
    <w:rsid w:val="00CB0C85"/>
    <w:rsid w:val="00CB166C"/>
    <w:rsid w:val="00CB255C"/>
    <w:rsid w:val="00CB2925"/>
    <w:rsid w:val="00CB430B"/>
    <w:rsid w:val="00CB58E5"/>
    <w:rsid w:val="00CC1287"/>
    <w:rsid w:val="00CC2F2E"/>
    <w:rsid w:val="00CC6E1B"/>
    <w:rsid w:val="00CD02CB"/>
    <w:rsid w:val="00CD38CB"/>
    <w:rsid w:val="00CD79A3"/>
    <w:rsid w:val="00CE1E1D"/>
    <w:rsid w:val="00CE388A"/>
    <w:rsid w:val="00CE3D70"/>
    <w:rsid w:val="00D00B27"/>
    <w:rsid w:val="00D04189"/>
    <w:rsid w:val="00D1674D"/>
    <w:rsid w:val="00D16ABD"/>
    <w:rsid w:val="00D217E4"/>
    <w:rsid w:val="00D30AD5"/>
    <w:rsid w:val="00D347D6"/>
    <w:rsid w:val="00D3696B"/>
    <w:rsid w:val="00D372EF"/>
    <w:rsid w:val="00D37B14"/>
    <w:rsid w:val="00D37D96"/>
    <w:rsid w:val="00D40422"/>
    <w:rsid w:val="00D4049D"/>
    <w:rsid w:val="00D43562"/>
    <w:rsid w:val="00D43B09"/>
    <w:rsid w:val="00D43B6A"/>
    <w:rsid w:val="00D45C6C"/>
    <w:rsid w:val="00D46CFB"/>
    <w:rsid w:val="00D50785"/>
    <w:rsid w:val="00D53DDE"/>
    <w:rsid w:val="00D55EE2"/>
    <w:rsid w:val="00D60841"/>
    <w:rsid w:val="00D61012"/>
    <w:rsid w:val="00D620BD"/>
    <w:rsid w:val="00D644C0"/>
    <w:rsid w:val="00D650AA"/>
    <w:rsid w:val="00D65D6B"/>
    <w:rsid w:val="00D67976"/>
    <w:rsid w:val="00D7114B"/>
    <w:rsid w:val="00D71C8E"/>
    <w:rsid w:val="00D747D8"/>
    <w:rsid w:val="00D80C41"/>
    <w:rsid w:val="00D85DEC"/>
    <w:rsid w:val="00D868C2"/>
    <w:rsid w:val="00D87543"/>
    <w:rsid w:val="00D9198D"/>
    <w:rsid w:val="00D93934"/>
    <w:rsid w:val="00DA0523"/>
    <w:rsid w:val="00DA0543"/>
    <w:rsid w:val="00DA3DBB"/>
    <w:rsid w:val="00DB6D92"/>
    <w:rsid w:val="00DC7C4C"/>
    <w:rsid w:val="00DD11B5"/>
    <w:rsid w:val="00DD2519"/>
    <w:rsid w:val="00DD365A"/>
    <w:rsid w:val="00DD4D85"/>
    <w:rsid w:val="00DD794B"/>
    <w:rsid w:val="00DD7C9C"/>
    <w:rsid w:val="00DE6A5D"/>
    <w:rsid w:val="00DF1FB1"/>
    <w:rsid w:val="00DF62F1"/>
    <w:rsid w:val="00DF7BB8"/>
    <w:rsid w:val="00E033EA"/>
    <w:rsid w:val="00E04395"/>
    <w:rsid w:val="00E05676"/>
    <w:rsid w:val="00E07E21"/>
    <w:rsid w:val="00E11998"/>
    <w:rsid w:val="00E14382"/>
    <w:rsid w:val="00E146AC"/>
    <w:rsid w:val="00E14A4B"/>
    <w:rsid w:val="00E228A1"/>
    <w:rsid w:val="00E303DA"/>
    <w:rsid w:val="00E31779"/>
    <w:rsid w:val="00E3578E"/>
    <w:rsid w:val="00E40809"/>
    <w:rsid w:val="00E40E46"/>
    <w:rsid w:val="00E4106B"/>
    <w:rsid w:val="00E42C2F"/>
    <w:rsid w:val="00E4408F"/>
    <w:rsid w:val="00E45A29"/>
    <w:rsid w:val="00E46954"/>
    <w:rsid w:val="00E4756D"/>
    <w:rsid w:val="00E52C65"/>
    <w:rsid w:val="00E562CC"/>
    <w:rsid w:val="00E624D4"/>
    <w:rsid w:val="00E66395"/>
    <w:rsid w:val="00E6704D"/>
    <w:rsid w:val="00E6769A"/>
    <w:rsid w:val="00E71FDE"/>
    <w:rsid w:val="00E74E9A"/>
    <w:rsid w:val="00E75668"/>
    <w:rsid w:val="00E82787"/>
    <w:rsid w:val="00E82F62"/>
    <w:rsid w:val="00E8334F"/>
    <w:rsid w:val="00E8395D"/>
    <w:rsid w:val="00E86AA4"/>
    <w:rsid w:val="00E8770C"/>
    <w:rsid w:val="00E90F7B"/>
    <w:rsid w:val="00E92DCA"/>
    <w:rsid w:val="00E9325C"/>
    <w:rsid w:val="00E943B6"/>
    <w:rsid w:val="00E9516A"/>
    <w:rsid w:val="00EA0EBC"/>
    <w:rsid w:val="00EA10BA"/>
    <w:rsid w:val="00EA1852"/>
    <w:rsid w:val="00EA253F"/>
    <w:rsid w:val="00EA5FC6"/>
    <w:rsid w:val="00EA6A99"/>
    <w:rsid w:val="00EA732E"/>
    <w:rsid w:val="00EB0365"/>
    <w:rsid w:val="00EB67CA"/>
    <w:rsid w:val="00EB7215"/>
    <w:rsid w:val="00EC0EFC"/>
    <w:rsid w:val="00EC7209"/>
    <w:rsid w:val="00ED2B55"/>
    <w:rsid w:val="00EE6573"/>
    <w:rsid w:val="00EE7C8B"/>
    <w:rsid w:val="00EF27F9"/>
    <w:rsid w:val="00EF5E8F"/>
    <w:rsid w:val="00EF7E86"/>
    <w:rsid w:val="00F01BE5"/>
    <w:rsid w:val="00F063B3"/>
    <w:rsid w:val="00F0668F"/>
    <w:rsid w:val="00F11E6B"/>
    <w:rsid w:val="00F15E45"/>
    <w:rsid w:val="00F20973"/>
    <w:rsid w:val="00F214BB"/>
    <w:rsid w:val="00F21A78"/>
    <w:rsid w:val="00F26676"/>
    <w:rsid w:val="00F26E53"/>
    <w:rsid w:val="00F273A8"/>
    <w:rsid w:val="00F31B57"/>
    <w:rsid w:val="00F3309E"/>
    <w:rsid w:val="00F33CA1"/>
    <w:rsid w:val="00F36B93"/>
    <w:rsid w:val="00F40204"/>
    <w:rsid w:val="00F409D8"/>
    <w:rsid w:val="00F43DE8"/>
    <w:rsid w:val="00F473F4"/>
    <w:rsid w:val="00F477D4"/>
    <w:rsid w:val="00F478CE"/>
    <w:rsid w:val="00F47948"/>
    <w:rsid w:val="00F528C9"/>
    <w:rsid w:val="00F54548"/>
    <w:rsid w:val="00F55331"/>
    <w:rsid w:val="00F57393"/>
    <w:rsid w:val="00F5781F"/>
    <w:rsid w:val="00F610AB"/>
    <w:rsid w:val="00F628CC"/>
    <w:rsid w:val="00F62D5E"/>
    <w:rsid w:val="00F644F3"/>
    <w:rsid w:val="00F648C4"/>
    <w:rsid w:val="00F75CEA"/>
    <w:rsid w:val="00F76002"/>
    <w:rsid w:val="00F81884"/>
    <w:rsid w:val="00F8282A"/>
    <w:rsid w:val="00F829CF"/>
    <w:rsid w:val="00F838D5"/>
    <w:rsid w:val="00F845E2"/>
    <w:rsid w:val="00F84A29"/>
    <w:rsid w:val="00F84BA5"/>
    <w:rsid w:val="00F861C2"/>
    <w:rsid w:val="00F91319"/>
    <w:rsid w:val="00F92E18"/>
    <w:rsid w:val="00F94A11"/>
    <w:rsid w:val="00F95DE1"/>
    <w:rsid w:val="00F95E45"/>
    <w:rsid w:val="00FA0773"/>
    <w:rsid w:val="00FA328A"/>
    <w:rsid w:val="00FA4B15"/>
    <w:rsid w:val="00FA559E"/>
    <w:rsid w:val="00FB6121"/>
    <w:rsid w:val="00FB6F01"/>
    <w:rsid w:val="00FB7614"/>
    <w:rsid w:val="00FB786F"/>
    <w:rsid w:val="00FC2CF1"/>
    <w:rsid w:val="00FC61E2"/>
    <w:rsid w:val="00FC69D7"/>
    <w:rsid w:val="00FC7E42"/>
    <w:rsid w:val="00FD14F5"/>
    <w:rsid w:val="00FD29B9"/>
    <w:rsid w:val="00FD340A"/>
    <w:rsid w:val="00FD68CD"/>
    <w:rsid w:val="00FE02F5"/>
    <w:rsid w:val="00FE0684"/>
    <w:rsid w:val="00FE21DC"/>
    <w:rsid w:val="00FE5887"/>
    <w:rsid w:val="00FF4714"/>
    <w:rsid w:val="00FF4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 w:type="paragraph" w:customStyle="1" w:styleId="Default">
    <w:name w:val="Default"/>
    <w:rsid w:val="00E8278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F473F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7286">
      <w:bodyDiv w:val="1"/>
      <w:marLeft w:val="0"/>
      <w:marRight w:val="0"/>
      <w:marTop w:val="0"/>
      <w:marBottom w:val="0"/>
      <w:divBdr>
        <w:top w:val="none" w:sz="0" w:space="0" w:color="auto"/>
        <w:left w:val="none" w:sz="0" w:space="0" w:color="auto"/>
        <w:bottom w:val="none" w:sz="0" w:space="0" w:color="auto"/>
        <w:right w:val="none" w:sz="0" w:space="0" w:color="auto"/>
      </w:divBdr>
    </w:div>
    <w:div w:id="443770833">
      <w:bodyDiv w:val="1"/>
      <w:marLeft w:val="0"/>
      <w:marRight w:val="0"/>
      <w:marTop w:val="0"/>
      <w:marBottom w:val="0"/>
      <w:divBdr>
        <w:top w:val="none" w:sz="0" w:space="0" w:color="auto"/>
        <w:left w:val="none" w:sz="0" w:space="0" w:color="auto"/>
        <w:bottom w:val="none" w:sz="0" w:space="0" w:color="auto"/>
        <w:right w:val="none" w:sz="0" w:space="0" w:color="auto"/>
      </w:divBdr>
    </w:div>
    <w:div w:id="526917597">
      <w:bodyDiv w:val="1"/>
      <w:marLeft w:val="0"/>
      <w:marRight w:val="0"/>
      <w:marTop w:val="0"/>
      <w:marBottom w:val="0"/>
      <w:divBdr>
        <w:top w:val="none" w:sz="0" w:space="0" w:color="auto"/>
        <w:left w:val="none" w:sz="0" w:space="0" w:color="auto"/>
        <w:bottom w:val="none" w:sz="0" w:space="0" w:color="auto"/>
        <w:right w:val="none" w:sz="0" w:space="0" w:color="auto"/>
      </w:divBdr>
    </w:div>
    <w:div w:id="593828162">
      <w:bodyDiv w:val="1"/>
      <w:marLeft w:val="0"/>
      <w:marRight w:val="0"/>
      <w:marTop w:val="0"/>
      <w:mar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 w:val="0"/>
      <w:divBdr>
        <w:top w:val="none" w:sz="0" w:space="0" w:color="auto"/>
        <w:left w:val="none" w:sz="0" w:space="0" w:color="auto"/>
        <w:bottom w:val="none" w:sz="0" w:space="0" w:color="auto"/>
        <w:right w:val="none" w:sz="0" w:space="0" w:color="auto"/>
      </w:divBdr>
    </w:div>
    <w:div w:id="730807868">
      <w:bodyDiv w:val="1"/>
      <w:marLeft w:val="0"/>
      <w:marRight w:val="0"/>
      <w:marTop w:val="0"/>
      <w:marBottom w:val="0"/>
      <w:divBdr>
        <w:top w:val="none" w:sz="0" w:space="0" w:color="auto"/>
        <w:left w:val="none" w:sz="0" w:space="0" w:color="auto"/>
        <w:bottom w:val="none" w:sz="0" w:space="0" w:color="auto"/>
        <w:right w:val="none" w:sz="0" w:space="0" w:color="auto"/>
      </w:divBdr>
    </w:div>
    <w:div w:id="772020661">
      <w:bodyDiv w:val="1"/>
      <w:marLeft w:val="0"/>
      <w:marRight w:val="0"/>
      <w:marTop w:val="0"/>
      <w:marBottom w:val="0"/>
      <w:divBdr>
        <w:top w:val="none" w:sz="0" w:space="0" w:color="auto"/>
        <w:left w:val="none" w:sz="0" w:space="0" w:color="auto"/>
        <w:bottom w:val="none" w:sz="0" w:space="0" w:color="auto"/>
        <w:right w:val="none" w:sz="0" w:space="0" w:color="auto"/>
      </w:divBdr>
    </w:div>
    <w:div w:id="902180620">
      <w:bodyDiv w:val="1"/>
      <w:marLeft w:val="0"/>
      <w:marRight w:val="0"/>
      <w:marTop w:val="0"/>
      <w:marBottom w:val="0"/>
      <w:divBdr>
        <w:top w:val="none" w:sz="0" w:space="0" w:color="auto"/>
        <w:left w:val="none" w:sz="0" w:space="0" w:color="auto"/>
        <w:bottom w:val="none" w:sz="0" w:space="0" w:color="auto"/>
        <w:right w:val="none" w:sz="0" w:space="0" w:color="auto"/>
      </w:divBdr>
    </w:div>
    <w:div w:id="963006576">
      <w:bodyDiv w:val="1"/>
      <w:marLeft w:val="0"/>
      <w:marRight w:val="0"/>
      <w:marTop w:val="0"/>
      <w:marBottom w:val="0"/>
      <w:divBdr>
        <w:top w:val="none" w:sz="0" w:space="0" w:color="auto"/>
        <w:left w:val="none" w:sz="0" w:space="0" w:color="auto"/>
        <w:bottom w:val="none" w:sz="0" w:space="0" w:color="auto"/>
        <w:right w:val="none" w:sz="0" w:space="0" w:color="auto"/>
      </w:divBdr>
    </w:div>
    <w:div w:id="1006401719">
      <w:bodyDiv w:val="1"/>
      <w:marLeft w:val="0"/>
      <w:marRight w:val="0"/>
      <w:marTop w:val="0"/>
      <w:marBottom w:val="0"/>
      <w:divBdr>
        <w:top w:val="none" w:sz="0" w:space="0" w:color="auto"/>
        <w:left w:val="none" w:sz="0" w:space="0" w:color="auto"/>
        <w:bottom w:val="none" w:sz="0" w:space="0" w:color="auto"/>
        <w:right w:val="none" w:sz="0" w:space="0" w:color="auto"/>
      </w:divBdr>
    </w:div>
    <w:div w:id="1259874742">
      <w:bodyDiv w:val="1"/>
      <w:marLeft w:val="0"/>
      <w:marRight w:val="0"/>
      <w:marTop w:val="0"/>
      <w:marBottom w:val="0"/>
      <w:divBdr>
        <w:top w:val="none" w:sz="0" w:space="0" w:color="auto"/>
        <w:left w:val="none" w:sz="0" w:space="0" w:color="auto"/>
        <w:bottom w:val="none" w:sz="0" w:space="0" w:color="auto"/>
        <w:right w:val="none" w:sz="0" w:space="0" w:color="auto"/>
      </w:divBdr>
    </w:div>
    <w:div w:id="1285574982">
      <w:bodyDiv w:val="1"/>
      <w:marLeft w:val="0"/>
      <w:marRight w:val="0"/>
      <w:marTop w:val="0"/>
      <w:marBottom w:val="0"/>
      <w:divBdr>
        <w:top w:val="none" w:sz="0" w:space="0" w:color="auto"/>
        <w:left w:val="none" w:sz="0" w:space="0" w:color="auto"/>
        <w:bottom w:val="none" w:sz="0" w:space="0" w:color="auto"/>
        <w:right w:val="none" w:sz="0" w:space="0" w:color="auto"/>
      </w:divBdr>
    </w:div>
    <w:div w:id="1850025286">
      <w:bodyDiv w:val="1"/>
      <w:marLeft w:val="0"/>
      <w:marRight w:val="0"/>
      <w:marTop w:val="0"/>
      <w:marBottom w:val="0"/>
      <w:divBdr>
        <w:top w:val="none" w:sz="0" w:space="0" w:color="auto"/>
        <w:left w:val="none" w:sz="0" w:space="0" w:color="auto"/>
        <w:bottom w:val="none" w:sz="0" w:space="0" w:color="auto"/>
        <w:right w:val="none" w:sz="0" w:space="0" w:color="auto"/>
      </w:divBdr>
    </w:div>
    <w:div w:id="21467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43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6336" TargetMode="External"/><Relationship Id="rId4" Type="http://schemas.openxmlformats.org/officeDocument/2006/relationships/settings" Target="settings.xml"/><Relationship Id="rId9" Type="http://schemas.openxmlformats.org/officeDocument/2006/relationships/hyperlink" Target="http://eur-lex.europa.eu/eli/reg/2015/1589/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D6FE-8925-4371-8A81-FEE1F2DC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14842</Words>
  <Characters>8461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dc:title>
  <dc:subject>MK noteikumu projekta anotācija</dc:subject>
  <dc:creator>Vita Soļonova</dc:creator>
  <cp:keywords/>
  <dc:description>67013171, Vita.Solonova@em.gov.lv</dc:description>
  <cp:lastModifiedBy>Kaspars Lore</cp:lastModifiedBy>
  <cp:revision>225</cp:revision>
  <cp:lastPrinted>2019-09-18T12:11:00Z</cp:lastPrinted>
  <dcterms:created xsi:type="dcterms:W3CDTF">2021-04-27T08:28:00Z</dcterms:created>
  <dcterms:modified xsi:type="dcterms:W3CDTF">2021-06-08T09:12:00Z</dcterms:modified>
</cp:coreProperties>
</file>