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E4D9" w14:textId="77777777" w:rsidR="005D196F" w:rsidRPr="005D196F" w:rsidRDefault="005D196F" w:rsidP="005D196F">
      <w:pPr>
        <w:spacing w:after="0" w:line="240" w:lineRule="auto"/>
        <w:jc w:val="center"/>
        <w:rPr>
          <w:b/>
          <w:sz w:val="24"/>
          <w:szCs w:val="24"/>
          <w:lang w:eastAsia="lv-LV"/>
        </w:rPr>
      </w:pPr>
      <w:r w:rsidRPr="005D196F">
        <w:rPr>
          <w:b/>
          <w:sz w:val="24"/>
          <w:szCs w:val="24"/>
          <w:lang w:eastAsia="lv-LV"/>
        </w:rPr>
        <w:t>Ministru kabineta rīkojuma projekta</w:t>
      </w:r>
    </w:p>
    <w:p w14:paraId="3A623286" w14:textId="67475A5C" w:rsidR="005D196F" w:rsidRPr="005D196F" w:rsidRDefault="005D196F" w:rsidP="005D196F">
      <w:pPr>
        <w:spacing w:after="0" w:line="240" w:lineRule="auto"/>
        <w:jc w:val="center"/>
        <w:rPr>
          <w:b/>
          <w:sz w:val="24"/>
          <w:szCs w:val="24"/>
          <w:lang w:eastAsia="lv-LV"/>
        </w:rPr>
      </w:pPr>
      <w:r w:rsidRPr="005D196F">
        <w:rPr>
          <w:b/>
          <w:sz w:val="24"/>
          <w:szCs w:val="24"/>
          <w:lang w:eastAsia="lv-LV"/>
        </w:rPr>
        <w:t xml:space="preserve">“Par </w:t>
      </w:r>
      <w:r w:rsidR="00D20CB9">
        <w:rPr>
          <w:b/>
          <w:sz w:val="24"/>
          <w:szCs w:val="24"/>
          <w:lang w:eastAsia="lv-LV"/>
        </w:rPr>
        <w:t>zemes vienības piekritību valstij</w:t>
      </w:r>
      <w:r w:rsidRPr="005D196F">
        <w:rPr>
          <w:b/>
          <w:sz w:val="24"/>
          <w:szCs w:val="24"/>
          <w:lang w:eastAsia="lv-LV"/>
        </w:rPr>
        <w:t xml:space="preserve"> un </w:t>
      </w:r>
      <w:r w:rsidR="00D20CB9" w:rsidRPr="00D20CB9">
        <w:rPr>
          <w:b/>
          <w:sz w:val="24"/>
          <w:szCs w:val="24"/>
          <w:lang w:eastAsia="lv-LV"/>
        </w:rPr>
        <w:t xml:space="preserve">ieguldīšanu </w:t>
      </w:r>
      <w:r w:rsidR="00D20CB9">
        <w:rPr>
          <w:b/>
          <w:sz w:val="24"/>
          <w:szCs w:val="24"/>
          <w:lang w:eastAsia="lv-LV"/>
        </w:rPr>
        <w:t>sabiedrības ar ierobežotu atbildību</w:t>
      </w:r>
      <w:r w:rsidR="00D20CB9" w:rsidRPr="00D20CB9">
        <w:rPr>
          <w:b/>
          <w:sz w:val="24"/>
          <w:szCs w:val="24"/>
          <w:lang w:eastAsia="lv-LV"/>
        </w:rPr>
        <w:t xml:space="preserve"> “Latvijas nacionālais metroloģijas centrs” pamatkapitālā</w:t>
      </w:r>
      <w:r w:rsidRPr="005D196F">
        <w:rPr>
          <w:b/>
          <w:sz w:val="24"/>
          <w:szCs w:val="24"/>
          <w:lang w:eastAsia="lv-LV"/>
        </w:rPr>
        <w:t>”</w:t>
      </w:r>
    </w:p>
    <w:p w14:paraId="6439026A" w14:textId="77777777" w:rsidR="005D196F" w:rsidRPr="005D196F" w:rsidRDefault="005D196F" w:rsidP="005D196F">
      <w:pPr>
        <w:spacing w:after="0" w:line="240" w:lineRule="auto"/>
        <w:jc w:val="center"/>
        <w:rPr>
          <w:b/>
          <w:sz w:val="24"/>
          <w:szCs w:val="24"/>
          <w:lang w:eastAsia="lv-LV"/>
        </w:rPr>
      </w:pPr>
      <w:r w:rsidRPr="005D196F">
        <w:rPr>
          <w:b/>
          <w:sz w:val="24"/>
          <w:szCs w:val="24"/>
          <w:lang w:eastAsia="lv-LV"/>
        </w:rPr>
        <w:t>sākotnējās ietekmes novērtējuma ziņojums (anotācija)</w:t>
      </w:r>
    </w:p>
    <w:p w14:paraId="7A1E7E23" w14:textId="77777777" w:rsidR="005D196F" w:rsidRPr="005D196F" w:rsidRDefault="005D196F" w:rsidP="005D196F">
      <w:pPr>
        <w:spacing w:after="120" w:line="240" w:lineRule="auto"/>
        <w:jc w:val="center"/>
        <w:rPr>
          <w:b/>
          <w:sz w:val="24"/>
          <w:szCs w:val="24"/>
          <w:lang w:eastAsia="lv-LV"/>
        </w:rPr>
      </w:pPr>
    </w:p>
    <w:tbl>
      <w:tblPr>
        <w:tblStyle w:val="TableGrid"/>
        <w:tblW w:w="9585"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12"/>
        <w:gridCol w:w="5473"/>
      </w:tblGrid>
      <w:tr w:rsidR="005D196F" w:rsidRPr="005D196F" w14:paraId="0B213289" w14:textId="77777777" w:rsidTr="00BD5CCC">
        <w:trPr>
          <w:tblCellSpacing w:w="20" w:type="dxa"/>
        </w:trPr>
        <w:tc>
          <w:tcPr>
            <w:tcW w:w="9505" w:type="dxa"/>
            <w:gridSpan w:val="2"/>
          </w:tcPr>
          <w:p w14:paraId="7ED9F88D" w14:textId="77777777" w:rsidR="005D196F" w:rsidRPr="005D196F" w:rsidRDefault="005D196F" w:rsidP="005D196F">
            <w:pPr>
              <w:spacing w:after="120" w:line="240" w:lineRule="auto"/>
              <w:jc w:val="center"/>
              <w:rPr>
                <w:rFonts w:ascii="Times New Roman" w:hAnsi="Times New Roman" w:cs="Times New Roman"/>
                <w:b/>
                <w:sz w:val="24"/>
                <w:szCs w:val="24"/>
                <w:lang w:eastAsia="lv-LV"/>
              </w:rPr>
            </w:pPr>
            <w:r w:rsidRPr="005D196F">
              <w:rPr>
                <w:rFonts w:ascii="Times New Roman" w:hAnsi="Times New Roman" w:cs="Times New Roman"/>
                <w:b/>
                <w:bCs/>
                <w:sz w:val="24"/>
                <w:szCs w:val="24"/>
                <w:lang w:eastAsia="lv-LV"/>
              </w:rPr>
              <w:t>Tiesību akta projekta anotācijas kopsavilkums</w:t>
            </w:r>
          </w:p>
        </w:tc>
      </w:tr>
      <w:tr w:rsidR="005D196F" w:rsidRPr="005D196F" w14:paraId="522DF604" w14:textId="77777777" w:rsidTr="00BD5CCC">
        <w:trPr>
          <w:tblCellSpacing w:w="20" w:type="dxa"/>
        </w:trPr>
        <w:tc>
          <w:tcPr>
            <w:tcW w:w="4052" w:type="dxa"/>
          </w:tcPr>
          <w:p w14:paraId="139C683F" w14:textId="77777777" w:rsidR="005D196F" w:rsidRPr="005D196F" w:rsidRDefault="005D196F" w:rsidP="005D196F">
            <w:pPr>
              <w:spacing w:after="120" w:line="240" w:lineRule="auto"/>
              <w:jc w:val="both"/>
              <w:rPr>
                <w:rFonts w:ascii="Times New Roman" w:hAnsi="Times New Roman" w:cs="Times New Roman"/>
                <w:sz w:val="24"/>
                <w:szCs w:val="24"/>
                <w:lang w:eastAsia="lv-LV"/>
              </w:rPr>
            </w:pPr>
            <w:r w:rsidRPr="005D196F">
              <w:rPr>
                <w:rFonts w:ascii="Times New Roman" w:hAnsi="Times New Roman" w:cs="Times New Roman"/>
                <w:bCs/>
                <w:sz w:val="24"/>
                <w:szCs w:val="24"/>
                <w:lang w:eastAsia="lv-LV"/>
              </w:rPr>
              <w:t>Mērķis, risinājums un projekta spēkā stāšanās laiks</w:t>
            </w:r>
          </w:p>
        </w:tc>
        <w:tc>
          <w:tcPr>
            <w:tcW w:w="5413" w:type="dxa"/>
          </w:tcPr>
          <w:p w14:paraId="7257EE62" w14:textId="4CECE030" w:rsidR="005D196F" w:rsidRPr="005D196F" w:rsidRDefault="005D196F" w:rsidP="005D196F">
            <w:pPr>
              <w:spacing w:after="120" w:line="240" w:lineRule="auto"/>
              <w:ind w:firstLine="459"/>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Ministru kabineta rīkojuma projekta “</w:t>
            </w:r>
            <w:r w:rsidR="0032246A" w:rsidRPr="0032246A">
              <w:rPr>
                <w:rFonts w:ascii="Times New Roman" w:hAnsi="Times New Roman" w:cs="Times New Roman"/>
                <w:sz w:val="24"/>
                <w:szCs w:val="24"/>
                <w:lang w:eastAsia="lv-LV"/>
              </w:rPr>
              <w:t>Par zemes vienības piekritību valstij un ieguldīšanu sabiedrības ar ierobežotu atbildību “Latvijas nacionālais metroloģijas centrs” pamatkapitālā</w:t>
            </w:r>
            <w:r w:rsidRPr="005D196F">
              <w:rPr>
                <w:rFonts w:ascii="Times New Roman" w:hAnsi="Times New Roman" w:cs="Times New Roman"/>
                <w:sz w:val="24"/>
                <w:szCs w:val="24"/>
                <w:lang w:eastAsia="lv-LV"/>
              </w:rPr>
              <w:t xml:space="preserve">” (turpmāk – Rīkojuma projekts) mērķis ir </w:t>
            </w:r>
            <w:r w:rsidR="0032246A">
              <w:rPr>
                <w:rFonts w:ascii="Times New Roman" w:hAnsi="Times New Roman" w:cs="Times New Roman"/>
                <w:sz w:val="24"/>
                <w:szCs w:val="24"/>
                <w:lang w:eastAsia="lv-LV"/>
              </w:rPr>
              <w:t>pieņemt lēmumu par valstij piekrītošas zemes vienības piekritību valstij, ar mērķi šo zemes vienību kā valsts īpašumu ieguldīt valsts kapitālsabiedrības</w:t>
            </w:r>
            <w:r w:rsidR="0032246A">
              <w:t xml:space="preserve"> </w:t>
            </w:r>
            <w:r w:rsidR="0032246A">
              <w:rPr>
                <w:rFonts w:ascii="Times New Roman" w:hAnsi="Times New Roman" w:cs="Times New Roman"/>
                <w:sz w:val="24"/>
                <w:szCs w:val="24"/>
                <w:lang w:eastAsia="lv-LV"/>
              </w:rPr>
              <w:t>SIA</w:t>
            </w:r>
            <w:r w:rsidR="0032246A" w:rsidRPr="0032246A">
              <w:rPr>
                <w:rFonts w:ascii="Times New Roman" w:hAnsi="Times New Roman" w:cs="Times New Roman"/>
                <w:sz w:val="24"/>
                <w:szCs w:val="24"/>
                <w:lang w:eastAsia="lv-LV"/>
              </w:rPr>
              <w:t xml:space="preserve"> “Latvijas nacionālais metroloģijas centrs” (turpmāk – LNMC)</w:t>
            </w:r>
            <w:r w:rsidR="0032246A">
              <w:rPr>
                <w:rFonts w:ascii="Times New Roman" w:hAnsi="Times New Roman" w:cs="Times New Roman"/>
                <w:sz w:val="24"/>
                <w:szCs w:val="24"/>
                <w:lang w:eastAsia="lv-LV"/>
              </w:rPr>
              <w:t xml:space="preserve"> </w:t>
            </w:r>
            <w:r w:rsidR="0032246A" w:rsidRPr="0032246A">
              <w:rPr>
                <w:rFonts w:ascii="Times New Roman" w:hAnsi="Times New Roman" w:cs="Times New Roman"/>
                <w:sz w:val="24"/>
                <w:szCs w:val="24"/>
                <w:lang w:eastAsia="lv-LV"/>
              </w:rPr>
              <w:t>pamatkapitālā</w:t>
            </w:r>
            <w:r w:rsidRPr="005D196F">
              <w:rPr>
                <w:rFonts w:ascii="Times New Roman" w:hAnsi="Times New Roman" w:cs="Times New Roman"/>
                <w:sz w:val="24"/>
                <w:szCs w:val="24"/>
                <w:lang w:eastAsia="lv-LV"/>
              </w:rPr>
              <w:t>.</w:t>
            </w:r>
          </w:p>
          <w:p w14:paraId="326119F7" w14:textId="77777777" w:rsidR="005D196F" w:rsidRPr="005D196F" w:rsidRDefault="005D196F" w:rsidP="005D196F">
            <w:pPr>
              <w:spacing w:after="120" w:line="240" w:lineRule="auto"/>
              <w:ind w:firstLine="459"/>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Rīkojuma projekts stāsies spēkā tā parakstīšanas brīdī.</w:t>
            </w:r>
          </w:p>
        </w:tc>
      </w:tr>
    </w:tbl>
    <w:p w14:paraId="4843D6C3" w14:textId="77777777" w:rsidR="005D196F" w:rsidRPr="005D196F" w:rsidRDefault="005D196F" w:rsidP="005D196F">
      <w:pPr>
        <w:tabs>
          <w:tab w:val="left" w:pos="2175"/>
        </w:tabs>
        <w:spacing w:after="0" w:line="240" w:lineRule="auto"/>
        <w:rPr>
          <w:sz w:val="24"/>
          <w:szCs w:val="24"/>
          <w:lang w:eastAsia="lv-LV"/>
        </w:rPr>
      </w:pPr>
    </w:p>
    <w:tbl>
      <w:tblPr>
        <w:tblpPr w:leftFromText="180" w:rightFromText="180" w:vertAnchor="text" w:horzAnchor="margin" w:tblpXSpec="center" w:tblpY="149"/>
        <w:tblW w:w="97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1"/>
        <w:gridCol w:w="3546"/>
        <w:gridCol w:w="5578"/>
      </w:tblGrid>
      <w:tr w:rsidR="005D196F" w:rsidRPr="005D196F" w14:paraId="34A171C8" w14:textId="77777777" w:rsidTr="00A81779">
        <w:trPr>
          <w:tblCellSpacing w:w="20" w:type="dxa"/>
        </w:trPr>
        <w:tc>
          <w:tcPr>
            <w:tcW w:w="9725" w:type="dxa"/>
            <w:gridSpan w:val="3"/>
            <w:vAlign w:val="center"/>
          </w:tcPr>
          <w:p w14:paraId="6D92D27A" w14:textId="77777777" w:rsidR="005D196F" w:rsidRPr="005D196F" w:rsidRDefault="005D196F" w:rsidP="005D196F">
            <w:pPr>
              <w:spacing w:after="0" w:line="240" w:lineRule="auto"/>
              <w:jc w:val="center"/>
              <w:rPr>
                <w:b/>
                <w:bCs/>
                <w:sz w:val="24"/>
                <w:szCs w:val="24"/>
                <w:lang w:eastAsia="lv-LV"/>
              </w:rPr>
            </w:pPr>
            <w:r w:rsidRPr="005D196F">
              <w:rPr>
                <w:b/>
                <w:bCs/>
                <w:sz w:val="24"/>
                <w:szCs w:val="24"/>
                <w:lang w:eastAsia="lv-LV"/>
              </w:rPr>
              <w:t>I. Tiesību akta projekta izstrādes nepieciešamība</w:t>
            </w:r>
          </w:p>
        </w:tc>
      </w:tr>
      <w:tr w:rsidR="00BA1421" w:rsidRPr="005D196F" w14:paraId="73F9D43F" w14:textId="77777777" w:rsidTr="00A81779">
        <w:trPr>
          <w:trHeight w:val="630"/>
          <w:tblCellSpacing w:w="20" w:type="dxa"/>
        </w:trPr>
        <w:tc>
          <w:tcPr>
            <w:tcW w:w="550" w:type="dxa"/>
          </w:tcPr>
          <w:p w14:paraId="3096C905" w14:textId="77777777" w:rsidR="005D196F" w:rsidRPr="005D196F" w:rsidRDefault="005D196F" w:rsidP="005D196F">
            <w:pPr>
              <w:spacing w:after="0" w:line="240" w:lineRule="auto"/>
              <w:rPr>
                <w:sz w:val="24"/>
                <w:szCs w:val="24"/>
                <w:lang w:eastAsia="lv-LV"/>
              </w:rPr>
            </w:pPr>
            <w:r w:rsidRPr="005D196F">
              <w:rPr>
                <w:sz w:val="24"/>
                <w:szCs w:val="24"/>
                <w:lang w:eastAsia="lv-LV"/>
              </w:rPr>
              <w:t>1.</w:t>
            </w:r>
          </w:p>
        </w:tc>
        <w:tc>
          <w:tcPr>
            <w:tcW w:w="3566" w:type="dxa"/>
          </w:tcPr>
          <w:p w14:paraId="23AA839C" w14:textId="77777777" w:rsidR="005D196F" w:rsidRPr="005D196F" w:rsidRDefault="005D196F" w:rsidP="005D196F">
            <w:pPr>
              <w:spacing w:after="0" w:line="240" w:lineRule="auto"/>
              <w:ind w:left="154" w:hanging="10"/>
              <w:rPr>
                <w:sz w:val="24"/>
                <w:szCs w:val="24"/>
                <w:lang w:eastAsia="lv-LV"/>
              </w:rPr>
            </w:pPr>
            <w:r w:rsidRPr="005D196F">
              <w:rPr>
                <w:sz w:val="24"/>
                <w:szCs w:val="24"/>
                <w:lang w:eastAsia="lv-LV"/>
              </w:rPr>
              <w:t>Pamatojums</w:t>
            </w:r>
          </w:p>
        </w:tc>
        <w:tc>
          <w:tcPr>
            <w:tcW w:w="5609" w:type="dxa"/>
          </w:tcPr>
          <w:p w14:paraId="5F87B363" w14:textId="3C2C4533" w:rsidR="005D196F" w:rsidRPr="005D196F" w:rsidRDefault="0032246A" w:rsidP="005D196F">
            <w:pPr>
              <w:spacing w:after="120" w:line="240" w:lineRule="auto"/>
              <w:ind w:left="129" w:right="82" w:firstLine="459"/>
              <w:jc w:val="both"/>
              <w:rPr>
                <w:sz w:val="24"/>
                <w:szCs w:val="24"/>
                <w:lang w:eastAsia="lv-LV"/>
              </w:rPr>
            </w:pPr>
            <w:r>
              <w:rPr>
                <w:sz w:val="24"/>
                <w:szCs w:val="24"/>
                <w:lang w:eastAsia="lv-LV"/>
              </w:rPr>
              <w:t xml:space="preserve">Zemes pārvaldības likuma 17.panta ceturtā daļa, </w:t>
            </w:r>
            <w:r>
              <w:t xml:space="preserve"> </w:t>
            </w:r>
            <w:r w:rsidRPr="0032246A">
              <w:rPr>
                <w:sz w:val="24"/>
                <w:szCs w:val="24"/>
                <w:lang w:eastAsia="lv-LV"/>
              </w:rPr>
              <w:t xml:space="preserve">likuma "Par valsts un pašvaldību zemes īpašuma tiesībām un to nostiprināšanu zemesgrāmatās" 2. panta </w:t>
            </w:r>
            <w:r>
              <w:rPr>
                <w:sz w:val="24"/>
                <w:szCs w:val="24"/>
                <w:lang w:eastAsia="lv-LV"/>
              </w:rPr>
              <w:t>pirmā</w:t>
            </w:r>
            <w:r w:rsidRPr="0032246A">
              <w:rPr>
                <w:sz w:val="24"/>
                <w:szCs w:val="24"/>
                <w:lang w:eastAsia="lv-LV"/>
              </w:rPr>
              <w:t xml:space="preserve"> daļa</w:t>
            </w:r>
            <w:r>
              <w:rPr>
                <w:sz w:val="24"/>
                <w:szCs w:val="24"/>
                <w:lang w:eastAsia="lv-LV"/>
              </w:rPr>
              <w:t xml:space="preserve"> un 8.panta sestā daļa,</w:t>
            </w:r>
            <w:r w:rsidRPr="0032246A">
              <w:rPr>
                <w:sz w:val="24"/>
                <w:szCs w:val="24"/>
                <w:lang w:eastAsia="lv-LV"/>
              </w:rPr>
              <w:t xml:space="preserve"> </w:t>
            </w:r>
            <w:r>
              <w:rPr>
                <w:sz w:val="24"/>
                <w:szCs w:val="24"/>
                <w:lang w:eastAsia="lv-LV"/>
              </w:rPr>
              <w:t xml:space="preserve">Publiskas personas mantas </w:t>
            </w:r>
            <w:proofErr w:type="spellStart"/>
            <w:r>
              <w:rPr>
                <w:sz w:val="24"/>
                <w:szCs w:val="24"/>
                <w:lang w:eastAsia="lv-LV"/>
              </w:rPr>
              <w:t>atsavināšnas</w:t>
            </w:r>
            <w:proofErr w:type="spellEnd"/>
            <w:r>
              <w:rPr>
                <w:sz w:val="24"/>
                <w:szCs w:val="24"/>
                <w:lang w:eastAsia="lv-LV"/>
              </w:rPr>
              <w:t xml:space="preserve"> likuma 40.pants</w:t>
            </w:r>
            <w:r w:rsidR="005D196F" w:rsidRPr="005D196F">
              <w:rPr>
                <w:sz w:val="24"/>
                <w:szCs w:val="24"/>
                <w:lang w:eastAsia="lv-LV"/>
              </w:rPr>
              <w:t>.</w:t>
            </w:r>
          </w:p>
        </w:tc>
      </w:tr>
      <w:tr w:rsidR="00BA1421" w:rsidRPr="005D196F" w14:paraId="742C4E6E" w14:textId="77777777" w:rsidTr="00A81779">
        <w:trPr>
          <w:trHeight w:val="472"/>
          <w:tblCellSpacing w:w="20" w:type="dxa"/>
        </w:trPr>
        <w:tc>
          <w:tcPr>
            <w:tcW w:w="550" w:type="dxa"/>
          </w:tcPr>
          <w:p w14:paraId="52507BAF" w14:textId="77777777" w:rsidR="005D196F" w:rsidRPr="005D196F" w:rsidRDefault="005D196F" w:rsidP="005D196F">
            <w:pPr>
              <w:spacing w:after="0" w:line="240" w:lineRule="auto"/>
              <w:rPr>
                <w:sz w:val="24"/>
                <w:szCs w:val="24"/>
                <w:lang w:eastAsia="lv-LV"/>
              </w:rPr>
            </w:pPr>
            <w:r w:rsidRPr="005D196F">
              <w:rPr>
                <w:sz w:val="24"/>
                <w:szCs w:val="24"/>
                <w:lang w:eastAsia="lv-LV"/>
              </w:rPr>
              <w:t>2.</w:t>
            </w:r>
          </w:p>
        </w:tc>
        <w:tc>
          <w:tcPr>
            <w:tcW w:w="3566" w:type="dxa"/>
          </w:tcPr>
          <w:p w14:paraId="74A5B9B8" w14:textId="77777777" w:rsidR="005D196F" w:rsidRPr="005D196F" w:rsidRDefault="005D196F" w:rsidP="005D196F">
            <w:pPr>
              <w:tabs>
                <w:tab w:val="left" w:pos="154"/>
              </w:tabs>
              <w:spacing w:after="0" w:line="240" w:lineRule="auto"/>
              <w:ind w:left="154"/>
              <w:rPr>
                <w:sz w:val="24"/>
                <w:szCs w:val="24"/>
                <w:lang w:eastAsia="lv-LV"/>
              </w:rPr>
            </w:pPr>
            <w:r w:rsidRPr="005D196F">
              <w:rPr>
                <w:sz w:val="24"/>
                <w:szCs w:val="24"/>
                <w:lang w:eastAsia="lv-LV"/>
              </w:rPr>
              <w:t>Pašreizējā situācija un problēmas, kuru risināšanai tiesību akta projekts izstrādāts, tiesiskā regulējuma mērķis un būtība</w:t>
            </w:r>
          </w:p>
        </w:tc>
        <w:tc>
          <w:tcPr>
            <w:tcW w:w="5609" w:type="dxa"/>
            <w:shd w:val="clear" w:color="auto" w:fill="auto"/>
          </w:tcPr>
          <w:p w14:paraId="336F80F5" w14:textId="3726B3D9" w:rsidR="00D20CB9" w:rsidRDefault="00300EDD" w:rsidP="005D196F">
            <w:pPr>
              <w:spacing w:after="0" w:line="240" w:lineRule="auto"/>
              <w:ind w:left="129" w:right="82" w:firstLine="567"/>
              <w:jc w:val="both"/>
              <w:rPr>
                <w:sz w:val="24"/>
                <w:szCs w:val="24"/>
                <w:lang w:eastAsia="lv-LV"/>
              </w:rPr>
            </w:pPr>
            <w:r w:rsidRPr="00300EDD">
              <w:rPr>
                <w:sz w:val="24"/>
                <w:szCs w:val="24"/>
                <w:lang w:eastAsia="lv-LV"/>
              </w:rPr>
              <w:t>Zemes pārvaldības likuma 17.panta ceturtā daļa nosaka,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piederošā vai piekrītošā zeme atbilstoši likumam "Par valsts un pašvaldību zemes īpašuma tiesībām un to nostiprināšanu zemesgrāmatās"</w:t>
            </w:r>
            <w:r w:rsidR="00B6163B">
              <w:rPr>
                <w:sz w:val="24"/>
                <w:szCs w:val="24"/>
                <w:lang w:eastAsia="lv-LV"/>
              </w:rPr>
              <w:t>.</w:t>
            </w:r>
          </w:p>
          <w:p w14:paraId="7704EB9D" w14:textId="2D9CC924" w:rsidR="00B6163B" w:rsidRPr="00B6163B" w:rsidRDefault="00631914" w:rsidP="00B6163B">
            <w:pPr>
              <w:spacing w:after="0" w:line="240" w:lineRule="auto"/>
              <w:ind w:left="129" w:right="82" w:firstLine="567"/>
              <w:jc w:val="both"/>
              <w:rPr>
                <w:sz w:val="24"/>
                <w:szCs w:val="24"/>
                <w:lang w:eastAsia="lv-LV"/>
              </w:rPr>
            </w:pPr>
            <w:r>
              <w:rPr>
                <w:sz w:val="24"/>
                <w:szCs w:val="24"/>
                <w:lang w:eastAsia="lv-LV"/>
              </w:rPr>
              <w:t>Saskaņā ar</w:t>
            </w:r>
            <w:r w:rsidR="00B6163B">
              <w:rPr>
                <w:sz w:val="24"/>
                <w:szCs w:val="24"/>
                <w:lang w:eastAsia="lv-LV"/>
              </w:rPr>
              <w:t xml:space="preserve"> </w:t>
            </w:r>
            <w:r w:rsidR="00B6163B" w:rsidRPr="00B6163B">
              <w:rPr>
                <w:sz w:val="24"/>
                <w:szCs w:val="24"/>
                <w:lang w:eastAsia="lv-LV"/>
              </w:rPr>
              <w:t>likuma "Par valsts un pašvaldību zemes īpašuma tiesībām un to nostiprināšanu zemesgrāmatās" 2. panta pirm</w:t>
            </w:r>
            <w:r w:rsidR="00B6163B">
              <w:rPr>
                <w:sz w:val="24"/>
                <w:szCs w:val="24"/>
                <w:lang w:eastAsia="lv-LV"/>
              </w:rPr>
              <w:t xml:space="preserve">ajai </w:t>
            </w:r>
            <w:r w:rsidR="00B6163B" w:rsidRPr="00B6163B">
              <w:rPr>
                <w:sz w:val="24"/>
                <w:szCs w:val="24"/>
                <w:lang w:eastAsia="lv-LV"/>
              </w:rPr>
              <w:t>daļ</w:t>
            </w:r>
            <w:r w:rsidR="00B6163B">
              <w:rPr>
                <w:sz w:val="24"/>
                <w:szCs w:val="24"/>
                <w:lang w:eastAsia="lv-LV"/>
              </w:rPr>
              <w:t>ai</w:t>
            </w:r>
            <w:r w:rsidR="00B6163B">
              <w:t xml:space="preserve"> </w:t>
            </w:r>
            <w:r w:rsidR="00B6163B" w:rsidRPr="00B6163B">
              <w:rPr>
                <w:sz w:val="24"/>
                <w:szCs w:val="24"/>
                <w:lang w:eastAsia="lv-LV"/>
              </w:rPr>
              <w:t>Zemes reformas laikā uz valsts vārda zemesgrāmatās ierakstāma zeme, kura 1940.gada 21.jūlijā piederēja valstij (valsts uzņēmumiem, iestādēm), izņemot to zemi, kura:</w:t>
            </w:r>
          </w:p>
          <w:p w14:paraId="49B866D3" w14:textId="77777777" w:rsidR="00B6163B" w:rsidRPr="00B6163B" w:rsidRDefault="00B6163B" w:rsidP="00B6163B">
            <w:pPr>
              <w:spacing w:after="0" w:line="240" w:lineRule="auto"/>
              <w:ind w:left="129" w:right="82" w:firstLine="567"/>
              <w:jc w:val="both"/>
              <w:rPr>
                <w:sz w:val="24"/>
                <w:szCs w:val="24"/>
                <w:lang w:eastAsia="lv-LV"/>
              </w:rPr>
            </w:pPr>
            <w:r w:rsidRPr="00B6163B">
              <w:rPr>
                <w:sz w:val="24"/>
                <w:szCs w:val="24"/>
                <w:lang w:eastAsia="lv-LV"/>
              </w:rPr>
              <w:t>1) zemes reformas gaitā atbilstoši likumiem piešķirta (nodota) īpašumā fiziskajai vai juridiskajai personai tai piederējušās zemes vietā;</w:t>
            </w:r>
          </w:p>
          <w:p w14:paraId="342D35F0" w14:textId="77777777" w:rsidR="00B6163B" w:rsidRPr="00B6163B" w:rsidRDefault="00B6163B" w:rsidP="00B6163B">
            <w:pPr>
              <w:spacing w:after="0" w:line="240" w:lineRule="auto"/>
              <w:ind w:left="129" w:right="82" w:firstLine="567"/>
              <w:jc w:val="both"/>
              <w:rPr>
                <w:sz w:val="24"/>
                <w:szCs w:val="24"/>
                <w:lang w:eastAsia="lv-LV"/>
              </w:rPr>
            </w:pPr>
            <w:r w:rsidRPr="00B6163B">
              <w:rPr>
                <w:sz w:val="24"/>
                <w:szCs w:val="24"/>
                <w:lang w:eastAsia="lv-LV"/>
              </w:rPr>
              <w:t>2) piešķirta fiziskajai personai pastāvīgā lietošanā vai rezervēta ar tiesībām iegūt to īpašumā;</w:t>
            </w:r>
          </w:p>
          <w:p w14:paraId="62CE5290" w14:textId="41174254" w:rsidR="00B6163B" w:rsidRDefault="00B6163B" w:rsidP="00B6163B">
            <w:pPr>
              <w:spacing w:after="0" w:line="240" w:lineRule="auto"/>
              <w:ind w:left="129" w:right="82" w:firstLine="567"/>
              <w:jc w:val="both"/>
              <w:rPr>
                <w:sz w:val="24"/>
                <w:szCs w:val="24"/>
                <w:lang w:eastAsia="lv-LV"/>
              </w:rPr>
            </w:pPr>
            <w:r w:rsidRPr="00B6163B">
              <w:rPr>
                <w:sz w:val="24"/>
                <w:szCs w:val="24"/>
                <w:lang w:eastAsia="lv-LV"/>
              </w:rPr>
              <w:lastRenderedPageBreak/>
              <w:t>3) saskaņā ar šā likuma 3.panta trešo daļu ierakstāma uz pašvaldības vārda.</w:t>
            </w:r>
          </w:p>
          <w:p w14:paraId="1AF7E95A" w14:textId="1ED956F7" w:rsidR="00B6163B" w:rsidRDefault="00B6163B" w:rsidP="007C6E39">
            <w:pPr>
              <w:spacing w:after="0" w:line="240" w:lineRule="auto"/>
              <w:ind w:left="129" w:right="82" w:firstLine="567"/>
              <w:jc w:val="both"/>
              <w:rPr>
                <w:sz w:val="24"/>
                <w:szCs w:val="24"/>
                <w:lang w:eastAsia="lv-LV"/>
              </w:rPr>
            </w:pPr>
            <w:r>
              <w:rPr>
                <w:sz w:val="24"/>
                <w:szCs w:val="24"/>
                <w:lang w:eastAsia="lv-LV"/>
              </w:rPr>
              <w:t xml:space="preserve">Atbilstoši </w:t>
            </w:r>
            <w:r>
              <w:t xml:space="preserve"> </w:t>
            </w:r>
            <w:r w:rsidRPr="00B6163B">
              <w:rPr>
                <w:sz w:val="24"/>
                <w:szCs w:val="24"/>
                <w:lang w:eastAsia="lv-LV"/>
              </w:rPr>
              <w:t>Latvijas valsts vēstures arhīv</w:t>
            </w:r>
            <w:r>
              <w:rPr>
                <w:sz w:val="24"/>
                <w:szCs w:val="24"/>
                <w:lang w:eastAsia="lv-LV"/>
              </w:rPr>
              <w:t>a 2020.gada 4.decembra izziņai Nr.</w:t>
            </w:r>
            <w:r w:rsidRPr="00B6163B">
              <w:rPr>
                <w:sz w:val="24"/>
                <w:szCs w:val="24"/>
                <w:lang w:eastAsia="lv-LV"/>
              </w:rPr>
              <w:t>LVVA-6.2.2./5/15055</w:t>
            </w:r>
            <w:r>
              <w:rPr>
                <w:sz w:val="24"/>
                <w:szCs w:val="24"/>
                <w:lang w:eastAsia="lv-LV"/>
              </w:rPr>
              <w:t xml:space="preserve"> </w:t>
            </w:r>
            <w:r w:rsidR="00D20CB9" w:rsidRPr="00D20CB9">
              <w:rPr>
                <w:sz w:val="24"/>
                <w:szCs w:val="24"/>
                <w:lang w:eastAsia="lv-LV"/>
              </w:rPr>
              <w:t xml:space="preserve">zemes </w:t>
            </w:r>
            <w:r>
              <w:rPr>
                <w:sz w:val="24"/>
                <w:szCs w:val="24"/>
                <w:lang w:eastAsia="lv-LV"/>
              </w:rPr>
              <w:t>vienība</w:t>
            </w:r>
            <w:r w:rsidR="00D20CB9" w:rsidRPr="00D20CB9">
              <w:rPr>
                <w:sz w:val="24"/>
                <w:szCs w:val="24"/>
                <w:lang w:eastAsia="lv-LV"/>
              </w:rPr>
              <w:t xml:space="preserve"> ar kadastra numuru 0100 025 2036, kas atrodas Rīgā, Krišjāņa Valdemāra ielā 157 k-4</w:t>
            </w:r>
            <w:r>
              <w:rPr>
                <w:sz w:val="24"/>
                <w:szCs w:val="24"/>
                <w:lang w:eastAsia="lv-LV"/>
              </w:rPr>
              <w:t xml:space="preserve"> (turpmāk – </w:t>
            </w:r>
            <w:r w:rsidRPr="00B6163B">
              <w:rPr>
                <w:b/>
                <w:bCs/>
                <w:sz w:val="24"/>
                <w:szCs w:val="24"/>
                <w:lang w:eastAsia="lv-LV"/>
              </w:rPr>
              <w:t>zemesgabals</w:t>
            </w:r>
            <w:r>
              <w:rPr>
                <w:sz w:val="24"/>
                <w:szCs w:val="24"/>
                <w:lang w:eastAsia="lv-LV"/>
              </w:rPr>
              <w:t>)</w:t>
            </w:r>
            <w:r>
              <w:t xml:space="preserve"> </w:t>
            </w:r>
            <w:r>
              <w:rPr>
                <w:sz w:val="24"/>
                <w:szCs w:val="24"/>
              </w:rPr>
              <w:t xml:space="preserve">bijusi daļa no </w:t>
            </w:r>
            <w:r>
              <w:t xml:space="preserve"> </w:t>
            </w:r>
            <w:r w:rsidRPr="00B6163B">
              <w:rPr>
                <w:sz w:val="24"/>
                <w:szCs w:val="24"/>
                <w:lang w:eastAsia="lv-LV"/>
              </w:rPr>
              <w:t xml:space="preserve"> Rīgas pilsētas II  hipotēku iecirkņa zemesgrāmatu 321. nodalījumā ierakstīt</w:t>
            </w:r>
            <w:r>
              <w:rPr>
                <w:sz w:val="24"/>
                <w:szCs w:val="24"/>
                <w:lang w:eastAsia="lv-LV"/>
              </w:rPr>
              <w:t>ā</w:t>
            </w:r>
            <w:r w:rsidRPr="00B6163B">
              <w:rPr>
                <w:sz w:val="24"/>
                <w:szCs w:val="24"/>
                <w:lang w:eastAsia="lv-LV"/>
              </w:rPr>
              <w:t xml:space="preserve"> nekustam</w:t>
            </w:r>
            <w:r>
              <w:rPr>
                <w:sz w:val="24"/>
                <w:szCs w:val="24"/>
                <w:lang w:eastAsia="lv-LV"/>
              </w:rPr>
              <w:t>ā</w:t>
            </w:r>
            <w:r w:rsidRPr="00B6163B">
              <w:rPr>
                <w:sz w:val="24"/>
                <w:szCs w:val="24"/>
                <w:lang w:eastAsia="lv-LV"/>
              </w:rPr>
              <w:t xml:space="preserve"> īpašum</w:t>
            </w:r>
            <w:r>
              <w:rPr>
                <w:sz w:val="24"/>
                <w:szCs w:val="24"/>
                <w:lang w:eastAsia="lv-LV"/>
              </w:rPr>
              <w:t>a</w:t>
            </w:r>
            <w:r w:rsidRPr="00B6163B">
              <w:rPr>
                <w:sz w:val="24"/>
                <w:szCs w:val="24"/>
                <w:lang w:eastAsia="lv-LV"/>
              </w:rPr>
              <w:t xml:space="preserve"> ––  pilsētas </w:t>
            </w:r>
            <w:proofErr w:type="spellStart"/>
            <w:r w:rsidRPr="00B6163B">
              <w:rPr>
                <w:sz w:val="24"/>
                <w:szCs w:val="24"/>
                <w:lang w:eastAsia="lv-LV"/>
              </w:rPr>
              <w:t>dzimtsrentes</w:t>
            </w:r>
            <w:proofErr w:type="spellEnd"/>
            <w:r w:rsidRPr="00B6163B">
              <w:rPr>
                <w:sz w:val="24"/>
                <w:szCs w:val="24"/>
                <w:lang w:eastAsia="lv-LV"/>
              </w:rPr>
              <w:t xml:space="preserve"> gruntsgabals, kurš atradies Rīgas pilsētā, 25. grupā, Nr. 3 un Nr. 4</w:t>
            </w:r>
            <w:r>
              <w:rPr>
                <w:sz w:val="24"/>
                <w:szCs w:val="24"/>
                <w:lang w:eastAsia="lv-LV"/>
              </w:rPr>
              <w:t>,</w:t>
            </w:r>
            <w:r>
              <w:t xml:space="preserve"> </w:t>
            </w:r>
            <w:r w:rsidRPr="00B6163B">
              <w:rPr>
                <w:sz w:val="24"/>
                <w:szCs w:val="24"/>
                <w:lang w:eastAsia="lv-LV"/>
              </w:rPr>
              <w:t>Šarlotes ielā (Nr. nav norādīts)</w:t>
            </w:r>
            <w:r>
              <w:t xml:space="preserve"> </w:t>
            </w:r>
            <w:r>
              <w:rPr>
                <w:sz w:val="24"/>
                <w:szCs w:val="24"/>
                <w:lang w:eastAsia="lv-LV"/>
              </w:rPr>
              <w:t xml:space="preserve">un kam </w:t>
            </w:r>
            <w:r w:rsidRPr="00B6163B">
              <w:rPr>
                <w:sz w:val="24"/>
                <w:szCs w:val="24"/>
                <w:lang w:eastAsia="lv-LV"/>
              </w:rPr>
              <w:t>1930. gada 27. oktobr</w:t>
            </w:r>
            <w:r>
              <w:rPr>
                <w:sz w:val="24"/>
                <w:szCs w:val="24"/>
                <w:lang w:eastAsia="lv-LV"/>
              </w:rPr>
              <w:t>ī</w:t>
            </w:r>
            <w:r w:rsidRPr="00B6163B">
              <w:rPr>
                <w:sz w:val="24"/>
                <w:szCs w:val="24"/>
                <w:lang w:eastAsia="lv-LV"/>
              </w:rPr>
              <w:t xml:space="preserve"> </w:t>
            </w:r>
            <w:proofErr w:type="spellStart"/>
            <w:r w:rsidRPr="00B6163B">
              <w:rPr>
                <w:sz w:val="24"/>
                <w:szCs w:val="24"/>
                <w:lang w:eastAsia="lv-LV"/>
              </w:rPr>
              <w:t>apakšīpašuma</w:t>
            </w:r>
            <w:proofErr w:type="spellEnd"/>
            <w:r w:rsidRPr="00B6163B">
              <w:rPr>
                <w:sz w:val="24"/>
                <w:szCs w:val="24"/>
                <w:lang w:eastAsia="lv-LV"/>
              </w:rPr>
              <w:t xml:space="preserve"> tiesības </w:t>
            </w:r>
            <w:r>
              <w:rPr>
                <w:sz w:val="24"/>
                <w:szCs w:val="24"/>
                <w:lang w:eastAsia="lv-LV"/>
              </w:rPr>
              <w:t xml:space="preserve"> z</w:t>
            </w:r>
            <w:r w:rsidRPr="00B6163B">
              <w:rPr>
                <w:sz w:val="24"/>
                <w:szCs w:val="24"/>
                <w:lang w:eastAsia="lv-LV"/>
              </w:rPr>
              <w:t>emesgrāmatā apstiprinātas Latvijas valstij Kara ministrijas personā.</w:t>
            </w:r>
            <w:r>
              <w:rPr>
                <w:sz w:val="24"/>
                <w:szCs w:val="24"/>
                <w:lang w:eastAsia="lv-LV"/>
              </w:rPr>
              <w:t xml:space="preserve"> R</w:t>
            </w:r>
            <w:r w:rsidRPr="00B6163B">
              <w:rPr>
                <w:sz w:val="24"/>
                <w:szCs w:val="24"/>
                <w:lang w:eastAsia="lv-LV"/>
              </w:rPr>
              <w:t>īgas pilsētas Nekustamu īpašumu pārvaldes privāto nekustamo īpašumu sarakstā 1924.g.-1940.g.  norādīta gruntsgabala Rīgas pilsētā, 25. grupā, Nr. 3 platība –</w:t>
            </w:r>
            <w:r>
              <w:rPr>
                <w:sz w:val="24"/>
                <w:szCs w:val="24"/>
                <w:lang w:eastAsia="lv-LV"/>
              </w:rPr>
              <w:t xml:space="preserve"> </w:t>
            </w:r>
            <w:r w:rsidRPr="00B6163B">
              <w:rPr>
                <w:sz w:val="24"/>
                <w:szCs w:val="24"/>
                <w:lang w:eastAsia="lv-LV"/>
              </w:rPr>
              <w:t>64220 kvadrātmetri un 25. grupā Nr. 4 platība – 14972 kvadrātmetri, abi gruntsgabali ierakstīti II hipotēku iecirkņa zemesgrāmatu 321. nodalījumā, īpašniece – Latvijas valsts Kara ministrijas personā.</w:t>
            </w:r>
            <w:r>
              <w:rPr>
                <w:sz w:val="24"/>
                <w:szCs w:val="24"/>
                <w:lang w:eastAsia="lv-LV"/>
              </w:rPr>
              <w:t xml:space="preserve"> </w:t>
            </w:r>
            <w:r w:rsidRPr="00B6163B">
              <w:rPr>
                <w:sz w:val="24"/>
                <w:szCs w:val="24"/>
                <w:lang w:eastAsia="lv-LV"/>
              </w:rPr>
              <w:t>1940. gada 24. februārī sastādītā sarakstā par Rīgas pilsētas II hipotēku iecirkņa nekustamiem īpašumiem, kuriem ar likumu atceltas dalītas īpašuma tiesības, ierakstīts Latvijas valsts Kara ministrijas personā nekustamais īpašums Šarlotes ielā (Nr. nav norādīts) ar zemesgrāmatas Nr. 321.</w:t>
            </w:r>
            <w:r>
              <w:rPr>
                <w:sz w:val="24"/>
                <w:szCs w:val="24"/>
                <w:lang w:eastAsia="lv-LV"/>
              </w:rPr>
              <w:t xml:space="preserve"> Tādējādi secināms, ka īpašuma tiesības uz zemesgabalu 1940.gada 21.jūlijā piederēja valstij</w:t>
            </w:r>
            <w:r w:rsidR="007C6E39">
              <w:rPr>
                <w:sz w:val="24"/>
                <w:szCs w:val="24"/>
                <w:lang w:eastAsia="lv-LV"/>
              </w:rPr>
              <w:t xml:space="preserve">. </w:t>
            </w:r>
            <w:r w:rsidR="007C6E39" w:rsidRPr="007C6E39">
              <w:rPr>
                <w:sz w:val="24"/>
                <w:szCs w:val="24"/>
                <w:lang w:eastAsia="lv-LV"/>
              </w:rPr>
              <w:t xml:space="preserve">Vienlaicīgi </w:t>
            </w:r>
            <w:r w:rsidR="007C6E39" w:rsidRPr="007C6E39">
              <w:rPr>
                <w:sz w:val="24"/>
                <w:szCs w:val="24"/>
              </w:rPr>
              <w:t xml:space="preserve"> nav konstatēti  likuma "Par valsts un pašvaldību zemes īpašuma tiesībām un to nostiprināšanu zemesgrāmatās" 2. panta pirmajā daļā noteiktie izņēmumi, kad zemes vienība nav piekrītoša valstij</w:t>
            </w:r>
            <w:r w:rsidR="007C6E39">
              <w:rPr>
                <w:sz w:val="24"/>
                <w:szCs w:val="24"/>
              </w:rPr>
              <w:t xml:space="preserve">, t.i., </w:t>
            </w:r>
            <w:r w:rsidR="007C6E39">
              <w:rPr>
                <w:sz w:val="24"/>
                <w:szCs w:val="24"/>
                <w:lang w:eastAsia="lv-LV"/>
              </w:rPr>
              <w:t>nav</w:t>
            </w:r>
            <w:r w:rsidR="007C6E39" w:rsidRPr="00B6163B">
              <w:rPr>
                <w:sz w:val="24"/>
                <w:szCs w:val="24"/>
                <w:lang w:eastAsia="lv-LV"/>
              </w:rPr>
              <w:t xml:space="preserve"> piešķirta (nodota) īpašumā</w:t>
            </w:r>
            <w:r w:rsidR="007C6E39">
              <w:rPr>
                <w:sz w:val="24"/>
                <w:szCs w:val="24"/>
                <w:lang w:eastAsia="lv-LV"/>
              </w:rPr>
              <w:t>,</w:t>
            </w:r>
            <w:r w:rsidR="007C6E39" w:rsidRPr="00B6163B">
              <w:rPr>
                <w:sz w:val="24"/>
                <w:szCs w:val="24"/>
                <w:lang w:eastAsia="lv-LV"/>
              </w:rPr>
              <w:t xml:space="preserve"> pastāvīgā lietošanā vai rezervēta ar tiesībām iegūt to īpašumā</w:t>
            </w:r>
            <w:r w:rsidR="007C6E39" w:rsidRPr="007C6E39">
              <w:rPr>
                <w:sz w:val="24"/>
                <w:szCs w:val="24"/>
                <w:lang w:eastAsia="lv-LV"/>
              </w:rPr>
              <w:t xml:space="preserve"> </w:t>
            </w:r>
            <w:r w:rsidR="007C6E39">
              <w:rPr>
                <w:sz w:val="24"/>
                <w:szCs w:val="24"/>
                <w:lang w:eastAsia="lv-LV"/>
              </w:rPr>
              <w:t xml:space="preserve"> </w:t>
            </w:r>
            <w:r w:rsidR="007C6E39" w:rsidRPr="00B6163B">
              <w:rPr>
                <w:sz w:val="24"/>
                <w:szCs w:val="24"/>
                <w:lang w:eastAsia="lv-LV"/>
              </w:rPr>
              <w:t>fiziskajai vai juridiskajai personai</w:t>
            </w:r>
            <w:r w:rsidR="007C6E39">
              <w:rPr>
                <w:sz w:val="24"/>
                <w:szCs w:val="24"/>
                <w:lang w:eastAsia="lv-LV"/>
              </w:rPr>
              <w:t>, kā arī nav konstatēti šā likuma 3.panta trešajā daļā minētie nosacījumi par piekritību pašvaldībai. T</w:t>
            </w:r>
            <w:r w:rsidR="00DA7BE1">
              <w:rPr>
                <w:sz w:val="24"/>
                <w:szCs w:val="24"/>
                <w:lang w:eastAsia="lv-LV"/>
              </w:rPr>
              <w:t>ātad zemesgabals piekrīt valstij</w:t>
            </w:r>
            <w:r>
              <w:rPr>
                <w:sz w:val="24"/>
                <w:szCs w:val="24"/>
                <w:lang w:eastAsia="lv-LV"/>
              </w:rPr>
              <w:t>.</w:t>
            </w:r>
          </w:p>
          <w:p w14:paraId="0DB1BD18" w14:textId="28F6A30A" w:rsidR="00F05EE0" w:rsidRDefault="00F05EE0" w:rsidP="00B6163B">
            <w:pPr>
              <w:spacing w:after="0" w:line="240" w:lineRule="auto"/>
              <w:ind w:left="129" w:right="82" w:firstLine="567"/>
              <w:jc w:val="both"/>
              <w:rPr>
                <w:sz w:val="24"/>
                <w:szCs w:val="24"/>
                <w:lang w:eastAsia="lv-LV"/>
              </w:rPr>
            </w:pPr>
            <w:r w:rsidRPr="00F05EE0">
              <w:rPr>
                <w:sz w:val="24"/>
                <w:szCs w:val="24"/>
                <w:lang w:eastAsia="lv-LV"/>
              </w:rPr>
              <w:t>Nekustamā īpašuma valsts kadastra informācijas sistēmā uz zemesgabala reģistrētas 4 būves ar kadastra apzīmējumiem 01000252036001 (administratīva ēka, vēst. lit. 1), 01000252036002 (ventilācijas ēka, vēst. lit. 2), 01000252036003 (laboratorijas korpuss, vēst. lit. 3) un 01000252036004 (transformatoru ēka (TP-429) vēst. lit. 4) (turpmāk – būves). Būves reģistrētas būvju īpašuma ar kadastra numuru 01005250013 sastāvā, kur</w:t>
            </w:r>
            <w:r>
              <w:rPr>
                <w:sz w:val="24"/>
                <w:szCs w:val="24"/>
                <w:lang w:eastAsia="lv-LV"/>
              </w:rPr>
              <w:t>a</w:t>
            </w:r>
            <w:r w:rsidRPr="00F05EE0">
              <w:rPr>
                <w:sz w:val="24"/>
                <w:szCs w:val="24"/>
                <w:lang w:eastAsia="lv-LV"/>
              </w:rPr>
              <w:t xml:space="preserve"> īpašnieks ir LNMC.</w:t>
            </w:r>
          </w:p>
          <w:p w14:paraId="6ADA56B9" w14:textId="6A371343" w:rsidR="00DA7BE1" w:rsidRDefault="00DA7BE1" w:rsidP="00B6163B">
            <w:pPr>
              <w:spacing w:after="0" w:line="240" w:lineRule="auto"/>
              <w:ind w:left="129" w:right="82" w:firstLine="567"/>
              <w:jc w:val="both"/>
              <w:rPr>
                <w:sz w:val="24"/>
                <w:szCs w:val="24"/>
                <w:lang w:eastAsia="lv-LV"/>
              </w:rPr>
            </w:pPr>
            <w:r>
              <w:rPr>
                <w:sz w:val="24"/>
                <w:szCs w:val="24"/>
                <w:lang w:eastAsia="lv-LV"/>
              </w:rPr>
              <w:t>Saskaņā ar Ministru kabineta 1999.gada 17.februāra rīkojuma Nr.74 3.punktu būves ir ieguldītas un veido LNMC pamatkapitālu un LNMC valsts kapitāla daļu turētāja ir Ekonomikas ministrija.</w:t>
            </w:r>
          </w:p>
          <w:p w14:paraId="66580B81" w14:textId="36616D4D" w:rsidR="00DA7BE1" w:rsidRDefault="00DA7BE1" w:rsidP="00DA7BE1">
            <w:pPr>
              <w:spacing w:after="0" w:line="240" w:lineRule="auto"/>
              <w:ind w:right="82"/>
              <w:jc w:val="both"/>
              <w:rPr>
                <w:sz w:val="24"/>
                <w:szCs w:val="24"/>
                <w:lang w:eastAsia="lv-LV"/>
              </w:rPr>
            </w:pPr>
            <w:r>
              <w:rPr>
                <w:sz w:val="24"/>
                <w:szCs w:val="24"/>
                <w:lang w:eastAsia="lv-LV"/>
              </w:rPr>
              <w:lastRenderedPageBreak/>
              <w:tab/>
              <w:t xml:space="preserve">Tā kā zemesgabals aptver lielāko daļu no būvju ekspluatācijai nepieciešamās teritorijas un zemesgabals piekrīt valstij, bet valsts būves ir </w:t>
            </w:r>
            <w:r w:rsidR="0032246A">
              <w:rPr>
                <w:sz w:val="24"/>
                <w:szCs w:val="24"/>
                <w:lang w:eastAsia="lv-LV"/>
              </w:rPr>
              <w:t xml:space="preserve">iepriekš </w:t>
            </w:r>
            <w:r>
              <w:rPr>
                <w:sz w:val="24"/>
                <w:szCs w:val="24"/>
                <w:lang w:eastAsia="lv-LV"/>
              </w:rPr>
              <w:t>ieguldījusi LNMC pamatkapitālā, tad Ekonomikas ministrija uzskata par lietderīgu izlemt jautājumu par zemesgabala piekritības valstij atzīšanu un zemesgabala kā valsts īpašuma ieguldīšanu LNMC pamatkapitālā</w:t>
            </w:r>
            <w:r w:rsidR="0032246A">
              <w:rPr>
                <w:sz w:val="24"/>
                <w:szCs w:val="24"/>
                <w:lang w:eastAsia="lv-LV"/>
              </w:rPr>
              <w:t>. Pēc zemesgabala ieguldīšanas LNMC pamatkapitālā būs iespējams apvienot zemesgabalu un būves vienā nekustamajā īpašumā vismaz daļēji sakārtojot un izbeidzot</w:t>
            </w:r>
            <w:r>
              <w:rPr>
                <w:sz w:val="24"/>
                <w:szCs w:val="24"/>
                <w:lang w:eastAsia="lv-LV"/>
              </w:rPr>
              <w:t xml:space="preserve"> </w:t>
            </w:r>
            <w:r w:rsidR="0032246A">
              <w:rPr>
                <w:sz w:val="24"/>
                <w:szCs w:val="24"/>
                <w:lang w:eastAsia="lv-LV"/>
              </w:rPr>
              <w:t>dalītu nekustamo īpašumu.</w:t>
            </w:r>
          </w:p>
          <w:p w14:paraId="64C5E399" w14:textId="607566E1" w:rsidR="00B6163B" w:rsidRDefault="00631914" w:rsidP="005D196F">
            <w:pPr>
              <w:spacing w:after="0" w:line="240" w:lineRule="auto"/>
              <w:ind w:left="129" w:right="82" w:firstLine="567"/>
              <w:jc w:val="both"/>
              <w:rPr>
                <w:sz w:val="24"/>
                <w:szCs w:val="24"/>
                <w:lang w:eastAsia="lv-LV"/>
              </w:rPr>
            </w:pPr>
            <w:r>
              <w:rPr>
                <w:sz w:val="24"/>
                <w:szCs w:val="24"/>
                <w:lang w:eastAsia="lv-LV"/>
              </w:rPr>
              <w:t>L</w:t>
            </w:r>
            <w:r w:rsidRPr="00631914">
              <w:rPr>
                <w:sz w:val="24"/>
                <w:szCs w:val="24"/>
                <w:lang w:eastAsia="lv-LV"/>
              </w:rPr>
              <w:t xml:space="preserve">ikuma "Par valsts un pašvaldību zemes īpašuma tiesībām un to nostiprināšanu zemesgrāmatās" </w:t>
            </w:r>
            <w:r>
              <w:rPr>
                <w:sz w:val="24"/>
                <w:szCs w:val="24"/>
                <w:lang w:eastAsia="lv-LV"/>
              </w:rPr>
              <w:t>8.panta sestā daļa nosaka, ka v</w:t>
            </w:r>
            <w:r w:rsidRPr="00631914">
              <w:rPr>
                <w:sz w:val="24"/>
                <w:szCs w:val="24"/>
                <w:lang w:eastAsia="lv-LV"/>
              </w:rPr>
              <w:t>alstij piederošā vai piekrītošā zeme, ka</w:t>
            </w:r>
            <w:r>
              <w:rPr>
                <w:sz w:val="24"/>
                <w:szCs w:val="24"/>
                <w:lang w:eastAsia="lv-LV"/>
              </w:rPr>
              <w:t>s</w:t>
            </w:r>
            <w:r w:rsidRPr="00631914">
              <w:rPr>
                <w:sz w:val="24"/>
                <w:szCs w:val="24"/>
                <w:lang w:eastAsia="lv-LV"/>
              </w:rPr>
              <w:t xml:space="preserve"> nav </w:t>
            </w:r>
            <w:r>
              <w:rPr>
                <w:sz w:val="24"/>
                <w:szCs w:val="24"/>
                <w:lang w:eastAsia="lv-LV"/>
              </w:rPr>
              <w:t>atsevišķi min</w:t>
            </w:r>
            <w:r w:rsidR="00DA7BE1">
              <w:rPr>
                <w:sz w:val="24"/>
                <w:szCs w:val="24"/>
                <w:lang w:eastAsia="lv-LV"/>
              </w:rPr>
              <w:t>ē</w:t>
            </w:r>
            <w:r>
              <w:rPr>
                <w:sz w:val="24"/>
                <w:szCs w:val="24"/>
                <w:lang w:eastAsia="lv-LV"/>
              </w:rPr>
              <w:t>tas šajā</w:t>
            </w:r>
            <w:r w:rsidRPr="00631914">
              <w:rPr>
                <w:sz w:val="24"/>
                <w:szCs w:val="24"/>
                <w:lang w:eastAsia="lv-LV"/>
              </w:rPr>
              <w:t xml:space="preserve"> pantā, zemesgrāmatā ierakstāma uz valsts vārda Finanšu ministrijas vai citas ministrijas personā, ja to noteicis Ministru kabinets.</w:t>
            </w:r>
          </w:p>
          <w:p w14:paraId="13C33AB2" w14:textId="305D2C9A" w:rsidR="00D20CB9" w:rsidRDefault="0032246A" w:rsidP="005D196F">
            <w:pPr>
              <w:spacing w:after="0" w:line="240" w:lineRule="auto"/>
              <w:ind w:left="129" w:right="82" w:firstLine="567"/>
              <w:jc w:val="both"/>
              <w:rPr>
                <w:sz w:val="24"/>
                <w:szCs w:val="24"/>
                <w:lang w:eastAsia="lv-LV"/>
              </w:rPr>
            </w:pPr>
            <w:r w:rsidRPr="00ED0BBD">
              <w:rPr>
                <w:sz w:val="24"/>
                <w:szCs w:val="24"/>
                <w:lang w:eastAsia="lv-LV"/>
              </w:rPr>
              <w:t>Ņemot vērā to, ka Ekonomikas ministrija ir LNMC valsts kapitāla daļu turētāja un pieņems dalībnieku lēmumu par zemesgabala ieguldīšanu LNMC pamatkapitālā, tad loģiski ir nosakot zemesgabala piekritību valstij nodot to Ekonomikas ministrija valdījumā.</w:t>
            </w:r>
            <w:r w:rsidR="006C34F3">
              <w:t xml:space="preserve"> </w:t>
            </w:r>
            <w:r w:rsidR="006C34F3" w:rsidRPr="006C34F3">
              <w:rPr>
                <w:sz w:val="24"/>
                <w:szCs w:val="24"/>
                <w:lang w:eastAsia="lv-LV"/>
              </w:rPr>
              <w:t>Rīkojuma projekts paredz Ministru kabineta atļaujas saņemšanu</w:t>
            </w:r>
            <w:r w:rsidR="006C34F3">
              <w:rPr>
                <w:sz w:val="24"/>
                <w:szCs w:val="24"/>
                <w:lang w:eastAsia="lv-LV"/>
              </w:rPr>
              <w:t xml:space="preserve"> zemesgabala</w:t>
            </w:r>
            <w:r w:rsidR="006C34F3" w:rsidRPr="006C34F3">
              <w:rPr>
                <w:sz w:val="24"/>
                <w:szCs w:val="24"/>
                <w:lang w:eastAsia="lv-LV"/>
              </w:rPr>
              <w:t xml:space="preserve"> ieguldīšanai </w:t>
            </w:r>
            <w:r w:rsidR="006C34F3">
              <w:rPr>
                <w:sz w:val="24"/>
                <w:szCs w:val="24"/>
                <w:lang w:eastAsia="lv-LV"/>
              </w:rPr>
              <w:t>LNMC</w:t>
            </w:r>
            <w:r w:rsidR="006C34F3" w:rsidRPr="006C34F3">
              <w:rPr>
                <w:sz w:val="24"/>
                <w:szCs w:val="24"/>
                <w:lang w:eastAsia="lv-LV"/>
              </w:rPr>
              <w:t xml:space="preserve"> pamatkapitālā </w:t>
            </w:r>
            <w:r w:rsidR="006C34F3">
              <w:rPr>
                <w:sz w:val="24"/>
                <w:szCs w:val="24"/>
                <w:lang w:eastAsia="lv-LV"/>
              </w:rPr>
              <w:t xml:space="preserve">pēc zemesgabala </w:t>
            </w:r>
            <w:r w:rsidR="006C34F3" w:rsidRPr="006C34F3">
              <w:rPr>
                <w:sz w:val="24"/>
                <w:szCs w:val="24"/>
                <w:lang w:eastAsia="lv-LV"/>
              </w:rPr>
              <w:t>ierakstī</w:t>
            </w:r>
            <w:r w:rsidR="006C34F3">
              <w:rPr>
                <w:sz w:val="24"/>
                <w:szCs w:val="24"/>
                <w:lang w:eastAsia="lv-LV"/>
              </w:rPr>
              <w:t>šanas</w:t>
            </w:r>
            <w:r w:rsidR="006C34F3" w:rsidRPr="006C34F3">
              <w:rPr>
                <w:sz w:val="24"/>
                <w:szCs w:val="24"/>
                <w:lang w:eastAsia="lv-LV"/>
              </w:rPr>
              <w:t xml:space="preserve"> zemesgrāmatā uz valsts vārda Ekonomikas ministrijas personā.</w:t>
            </w:r>
          </w:p>
          <w:p w14:paraId="323AF2D1" w14:textId="1C92EE47" w:rsidR="000B26CD" w:rsidRPr="000B26CD" w:rsidRDefault="000B26CD" w:rsidP="000B26CD">
            <w:pPr>
              <w:spacing w:after="0" w:line="240" w:lineRule="auto"/>
              <w:ind w:left="129" w:right="82" w:firstLine="567"/>
              <w:jc w:val="both"/>
              <w:rPr>
                <w:sz w:val="24"/>
                <w:szCs w:val="24"/>
                <w:lang w:eastAsia="lv-LV"/>
              </w:rPr>
            </w:pPr>
            <w:r w:rsidRPr="000B26CD">
              <w:rPr>
                <w:sz w:val="24"/>
                <w:szCs w:val="24"/>
                <w:lang w:eastAsia="lv-LV"/>
              </w:rPr>
              <w:t>LNMC pamatdarbības veids ir metroloģisko pakalpojumu sniegšana, un tā komercdarbība ir saistīta ar verifikācijas, kalibrēšanas, testēšanas un sertifikācijas pakalpojumu sniegšanu.</w:t>
            </w:r>
          </w:p>
          <w:p w14:paraId="6A3E9177" w14:textId="77777777" w:rsidR="000B26CD" w:rsidRDefault="000B26CD" w:rsidP="000B26CD">
            <w:pPr>
              <w:spacing w:after="0" w:line="240" w:lineRule="auto"/>
              <w:ind w:left="129" w:right="82" w:firstLine="567"/>
              <w:jc w:val="both"/>
              <w:rPr>
                <w:sz w:val="24"/>
                <w:szCs w:val="24"/>
                <w:highlight w:val="yellow"/>
                <w:lang w:eastAsia="lv-LV"/>
              </w:rPr>
            </w:pPr>
            <w:r w:rsidRPr="000B26CD">
              <w:rPr>
                <w:sz w:val="24"/>
                <w:szCs w:val="24"/>
                <w:lang w:eastAsia="lv-LV"/>
              </w:rPr>
              <w:t>Ar 2016. gada 13. jūlija Ministru kabineta rīkojumu Nr. 387 noteikts sabiedrības ar ierobežotu atbildību "Latvijas nacionālais metroloģijas centrs" vispārējais stratēģiskais mērķis</w:t>
            </w:r>
            <w:r>
              <w:rPr>
                <w:sz w:val="24"/>
                <w:szCs w:val="24"/>
                <w:lang w:eastAsia="lv-LV"/>
              </w:rPr>
              <w:t xml:space="preserve"> ir</w:t>
            </w:r>
            <w:r w:rsidRPr="000B26CD">
              <w:rPr>
                <w:sz w:val="24"/>
                <w:szCs w:val="24"/>
                <w:lang w:eastAsia="lv-LV"/>
              </w:rPr>
              <w:t xml:space="preserve"> veikt uzticamus un augstas precizitātes mērījumus, nodrošināt sabiedrībai nepieciešamos metroloģiskos pakalpojumus, galvenokārt darbojoties tirgus segmentos, kuros ir </w:t>
            </w:r>
            <w:r w:rsidRPr="00ED0BBD">
              <w:rPr>
                <w:sz w:val="24"/>
                <w:szCs w:val="24"/>
                <w:u w:val="single"/>
                <w:lang w:eastAsia="lv-LV"/>
              </w:rPr>
              <w:t>nepietiekama konkurence vai citi tirgus dalībnieki pakalpojumus nesniedz</w:t>
            </w:r>
            <w:r w:rsidRPr="000B26CD">
              <w:rPr>
                <w:sz w:val="24"/>
                <w:szCs w:val="24"/>
                <w:lang w:eastAsia="lv-LV"/>
              </w:rPr>
              <w:t>.</w:t>
            </w:r>
            <w:r w:rsidRPr="000B26CD">
              <w:rPr>
                <w:sz w:val="24"/>
                <w:szCs w:val="24"/>
                <w:highlight w:val="yellow"/>
                <w:lang w:eastAsia="lv-LV"/>
              </w:rPr>
              <w:t xml:space="preserve"> </w:t>
            </w:r>
          </w:p>
          <w:p w14:paraId="40AAFF2F" w14:textId="12DC6257" w:rsidR="008A7CE0" w:rsidRPr="008A7CE0" w:rsidRDefault="000B26CD" w:rsidP="000B26CD">
            <w:pPr>
              <w:spacing w:after="0" w:line="240" w:lineRule="auto"/>
              <w:ind w:left="129" w:right="82" w:firstLine="567"/>
              <w:jc w:val="both"/>
              <w:rPr>
                <w:sz w:val="24"/>
                <w:szCs w:val="24"/>
                <w:highlight w:val="yellow"/>
                <w:lang w:eastAsia="lv-LV"/>
              </w:rPr>
            </w:pPr>
            <w:r>
              <w:rPr>
                <w:sz w:val="24"/>
                <w:szCs w:val="24"/>
                <w:lang w:eastAsia="lv-LV"/>
              </w:rPr>
              <w:t xml:space="preserve">Saskaņā ar </w:t>
            </w:r>
            <w:r w:rsidRPr="000B26CD">
              <w:rPr>
                <w:sz w:val="24"/>
                <w:szCs w:val="24"/>
                <w:lang w:eastAsia="lv-LV"/>
              </w:rPr>
              <w:t>Ministru kabineta 2014.gada 7.janvār</w:t>
            </w:r>
            <w:r>
              <w:rPr>
                <w:sz w:val="24"/>
                <w:szCs w:val="24"/>
                <w:lang w:eastAsia="lv-LV"/>
              </w:rPr>
              <w:t>a</w:t>
            </w:r>
            <w:r w:rsidRPr="000B26CD">
              <w:rPr>
                <w:sz w:val="24"/>
                <w:szCs w:val="24"/>
                <w:lang w:eastAsia="lv-LV"/>
              </w:rPr>
              <w:t xml:space="preserve"> noteikumi</w:t>
            </w:r>
            <w:r>
              <w:rPr>
                <w:sz w:val="24"/>
                <w:szCs w:val="24"/>
                <w:lang w:eastAsia="lv-LV"/>
              </w:rPr>
              <w:t xml:space="preserve">em </w:t>
            </w:r>
            <w:r w:rsidRPr="000B26CD">
              <w:rPr>
                <w:sz w:val="24"/>
                <w:szCs w:val="24"/>
                <w:lang w:eastAsia="lv-LV"/>
              </w:rPr>
              <w:t>Nr.3</w:t>
            </w:r>
            <w:r>
              <w:rPr>
                <w:sz w:val="24"/>
                <w:szCs w:val="24"/>
                <w:lang w:eastAsia="lv-LV"/>
              </w:rPr>
              <w:t xml:space="preserve"> “</w:t>
            </w:r>
            <w:r w:rsidRPr="000B26CD">
              <w:rPr>
                <w:sz w:val="24"/>
                <w:szCs w:val="24"/>
                <w:lang w:eastAsia="lv-LV"/>
              </w:rPr>
              <w:t>Noteikumi par nacionālo metroloģijas institūciju</w:t>
            </w:r>
            <w:r>
              <w:rPr>
                <w:sz w:val="24"/>
                <w:szCs w:val="24"/>
                <w:lang w:eastAsia="lv-LV"/>
              </w:rPr>
              <w:t>” 2.punkt</w:t>
            </w:r>
            <w:r w:rsidR="00ED0BBD">
              <w:rPr>
                <w:sz w:val="24"/>
                <w:szCs w:val="24"/>
                <w:lang w:eastAsia="lv-LV"/>
              </w:rPr>
              <w:t xml:space="preserve">u </w:t>
            </w:r>
            <w:r w:rsidR="00ED0BBD" w:rsidRPr="000B26CD">
              <w:rPr>
                <w:sz w:val="24"/>
                <w:szCs w:val="24"/>
                <w:lang w:eastAsia="lv-LV"/>
              </w:rPr>
              <w:t xml:space="preserve">LNMC struktūrvienība "Metroloģijas birojs" veic </w:t>
            </w:r>
            <w:r>
              <w:rPr>
                <w:sz w:val="24"/>
                <w:szCs w:val="24"/>
                <w:lang w:eastAsia="lv-LV"/>
              </w:rPr>
              <w:t>na</w:t>
            </w:r>
            <w:r w:rsidRPr="000B26CD">
              <w:rPr>
                <w:sz w:val="24"/>
                <w:szCs w:val="24"/>
                <w:lang w:eastAsia="lv-LV"/>
              </w:rPr>
              <w:t>cionālās metroloģijas institūcijas funkcijas un uzdevumus</w:t>
            </w:r>
            <w:r w:rsidR="00ED0BBD">
              <w:rPr>
                <w:sz w:val="24"/>
                <w:szCs w:val="24"/>
                <w:lang w:eastAsia="lv-LV"/>
              </w:rPr>
              <w:t xml:space="preserve">, lai </w:t>
            </w:r>
            <w:r w:rsidRPr="000B26CD">
              <w:rPr>
                <w:sz w:val="24"/>
                <w:szCs w:val="24"/>
                <w:lang w:eastAsia="lv-LV"/>
              </w:rPr>
              <w:t>nodrošināt</w:t>
            </w:r>
            <w:r w:rsidR="00ED0BBD">
              <w:rPr>
                <w:sz w:val="24"/>
                <w:szCs w:val="24"/>
                <w:lang w:eastAsia="lv-LV"/>
              </w:rPr>
              <w:t>u</w:t>
            </w:r>
            <w:r w:rsidRPr="000B26CD">
              <w:rPr>
                <w:sz w:val="24"/>
                <w:szCs w:val="24"/>
                <w:lang w:eastAsia="lv-LV"/>
              </w:rPr>
              <w:t xml:space="preserve"> nacionālo mērvienību etalonu un to uzturēšanas iekārtu vienotu (nedalāmu) pieejamību pilnvērtīgai valsts pārvaldes uzdevuma izpildei attiecībā uz fizikālo lielumu mērvienību etalonu bāzes uzturēšanas un mērvienību reproducēšanas </w:t>
            </w:r>
            <w:r w:rsidRPr="000B26CD">
              <w:rPr>
                <w:sz w:val="24"/>
                <w:szCs w:val="24"/>
                <w:lang w:eastAsia="lv-LV"/>
              </w:rPr>
              <w:lastRenderedPageBreak/>
              <w:t>nodrošināšanu, kā arī lai pildītu likuma „Par mērījumu vienotību” 14. pantā noteiktās nacionālajai metroloģijas institūcijai īstenojamās valsts pārvaldes uzdevumus metroloģijas jomā.</w:t>
            </w:r>
            <w:r w:rsidRPr="000B26CD">
              <w:rPr>
                <w:sz w:val="24"/>
                <w:szCs w:val="24"/>
                <w:highlight w:val="yellow"/>
                <w:lang w:eastAsia="lv-LV"/>
              </w:rPr>
              <w:t xml:space="preserve"> </w:t>
            </w:r>
          </w:p>
          <w:p w14:paraId="2C67BAEE" w14:textId="04E65F4E" w:rsidR="008A7CE0" w:rsidRPr="00ED0BBD" w:rsidRDefault="008A7CE0" w:rsidP="00ED0BBD">
            <w:pPr>
              <w:spacing w:after="0" w:line="240" w:lineRule="auto"/>
              <w:ind w:left="129" w:right="82" w:firstLine="567"/>
              <w:jc w:val="both"/>
              <w:rPr>
                <w:sz w:val="24"/>
                <w:szCs w:val="24"/>
                <w:lang w:eastAsia="lv-LV"/>
              </w:rPr>
            </w:pPr>
            <w:r w:rsidRPr="00ED0BBD">
              <w:rPr>
                <w:sz w:val="24"/>
                <w:szCs w:val="24"/>
                <w:lang w:eastAsia="lv-LV"/>
              </w:rPr>
              <w:tab/>
            </w:r>
            <w:r w:rsidR="00ED0BBD" w:rsidRPr="00ED0BBD">
              <w:rPr>
                <w:sz w:val="24"/>
                <w:szCs w:val="24"/>
                <w:lang w:eastAsia="lv-LV"/>
              </w:rPr>
              <w:t>Mantisks (nekustamā īpašuma) ieguldījums pamatkapitālā jebkurā gadījumā nedod LNMC nekādus papildus apgrozāmos līdzekļus, kas ļautu pieņemt iespējamību, ka LNMC pamatkapitāla palielināšana varētu kropļot konkurenci vai iespaidot tirdzniecību starp Eiropas Savienības dalībvalstīm</w:t>
            </w:r>
            <w:r w:rsidRPr="00ED0BBD">
              <w:rPr>
                <w:sz w:val="24"/>
                <w:szCs w:val="24"/>
                <w:lang w:eastAsia="lv-LV"/>
              </w:rPr>
              <w:t>.</w:t>
            </w:r>
          </w:p>
          <w:p w14:paraId="0184CC91" w14:textId="2734A2C5" w:rsidR="006C34F3" w:rsidRDefault="008A7CE0" w:rsidP="000B26CD">
            <w:pPr>
              <w:spacing w:after="0" w:line="240" w:lineRule="auto"/>
              <w:ind w:left="129" w:right="82" w:firstLine="567"/>
              <w:jc w:val="both"/>
              <w:rPr>
                <w:sz w:val="24"/>
                <w:szCs w:val="24"/>
                <w:lang w:eastAsia="lv-LV"/>
              </w:rPr>
            </w:pPr>
            <w:r w:rsidRPr="000B26CD">
              <w:rPr>
                <w:sz w:val="24"/>
                <w:szCs w:val="24"/>
                <w:lang w:eastAsia="lv-LV"/>
              </w:rPr>
              <w:tab/>
              <w:t xml:space="preserve">Ņemot vērā iepriekš minētos apsvērumus, valsts nekustamo īpašumu ieguldīšana </w:t>
            </w:r>
            <w:r w:rsidR="000B26CD" w:rsidRPr="000B26CD">
              <w:rPr>
                <w:sz w:val="24"/>
                <w:szCs w:val="24"/>
                <w:lang w:eastAsia="lv-LV"/>
              </w:rPr>
              <w:t>LNMC</w:t>
            </w:r>
            <w:r w:rsidRPr="000B26CD">
              <w:rPr>
                <w:sz w:val="24"/>
                <w:szCs w:val="24"/>
                <w:lang w:eastAsia="lv-LV"/>
              </w:rPr>
              <w:t xml:space="preserve"> pamatkapitālā </w:t>
            </w:r>
            <w:r w:rsidR="000B26CD" w:rsidRPr="000B26CD">
              <w:t xml:space="preserve"> </w:t>
            </w:r>
            <w:r w:rsidR="000B26CD" w:rsidRPr="000B26CD">
              <w:rPr>
                <w:sz w:val="24"/>
                <w:szCs w:val="24"/>
                <w:lang w:eastAsia="lv-LV"/>
              </w:rPr>
              <w:t xml:space="preserve">nevar radīt konkurences izkropļojumus, dodot priekšroku konkrētiem uzņēmumiem vai konkrētu preču ražošanai, ciktāl tāds atbalsts iespaido tirdzniecību starp dalībvalstīm, un tā </w:t>
            </w:r>
            <w:r w:rsidRPr="000B26CD">
              <w:rPr>
                <w:sz w:val="24"/>
                <w:szCs w:val="24"/>
                <w:lang w:eastAsia="lv-LV"/>
              </w:rPr>
              <w:t xml:space="preserve">nevar tikt uzskatīta par </w:t>
            </w:r>
            <w:r w:rsidR="000B26CD" w:rsidRPr="000B26CD">
              <w:rPr>
                <w:sz w:val="24"/>
                <w:szCs w:val="24"/>
                <w:lang w:eastAsia="lv-LV"/>
              </w:rPr>
              <w:t>LNMC</w:t>
            </w:r>
            <w:r w:rsidRPr="000B26CD">
              <w:rPr>
                <w:sz w:val="24"/>
                <w:szCs w:val="24"/>
                <w:lang w:eastAsia="lv-LV"/>
              </w:rPr>
              <w:t xml:space="preserve"> komercdarbības atbalstu</w:t>
            </w:r>
            <w:r w:rsidR="000B26CD">
              <w:rPr>
                <w:sz w:val="24"/>
                <w:szCs w:val="24"/>
                <w:lang w:eastAsia="lv-LV"/>
              </w:rPr>
              <w:t xml:space="preserve"> Līguma par Eiropas Savienības darbību 107.panta izpratnē</w:t>
            </w:r>
            <w:r w:rsidRPr="000B26CD">
              <w:rPr>
                <w:sz w:val="24"/>
                <w:szCs w:val="24"/>
                <w:lang w:eastAsia="lv-LV"/>
              </w:rPr>
              <w:t>.</w:t>
            </w:r>
          </w:p>
          <w:p w14:paraId="2B76414C" w14:textId="20E8B05A" w:rsidR="004A42AE" w:rsidRDefault="00DA7BE1" w:rsidP="004A42AE">
            <w:pPr>
              <w:spacing w:after="0" w:line="240" w:lineRule="auto"/>
              <w:ind w:left="129" w:right="82" w:firstLine="567"/>
              <w:jc w:val="both"/>
              <w:rPr>
                <w:sz w:val="24"/>
                <w:szCs w:val="24"/>
                <w:lang w:eastAsia="lv-LV"/>
              </w:rPr>
            </w:pPr>
            <w:r>
              <w:rPr>
                <w:sz w:val="24"/>
                <w:szCs w:val="24"/>
                <w:lang w:eastAsia="lv-LV"/>
              </w:rPr>
              <w:t>Atbilstoši SIA “</w:t>
            </w:r>
            <w:proofErr w:type="spellStart"/>
            <w:r>
              <w:rPr>
                <w:sz w:val="24"/>
                <w:szCs w:val="24"/>
                <w:lang w:eastAsia="lv-LV"/>
              </w:rPr>
              <w:t>Interbaltija</w:t>
            </w:r>
            <w:proofErr w:type="spellEnd"/>
            <w:r>
              <w:rPr>
                <w:sz w:val="24"/>
                <w:szCs w:val="24"/>
                <w:lang w:eastAsia="lv-LV"/>
              </w:rPr>
              <w:t xml:space="preserve">” </w:t>
            </w:r>
            <w:r w:rsidRPr="00DA7BE1">
              <w:rPr>
                <w:sz w:val="24"/>
                <w:szCs w:val="24"/>
                <w:lang w:eastAsia="lv-LV"/>
              </w:rPr>
              <w:t>2021.gada 21.janvār</w:t>
            </w:r>
            <w:r>
              <w:rPr>
                <w:sz w:val="24"/>
                <w:szCs w:val="24"/>
                <w:lang w:eastAsia="lv-LV"/>
              </w:rPr>
              <w:t xml:space="preserve">a vērtējumā sniegtajam atzinumam zemesgabala vērtība </w:t>
            </w:r>
            <w:r>
              <w:t xml:space="preserve"> </w:t>
            </w:r>
            <w:r w:rsidRPr="00DA7BE1">
              <w:rPr>
                <w:sz w:val="24"/>
                <w:szCs w:val="24"/>
                <w:lang w:eastAsia="lv-LV"/>
              </w:rPr>
              <w:t>2021.gada 15.janvārī ir  noapaļoti aprēķināta</w:t>
            </w:r>
            <w:r>
              <w:rPr>
                <w:sz w:val="24"/>
                <w:szCs w:val="24"/>
                <w:lang w:eastAsia="lv-LV"/>
              </w:rPr>
              <w:t xml:space="preserve"> </w:t>
            </w:r>
            <w:r w:rsidRPr="00DA7BE1">
              <w:rPr>
                <w:sz w:val="24"/>
                <w:szCs w:val="24"/>
                <w:lang w:eastAsia="lv-LV"/>
              </w:rPr>
              <w:t xml:space="preserve">252 000 (divi simti piecdesmit divi tūkstoši) </w:t>
            </w:r>
            <w:proofErr w:type="spellStart"/>
            <w:r w:rsidRPr="00DA7BE1">
              <w:rPr>
                <w:i/>
                <w:iCs/>
                <w:sz w:val="24"/>
                <w:szCs w:val="24"/>
                <w:lang w:eastAsia="lv-LV"/>
              </w:rPr>
              <w:t>euro</w:t>
            </w:r>
            <w:proofErr w:type="spellEnd"/>
            <w:r>
              <w:rPr>
                <w:sz w:val="24"/>
                <w:szCs w:val="24"/>
                <w:lang w:eastAsia="lv-LV"/>
              </w:rPr>
              <w:t xml:space="preserve"> apmērā. </w:t>
            </w:r>
            <w:r w:rsidR="006C34F3">
              <w:t xml:space="preserve"> </w:t>
            </w:r>
            <w:r w:rsidR="006C34F3" w:rsidRPr="006C34F3">
              <w:rPr>
                <w:sz w:val="24"/>
                <w:szCs w:val="24"/>
                <w:lang w:eastAsia="lv-LV"/>
              </w:rPr>
              <w:t>Komerclikuma 154. panta 3.</w:t>
            </w:r>
            <w:r w:rsidR="006C34F3" w:rsidRPr="006C34F3">
              <w:rPr>
                <w:sz w:val="24"/>
                <w:szCs w:val="24"/>
                <w:vertAlign w:val="superscript"/>
                <w:lang w:eastAsia="lv-LV"/>
              </w:rPr>
              <w:t>2</w:t>
            </w:r>
            <w:r w:rsidR="006C34F3" w:rsidRPr="006C34F3">
              <w:rPr>
                <w:sz w:val="24"/>
                <w:szCs w:val="24"/>
                <w:lang w:eastAsia="lv-LV"/>
              </w:rPr>
              <w:t xml:space="preserve">daļa nosaka, ka atzinums par mantiskā ieguldījuma novērtēšanu ir spēkā sešus mēnešus no tā sastādīšanas dienas, tādēļ nepieciešamības gadījumā, ja šis termiņš būs notecējis, tiks nodrošināta atkārtota aktualizēta atzinumu sagatavošana pirms </w:t>
            </w:r>
            <w:r w:rsidR="006C34F3">
              <w:rPr>
                <w:sz w:val="24"/>
                <w:szCs w:val="24"/>
                <w:lang w:eastAsia="lv-LV"/>
              </w:rPr>
              <w:t>dalībnieku</w:t>
            </w:r>
            <w:r w:rsidR="006C34F3" w:rsidRPr="006C34F3">
              <w:rPr>
                <w:sz w:val="24"/>
                <w:szCs w:val="24"/>
                <w:lang w:eastAsia="lv-LV"/>
              </w:rPr>
              <w:t xml:space="preserve"> sapulces lēmuma par pamatkapitāla palielināšanu</w:t>
            </w:r>
            <w:r w:rsidR="0032246A">
              <w:rPr>
                <w:sz w:val="24"/>
                <w:szCs w:val="24"/>
                <w:lang w:eastAsia="lv-LV"/>
              </w:rPr>
              <w:t>.</w:t>
            </w:r>
            <w:r w:rsidR="004A42AE">
              <w:rPr>
                <w:sz w:val="24"/>
                <w:szCs w:val="24"/>
                <w:lang w:eastAsia="lv-LV"/>
              </w:rPr>
              <w:t xml:space="preserve"> </w:t>
            </w:r>
          </w:p>
          <w:p w14:paraId="04C94E6C" w14:textId="77777777" w:rsidR="006C34F3" w:rsidRDefault="006C34F3" w:rsidP="006C34F3">
            <w:pPr>
              <w:spacing w:after="0" w:line="240" w:lineRule="auto"/>
              <w:ind w:left="129" w:right="82" w:firstLine="567"/>
              <w:jc w:val="both"/>
              <w:rPr>
                <w:sz w:val="24"/>
                <w:szCs w:val="24"/>
                <w:lang w:eastAsia="lv-LV"/>
              </w:rPr>
            </w:pPr>
            <w:r>
              <w:rPr>
                <w:sz w:val="24"/>
                <w:szCs w:val="24"/>
                <w:lang w:eastAsia="lv-LV"/>
              </w:rPr>
              <w:t xml:space="preserve">Zemesgabals </w:t>
            </w:r>
            <w:r w:rsidRPr="006C34F3">
              <w:rPr>
                <w:sz w:val="24"/>
                <w:szCs w:val="24"/>
                <w:lang w:eastAsia="lv-LV"/>
              </w:rPr>
              <w:t>tiks ieguldīt</w:t>
            </w:r>
            <w:r>
              <w:rPr>
                <w:sz w:val="24"/>
                <w:szCs w:val="24"/>
                <w:lang w:eastAsia="lv-LV"/>
              </w:rPr>
              <w:t>s LNMC</w:t>
            </w:r>
            <w:r w:rsidRPr="006C34F3">
              <w:rPr>
                <w:sz w:val="24"/>
                <w:szCs w:val="24"/>
                <w:lang w:eastAsia="lv-LV"/>
              </w:rPr>
              <w:t xml:space="preserve"> pamatkapitālā pēc tam, kad </w:t>
            </w:r>
            <w:r>
              <w:rPr>
                <w:sz w:val="24"/>
                <w:szCs w:val="24"/>
                <w:lang w:eastAsia="lv-LV"/>
              </w:rPr>
              <w:t xml:space="preserve">tiks pieņemts </w:t>
            </w:r>
            <w:proofErr w:type="spellStart"/>
            <w:r>
              <w:rPr>
                <w:sz w:val="24"/>
                <w:szCs w:val="24"/>
                <w:lang w:eastAsia="lv-LV"/>
              </w:rPr>
              <w:t>atbilstoš</w:t>
            </w:r>
            <w:proofErr w:type="spellEnd"/>
            <w:r>
              <w:rPr>
                <w:sz w:val="24"/>
                <w:szCs w:val="24"/>
                <w:lang w:eastAsia="lv-LV"/>
              </w:rPr>
              <w:t xml:space="preserve"> dalībnieka lēmums. </w:t>
            </w:r>
            <w:r w:rsidR="004A42AE">
              <w:rPr>
                <w:sz w:val="24"/>
                <w:szCs w:val="24"/>
                <w:lang w:eastAsia="lv-LV"/>
              </w:rPr>
              <w:t xml:space="preserve">LNMC pamatkapitāls ir </w:t>
            </w:r>
            <w:r w:rsidR="004A42AE" w:rsidRPr="004A42AE">
              <w:rPr>
                <w:sz w:val="24"/>
                <w:szCs w:val="24"/>
                <w:lang w:eastAsia="lv-LV"/>
              </w:rPr>
              <w:t xml:space="preserve"> 633</w:t>
            </w:r>
            <w:r w:rsidR="004A42AE">
              <w:rPr>
                <w:sz w:val="24"/>
                <w:szCs w:val="24"/>
                <w:lang w:eastAsia="lv-LV"/>
              </w:rPr>
              <w:t xml:space="preserve"> </w:t>
            </w:r>
            <w:r w:rsidR="004A42AE" w:rsidRPr="004A42AE">
              <w:rPr>
                <w:sz w:val="24"/>
                <w:szCs w:val="24"/>
                <w:lang w:eastAsia="lv-LV"/>
              </w:rPr>
              <w:t>463</w:t>
            </w:r>
            <w:r w:rsidR="004A42AE">
              <w:rPr>
                <w:sz w:val="24"/>
                <w:szCs w:val="24"/>
                <w:lang w:eastAsia="lv-LV"/>
              </w:rPr>
              <w:t xml:space="preserve"> (seši simti </w:t>
            </w:r>
            <w:proofErr w:type="spellStart"/>
            <w:r w:rsidR="004A42AE">
              <w:rPr>
                <w:sz w:val="24"/>
                <w:szCs w:val="24"/>
                <w:lang w:eastAsia="lv-LV"/>
              </w:rPr>
              <w:t>trīsdesmi</w:t>
            </w:r>
            <w:proofErr w:type="spellEnd"/>
            <w:r w:rsidR="004A42AE">
              <w:rPr>
                <w:sz w:val="24"/>
                <w:szCs w:val="24"/>
                <w:lang w:eastAsia="lv-LV"/>
              </w:rPr>
              <w:t xml:space="preserve"> trīs tūkstoši četri simti sešdesmit trīs) </w:t>
            </w:r>
            <w:proofErr w:type="spellStart"/>
            <w:r w:rsidR="004A42AE" w:rsidRPr="004A42AE">
              <w:rPr>
                <w:i/>
                <w:iCs/>
                <w:sz w:val="24"/>
                <w:szCs w:val="24"/>
                <w:lang w:eastAsia="lv-LV"/>
              </w:rPr>
              <w:t>euro</w:t>
            </w:r>
            <w:proofErr w:type="spellEnd"/>
            <w:r w:rsidR="004A42AE">
              <w:rPr>
                <w:sz w:val="24"/>
                <w:szCs w:val="24"/>
                <w:lang w:eastAsia="lv-LV"/>
              </w:rPr>
              <w:t xml:space="preserve"> </w:t>
            </w:r>
            <w:r w:rsidR="004A42AE">
              <w:t xml:space="preserve"> </w:t>
            </w:r>
            <w:r w:rsidR="004A42AE" w:rsidRPr="004A42AE">
              <w:rPr>
                <w:sz w:val="24"/>
                <w:szCs w:val="24"/>
                <w:lang w:eastAsia="lv-LV"/>
              </w:rPr>
              <w:t xml:space="preserve">Ieguldot </w:t>
            </w:r>
            <w:r w:rsidR="004A42AE">
              <w:rPr>
                <w:sz w:val="24"/>
                <w:szCs w:val="24"/>
                <w:lang w:eastAsia="lv-LV"/>
              </w:rPr>
              <w:t xml:space="preserve"> LNMC </w:t>
            </w:r>
            <w:r w:rsidR="004A42AE" w:rsidRPr="004A42AE">
              <w:rPr>
                <w:sz w:val="24"/>
                <w:szCs w:val="24"/>
                <w:lang w:eastAsia="lv-LV"/>
              </w:rPr>
              <w:t xml:space="preserve">pamatkapitālā </w:t>
            </w:r>
            <w:r w:rsidR="004A42AE">
              <w:rPr>
                <w:sz w:val="24"/>
                <w:szCs w:val="24"/>
                <w:lang w:eastAsia="lv-LV"/>
              </w:rPr>
              <w:t>zemesgabalu</w:t>
            </w:r>
            <w:r w:rsidR="004A42AE" w:rsidRPr="004A42AE">
              <w:rPr>
                <w:sz w:val="24"/>
                <w:szCs w:val="24"/>
                <w:lang w:eastAsia="lv-LV"/>
              </w:rPr>
              <w:t xml:space="preserve">, </w:t>
            </w:r>
            <w:r w:rsidR="004A42AE">
              <w:rPr>
                <w:sz w:val="24"/>
                <w:szCs w:val="24"/>
                <w:lang w:eastAsia="lv-LV"/>
              </w:rPr>
              <w:t xml:space="preserve">LNMC </w:t>
            </w:r>
            <w:r w:rsidR="004A42AE" w:rsidRPr="004A42AE">
              <w:rPr>
                <w:sz w:val="24"/>
                <w:szCs w:val="24"/>
                <w:lang w:eastAsia="lv-LV"/>
              </w:rPr>
              <w:t xml:space="preserve">pamatkapitāls palielināsies par 252 000 </w:t>
            </w:r>
            <w:proofErr w:type="spellStart"/>
            <w:r w:rsidR="004A42AE" w:rsidRPr="004A42AE">
              <w:rPr>
                <w:i/>
                <w:iCs/>
                <w:sz w:val="24"/>
                <w:szCs w:val="24"/>
                <w:lang w:eastAsia="lv-LV"/>
              </w:rPr>
              <w:t>euro</w:t>
            </w:r>
            <w:proofErr w:type="spellEnd"/>
            <w:r w:rsidR="004A42AE" w:rsidRPr="004A42AE">
              <w:rPr>
                <w:sz w:val="24"/>
                <w:szCs w:val="24"/>
                <w:lang w:eastAsia="lv-LV"/>
              </w:rPr>
              <w:t xml:space="preserve"> , </w:t>
            </w:r>
            <w:r>
              <w:rPr>
                <w:sz w:val="24"/>
                <w:szCs w:val="24"/>
                <w:lang w:eastAsia="lv-LV"/>
              </w:rPr>
              <w:t>l</w:t>
            </w:r>
            <w:r w:rsidR="004A42AE" w:rsidRPr="004A42AE">
              <w:rPr>
                <w:sz w:val="24"/>
                <w:szCs w:val="24"/>
                <w:lang w:eastAsia="lv-LV"/>
              </w:rPr>
              <w:t xml:space="preserve">īdz ar to </w:t>
            </w:r>
            <w:r>
              <w:rPr>
                <w:sz w:val="24"/>
                <w:szCs w:val="24"/>
                <w:lang w:eastAsia="lv-LV"/>
              </w:rPr>
              <w:t>LNMC</w:t>
            </w:r>
            <w:r w:rsidR="004A42AE" w:rsidRPr="004A42AE">
              <w:rPr>
                <w:sz w:val="24"/>
                <w:szCs w:val="24"/>
                <w:lang w:eastAsia="lv-LV"/>
              </w:rPr>
              <w:t xml:space="preserve"> pamatkapitāls pēc tā palielināšanas būs  </w:t>
            </w:r>
            <w:r>
              <w:rPr>
                <w:sz w:val="24"/>
                <w:szCs w:val="24"/>
                <w:lang w:eastAsia="lv-LV"/>
              </w:rPr>
              <w:t xml:space="preserve">885 463 </w:t>
            </w:r>
            <w:r w:rsidRPr="006C34F3">
              <w:rPr>
                <w:sz w:val="24"/>
                <w:szCs w:val="24"/>
                <w:lang w:eastAsia="lv-LV"/>
              </w:rPr>
              <w:t>(</w:t>
            </w:r>
            <w:r>
              <w:rPr>
                <w:sz w:val="24"/>
                <w:szCs w:val="24"/>
                <w:lang w:eastAsia="lv-LV"/>
              </w:rPr>
              <w:t>astoņi</w:t>
            </w:r>
            <w:r w:rsidRPr="006C34F3">
              <w:rPr>
                <w:sz w:val="24"/>
                <w:szCs w:val="24"/>
                <w:lang w:eastAsia="lv-LV"/>
              </w:rPr>
              <w:t xml:space="preserve"> simti </w:t>
            </w:r>
            <w:r>
              <w:rPr>
                <w:sz w:val="24"/>
                <w:szCs w:val="24"/>
                <w:lang w:eastAsia="lv-LV"/>
              </w:rPr>
              <w:t>astoņdesmit pieci</w:t>
            </w:r>
            <w:r w:rsidRPr="006C34F3">
              <w:rPr>
                <w:sz w:val="24"/>
                <w:szCs w:val="24"/>
                <w:lang w:eastAsia="lv-LV"/>
              </w:rPr>
              <w:t xml:space="preserve"> tūkstoši četri simti sešdesmit trīs) </w:t>
            </w:r>
            <w:proofErr w:type="spellStart"/>
            <w:r w:rsidR="004A42AE" w:rsidRPr="00DA7BE1">
              <w:rPr>
                <w:i/>
                <w:iCs/>
                <w:sz w:val="24"/>
                <w:szCs w:val="24"/>
                <w:lang w:eastAsia="lv-LV"/>
              </w:rPr>
              <w:t>euro</w:t>
            </w:r>
            <w:proofErr w:type="spellEnd"/>
            <w:r w:rsidR="004A42AE">
              <w:rPr>
                <w:sz w:val="24"/>
                <w:szCs w:val="24"/>
                <w:lang w:eastAsia="lv-LV"/>
              </w:rPr>
              <w:t>.</w:t>
            </w:r>
          </w:p>
          <w:p w14:paraId="2AAE1A1B" w14:textId="4CDB5547" w:rsidR="00BA1421" w:rsidRPr="00DA7BE1" w:rsidRDefault="00BA1421" w:rsidP="006C34F3">
            <w:pPr>
              <w:spacing w:after="0" w:line="240" w:lineRule="auto"/>
              <w:ind w:left="129" w:right="82" w:firstLine="567"/>
              <w:jc w:val="both"/>
              <w:rPr>
                <w:sz w:val="24"/>
                <w:szCs w:val="24"/>
                <w:lang w:eastAsia="lv-LV"/>
              </w:rPr>
            </w:pPr>
            <w:r>
              <w:rPr>
                <w:sz w:val="24"/>
                <w:szCs w:val="24"/>
                <w:lang w:eastAsia="lv-LV"/>
              </w:rPr>
              <w:t>Administratīvā sloga mazināšanai Rīkojuma projekts paredz pilnvarot LNMC veikt nepieciešamās darbības īpašuma tiesību uz zemesgabalu reģistrēšanai zemesgrāmatā, t.sk., sākotnējai ierakstīšanai zemesgrāmatā uz valsts vārda Ekonomikas ministrijas personā.</w:t>
            </w:r>
          </w:p>
        </w:tc>
      </w:tr>
      <w:tr w:rsidR="00BA1421" w:rsidRPr="005D196F" w14:paraId="668A96E0" w14:textId="77777777" w:rsidTr="00A81779">
        <w:trPr>
          <w:trHeight w:val="681"/>
          <w:tblCellSpacing w:w="20" w:type="dxa"/>
        </w:trPr>
        <w:tc>
          <w:tcPr>
            <w:tcW w:w="550" w:type="dxa"/>
          </w:tcPr>
          <w:p w14:paraId="62C9BCE2" w14:textId="77777777" w:rsidR="005D196F" w:rsidRPr="005D196F" w:rsidRDefault="005D196F" w:rsidP="005D196F">
            <w:pPr>
              <w:spacing w:after="0" w:line="240" w:lineRule="auto"/>
              <w:rPr>
                <w:sz w:val="24"/>
                <w:szCs w:val="24"/>
                <w:lang w:eastAsia="lv-LV"/>
              </w:rPr>
            </w:pPr>
            <w:r w:rsidRPr="005D196F">
              <w:rPr>
                <w:sz w:val="24"/>
                <w:szCs w:val="24"/>
                <w:lang w:eastAsia="lv-LV"/>
              </w:rPr>
              <w:lastRenderedPageBreak/>
              <w:t>3.</w:t>
            </w:r>
          </w:p>
        </w:tc>
        <w:tc>
          <w:tcPr>
            <w:tcW w:w="3566" w:type="dxa"/>
          </w:tcPr>
          <w:p w14:paraId="70600BBB"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Projekta izstrādē iesaistītās institūcijas</w:t>
            </w:r>
          </w:p>
        </w:tc>
        <w:tc>
          <w:tcPr>
            <w:tcW w:w="5609" w:type="dxa"/>
          </w:tcPr>
          <w:p w14:paraId="2FAEF8C6" w14:textId="2CCE30E1" w:rsidR="005D196F" w:rsidRPr="005D196F" w:rsidRDefault="00631914" w:rsidP="005D196F">
            <w:pPr>
              <w:spacing w:after="0" w:line="240" w:lineRule="auto"/>
              <w:rPr>
                <w:sz w:val="24"/>
                <w:szCs w:val="24"/>
                <w:lang w:eastAsia="lv-LV"/>
              </w:rPr>
            </w:pPr>
            <w:r>
              <w:rPr>
                <w:sz w:val="24"/>
                <w:szCs w:val="24"/>
                <w:lang w:eastAsia="lv-LV"/>
              </w:rPr>
              <w:t>Ekonomikas ministrija</w:t>
            </w:r>
            <w:r w:rsidR="005D196F" w:rsidRPr="005D196F">
              <w:rPr>
                <w:sz w:val="24"/>
                <w:szCs w:val="24"/>
                <w:lang w:eastAsia="lv-LV"/>
              </w:rPr>
              <w:t xml:space="preserve"> un </w:t>
            </w:r>
            <w:r>
              <w:rPr>
                <w:sz w:val="24"/>
                <w:szCs w:val="24"/>
                <w:lang w:eastAsia="lv-LV"/>
              </w:rPr>
              <w:t>LNMC</w:t>
            </w:r>
            <w:r w:rsidR="005D196F" w:rsidRPr="005D196F">
              <w:rPr>
                <w:sz w:val="24"/>
                <w:szCs w:val="24"/>
                <w:lang w:eastAsia="lv-LV"/>
              </w:rPr>
              <w:t>.</w:t>
            </w:r>
          </w:p>
        </w:tc>
      </w:tr>
      <w:tr w:rsidR="00BA1421" w:rsidRPr="005D196F" w14:paraId="4E4ED974" w14:textId="77777777" w:rsidTr="00A81779">
        <w:trPr>
          <w:tblCellSpacing w:w="20" w:type="dxa"/>
        </w:trPr>
        <w:tc>
          <w:tcPr>
            <w:tcW w:w="550" w:type="dxa"/>
          </w:tcPr>
          <w:p w14:paraId="6DCAEC22" w14:textId="77777777" w:rsidR="005D196F" w:rsidRPr="005D196F" w:rsidRDefault="005D196F" w:rsidP="005D196F">
            <w:pPr>
              <w:spacing w:after="0" w:line="240" w:lineRule="auto"/>
              <w:rPr>
                <w:sz w:val="24"/>
                <w:szCs w:val="24"/>
                <w:lang w:eastAsia="lv-LV"/>
              </w:rPr>
            </w:pPr>
            <w:r w:rsidRPr="005D196F">
              <w:rPr>
                <w:sz w:val="24"/>
                <w:szCs w:val="24"/>
                <w:lang w:eastAsia="lv-LV"/>
              </w:rPr>
              <w:t>4.</w:t>
            </w:r>
          </w:p>
        </w:tc>
        <w:tc>
          <w:tcPr>
            <w:tcW w:w="3566" w:type="dxa"/>
          </w:tcPr>
          <w:p w14:paraId="1CD1CF9C" w14:textId="77777777" w:rsidR="005D196F" w:rsidRPr="005D196F" w:rsidRDefault="005D196F" w:rsidP="005D196F">
            <w:pPr>
              <w:spacing w:after="0" w:line="240" w:lineRule="auto"/>
              <w:ind w:left="154"/>
              <w:rPr>
                <w:sz w:val="24"/>
                <w:szCs w:val="24"/>
                <w:lang w:eastAsia="lv-LV"/>
              </w:rPr>
            </w:pPr>
            <w:r w:rsidRPr="005D196F">
              <w:rPr>
                <w:sz w:val="24"/>
                <w:szCs w:val="24"/>
                <w:lang w:eastAsia="lv-LV"/>
              </w:rPr>
              <w:t>Cita informācija</w:t>
            </w:r>
          </w:p>
        </w:tc>
        <w:tc>
          <w:tcPr>
            <w:tcW w:w="5609" w:type="dxa"/>
          </w:tcPr>
          <w:p w14:paraId="381665DE" w14:textId="77777777" w:rsidR="005D196F" w:rsidRPr="005D196F" w:rsidRDefault="005D196F" w:rsidP="005D196F">
            <w:pPr>
              <w:spacing w:after="0" w:line="240" w:lineRule="auto"/>
              <w:jc w:val="both"/>
              <w:rPr>
                <w:sz w:val="24"/>
                <w:szCs w:val="24"/>
                <w:lang w:eastAsia="lv-LV"/>
              </w:rPr>
            </w:pPr>
            <w:r w:rsidRPr="005D196F">
              <w:rPr>
                <w:sz w:val="24"/>
                <w:szCs w:val="24"/>
                <w:lang w:eastAsia="lv-LV"/>
              </w:rPr>
              <w:t>Nav</w:t>
            </w:r>
          </w:p>
        </w:tc>
      </w:tr>
    </w:tbl>
    <w:p w14:paraId="41F90EE2" w14:textId="47AAAE03" w:rsidR="005D196F" w:rsidRDefault="005D196F" w:rsidP="005D196F">
      <w:pPr>
        <w:spacing w:after="0" w:line="240" w:lineRule="auto"/>
        <w:jc w:val="both"/>
        <w:rPr>
          <w:sz w:val="24"/>
          <w:szCs w:val="24"/>
          <w:lang w:eastAsia="lv-LV"/>
        </w:rPr>
      </w:pPr>
    </w:p>
    <w:tbl>
      <w:tblPr>
        <w:tblW w:w="5557"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4"/>
      </w:tblGrid>
      <w:tr w:rsidR="004A42AE" w:rsidRPr="004A42AE" w14:paraId="08AD6B4E" w14:textId="77777777" w:rsidTr="004A42AE">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C5A8BAF" w14:textId="77777777" w:rsidR="004A42AE" w:rsidRPr="004A42AE" w:rsidRDefault="004A42AE" w:rsidP="004A42AE">
            <w:pPr>
              <w:spacing w:after="0" w:line="240" w:lineRule="auto"/>
              <w:jc w:val="center"/>
              <w:rPr>
                <w:b/>
                <w:bCs/>
                <w:iCs/>
                <w:sz w:val="24"/>
                <w:szCs w:val="24"/>
                <w:lang w:eastAsia="lv-LV"/>
              </w:rPr>
            </w:pPr>
            <w:r w:rsidRPr="004A42AE">
              <w:rPr>
                <w:b/>
                <w:bCs/>
                <w:iCs/>
                <w:sz w:val="24"/>
                <w:szCs w:val="24"/>
                <w:lang w:eastAsia="lv-LV"/>
              </w:rPr>
              <w:lastRenderedPageBreak/>
              <w:t>II. Tiesību akta projekta ietekme uz sabiedrību, tautsaimniecības attīstību un administratīvo slogu</w:t>
            </w:r>
          </w:p>
        </w:tc>
      </w:tr>
      <w:tr w:rsidR="004A42AE" w:rsidRPr="004A42AE" w14:paraId="3EB6D92D" w14:textId="77777777" w:rsidTr="004A42AE">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7FFA41AF" w14:textId="77777777" w:rsidR="004A42AE" w:rsidRPr="004A42AE" w:rsidRDefault="004A42AE" w:rsidP="004A42AE">
            <w:pPr>
              <w:spacing w:after="0" w:line="240" w:lineRule="auto"/>
              <w:jc w:val="center"/>
              <w:rPr>
                <w:bCs/>
                <w:iCs/>
                <w:sz w:val="24"/>
                <w:szCs w:val="24"/>
                <w:lang w:eastAsia="lv-LV"/>
              </w:rPr>
            </w:pPr>
            <w:r w:rsidRPr="004A42AE">
              <w:rPr>
                <w:bCs/>
                <w:iCs/>
                <w:sz w:val="24"/>
                <w:szCs w:val="24"/>
                <w:lang w:eastAsia="lv-LV"/>
              </w:rPr>
              <w:t>Projekts šo jomu neskar</w:t>
            </w:r>
          </w:p>
        </w:tc>
      </w:tr>
    </w:tbl>
    <w:p w14:paraId="07B65DE8" w14:textId="77777777" w:rsidR="004A42AE" w:rsidRPr="004A42AE" w:rsidRDefault="004A42AE" w:rsidP="004A42AE">
      <w:pPr>
        <w:spacing w:after="0" w:line="240" w:lineRule="auto"/>
        <w:rPr>
          <w:iCs/>
          <w:sz w:val="24"/>
          <w:szCs w:val="24"/>
          <w:lang w:eastAsia="lv-LV"/>
        </w:rPr>
      </w:pPr>
      <w:r w:rsidRPr="004A42AE">
        <w:rPr>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4A42AE" w:rsidRPr="004A42AE" w14:paraId="196055DE" w14:textId="77777777" w:rsidTr="004A42AE">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A3D367D" w14:textId="77777777" w:rsidR="004A42AE" w:rsidRPr="004A42AE" w:rsidRDefault="004A42AE" w:rsidP="004A42AE">
            <w:pPr>
              <w:spacing w:after="0" w:line="240" w:lineRule="auto"/>
              <w:jc w:val="center"/>
              <w:rPr>
                <w:b/>
                <w:bCs/>
                <w:iCs/>
                <w:sz w:val="24"/>
                <w:szCs w:val="24"/>
                <w:lang w:eastAsia="lv-LV"/>
              </w:rPr>
            </w:pPr>
            <w:r w:rsidRPr="004A42AE">
              <w:rPr>
                <w:b/>
                <w:bCs/>
                <w:iCs/>
                <w:sz w:val="24"/>
                <w:szCs w:val="24"/>
                <w:lang w:eastAsia="lv-LV"/>
              </w:rPr>
              <w:t>III. Tiesību akta projekta ietekme uz valsts budžetu un pašvaldību budžetiem</w:t>
            </w:r>
          </w:p>
        </w:tc>
      </w:tr>
      <w:tr w:rsidR="004A42AE" w:rsidRPr="004A42AE" w14:paraId="4809037B" w14:textId="77777777" w:rsidTr="004A42AE">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1FCAF440" w14:textId="77777777" w:rsidR="004A42AE" w:rsidRPr="004A42AE" w:rsidRDefault="004A42AE" w:rsidP="004A42AE">
            <w:pPr>
              <w:spacing w:after="0" w:line="240" w:lineRule="auto"/>
              <w:jc w:val="center"/>
              <w:rPr>
                <w:bCs/>
                <w:iCs/>
                <w:sz w:val="24"/>
                <w:szCs w:val="24"/>
                <w:lang w:eastAsia="lv-LV"/>
              </w:rPr>
            </w:pPr>
            <w:r w:rsidRPr="004A42AE">
              <w:rPr>
                <w:bCs/>
                <w:iCs/>
                <w:sz w:val="24"/>
                <w:szCs w:val="24"/>
                <w:lang w:eastAsia="lv-LV"/>
              </w:rPr>
              <w:t>Projekts šo jomu neskar</w:t>
            </w:r>
          </w:p>
        </w:tc>
      </w:tr>
    </w:tbl>
    <w:p w14:paraId="003C1037" w14:textId="77777777" w:rsidR="005D196F" w:rsidRPr="005D196F" w:rsidRDefault="005D196F" w:rsidP="005D196F">
      <w:pPr>
        <w:spacing w:after="0" w:line="240" w:lineRule="auto"/>
        <w:ind w:firstLine="720"/>
        <w:rPr>
          <w:b/>
          <w:sz w:val="24"/>
          <w:szCs w:val="24"/>
          <w:lang w:eastAsia="lv-LV"/>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5D196F" w:rsidRPr="005D196F" w14:paraId="04EB7202" w14:textId="77777777" w:rsidTr="00A81779">
        <w:trPr>
          <w:tblCellSpacing w:w="20" w:type="dxa"/>
        </w:trPr>
        <w:tc>
          <w:tcPr>
            <w:tcW w:w="10037" w:type="dxa"/>
            <w:hideMark/>
          </w:tcPr>
          <w:p w14:paraId="1B46C475" w14:textId="77777777" w:rsidR="005D196F" w:rsidRPr="005D196F" w:rsidRDefault="005D196F" w:rsidP="005D196F">
            <w:pPr>
              <w:spacing w:after="0" w:line="240" w:lineRule="auto"/>
              <w:ind w:firstLine="601"/>
              <w:jc w:val="center"/>
              <w:rPr>
                <w:sz w:val="24"/>
                <w:szCs w:val="24"/>
                <w:lang w:eastAsia="lv-LV"/>
              </w:rPr>
            </w:pPr>
            <w:r w:rsidRPr="005D196F">
              <w:rPr>
                <w:b/>
                <w:bCs/>
                <w:sz w:val="24"/>
                <w:szCs w:val="24"/>
                <w:lang w:eastAsia="lv-LV"/>
              </w:rPr>
              <w:t xml:space="preserve">IV. </w:t>
            </w:r>
            <w:r w:rsidRPr="005D196F">
              <w:rPr>
                <w:b/>
                <w:bCs/>
                <w:sz w:val="24"/>
                <w:szCs w:val="24"/>
                <w:shd w:val="clear" w:color="auto" w:fill="FFFFFF"/>
                <w:lang w:eastAsia="lv-LV"/>
              </w:rPr>
              <w:t>Tiesību akta projekta ietekme uz spēkā esošo tiesību normu sistēmu</w:t>
            </w:r>
          </w:p>
        </w:tc>
      </w:tr>
      <w:tr w:rsidR="005D196F" w:rsidRPr="005D196F" w14:paraId="1B35DA2B" w14:textId="77777777" w:rsidTr="00A81779">
        <w:trPr>
          <w:tblCellSpacing w:w="20" w:type="dxa"/>
        </w:trPr>
        <w:tc>
          <w:tcPr>
            <w:tcW w:w="10037" w:type="dxa"/>
            <w:hideMark/>
          </w:tcPr>
          <w:p w14:paraId="57816CC0" w14:textId="77777777" w:rsidR="005D196F" w:rsidRPr="005D196F" w:rsidRDefault="005D196F" w:rsidP="005D196F">
            <w:pPr>
              <w:spacing w:before="75" w:after="75" w:line="240" w:lineRule="auto"/>
              <w:jc w:val="center"/>
              <w:rPr>
                <w:sz w:val="24"/>
                <w:szCs w:val="24"/>
                <w:lang w:eastAsia="lv-LV"/>
              </w:rPr>
            </w:pPr>
            <w:r w:rsidRPr="005D196F">
              <w:rPr>
                <w:sz w:val="24"/>
                <w:szCs w:val="24"/>
                <w:shd w:val="clear" w:color="auto" w:fill="FFFFFF"/>
                <w:lang w:eastAsia="lv-LV"/>
              </w:rPr>
              <w:t>Projekts šo jomu neskar</w:t>
            </w:r>
          </w:p>
        </w:tc>
      </w:tr>
    </w:tbl>
    <w:p w14:paraId="7BFF63FB" w14:textId="77777777" w:rsidR="005D196F" w:rsidRPr="005D196F" w:rsidRDefault="005D196F" w:rsidP="005D196F">
      <w:pPr>
        <w:spacing w:after="0" w:line="240" w:lineRule="auto"/>
        <w:ind w:firstLine="720"/>
        <w:rPr>
          <w:b/>
          <w:sz w:val="24"/>
          <w:szCs w:val="24"/>
          <w:lang w:eastAsia="lv-LV"/>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5D196F" w:rsidRPr="005D196F" w14:paraId="449389D9" w14:textId="77777777" w:rsidTr="00A81779">
        <w:trPr>
          <w:tblCellSpacing w:w="20" w:type="dxa"/>
        </w:trPr>
        <w:tc>
          <w:tcPr>
            <w:tcW w:w="10037" w:type="dxa"/>
            <w:hideMark/>
          </w:tcPr>
          <w:p w14:paraId="0FAB9583" w14:textId="77777777" w:rsidR="005D196F" w:rsidRPr="005D196F" w:rsidRDefault="005D196F" w:rsidP="005D196F">
            <w:pPr>
              <w:spacing w:after="0" w:line="240" w:lineRule="auto"/>
              <w:ind w:firstLine="601"/>
              <w:jc w:val="center"/>
              <w:rPr>
                <w:sz w:val="24"/>
                <w:szCs w:val="24"/>
                <w:lang w:eastAsia="lv-LV"/>
              </w:rPr>
            </w:pPr>
            <w:bookmarkStart w:id="0" w:name="_Hlk51585483"/>
            <w:r w:rsidRPr="005D196F">
              <w:rPr>
                <w:b/>
                <w:bCs/>
                <w:sz w:val="24"/>
                <w:szCs w:val="24"/>
                <w:lang w:eastAsia="lv-LV"/>
              </w:rPr>
              <w:t xml:space="preserve">V. </w:t>
            </w:r>
            <w:r w:rsidRPr="005D196F">
              <w:rPr>
                <w:b/>
                <w:bCs/>
                <w:sz w:val="24"/>
                <w:szCs w:val="24"/>
                <w:shd w:val="clear" w:color="auto" w:fill="FFFFFF"/>
                <w:lang w:eastAsia="lv-LV"/>
              </w:rPr>
              <w:t>Tiesību akta projekta atbilstība Latvijas Republikas starptautiskajām saistībām</w:t>
            </w:r>
          </w:p>
        </w:tc>
      </w:tr>
      <w:bookmarkEnd w:id="0"/>
      <w:tr w:rsidR="005D196F" w:rsidRPr="005D196F" w14:paraId="3013005C" w14:textId="77777777" w:rsidTr="00A81779">
        <w:trPr>
          <w:tblCellSpacing w:w="20" w:type="dxa"/>
        </w:trPr>
        <w:tc>
          <w:tcPr>
            <w:tcW w:w="10037" w:type="dxa"/>
            <w:hideMark/>
          </w:tcPr>
          <w:p w14:paraId="6B1C19B4" w14:textId="77777777" w:rsidR="005D196F" w:rsidRPr="005D196F" w:rsidRDefault="005D196F" w:rsidP="005D196F">
            <w:pPr>
              <w:spacing w:before="75" w:after="75" w:line="240" w:lineRule="auto"/>
              <w:jc w:val="center"/>
              <w:rPr>
                <w:sz w:val="24"/>
                <w:szCs w:val="24"/>
                <w:lang w:eastAsia="lv-LV"/>
              </w:rPr>
            </w:pPr>
            <w:r w:rsidRPr="005D196F">
              <w:rPr>
                <w:sz w:val="24"/>
                <w:szCs w:val="24"/>
                <w:shd w:val="clear" w:color="auto" w:fill="FFFFFF"/>
                <w:lang w:eastAsia="lv-LV"/>
              </w:rPr>
              <w:t>Projekts šo jomu neskar</w:t>
            </w:r>
          </w:p>
        </w:tc>
      </w:tr>
    </w:tbl>
    <w:p w14:paraId="64018789" w14:textId="442CD5AC" w:rsidR="005D196F" w:rsidRDefault="005D196F" w:rsidP="004A42AE">
      <w:pPr>
        <w:spacing w:after="0" w:line="240" w:lineRule="auto"/>
        <w:rPr>
          <w:b/>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4A42AE" w:rsidRPr="004A42AE" w14:paraId="78145A0A" w14:textId="77777777" w:rsidTr="004A42AE">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43CB5BA" w14:textId="77777777" w:rsidR="004A42AE" w:rsidRPr="004A42AE" w:rsidRDefault="004A42AE" w:rsidP="004A42AE">
            <w:pPr>
              <w:spacing w:after="0" w:line="240" w:lineRule="auto"/>
              <w:jc w:val="center"/>
              <w:rPr>
                <w:b/>
                <w:bCs/>
                <w:iCs/>
                <w:sz w:val="24"/>
                <w:szCs w:val="24"/>
                <w:lang w:eastAsia="lv-LV"/>
              </w:rPr>
            </w:pPr>
            <w:r w:rsidRPr="004A42AE">
              <w:rPr>
                <w:b/>
                <w:bCs/>
                <w:iCs/>
                <w:sz w:val="24"/>
                <w:szCs w:val="24"/>
                <w:lang w:eastAsia="lv-LV"/>
              </w:rPr>
              <w:t>VI. Sabiedrības līdzdalība un komunikācijas aktivitātes</w:t>
            </w:r>
          </w:p>
        </w:tc>
      </w:tr>
      <w:tr w:rsidR="004A42AE" w:rsidRPr="004A42AE" w14:paraId="06CC7DB4" w14:textId="77777777" w:rsidTr="004A42AE">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3FCF17AF" w14:textId="77777777" w:rsidR="004A42AE" w:rsidRPr="004A42AE" w:rsidRDefault="004A42AE" w:rsidP="004A42AE">
            <w:pPr>
              <w:spacing w:after="0" w:line="240" w:lineRule="auto"/>
              <w:jc w:val="center"/>
              <w:rPr>
                <w:bCs/>
                <w:iCs/>
                <w:sz w:val="24"/>
                <w:szCs w:val="24"/>
                <w:lang w:eastAsia="lv-LV"/>
              </w:rPr>
            </w:pPr>
            <w:r w:rsidRPr="004A42AE">
              <w:rPr>
                <w:bCs/>
                <w:iCs/>
                <w:sz w:val="24"/>
                <w:szCs w:val="24"/>
                <w:lang w:eastAsia="lv-LV"/>
              </w:rPr>
              <w:t>Projekts šo jomu neskar</w:t>
            </w:r>
          </w:p>
        </w:tc>
      </w:tr>
    </w:tbl>
    <w:tbl>
      <w:tblPr>
        <w:tblStyle w:val="TableGrid"/>
        <w:tblW w:w="10065"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3"/>
        <w:gridCol w:w="3123"/>
        <w:gridCol w:w="6179"/>
      </w:tblGrid>
      <w:tr w:rsidR="005D196F" w:rsidRPr="005D196F" w14:paraId="271DCC3E" w14:textId="77777777" w:rsidTr="004A42AE">
        <w:trPr>
          <w:tblCellSpacing w:w="20" w:type="dxa"/>
        </w:trPr>
        <w:tc>
          <w:tcPr>
            <w:tcW w:w="9985" w:type="dxa"/>
            <w:gridSpan w:val="3"/>
            <w:hideMark/>
          </w:tcPr>
          <w:p w14:paraId="38516F0B" w14:textId="77777777" w:rsidR="005D196F" w:rsidRPr="005D196F" w:rsidRDefault="005D196F" w:rsidP="005D196F">
            <w:pPr>
              <w:spacing w:after="0" w:line="240" w:lineRule="auto"/>
              <w:ind w:firstLine="601"/>
              <w:jc w:val="center"/>
              <w:rPr>
                <w:rFonts w:ascii="Times New Roman" w:hAnsi="Times New Roman" w:cs="Times New Roman"/>
                <w:sz w:val="24"/>
                <w:szCs w:val="24"/>
                <w:lang w:eastAsia="lv-LV"/>
              </w:rPr>
            </w:pPr>
            <w:r w:rsidRPr="005D196F">
              <w:rPr>
                <w:rFonts w:ascii="Times New Roman" w:hAnsi="Times New Roman" w:cs="Times New Roman"/>
                <w:b/>
                <w:bCs/>
                <w:sz w:val="24"/>
                <w:szCs w:val="24"/>
                <w:lang w:eastAsia="lv-LV"/>
              </w:rPr>
              <w:t>VII. Tiesību akta projekta izpildes nodrošināšana un tās ietekme uz institūcijām</w:t>
            </w:r>
          </w:p>
        </w:tc>
      </w:tr>
      <w:tr w:rsidR="005D196F" w:rsidRPr="005D196F" w14:paraId="1DF780F1" w14:textId="77777777" w:rsidTr="004A42AE">
        <w:trPr>
          <w:tblCellSpacing w:w="20" w:type="dxa"/>
        </w:trPr>
        <w:tc>
          <w:tcPr>
            <w:tcW w:w="703" w:type="dxa"/>
          </w:tcPr>
          <w:p w14:paraId="3D3138CC"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1.</w:t>
            </w:r>
          </w:p>
        </w:tc>
        <w:tc>
          <w:tcPr>
            <w:tcW w:w="3083" w:type="dxa"/>
          </w:tcPr>
          <w:p w14:paraId="245CAE85"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Projekta izpildē iesaistītās institūcijas</w:t>
            </w:r>
          </w:p>
        </w:tc>
        <w:tc>
          <w:tcPr>
            <w:tcW w:w="6119" w:type="dxa"/>
          </w:tcPr>
          <w:p w14:paraId="129FF7F1" w14:textId="15634A1B" w:rsidR="005D196F" w:rsidRPr="005D196F" w:rsidRDefault="004A42AE" w:rsidP="005D196F">
            <w:pPr>
              <w:tabs>
                <w:tab w:val="left" w:pos="6804"/>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Ekonomikas ministrija un LNMC</w:t>
            </w:r>
          </w:p>
        </w:tc>
      </w:tr>
      <w:tr w:rsidR="005D196F" w:rsidRPr="005D196F" w14:paraId="66694E11" w14:textId="77777777" w:rsidTr="004A42AE">
        <w:trPr>
          <w:tblCellSpacing w:w="20" w:type="dxa"/>
        </w:trPr>
        <w:tc>
          <w:tcPr>
            <w:tcW w:w="703" w:type="dxa"/>
          </w:tcPr>
          <w:p w14:paraId="3B1A4D5B"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2.</w:t>
            </w:r>
          </w:p>
        </w:tc>
        <w:tc>
          <w:tcPr>
            <w:tcW w:w="3083" w:type="dxa"/>
          </w:tcPr>
          <w:p w14:paraId="7B16718C"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Projekta izpildes ietekme uz pārvaldes funkcijām un institucionālo struktūru.</w:t>
            </w:r>
          </w:p>
          <w:p w14:paraId="270F11BB"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6119" w:type="dxa"/>
          </w:tcPr>
          <w:p w14:paraId="7F010D54" w14:textId="0665E520" w:rsidR="005D196F" w:rsidRPr="005D196F" w:rsidRDefault="004A42AE" w:rsidP="005D196F">
            <w:pPr>
              <w:tabs>
                <w:tab w:val="left" w:pos="6804"/>
              </w:tabs>
              <w:spacing w:after="0" w:line="240" w:lineRule="auto"/>
              <w:jc w:val="both"/>
              <w:rPr>
                <w:rFonts w:ascii="Times New Roman" w:hAnsi="Times New Roman" w:cs="Times New Roman"/>
                <w:sz w:val="24"/>
                <w:szCs w:val="24"/>
                <w:lang w:eastAsia="lv-LV"/>
              </w:rPr>
            </w:pPr>
            <w:r w:rsidRPr="004A42AE">
              <w:rPr>
                <w:rFonts w:ascii="Times New Roman" w:hAnsi="Times New Roman" w:cs="Times New Roman"/>
                <w:sz w:val="24"/>
                <w:szCs w:val="24"/>
                <w:lang w:eastAsia="lv-LV"/>
              </w:rPr>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resursiem.</w:t>
            </w:r>
          </w:p>
        </w:tc>
      </w:tr>
      <w:tr w:rsidR="005D196F" w:rsidRPr="005D196F" w14:paraId="1FDB3A01" w14:textId="77777777" w:rsidTr="004A42AE">
        <w:trPr>
          <w:tblCellSpacing w:w="20" w:type="dxa"/>
        </w:trPr>
        <w:tc>
          <w:tcPr>
            <w:tcW w:w="703" w:type="dxa"/>
          </w:tcPr>
          <w:p w14:paraId="70E4DA6F"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3.</w:t>
            </w:r>
          </w:p>
        </w:tc>
        <w:tc>
          <w:tcPr>
            <w:tcW w:w="3083" w:type="dxa"/>
          </w:tcPr>
          <w:p w14:paraId="169CC29F"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Cita informācija</w:t>
            </w:r>
          </w:p>
        </w:tc>
        <w:tc>
          <w:tcPr>
            <w:tcW w:w="6119" w:type="dxa"/>
          </w:tcPr>
          <w:p w14:paraId="16E30FA0" w14:textId="77777777" w:rsidR="005D196F" w:rsidRPr="005D196F" w:rsidRDefault="005D196F" w:rsidP="005D196F">
            <w:pPr>
              <w:tabs>
                <w:tab w:val="left" w:pos="6804"/>
              </w:tabs>
              <w:spacing w:after="0" w:line="240" w:lineRule="auto"/>
              <w:jc w:val="both"/>
              <w:rPr>
                <w:rFonts w:ascii="Times New Roman" w:hAnsi="Times New Roman" w:cs="Times New Roman"/>
                <w:sz w:val="24"/>
                <w:szCs w:val="24"/>
                <w:lang w:eastAsia="lv-LV"/>
              </w:rPr>
            </w:pPr>
            <w:r w:rsidRPr="005D196F">
              <w:rPr>
                <w:rFonts w:ascii="Times New Roman" w:hAnsi="Times New Roman" w:cs="Times New Roman"/>
                <w:sz w:val="24"/>
                <w:szCs w:val="24"/>
                <w:lang w:eastAsia="lv-LV"/>
              </w:rPr>
              <w:t>Nav</w:t>
            </w:r>
          </w:p>
        </w:tc>
      </w:tr>
    </w:tbl>
    <w:p w14:paraId="384CF9C7" w14:textId="77777777" w:rsidR="005D196F" w:rsidRPr="005D196F" w:rsidRDefault="005D196F" w:rsidP="005D196F">
      <w:pPr>
        <w:tabs>
          <w:tab w:val="left" w:pos="6804"/>
        </w:tabs>
        <w:spacing w:after="0" w:line="240" w:lineRule="auto"/>
        <w:ind w:firstLine="720"/>
        <w:jc w:val="both"/>
        <w:rPr>
          <w:sz w:val="24"/>
          <w:szCs w:val="24"/>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5D196F" w:rsidRPr="005D196F" w14:paraId="1138BDCF" w14:textId="77777777" w:rsidTr="00A81779">
        <w:tc>
          <w:tcPr>
            <w:tcW w:w="4643" w:type="dxa"/>
            <w:tcBorders>
              <w:top w:val="nil"/>
              <w:left w:val="nil"/>
              <w:bottom w:val="nil"/>
              <w:right w:val="nil"/>
            </w:tcBorders>
          </w:tcPr>
          <w:p w14:paraId="7C1710B8" w14:textId="77777777" w:rsidR="005D196F" w:rsidRPr="005D196F" w:rsidRDefault="005D196F" w:rsidP="005D196F">
            <w:pPr>
              <w:spacing w:after="0" w:line="240" w:lineRule="auto"/>
              <w:jc w:val="both"/>
              <w:rPr>
                <w:b/>
                <w:sz w:val="24"/>
                <w:szCs w:val="24"/>
                <w:lang w:eastAsia="lv-LV"/>
              </w:rPr>
            </w:pPr>
          </w:p>
          <w:p w14:paraId="1BE96359" w14:textId="3A380264" w:rsidR="005D196F" w:rsidRDefault="005D196F" w:rsidP="005D196F">
            <w:pPr>
              <w:spacing w:after="0" w:line="240" w:lineRule="auto"/>
              <w:jc w:val="both"/>
              <w:rPr>
                <w:b/>
                <w:sz w:val="24"/>
                <w:szCs w:val="24"/>
                <w:lang w:eastAsia="lv-LV"/>
              </w:rPr>
            </w:pPr>
            <w:r w:rsidRPr="005D196F">
              <w:rPr>
                <w:b/>
                <w:sz w:val="24"/>
                <w:szCs w:val="24"/>
                <w:lang w:eastAsia="lv-LV"/>
              </w:rPr>
              <w:t>Iesniedzējs:</w:t>
            </w:r>
          </w:p>
          <w:p w14:paraId="6943B4BA" w14:textId="30DBE182" w:rsidR="005D196F" w:rsidRPr="00CE7AD8" w:rsidRDefault="00CE7AD8" w:rsidP="00CE7AD8">
            <w:pPr>
              <w:tabs>
                <w:tab w:val="left" w:pos="5670"/>
              </w:tabs>
              <w:spacing w:after="0" w:line="240" w:lineRule="auto"/>
              <w:rPr>
                <w:b/>
                <w:bCs/>
                <w:noProof/>
                <w:sz w:val="26"/>
                <w:szCs w:val="26"/>
              </w:rPr>
            </w:pPr>
            <w:bookmarkStart w:id="1" w:name="_Hlk16498009"/>
            <w:r w:rsidRPr="00AC60CA">
              <w:rPr>
                <w:b/>
                <w:bCs/>
                <w:noProof/>
                <w:sz w:val="26"/>
                <w:szCs w:val="26"/>
              </w:rPr>
              <w:t>Ekonomikas ministr</w:t>
            </w:r>
            <w:bookmarkEnd w:id="1"/>
            <w:r>
              <w:rPr>
                <w:b/>
                <w:bCs/>
                <w:noProof/>
                <w:sz w:val="26"/>
                <w:szCs w:val="26"/>
              </w:rPr>
              <w:t>a pienākumu izpildītājs,</w:t>
            </w:r>
            <w:r>
              <w:rPr>
                <w:b/>
                <w:bCs/>
                <w:noProof/>
                <w:sz w:val="26"/>
                <w:szCs w:val="26"/>
              </w:rPr>
              <w:t xml:space="preserve"> </w:t>
            </w:r>
            <w:r>
              <w:rPr>
                <w:b/>
                <w:bCs/>
                <w:noProof/>
                <w:sz w:val="26"/>
                <w:szCs w:val="26"/>
              </w:rPr>
              <w:t>Zemkopības ministrs</w:t>
            </w:r>
          </w:p>
          <w:p w14:paraId="65793589" w14:textId="77777777" w:rsidR="005D196F" w:rsidRPr="005D196F" w:rsidRDefault="005D196F" w:rsidP="005D196F">
            <w:pPr>
              <w:spacing w:after="0" w:line="240" w:lineRule="auto"/>
              <w:jc w:val="both"/>
              <w:rPr>
                <w:b/>
                <w:sz w:val="24"/>
                <w:szCs w:val="24"/>
                <w:lang w:eastAsia="lv-LV"/>
              </w:rPr>
            </w:pPr>
          </w:p>
          <w:p w14:paraId="7607AD2C" w14:textId="77777777" w:rsidR="005D196F" w:rsidRPr="005D196F" w:rsidRDefault="005D196F" w:rsidP="005D196F">
            <w:pPr>
              <w:spacing w:after="0" w:line="240" w:lineRule="auto"/>
              <w:jc w:val="both"/>
              <w:rPr>
                <w:b/>
                <w:sz w:val="24"/>
                <w:szCs w:val="24"/>
                <w:lang w:eastAsia="lv-LV"/>
              </w:rPr>
            </w:pPr>
            <w:r w:rsidRPr="005D196F">
              <w:rPr>
                <w:b/>
                <w:sz w:val="24"/>
                <w:szCs w:val="24"/>
                <w:lang w:eastAsia="lv-LV"/>
              </w:rPr>
              <w:t>Vīza:</w:t>
            </w:r>
          </w:p>
          <w:p w14:paraId="1F8B5A1C" w14:textId="77777777" w:rsidR="005D196F" w:rsidRPr="005D196F" w:rsidRDefault="005D196F" w:rsidP="005D196F">
            <w:pPr>
              <w:spacing w:after="0" w:line="240" w:lineRule="auto"/>
              <w:jc w:val="both"/>
              <w:rPr>
                <w:b/>
                <w:sz w:val="24"/>
                <w:szCs w:val="24"/>
                <w:lang w:eastAsia="lv-LV"/>
              </w:rPr>
            </w:pPr>
            <w:r w:rsidRPr="005D196F">
              <w:rPr>
                <w:b/>
                <w:sz w:val="24"/>
                <w:szCs w:val="24"/>
                <w:lang w:eastAsia="lv-LV"/>
              </w:rPr>
              <w:t>Valsts sekretārs</w:t>
            </w:r>
          </w:p>
        </w:tc>
        <w:tc>
          <w:tcPr>
            <w:tcW w:w="3970" w:type="dxa"/>
            <w:tcBorders>
              <w:top w:val="nil"/>
              <w:left w:val="nil"/>
              <w:bottom w:val="nil"/>
              <w:right w:val="nil"/>
            </w:tcBorders>
          </w:tcPr>
          <w:p w14:paraId="400CB804" w14:textId="77777777" w:rsidR="005D196F" w:rsidRPr="005D196F" w:rsidRDefault="005D196F" w:rsidP="005D196F">
            <w:pPr>
              <w:spacing w:after="0" w:line="240" w:lineRule="auto"/>
              <w:jc w:val="right"/>
              <w:rPr>
                <w:b/>
                <w:sz w:val="24"/>
                <w:szCs w:val="24"/>
                <w:lang w:eastAsia="lv-LV"/>
              </w:rPr>
            </w:pPr>
          </w:p>
          <w:p w14:paraId="42FC551C" w14:textId="77777777" w:rsidR="005D196F" w:rsidRPr="005D196F" w:rsidRDefault="005D196F" w:rsidP="005D196F">
            <w:pPr>
              <w:spacing w:after="0" w:line="240" w:lineRule="auto"/>
              <w:jc w:val="right"/>
              <w:rPr>
                <w:b/>
                <w:sz w:val="24"/>
                <w:szCs w:val="24"/>
                <w:lang w:eastAsia="lv-LV"/>
              </w:rPr>
            </w:pPr>
          </w:p>
          <w:p w14:paraId="437F3970" w14:textId="4993284F" w:rsidR="005D196F" w:rsidRPr="005D196F" w:rsidRDefault="00CE7AD8" w:rsidP="005D196F">
            <w:pPr>
              <w:spacing w:after="0" w:line="240" w:lineRule="auto"/>
              <w:jc w:val="right"/>
              <w:rPr>
                <w:b/>
                <w:sz w:val="24"/>
                <w:szCs w:val="24"/>
                <w:lang w:eastAsia="lv-LV"/>
              </w:rPr>
            </w:pPr>
            <w:r w:rsidRPr="00CE7AD8">
              <w:rPr>
                <w:b/>
                <w:sz w:val="24"/>
                <w:szCs w:val="24"/>
                <w:lang w:eastAsia="lv-LV"/>
              </w:rPr>
              <w:t>K</w:t>
            </w:r>
            <w:r>
              <w:rPr>
                <w:b/>
                <w:sz w:val="24"/>
                <w:szCs w:val="24"/>
                <w:lang w:eastAsia="lv-LV"/>
              </w:rPr>
              <w:t>.</w:t>
            </w:r>
            <w:r w:rsidRPr="00CE7AD8">
              <w:rPr>
                <w:b/>
                <w:sz w:val="24"/>
                <w:szCs w:val="24"/>
                <w:lang w:eastAsia="lv-LV"/>
              </w:rPr>
              <w:t xml:space="preserve"> Gerhards</w:t>
            </w:r>
          </w:p>
          <w:p w14:paraId="02CB56A2" w14:textId="77777777" w:rsidR="005D196F" w:rsidRPr="005D196F" w:rsidRDefault="005D196F" w:rsidP="005D196F">
            <w:pPr>
              <w:spacing w:after="0" w:line="240" w:lineRule="auto"/>
              <w:jc w:val="right"/>
              <w:rPr>
                <w:b/>
                <w:sz w:val="24"/>
                <w:szCs w:val="24"/>
                <w:lang w:eastAsia="lv-LV"/>
              </w:rPr>
            </w:pPr>
          </w:p>
          <w:p w14:paraId="4DC72944" w14:textId="77777777" w:rsidR="005D196F" w:rsidRPr="005D196F" w:rsidRDefault="005D196F" w:rsidP="005D196F">
            <w:pPr>
              <w:spacing w:after="0" w:line="240" w:lineRule="auto"/>
              <w:jc w:val="right"/>
              <w:rPr>
                <w:b/>
                <w:sz w:val="24"/>
                <w:szCs w:val="24"/>
                <w:lang w:eastAsia="lv-LV"/>
              </w:rPr>
            </w:pPr>
          </w:p>
          <w:p w14:paraId="50C2E3A7" w14:textId="77777777" w:rsidR="00CE7AD8" w:rsidRDefault="00CE7AD8" w:rsidP="005D196F">
            <w:pPr>
              <w:spacing w:after="0" w:line="240" w:lineRule="auto"/>
              <w:jc w:val="right"/>
              <w:rPr>
                <w:b/>
                <w:sz w:val="24"/>
                <w:szCs w:val="24"/>
                <w:lang w:eastAsia="lv-LV"/>
              </w:rPr>
            </w:pPr>
          </w:p>
          <w:p w14:paraId="6C86FA2F" w14:textId="7E6701F4" w:rsidR="005D196F" w:rsidRPr="005D196F" w:rsidRDefault="005D196F" w:rsidP="005D196F">
            <w:pPr>
              <w:spacing w:after="0" w:line="240" w:lineRule="auto"/>
              <w:jc w:val="right"/>
              <w:rPr>
                <w:b/>
                <w:sz w:val="24"/>
                <w:szCs w:val="24"/>
                <w:lang w:eastAsia="lv-LV"/>
              </w:rPr>
            </w:pPr>
            <w:bookmarkStart w:id="2" w:name="_GoBack"/>
            <w:bookmarkEnd w:id="2"/>
            <w:proofErr w:type="spellStart"/>
            <w:r w:rsidRPr="005D196F">
              <w:rPr>
                <w:b/>
                <w:sz w:val="24"/>
                <w:szCs w:val="24"/>
                <w:lang w:eastAsia="lv-LV"/>
              </w:rPr>
              <w:t>E.Valantis</w:t>
            </w:r>
            <w:proofErr w:type="spellEnd"/>
          </w:p>
        </w:tc>
      </w:tr>
    </w:tbl>
    <w:p w14:paraId="48D674DB" w14:textId="77777777" w:rsidR="005D196F" w:rsidRPr="005D196F" w:rsidRDefault="005D196F" w:rsidP="005D196F">
      <w:pPr>
        <w:spacing w:after="0" w:line="240" w:lineRule="auto"/>
        <w:rPr>
          <w:sz w:val="24"/>
          <w:szCs w:val="24"/>
          <w:lang w:eastAsia="lv-LV"/>
        </w:rPr>
      </w:pPr>
    </w:p>
    <w:p w14:paraId="664DDA69" w14:textId="77777777" w:rsidR="005D196F" w:rsidRPr="005D196F" w:rsidRDefault="005D196F" w:rsidP="005D196F">
      <w:pPr>
        <w:spacing w:after="0" w:line="240" w:lineRule="auto"/>
        <w:rPr>
          <w:sz w:val="24"/>
          <w:szCs w:val="24"/>
          <w:lang w:eastAsia="lv-LV"/>
        </w:rPr>
      </w:pPr>
    </w:p>
    <w:p w14:paraId="53C0DAB7" w14:textId="77777777" w:rsidR="005D196F" w:rsidRPr="005D196F" w:rsidRDefault="005D196F" w:rsidP="005D196F">
      <w:pPr>
        <w:spacing w:after="0" w:line="240" w:lineRule="auto"/>
        <w:rPr>
          <w:sz w:val="24"/>
          <w:szCs w:val="24"/>
          <w:lang w:eastAsia="lv-LV"/>
        </w:rPr>
      </w:pPr>
    </w:p>
    <w:p w14:paraId="6599FA01" w14:textId="77777777" w:rsidR="004A42AE" w:rsidRPr="00ED0BBD" w:rsidRDefault="004A42AE" w:rsidP="004A42AE">
      <w:pPr>
        <w:spacing w:after="0" w:line="240" w:lineRule="auto"/>
        <w:rPr>
          <w:sz w:val="20"/>
          <w:szCs w:val="20"/>
          <w:lang w:eastAsia="lv-LV"/>
        </w:rPr>
      </w:pPr>
      <w:r w:rsidRPr="00ED0BBD">
        <w:rPr>
          <w:sz w:val="20"/>
          <w:szCs w:val="20"/>
          <w:lang w:eastAsia="lv-LV"/>
        </w:rPr>
        <w:t>Mālnieks 67013047</w:t>
      </w:r>
    </w:p>
    <w:p w14:paraId="58E0E7FA" w14:textId="5F18F052" w:rsidR="00662EAD" w:rsidRPr="00ED0BBD" w:rsidRDefault="004A42AE" w:rsidP="004A42AE">
      <w:pPr>
        <w:spacing w:after="0" w:line="240" w:lineRule="auto"/>
        <w:rPr>
          <w:rFonts w:eastAsiaTheme="minorHAnsi"/>
          <w:sz w:val="20"/>
          <w:szCs w:val="20"/>
        </w:rPr>
      </w:pPr>
      <w:r w:rsidRPr="00ED0BBD">
        <w:rPr>
          <w:sz w:val="20"/>
          <w:szCs w:val="20"/>
          <w:lang w:eastAsia="lv-LV"/>
        </w:rPr>
        <w:t>Girts.Malnieks@em.gov.lv</w:t>
      </w:r>
    </w:p>
    <w:sectPr w:rsidR="00662EAD" w:rsidRPr="00ED0BBD" w:rsidSect="00B20494">
      <w:headerReference w:type="even" r:id="rId8"/>
      <w:headerReference w:type="default" r:id="rId9"/>
      <w:footerReference w:type="default" r:id="rId10"/>
      <w:footerReference w:type="first" r:id="rId11"/>
      <w:pgSz w:w="11906" w:h="16838"/>
      <w:pgMar w:top="1418" w:right="1134" w:bottom="1134" w:left="1701"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E16E" w14:textId="77777777" w:rsidR="009906B3" w:rsidRDefault="009906B3">
      <w:pPr>
        <w:spacing w:after="0" w:line="240" w:lineRule="auto"/>
      </w:pPr>
      <w:r>
        <w:separator/>
      </w:r>
    </w:p>
  </w:endnote>
  <w:endnote w:type="continuationSeparator" w:id="0">
    <w:p w14:paraId="74F6005F" w14:textId="77777777" w:rsidR="009906B3" w:rsidRDefault="0099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A876" w14:textId="628FC3A3" w:rsidR="002D4DD9" w:rsidRPr="0096186D" w:rsidRDefault="002D4DD9" w:rsidP="002D4DD9">
    <w:pPr>
      <w:jc w:val="both"/>
      <w:rPr>
        <w:sz w:val="20"/>
      </w:rPr>
    </w:pPr>
    <w:r w:rsidRPr="0096186D">
      <w:rPr>
        <w:sz w:val="20"/>
      </w:rPr>
      <w:t>EMAnot_</w:t>
    </w:r>
    <w:r w:rsidR="004A42AE">
      <w:rPr>
        <w:sz w:val="20"/>
      </w:rPr>
      <w:t>LNMCzeme</w:t>
    </w:r>
    <w:r w:rsidR="0073416D">
      <w:rPr>
        <w:sz w:val="20"/>
      </w:rPr>
      <w:t>_VSS329</w:t>
    </w:r>
  </w:p>
  <w:p w14:paraId="1A976A92" w14:textId="77777777" w:rsidR="0058023C" w:rsidRPr="002D4DD9" w:rsidRDefault="009906B3" w:rsidP="002D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58A4" w14:textId="3578F6E3" w:rsidR="0058023C" w:rsidRPr="002D4DD9" w:rsidRDefault="004A3982" w:rsidP="002D4DD9">
    <w:pPr>
      <w:pStyle w:val="Footer"/>
    </w:pPr>
    <w:r w:rsidRPr="004A3982">
      <w:rPr>
        <w:sz w:val="20"/>
      </w:rPr>
      <w:t>EMAnot_</w:t>
    </w:r>
    <w:r w:rsidR="00712014">
      <w:rPr>
        <w:sz w:val="20"/>
      </w:rPr>
      <w:t>LNMCzeme</w:t>
    </w:r>
    <w:r w:rsidR="0073416D">
      <w:rPr>
        <w:sz w:val="20"/>
      </w:rPr>
      <w:t>_VSS329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3ABD" w14:textId="77777777" w:rsidR="009906B3" w:rsidRDefault="009906B3">
      <w:pPr>
        <w:spacing w:after="0" w:line="240" w:lineRule="auto"/>
      </w:pPr>
      <w:r>
        <w:separator/>
      </w:r>
    </w:p>
  </w:footnote>
  <w:footnote w:type="continuationSeparator" w:id="0">
    <w:p w14:paraId="1864FC4A" w14:textId="77777777" w:rsidR="009906B3" w:rsidRDefault="00990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B8E7" w14:textId="77777777" w:rsidR="0058023C" w:rsidRDefault="002D4D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76B1B" w14:textId="77777777" w:rsidR="0058023C" w:rsidRDefault="00990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049" w14:textId="77777777" w:rsidR="0058023C" w:rsidRDefault="002D4D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493">
      <w:rPr>
        <w:rStyle w:val="PageNumber"/>
        <w:noProof/>
      </w:rPr>
      <w:t>6</w:t>
    </w:r>
    <w:r>
      <w:rPr>
        <w:rStyle w:val="PageNumber"/>
      </w:rPr>
      <w:fldChar w:fldCharType="end"/>
    </w:r>
  </w:p>
  <w:p w14:paraId="60B5B466" w14:textId="77777777" w:rsidR="0058023C" w:rsidRDefault="00990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7832"/>
    <w:multiLevelType w:val="hybridMultilevel"/>
    <w:tmpl w:val="D9402FB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36"/>
    <w:rsid w:val="00016138"/>
    <w:rsid w:val="000B26CD"/>
    <w:rsid w:val="000D4DB5"/>
    <w:rsid w:val="001130CD"/>
    <w:rsid w:val="00155B9A"/>
    <w:rsid w:val="00172B5C"/>
    <w:rsid w:val="001A6FA1"/>
    <w:rsid w:val="001C5B02"/>
    <w:rsid w:val="001C7090"/>
    <w:rsid w:val="001E1B8F"/>
    <w:rsid w:val="001E328C"/>
    <w:rsid w:val="002104D7"/>
    <w:rsid w:val="0025148E"/>
    <w:rsid w:val="00252729"/>
    <w:rsid w:val="002638D6"/>
    <w:rsid w:val="002C783F"/>
    <w:rsid w:val="002D4D36"/>
    <w:rsid w:val="002D4DD9"/>
    <w:rsid w:val="002E494C"/>
    <w:rsid w:val="00300EDD"/>
    <w:rsid w:val="00301DB8"/>
    <w:rsid w:val="0032246A"/>
    <w:rsid w:val="00331768"/>
    <w:rsid w:val="003762D5"/>
    <w:rsid w:val="00380563"/>
    <w:rsid w:val="003A40C1"/>
    <w:rsid w:val="003D76D3"/>
    <w:rsid w:val="003F6183"/>
    <w:rsid w:val="00455172"/>
    <w:rsid w:val="004A3982"/>
    <w:rsid w:val="004A42AE"/>
    <w:rsid w:val="004E26A3"/>
    <w:rsid w:val="00501DBB"/>
    <w:rsid w:val="00502E11"/>
    <w:rsid w:val="00512C0A"/>
    <w:rsid w:val="00512D2A"/>
    <w:rsid w:val="00542098"/>
    <w:rsid w:val="00542A84"/>
    <w:rsid w:val="00553E72"/>
    <w:rsid w:val="005622CC"/>
    <w:rsid w:val="005D196F"/>
    <w:rsid w:val="005E0B9E"/>
    <w:rsid w:val="00605931"/>
    <w:rsid w:val="006210BB"/>
    <w:rsid w:val="006274D1"/>
    <w:rsid w:val="00631914"/>
    <w:rsid w:val="00640481"/>
    <w:rsid w:val="00653067"/>
    <w:rsid w:val="00662EAD"/>
    <w:rsid w:val="006636C1"/>
    <w:rsid w:val="006C34F3"/>
    <w:rsid w:val="006D55C9"/>
    <w:rsid w:val="006E4E66"/>
    <w:rsid w:val="0070262D"/>
    <w:rsid w:val="00710DE8"/>
    <w:rsid w:val="00712014"/>
    <w:rsid w:val="007334BB"/>
    <w:rsid w:val="0073416D"/>
    <w:rsid w:val="00773ADF"/>
    <w:rsid w:val="00777354"/>
    <w:rsid w:val="007972E4"/>
    <w:rsid w:val="007A247A"/>
    <w:rsid w:val="007B6571"/>
    <w:rsid w:val="007C6E39"/>
    <w:rsid w:val="00810034"/>
    <w:rsid w:val="008377FF"/>
    <w:rsid w:val="00845192"/>
    <w:rsid w:val="0087025C"/>
    <w:rsid w:val="0087612A"/>
    <w:rsid w:val="00880CDD"/>
    <w:rsid w:val="008A7CE0"/>
    <w:rsid w:val="008E6967"/>
    <w:rsid w:val="008F56DF"/>
    <w:rsid w:val="0096750E"/>
    <w:rsid w:val="00980BB4"/>
    <w:rsid w:val="009906B3"/>
    <w:rsid w:val="009940EA"/>
    <w:rsid w:val="00995F45"/>
    <w:rsid w:val="009A02AD"/>
    <w:rsid w:val="009B6110"/>
    <w:rsid w:val="009F3EB4"/>
    <w:rsid w:val="00A01724"/>
    <w:rsid w:val="00A36E9A"/>
    <w:rsid w:val="00A40172"/>
    <w:rsid w:val="00A41A60"/>
    <w:rsid w:val="00A7766D"/>
    <w:rsid w:val="00A82408"/>
    <w:rsid w:val="00AA102D"/>
    <w:rsid w:val="00AF413D"/>
    <w:rsid w:val="00B16C4F"/>
    <w:rsid w:val="00B20494"/>
    <w:rsid w:val="00B30E43"/>
    <w:rsid w:val="00B50C9E"/>
    <w:rsid w:val="00B6163B"/>
    <w:rsid w:val="00B65D16"/>
    <w:rsid w:val="00B77D50"/>
    <w:rsid w:val="00BA1421"/>
    <w:rsid w:val="00BA5A58"/>
    <w:rsid w:val="00BD0493"/>
    <w:rsid w:val="00BD5CCC"/>
    <w:rsid w:val="00BF1162"/>
    <w:rsid w:val="00C021DA"/>
    <w:rsid w:val="00C1246D"/>
    <w:rsid w:val="00C54198"/>
    <w:rsid w:val="00C6773E"/>
    <w:rsid w:val="00C70B7A"/>
    <w:rsid w:val="00CD7CF5"/>
    <w:rsid w:val="00CE7AD8"/>
    <w:rsid w:val="00D014D3"/>
    <w:rsid w:val="00D02CB1"/>
    <w:rsid w:val="00D20CB9"/>
    <w:rsid w:val="00D41109"/>
    <w:rsid w:val="00D62B35"/>
    <w:rsid w:val="00D648CC"/>
    <w:rsid w:val="00D65383"/>
    <w:rsid w:val="00D932B3"/>
    <w:rsid w:val="00DA7BE1"/>
    <w:rsid w:val="00DB5CE4"/>
    <w:rsid w:val="00DC0B8A"/>
    <w:rsid w:val="00DC3CF4"/>
    <w:rsid w:val="00DD7810"/>
    <w:rsid w:val="00DE6286"/>
    <w:rsid w:val="00DF1E70"/>
    <w:rsid w:val="00E11847"/>
    <w:rsid w:val="00E17AF3"/>
    <w:rsid w:val="00E30FE7"/>
    <w:rsid w:val="00E70E1F"/>
    <w:rsid w:val="00ED0BBD"/>
    <w:rsid w:val="00EF1D81"/>
    <w:rsid w:val="00F026E5"/>
    <w:rsid w:val="00F05EE0"/>
    <w:rsid w:val="00F35E18"/>
    <w:rsid w:val="00F43B7D"/>
    <w:rsid w:val="00F44032"/>
    <w:rsid w:val="00F60DE1"/>
    <w:rsid w:val="00FA14D3"/>
    <w:rsid w:val="00FB195A"/>
    <w:rsid w:val="00FB3DA8"/>
    <w:rsid w:val="00FD09BB"/>
    <w:rsid w:val="00FF343A"/>
    <w:rsid w:val="00FF4A94"/>
    <w:rsid w:val="00FF77E9"/>
    <w:rsid w:val="00FF7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F5175"/>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36"/>
    <w:pPr>
      <w:spacing w:after="200" w:line="276" w:lineRule="auto"/>
    </w:pPr>
    <w:rPr>
      <w:rFonts w:eastAsia="Times New Roman"/>
      <w:sz w:val="28"/>
      <w:szCs w:val="22"/>
    </w:rPr>
  </w:style>
  <w:style w:type="paragraph" w:styleId="Heading4">
    <w:name w:val="heading 4"/>
    <w:basedOn w:val="Normal"/>
    <w:next w:val="Normal"/>
    <w:link w:val="Heading4Char"/>
    <w:uiPriority w:val="9"/>
    <w:unhideWhenUsed/>
    <w:qFormat/>
    <w:rsid w:val="00EF1D81"/>
    <w:pPr>
      <w:keepNext/>
      <w:spacing w:before="240" w:after="60" w:line="240" w:lineRule="auto"/>
      <w:outlineLvl w:val="3"/>
    </w:pPr>
    <w:rPr>
      <w:rFonts w:ascii="Calibri" w:hAnsi="Calibri"/>
      <w:b/>
      <w:bCs/>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2D4D36"/>
  </w:style>
  <w:style w:type="paragraph" w:customStyle="1" w:styleId="naisc">
    <w:name w:val="naisc"/>
    <w:basedOn w:val="Normal"/>
    <w:rsid w:val="002D4D36"/>
    <w:pPr>
      <w:spacing w:before="100" w:after="100" w:line="240" w:lineRule="auto"/>
      <w:jc w:val="center"/>
    </w:pPr>
    <w:rPr>
      <w:sz w:val="24"/>
      <w:szCs w:val="24"/>
      <w:lang w:eastAsia="lv-LV"/>
    </w:rPr>
  </w:style>
  <w:style w:type="paragraph" w:styleId="Header">
    <w:name w:val="header"/>
    <w:basedOn w:val="Normal"/>
    <w:link w:val="HeaderChar"/>
    <w:rsid w:val="002D4D36"/>
    <w:pPr>
      <w:tabs>
        <w:tab w:val="center" w:pos="4153"/>
        <w:tab w:val="right" w:pos="8306"/>
      </w:tabs>
    </w:pPr>
  </w:style>
  <w:style w:type="character" w:customStyle="1" w:styleId="HeaderChar">
    <w:name w:val="Header Char"/>
    <w:basedOn w:val="DefaultParagraphFont"/>
    <w:link w:val="Header"/>
    <w:rsid w:val="002D4D36"/>
    <w:rPr>
      <w:rFonts w:eastAsia="Times New Roman"/>
      <w:sz w:val="28"/>
      <w:szCs w:val="22"/>
    </w:rPr>
  </w:style>
  <w:style w:type="character" w:styleId="PageNumber">
    <w:name w:val="page number"/>
    <w:basedOn w:val="DefaultParagraphFont"/>
    <w:rsid w:val="002D4D36"/>
  </w:style>
  <w:style w:type="paragraph" w:styleId="Footer">
    <w:name w:val="footer"/>
    <w:basedOn w:val="Normal"/>
    <w:link w:val="FooterChar"/>
    <w:rsid w:val="002D4D36"/>
    <w:pPr>
      <w:tabs>
        <w:tab w:val="center" w:pos="4153"/>
        <w:tab w:val="right" w:pos="8306"/>
      </w:tabs>
    </w:pPr>
  </w:style>
  <w:style w:type="character" w:customStyle="1" w:styleId="FooterChar">
    <w:name w:val="Footer Char"/>
    <w:basedOn w:val="DefaultParagraphFont"/>
    <w:link w:val="Footer"/>
    <w:rsid w:val="002D4D36"/>
    <w:rPr>
      <w:rFonts w:eastAsia="Times New Roman"/>
      <w:sz w:val="28"/>
      <w:szCs w:val="22"/>
    </w:rPr>
  </w:style>
  <w:style w:type="paragraph" w:styleId="ListParagraph">
    <w:name w:val="List Paragraph"/>
    <w:basedOn w:val="Normal"/>
    <w:uiPriority w:val="34"/>
    <w:qFormat/>
    <w:rsid w:val="002D4D36"/>
    <w:pPr>
      <w:ind w:left="720"/>
      <w:contextualSpacing/>
    </w:pPr>
  </w:style>
  <w:style w:type="paragraph" w:styleId="NormalWeb">
    <w:name w:val="Normal (Web)"/>
    <w:basedOn w:val="Normal"/>
    <w:uiPriority w:val="99"/>
    <w:unhideWhenUsed/>
    <w:rsid w:val="002D4D36"/>
    <w:pPr>
      <w:spacing w:before="100" w:beforeAutospacing="1" w:after="100" w:afterAutospacing="1" w:line="240" w:lineRule="auto"/>
    </w:pPr>
    <w:rPr>
      <w:sz w:val="24"/>
      <w:szCs w:val="24"/>
      <w:lang w:eastAsia="lv-LV"/>
    </w:rPr>
  </w:style>
  <w:style w:type="character" w:styleId="Hyperlink">
    <w:name w:val="Hyperlink"/>
    <w:uiPriority w:val="99"/>
    <w:unhideWhenUsed/>
    <w:rsid w:val="00AF413D"/>
    <w:rPr>
      <w:color w:val="0000FF"/>
      <w:u w:val="single"/>
    </w:rPr>
  </w:style>
  <w:style w:type="character" w:customStyle="1" w:styleId="Heading4Char">
    <w:name w:val="Heading 4 Char"/>
    <w:basedOn w:val="DefaultParagraphFont"/>
    <w:link w:val="Heading4"/>
    <w:uiPriority w:val="9"/>
    <w:rsid w:val="00EF1D81"/>
    <w:rPr>
      <w:rFonts w:ascii="Calibri" w:eastAsia="Times New Roman" w:hAnsi="Calibri"/>
      <w:b/>
      <w:bCs/>
      <w:sz w:val="28"/>
      <w:szCs w:val="28"/>
      <w:lang w:val="en-AU" w:eastAsia="lv-LV"/>
    </w:rPr>
  </w:style>
  <w:style w:type="paragraph" w:styleId="BodyText">
    <w:name w:val="Body Text"/>
    <w:basedOn w:val="Normal"/>
    <w:link w:val="BodyTextChar"/>
    <w:semiHidden/>
    <w:rsid w:val="00EF1D81"/>
    <w:pPr>
      <w:spacing w:before="75" w:after="75" w:line="240" w:lineRule="auto"/>
      <w:jc w:val="both"/>
    </w:pPr>
    <w:rPr>
      <w:rFonts w:eastAsia="Calibri"/>
      <w:szCs w:val="20"/>
      <w:lang w:eastAsia="lv-LV"/>
    </w:rPr>
  </w:style>
  <w:style w:type="character" w:customStyle="1" w:styleId="BodyTextChar">
    <w:name w:val="Body Text Char"/>
    <w:basedOn w:val="DefaultParagraphFont"/>
    <w:link w:val="BodyText"/>
    <w:semiHidden/>
    <w:rsid w:val="00EF1D81"/>
    <w:rPr>
      <w:rFonts w:eastAsia="Calibri"/>
      <w:sz w:val="28"/>
      <w:szCs w:val="20"/>
      <w:lang w:eastAsia="lv-LV"/>
    </w:rPr>
  </w:style>
  <w:style w:type="paragraph" w:styleId="BodyTextIndent2">
    <w:name w:val="Body Text Indent 2"/>
    <w:basedOn w:val="Normal"/>
    <w:link w:val="BodyTextIndent2Char"/>
    <w:uiPriority w:val="99"/>
    <w:unhideWhenUsed/>
    <w:rsid w:val="00F35E18"/>
    <w:pPr>
      <w:spacing w:after="120" w:line="480" w:lineRule="auto"/>
      <w:ind w:left="283"/>
    </w:pPr>
    <w:rPr>
      <w:sz w:val="20"/>
      <w:szCs w:val="20"/>
      <w:lang w:val="en-AU" w:eastAsia="lv-LV"/>
    </w:rPr>
  </w:style>
  <w:style w:type="character" w:customStyle="1" w:styleId="BodyTextIndent2Char">
    <w:name w:val="Body Text Indent 2 Char"/>
    <w:basedOn w:val="DefaultParagraphFont"/>
    <w:link w:val="BodyTextIndent2"/>
    <w:uiPriority w:val="99"/>
    <w:rsid w:val="00F35E18"/>
    <w:rPr>
      <w:rFonts w:eastAsia="Times New Roman"/>
      <w:sz w:val="20"/>
      <w:szCs w:val="20"/>
      <w:lang w:val="en-AU" w:eastAsia="lv-LV"/>
    </w:rPr>
  </w:style>
  <w:style w:type="paragraph" w:styleId="BalloonText">
    <w:name w:val="Balloon Text"/>
    <w:basedOn w:val="Normal"/>
    <w:link w:val="BalloonTextChar"/>
    <w:uiPriority w:val="99"/>
    <w:semiHidden/>
    <w:unhideWhenUsed/>
    <w:rsid w:val="0037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D5"/>
    <w:rPr>
      <w:rFonts w:ascii="Tahoma" w:eastAsia="Times New Roman" w:hAnsi="Tahoma" w:cs="Tahoma"/>
      <w:sz w:val="16"/>
      <w:szCs w:val="16"/>
    </w:rPr>
  </w:style>
  <w:style w:type="character" w:styleId="Strong">
    <w:name w:val="Strong"/>
    <w:qFormat/>
    <w:rsid w:val="00B65D16"/>
    <w:rPr>
      <w:b/>
      <w:bCs/>
    </w:rPr>
  </w:style>
  <w:style w:type="character" w:styleId="PlaceholderText">
    <w:name w:val="Placeholder Text"/>
    <w:basedOn w:val="DefaultParagraphFont"/>
    <w:uiPriority w:val="99"/>
    <w:semiHidden/>
    <w:rsid w:val="00D648CC"/>
    <w:rPr>
      <w:color w:val="808080"/>
    </w:rPr>
  </w:style>
  <w:style w:type="paragraph" w:styleId="BlockText">
    <w:name w:val="Block Text"/>
    <w:basedOn w:val="Normal"/>
    <w:semiHidden/>
    <w:rsid w:val="00D648CC"/>
    <w:pPr>
      <w:spacing w:after="0" w:line="240" w:lineRule="auto"/>
      <w:ind w:left="142" w:right="142" w:firstLine="425"/>
      <w:jc w:val="both"/>
    </w:pPr>
    <w:rPr>
      <w:szCs w:val="20"/>
      <w:lang w:eastAsia="lv-LV"/>
    </w:rPr>
  </w:style>
  <w:style w:type="table" w:styleId="TableGrid">
    <w:name w:val="Table Grid"/>
    <w:basedOn w:val="TableNormal"/>
    <w:uiPriority w:val="59"/>
    <w:rsid w:val="005D19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9130">
      <w:bodyDiv w:val="1"/>
      <w:marLeft w:val="0"/>
      <w:marRight w:val="0"/>
      <w:marTop w:val="0"/>
      <w:marBottom w:val="0"/>
      <w:divBdr>
        <w:top w:val="none" w:sz="0" w:space="0" w:color="auto"/>
        <w:left w:val="none" w:sz="0" w:space="0" w:color="auto"/>
        <w:bottom w:val="none" w:sz="0" w:space="0" w:color="auto"/>
        <w:right w:val="none" w:sz="0" w:space="0" w:color="auto"/>
      </w:divBdr>
    </w:div>
    <w:div w:id="488250205">
      <w:bodyDiv w:val="1"/>
      <w:marLeft w:val="0"/>
      <w:marRight w:val="0"/>
      <w:marTop w:val="0"/>
      <w:marBottom w:val="0"/>
      <w:divBdr>
        <w:top w:val="none" w:sz="0" w:space="0" w:color="auto"/>
        <w:left w:val="none" w:sz="0" w:space="0" w:color="auto"/>
        <w:bottom w:val="none" w:sz="0" w:space="0" w:color="auto"/>
        <w:right w:val="none" w:sz="0" w:space="0" w:color="auto"/>
      </w:divBdr>
    </w:div>
    <w:div w:id="1372849626">
      <w:bodyDiv w:val="1"/>
      <w:marLeft w:val="0"/>
      <w:marRight w:val="0"/>
      <w:marTop w:val="0"/>
      <w:marBottom w:val="0"/>
      <w:divBdr>
        <w:top w:val="none" w:sz="0" w:space="0" w:color="auto"/>
        <w:left w:val="none" w:sz="0" w:space="0" w:color="auto"/>
        <w:bottom w:val="none" w:sz="0" w:space="0" w:color="auto"/>
        <w:right w:val="none" w:sz="0" w:space="0" w:color="auto"/>
      </w:divBdr>
    </w:div>
    <w:div w:id="1601832896">
      <w:bodyDiv w:val="1"/>
      <w:marLeft w:val="0"/>
      <w:marRight w:val="0"/>
      <w:marTop w:val="0"/>
      <w:marBottom w:val="0"/>
      <w:divBdr>
        <w:top w:val="none" w:sz="0" w:space="0" w:color="auto"/>
        <w:left w:val="none" w:sz="0" w:space="0" w:color="auto"/>
        <w:bottom w:val="none" w:sz="0" w:space="0" w:color="auto"/>
        <w:right w:val="none" w:sz="0" w:space="0" w:color="auto"/>
      </w:divBdr>
    </w:div>
    <w:div w:id="1635057918">
      <w:bodyDiv w:val="1"/>
      <w:marLeft w:val="0"/>
      <w:marRight w:val="0"/>
      <w:marTop w:val="0"/>
      <w:marBottom w:val="0"/>
      <w:divBdr>
        <w:top w:val="none" w:sz="0" w:space="0" w:color="auto"/>
        <w:left w:val="none" w:sz="0" w:space="0" w:color="auto"/>
        <w:bottom w:val="none" w:sz="0" w:space="0" w:color="auto"/>
        <w:right w:val="none" w:sz="0" w:space="0" w:color="auto"/>
      </w:divBdr>
      <w:divsChild>
        <w:div w:id="1962765602">
          <w:marLeft w:val="0"/>
          <w:marRight w:val="0"/>
          <w:marTop w:val="0"/>
          <w:marBottom w:val="0"/>
          <w:divBdr>
            <w:top w:val="none" w:sz="0" w:space="0" w:color="auto"/>
            <w:left w:val="none" w:sz="0" w:space="0" w:color="auto"/>
            <w:bottom w:val="none" w:sz="0" w:space="0" w:color="auto"/>
            <w:right w:val="none" w:sz="0" w:space="0" w:color="auto"/>
          </w:divBdr>
          <w:divsChild>
            <w:div w:id="206065823">
              <w:marLeft w:val="0"/>
              <w:marRight w:val="0"/>
              <w:marTop w:val="0"/>
              <w:marBottom w:val="0"/>
              <w:divBdr>
                <w:top w:val="none" w:sz="0" w:space="0" w:color="auto"/>
                <w:left w:val="none" w:sz="0" w:space="0" w:color="auto"/>
                <w:bottom w:val="none" w:sz="0" w:space="0" w:color="auto"/>
                <w:right w:val="none" w:sz="0" w:space="0" w:color="auto"/>
              </w:divBdr>
              <w:divsChild>
                <w:div w:id="149639998">
                  <w:marLeft w:val="0"/>
                  <w:marRight w:val="0"/>
                  <w:marTop w:val="0"/>
                  <w:marBottom w:val="0"/>
                  <w:divBdr>
                    <w:top w:val="none" w:sz="0" w:space="0" w:color="auto"/>
                    <w:left w:val="none" w:sz="0" w:space="0" w:color="auto"/>
                    <w:bottom w:val="none" w:sz="0" w:space="0" w:color="auto"/>
                    <w:right w:val="none" w:sz="0" w:space="0" w:color="auto"/>
                  </w:divBdr>
                  <w:divsChild>
                    <w:div w:id="282420865">
                      <w:marLeft w:val="0"/>
                      <w:marRight w:val="0"/>
                      <w:marTop w:val="0"/>
                      <w:marBottom w:val="0"/>
                      <w:divBdr>
                        <w:top w:val="none" w:sz="0" w:space="0" w:color="auto"/>
                        <w:left w:val="none" w:sz="0" w:space="0" w:color="auto"/>
                        <w:bottom w:val="none" w:sz="0" w:space="0" w:color="auto"/>
                        <w:right w:val="none" w:sz="0" w:space="0" w:color="auto"/>
                      </w:divBdr>
                      <w:divsChild>
                        <w:div w:id="1840265375">
                          <w:marLeft w:val="0"/>
                          <w:marRight w:val="0"/>
                          <w:marTop w:val="0"/>
                          <w:marBottom w:val="0"/>
                          <w:divBdr>
                            <w:top w:val="none" w:sz="0" w:space="0" w:color="auto"/>
                            <w:left w:val="none" w:sz="0" w:space="0" w:color="auto"/>
                            <w:bottom w:val="none" w:sz="0" w:space="0" w:color="auto"/>
                            <w:right w:val="none" w:sz="0" w:space="0" w:color="auto"/>
                          </w:divBdr>
                          <w:divsChild>
                            <w:div w:id="10412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89690">
      <w:bodyDiv w:val="1"/>
      <w:marLeft w:val="0"/>
      <w:marRight w:val="0"/>
      <w:marTop w:val="0"/>
      <w:marBottom w:val="0"/>
      <w:divBdr>
        <w:top w:val="none" w:sz="0" w:space="0" w:color="auto"/>
        <w:left w:val="none" w:sz="0" w:space="0" w:color="auto"/>
        <w:bottom w:val="none" w:sz="0" w:space="0" w:color="auto"/>
        <w:right w:val="none" w:sz="0" w:space="0" w:color="auto"/>
      </w:divBdr>
    </w:div>
    <w:div w:id="18381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49FC-E439-4322-A442-E0A9C757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5</Pages>
  <Words>6950</Words>
  <Characters>3962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Ozoliņa</dc:creator>
  <cp:lastModifiedBy>Ģirts Mālnieks</cp:lastModifiedBy>
  <cp:revision>16</cp:revision>
  <cp:lastPrinted>2019-08-01T09:21:00Z</cp:lastPrinted>
  <dcterms:created xsi:type="dcterms:W3CDTF">2021-04-01T11:37:00Z</dcterms:created>
  <dcterms:modified xsi:type="dcterms:W3CDTF">2021-05-21T13:44:00Z</dcterms:modified>
  <cp:contentStatus/>
</cp:coreProperties>
</file>